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B51" w:rsidRDefault="00365304" w:rsidP="00E93068">
      <w:pPr>
        <w:ind w:left="-567"/>
        <w:rPr>
          <w:rFonts w:ascii="iStock Maquette" w:hAnsi="iStock Maquette"/>
          <w:noProof/>
          <w:color w:val="0C0D0D"/>
          <w:lang w:eastAsia="en-AU"/>
        </w:rPr>
      </w:pPr>
      <w:r>
        <w:rPr>
          <w:noProof/>
          <w:lang w:eastAsia="en-AU"/>
        </w:rPr>
        <mc:AlternateContent>
          <mc:Choice Requires="wpg">
            <w:drawing>
              <wp:anchor distT="0" distB="0" distL="114300" distR="114300" simplePos="0" relativeHeight="251658752" behindDoc="1" locked="0" layoutInCell="1" allowOverlap="1" wp14:anchorId="3F3C5FD3" wp14:editId="0A350755">
                <wp:simplePos x="0" y="0"/>
                <wp:positionH relativeFrom="column">
                  <wp:posOffset>-767080</wp:posOffset>
                </wp:positionH>
                <wp:positionV relativeFrom="paragraph">
                  <wp:posOffset>-532765</wp:posOffset>
                </wp:positionV>
                <wp:extent cx="6927215" cy="10006330"/>
                <wp:effectExtent l="0" t="0" r="6985"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215" cy="10006330"/>
                          <a:chOff x="557" y="540"/>
                          <a:chExt cx="10909" cy="15758"/>
                        </a:xfrm>
                      </wpg:grpSpPr>
                      <wpg:grpSp>
                        <wpg:cNvPr id="380" name="Group 18"/>
                        <wpg:cNvGrpSpPr>
                          <a:grpSpLocks/>
                        </wpg:cNvGrpSpPr>
                        <wpg:grpSpPr bwMode="auto">
                          <a:xfrm>
                            <a:off x="557" y="540"/>
                            <a:ext cx="10909" cy="15758"/>
                            <a:chOff x="680" y="918"/>
                            <a:chExt cx="10582" cy="15758"/>
                          </a:xfrm>
                        </wpg:grpSpPr>
                        <wps:wsp>
                          <wps:cNvPr id="381" name="Rectangle 19"/>
                          <wps:cNvSpPr>
                            <a:spLocks noChangeArrowheads="1"/>
                          </wps:cNvSpPr>
                          <wps:spPr bwMode="auto">
                            <a:xfrm>
                              <a:off x="680" y="918"/>
                              <a:ext cx="10582" cy="157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0"/>
                          <wps:cNvSpPr>
                            <a:spLocks noChangeArrowheads="1"/>
                          </wps:cNvSpPr>
                          <wps:spPr bwMode="auto">
                            <a:xfrm>
                              <a:off x="680" y="4565"/>
                              <a:ext cx="10582" cy="5366"/>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3" name="Rectangle 21"/>
                        <wps:cNvSpPr>
                          <a:spLocks noChangeArrowheads="1"/>
                        </wps:cNvSpPr>
                        <wps:spPr bwMode="auto">
                          <a:xfrm>
                            <a:off x="557" y="15908"/>
                            <a:ext cx="3525" cy="390"/>
                          </a:xfrm>
                          <a:prstGeom prst="rect">
                            <a:avLst/>
                          </a:prstGeom>
                          <a:solidFill>
                            <a:srgbClr val="DC50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60.4pt;margin-top:-41.95pt;width:545.45pt;height:787.9pt;z-index:-251657728" coordorigin="557,540" coordsize="10909,1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">
                <v:group id="Group 18" o:spid="_x0000_s1027" style="position:absolute;left:557;top:540;width:10909;height:15758" coordorigin="680,918" coordsize="10582,1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19" o:spid="_x0000_s1028" style="position:absolute;left:680;top:918;width:10582;height:1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v/sYA&#10;AADcAAAADwAAAGRycy9kb3ducmV2LnhtbESPQWvCQBSE74X+h+UVvJS60YJIdA1S2lKoIE0r4u2R&#10;fWZDsm9Ddhvjv3cFweMwM98wy2ywjeip85VjBZNxAoK4cLriUsHf78fLHIQPyBobx6TgTB6y1ePD&#10;ElPtTvxDfR5KESHsU1RgQmhTKX1hyKIfu5Y4ekfXWQxRdqXUHZ4i3DZymiQzabHiuGCwpTdDRZ3/&#10;WwVruT/wJv/ud9ac5V4/13b7+a7U6GlYL0AEGsI9fGt/aQWv8wl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Sv/sYAAADcAAAADwAAAAAAAAAAAAAAAACYAgAAZHJz&#10;L2Rvd25yZXYueG1sUEsFBgAAAAAEAAQA9QAAAIsDAAAAAA==&#10;" fillcolor="#f2f2f2" stroked="f"/>
                  <v:rect id="Rectangle 20" o:spid="_x0000_s1029" style="position:absolute;left:680;top:4565;width:10582;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azcYA&#10;AADcAAAADwAAAGRycy9kb3ducmV2LnhtbESPT2vCQBTE74V+h+UVvNVNI4ikbkQLFQ8FMbbQ4zP7&#10;8gezb9PsmqR+elco9DjMzG+Y5Wo0jeipc7VlBS/TCARxbnXNpYLP4/vzAoTzyBoby6Tglxys0seH&#10;JSbaDnygPvOlCBB2CSqovG8TKV1ekUE3tS1x8ArbGfRBdqXUHQ4BbhoZR9FcGqw5LFTY0ltF+Tm7&#10;GAXX/WWkIf5pZfax6bffh+IUfe2VmjyN61cQnkb/H/5r77SC2SK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azcYAAADcAAAADwAAAAAAAAAAAAAAAACYAgAAZHJz&#10;L2Rvd25yZXYueG1sUEsFBgAAAAAEAAQA9QAAAIsDAAAAAA==&#10;" fillcolor="#1f497d [3215]" stroked="f"/>
                </v:group>
                <v:rect id="Rectangle 21" o:spid="_x0000_s1030" style="position:absolute;left:557;top:15908;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UQcQA&#10;AADcAAAADwAAAGRycy9kb3ducmV2LnhtbESPQWsCMRSE7wX/Q3hCbzWrgrhbo1ShoKAHbb0/Nq+7&#10;SzcvIYnu2l/fCILHYWa+YRar3rTiSj40lhWMRxkI4tLqhisF31+fb3MQISJrbC2TghsFWC0HLwss&#10;tO34SNdTrESCcChQQR2jK6QMZU0Gw8g64uT9WG8wJukrqT12CW5aOcmymTTYcFqo0dGmpvL3dDEK&#10;zpu1z3OXZ9vz4e/Yrfc7PXFOqddh//EOIlIfn+FHe6sVTOd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1EHEAAAA3AAAAA8AAAAAAAAAAAAAAAAAmAIAAGRycy9k&#10;b3ducmV2LnhtbFBLBQYAAAAABAAEAPUAAACJAwAAAAA=&#10;" fillcolor="#dc5034" stroked="f"/>
              </v:group>
            </w:pict>
          </mc:Fallback>
        </mc:AlternateContent>
      </w:r>
      <w:r w:rsidR="005F1B7B">
        <w:rPr>
          <w:noProof/>
          <w:lang w:eastAsia="en-AU"/>
        </w:rPr>
        <w:drawing>
          <wp:anchor distT="0" distB="0" distL="114300" distR="114300" simplePos="0" relativeHeight="251657728" behindDoc="0" locked="0" layoutInCell="1" allowOverlap="1" wp14:anchorId="2BF0AE6B" wp14:editId="4B600F6B">
            <wp:simplePos x="0" y="0"/>
            <wp:positionH relativeFrom="column">
              <wp:posOffset>-561975</wp:posOffset>
            </wp:positionH>
            <wp:positionV relativeFrom="paragraph">
              <wp:posOffset>81280</wp:posOffset>
            </wp:positionV>
            <wp:extent cx="2432050" cy="767715"/>
            <wp:effectExtent l="0" t="0" r="0" b="0"/>
            <wp:wrapNone/>
            <wp:docPr id="377" name="Picture 377" descr="@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767715"/>
                    </a:xfrm>
                    <a:prstGeom prst="rect">
                      <a:avLst/>
                    </a:prstGeom>
                    <a:noFill/>
                  </pic:spPr>
                </pic:pic>
              </a:graphicData>
            </a:graphic>
            <wp14:sizeRelH relativeFrom="page">
              <wp14:pctWidth>0</wp14:pctWidth>
            </wp14:sizeRelH>
            <wp14:sizeRelV relativeFrom="page">
              <wp14:pctHeight>0</wp14:pctHeight>
            </wp14:sizeRelV>
          </wp:anchor>
        </w:drawing>
      </w:r>
    </w:p>
    <w:p w:rsidR="005F1B7B" w:rsidRDefault="005F1B7B" w:rsidP="00E93068">
      <w:pPr>
        <w:ind w:left="-567"/>
        <w:rPr>
          <w:rFonts w:ascii="iStock Maquette" w:hAnsi="iStock Maquette"/>
          <w:noProof/>
          <w:color w:val="0C0D0D"/>
          <w:lang w:eastAsia="en-AU"/>
        </w:rPr>
      </w:pPr>
    </w:p>
    <w:p w:rsidR="00C03BD7" w:rsidRDefault="00C03BD7" w:rsidP="00E93068">
      <w:pPr>
        <w:ind w:left="-567"/>
        <w:rPr>
          <w:noProof/>
          <w:lang w:eastAsia="en-AU"/>
        </w:rPr>
      </w:pPr>
    </w:p>
    <w:p w:rsidR="00C03BD7" w:rsidRDefault="00C03BD7" w:rsidP="00E93068">
      <w:pPr>
        <w:ind w:left="-567"/>
        <w:rPr>
          <w:noProof/>
          <w:lang w:eastAsia="en-AU"/>
        </w:rPr>
      </w:pPr>
    </w:p>
    <w:p w:rsidR="00E93068" w:rsidRDefault="00365304" w:rsidP="00E93068">
      <w:pPr>
        <w:ind w:left="-567"/>
      </w:pPr>
      <w:r w:rsidRPr="000453CA">
        <w:rPr>
          <w:noProof/>
          <w:lang w:eastAsia="en-AU"/>
        </w:rPr>
        <mc:AlternateContent>
          <mc:Choice Requires="wps">
            <w:drawing>
              <wp:anchor distT="0" distB="0" distL="114300" distR="114300" simplePos="0" relativeHeight="251670016" behindDoc="0" locked="0" layoutInCell="1" allowOverlap="1" wp14:anchorId="3F658175" wp14:editId="34244377">
                <wp:simplePos x="0" y="0"/>
                <wp:positionH relativeFrom="column">
                  <wp:posOffset>-767080</wp:posOffset>
                </wp:positionH>
                <wp:positionV relativeFrom="paragraph">
                  <wp:posOffset>8034020</wp:posOffset>
                </wp:positionV>
                <wp:extent cx="1987550" cy="252095"/>
                <wp:effectExtent l="0" t="0" r="0" b="0"/>
                <wp:wrapNone/>
                <wp:docPr id="4" name="Rectangle 4"/>
                <wp:cNvGraphicFramePr/>
                <a:graphic xmlns:a="http://schemas.openxmlformats.org/drawingml/2006/main">
                  <a:graphicData uri="http://schemas.microsoft.com/office/word/2010/wordprocessingShape">
                    <wps:wsp>
                      <wps:cNvSpPr/>
                      <wps:spPr>
                        <a:xfrm>
                          <a:off x="0" y="0"/>
                          <a:ext cx="1987550" cy="252095"/>
                        </a:xfrm>
                        <a:prstGeom prst="rect">
                          <a:avLst/>
                        </a:prstGeom>
                        <a:solidFill>
                          <a:srgbClr val="DC50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60.4pt;margin-top:632.6pt;width:156.5pt;height:19.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" fillcolor="#dc5034" stroked="f" strokeweight="2pt"/>
            </w:pict>
          </mc:Fallback>
        </mc:AlternateContent>
      </w:r>
      <w:r w:rsidRPr="000453CA">
        <w:rPr>
          <w:noProof/>
          <w:lang w:eastAsia="en-AU"/>
        </w:rPr>
        <mc:AlternateContent>
          <mc:Choice Requires="wps">
            <w:drawing>
              <wp:anchor distT="0" distB="0" distL="114300" distR="114300" simplePos="0" relativeHeight="251671040" behindDoc="0" locked="0" layoutInCell="1" allowOverlap="1" wp14:anchorId="32C9016B" wp14:editId="6448294E">
                <wp:simplePos x="0" y="0"/>
                <wp:positionH relativeFrom="column">
                  <wp:posOffset>-339090</wp:posOffset>
                </wp:positionH>
                <wp:positionV relativeFrom="paragraph">
                  <wp:posOffset>8020685</wp:posOffset>
                </wp:positionV>
                <wp:extent cx="1663700" cy="52895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A45996" w:rsidRDefault="007A2C42" w:rsidP="000453CA">
                            <w:pPr>
                              <w:rPr>
                                <w:rFonts w:ascii="Lucida Fax" w:hAnsi="Lucida Fax"/>
                                <w:color w:val="FFFFFF" w:themeColor="background1"/>
                                <w:szCs w:val="20"/>
                              </w:rPr>
                            </w:pPr>
                            <w:r w:rsidRPr="00A45996">
                              <w:rPr>
                                <w:rFonts w:ascii="Lucida Fax" w:hAnsi="Lucida Fax"/>
                                <w:color w:val="FFFFFF" w:themeColor="background1"/>
                                <w:szCs w:val="20"/>
                              </w:rPr>
                              <w:t>www.accc.gov.au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6.7pt;margin-top:631.55pt;width:131pt;height:4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k2tQIAALk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" filled="f" stroked="f">
                <v:textbox>
                  <w:txbxContent>
                    <w:p w:rsidR="007A2C42" w:rsidRPr="00A45996" w:rsidRDefault="007A2C42" w:rsidP="000453CA">
                      <w:pPr>
                        <w:rPr>
                          <w:rFonts w:ascii="Lucida Fax" w:hAnsi="Lucida Fax"/>
                          <w:color w:val="FFFFFF" w:themeColor="background1"/>
                          <w:szCs w:val="20"/>
                        </w:rPr>
                      </w:pPr>
                      <w:r w:rsidRPr="00A45996">
                        <w:rPr>
                          <w:rFonts w:ascii="Lucida Fax" w:hAnsi="Lucida Fax"/>
                          <w:color w:val="FFFFFF" w:themeColor="background1"/>
                          <w:szCs w:val="20"/>
                        </w:rPr>
                        <w:t>www.accc.gov.au</w:t>
                      </w:r>
                    </w:p>
                  </w:txbxContent>
                </v:textbox>
              </v:shape>
            </w:pict>
          </mc:Fallback>
        </mc:AlternateContent>
      </w:r>
      <w:r>
        <w:rPr>
          <w:noProof/>
          <w:lang w:eastAsia="en-AU"/>
        </w:rPr>
        <w:drawing>
          <wp:anchor distT="0" distB="0" distL="114300" distR="114300" simplePos="0" relativeHeight="251667968" behindDoc="1" locked="0" layoutInCell="1" allowOverlap="1" wp14:anchorId="50E058AB" wp14:editId="49B6697E">
            <wp:simplePos x="0" y="0"/>
            <wp:positionH relativeFrom="column">
              <wp:posOffset>-764540</wp:posOffset>
            </wp:positionH>
            <wp:positionV relativeFrom="paragraph">
              <wp:posOffset>4000500</wp:posOffset>
            </wp:positionV>
            <wp:extent cx="6924675" cy="4285615"/>
            <wp:effectExtent l="0" t="0" r="9525" b="635"/>
            <wp:wrapNone/>
            <wp:docPr id="1" name="Picture 1" descr="C:\Users\dsmit\AppData\Local\Microsoft\Windows\Temporary Internet Files\Content.IE5\NE59BU2Z\iStock_000039645264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it\AppData\Local\Microsoft\Windows\Temporary Internet Files\Content.IE5\NE59BU2Z\iStock_000039645264_Medium.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t="7383" r="237"/>
                    <a:stretch/>
                  </pic:blipFill>
                  <pic:spPr bwMode="auto">
                    <a:xfrm>
                      <a:off x="0" y="0"/>
                      <a:ext cx="6924675" cy="428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776" behindDoc="1" locked="0" layoutInCell="1" allowOverlap="1" wp14:anchorId="75F9EAA6" wp14:editId="0FABE761">
                <wp:simplePos x="0" y="0"/>
                <wp:positionH relativeFrom="column">
                  <wp:posOffset>-768350</wp:posOffset>
                </wp:positionH>
                <wp:positionV relativeFrom="paragraph">
                  <wp:posOffset>400685</wp:posOffset>
                </wp:positionV>
                <wp:extent cx="1386205" cy="189865"/>
                <wp:effectExtent l="0" t="0" r="4445" b="63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189865"/>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60.5pt;margin-top:31.55pt;width:109.15pt;height:1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" fillcolor="#4bacc6 [3208]" stroked="f"/>
            </w:pict>
          </mc:Fallback>
        </mc:AlternateContent>
      </w:r>
      <w:r w:rsidR="00C03BD7">
        <w:rPr>
          <w:noProof/>
          <w:lang w:eastAsia="en-AU"/>
        </w:rPr>
        <mc:AlternateContent>
          <mc:Choice Requires="wps">
            <w:drawing>
              <wp:anchor distT="0" distB="0" distL="114300" distR="114300" simplePos="0" relativeHeight="251656704" behindDoc="0" locked="0" layoutInCell="1" allowOverlap="1" wp14:anchorId="59BCBDF8" wp14:editId="38D0B314">
                <wp:simplePos x="0" y="0"/>
                <wp:positionH relativeFrom="column">
                  <wp:posOffset>-483870</wp:posOffset>
                </wp:positionH>
                <wp:positionV relativeFrom="paragraph">
                  <wp:posOffset>386715</wp:posOffset>
                </wp:positionV>
                <wp:extent cx="1009650" cy="44704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E34B73" w:rsidRDefault="007A2C42" w:rsidP="00E93068">
                            <w:pPr>
                              <w:spacing w:after="0"/>
                              <w:rPr>
                                <w:rFonts w:ascii="Lucida Fax" w:hAnsi="Lucida Fax"/>
                                <w:color w:val="FFFFFF" w:themeColor="background1"/>
                                <w:sz w:val="16"/>
                                <w:szCs w:val="16"/>
                              </w:rPr>
                            </w:pPr>
                            <w:r w:rsidRPr="00E34B73">
                              <w:rPr>
                                <w:rFonts w:ascii="Lucida Fax" w:hAnsi="Lucida Fax"/>
                                <w:color w:val="FFFFFF" w:themeColor="background1"/>
                                <w:sz w:val="16"/>
                                <w:szCs w:val="16"/>
                              </w:rPr>
                              <w:t>ACCC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27" type="#_x0000_t202" style="position:absolute;left:0;text-align:left;margin-left:-38.1pt;margin-top:30.45pt;width:79.5pt;height:3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7+uw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" filled="f" stroked="f">
                <v:textbox>
                  <w:txbxContent>
                    <w:p w:rsidR="007A2C42" w:rsidRPr="00E34B73" w:rsidRDefault="007A2C42" w:rsidP="00E93068">
                      <w:pPr>
                        <w:spacing w:after="0"/>
                        <w:rPr>
                          <w:rFonts w:ascii="Lucida Fax" w:hAnsi="Lucida Fax"/>
                          <w:color w:val="FFFFFF" w:themeColor="background1"/>
                          <w:sz w:val="16"/>
                          <w:szCs w:val="16"/>
                        </w:rPr>
                      </w:pPr>
                      <w:r w:rsidRPr="00E34B73">
                        <w:rPr>
                          <w:rFonts w:ascii="Lucida Fax" w:hAnsi="Lucida Fax"/>
                          <w:color w:val="FFFFFF" w:themeColor="background1"/>
                          <w:sz w:val="16"/>
                          <w:szCs w:val="16"/>
                        </w:rPr>
                        <w:t>ACCC Report</w:t>
                      </w:r>
                    </w:p>
                  </w:txbxContent>
                </v:textbox>
              </v:shape>
            </w:pict>
          </mc:Fallback>
        </mc:AlternateContent>
      </w:r>
      <w:r w:rsidR="00C03BD7">
        <w:rPr>
          <w:noProof/>
          <w:lang w:eastAsia="en-AU"/>
        </w:rPr>
        <mc:AlternateContent>
          <mc:Choice Requires="wps">
            <w:drawing>
              <wp:anchor distT="0" distB="0" distL="114300" distR="114300" simplePos="0" relativeHeight="251665920" behindDoc="0" locked="0" layoutInCell="1" allowOverlap="1" wp14:anchorId="3972D3E4" wp14:editId="0537B291">
                <wp:simplePos x="0" y="0"/>
                <wp:positionH relativeFrom="column">
                  <wp:posOffset>-415925</wp:posOffset>
                </wp:positionH>
                <wp:positionV relativeFrom="paragraph">
                  <wp:posOffset>3606800</wp:posOffset>
                </wp:positionV>
                <wp:extent cx="1431925" cy="396875"/>
                <wp:effectExtent l="0" t="0" r="0" b="317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C33C68" w:rsidRDefault="007A2C42" w:rsidP="00E93068">
                            <w:pPr>
                              <w:rPr>
                                <w:rFonts w:ascii="Lucida Fax" w:hAnsi="Lucida Fax"/>
                                <w:color w:val="FFFFFF" w:themeColor="background1"/>
                              </w:rPr>
                            </w:pPr>
                            <w:r>
                              <w:rPr>
                                <w:rFonts w:ascii="Lucida Fax" w:hAnsi="Lucida Fax"/>
                                <w:color w:val="FFFFFF" w:themeColor="background1"/>
                              </w:rPr>
                              <w:t>April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28" type="#_x0000_t202" style="position:absolute;left:0;text-align:left;margin-left:-32.75pt;margin-top:284pt;width:112.75pt;height:3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gK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" filled="f" stroked="f">
                <v:textbox>
                  <w:txbxContent>
                    <w:p w:rsidR="007A2C42" w:rsidRPr="00C33C68" w:rsidRDefault="007A2C42" w:rsidP="00E93068">
                      <w:pPr>
                        <w:rPr>
                          <w:rFonts w:ascii="Lucida Fax" w:hAnsi="Lucida Fax"/>
                          <w:color w:val="FFFFFF" w:themeColor="background1"/>
                        </w:rPr>
                      </w:pPr>
                      <w:r>
                        <w:rPr>
                          <w:rFonts w:ascii="Lucida Fax" w:hAnsi="Lucida Fax"/>
                          <w:color w:val="FFFFFF" w:themeColor="background1"/>
                        </w:rPr>
                        <w:t>April 2016</w:t>
                      </w:r>
                    </w:p>
                  </w:txbxContent>
                </v:textbox>
              </v:shape>
            </w:pict>
          </mc:Fallback>
        </mc:AlternateContent>
      </w:r>
      <w:r w:rsidR="005F1B7B">
        <w:rPr>
          <w:rFonts w:ascii="iStock Maquette" w:hAnsi="iStock Maquette" w:cs="Arial"/>
          <w:noProof/>
          <w:color w:val="0C0D0D"/>
          <w:lang w:eastAsia="en-AU"/>
        </w:rPr>
        <mc:AlternateContent>
          <mc:Choice Requires="wps">
            <w:drawing>
              <wp:anchor distT="0" distB="0" distL="114300" distR="114300" simplePos="0" relativeHeight="251666687" behindDoc="0" locked="0" layoutInCell="1" allowOverlap="1" wp14:anchorId="19EF20B8" wp14:editId="05C6FF20">
                <wp:simplePos x="0" y="0"/>
                <wp:positionH relativeFrom="column">
                  <wp:posOffset>-738505</wp:posOffset>
                </wp:positionH>
                <wp:positionV relativeFrom="paragraph">
                  <wp:posOffset>8630920</wp:posOffset>
                </wp:positionV>
                <wp:extent cx="1987550" cy="252095"/>
                <wp:effectExtent l="0" t="0" r="0" b="0"/>
                <wp:wrapNone/>
                <wp:docPr id="2" name="Rectangle 2"/>
                <wp:cNvGraphicFramePr/>
                <a:graphic xmlns:a="http://schemas.openxmlformats.org/drawingml/2006/main">
                  <a:graphicData uri="http://schemas.microsoft.com/office/word/2010/wordprocessingShape">
                    <wps:wsp>
                      <wps:cNvSpPr/>
                      <wps:spPr>
                        <a:xfrm>
                          <a:off x="0" y="0"/>
                          <a:ext cx="1987550" cy="252095"/>
                        </a:xfrm>
                        <a:prstGeom prst="rect">
                          <a:avLst/>
                        </a:prstGeom>
                        <a:solidFill>
                          <a:srgbClr val="DC5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58.15pt;margin-top:679.6pt;width:156.5pt;height:19.85pt;z-index:251666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" fillcolor="#dc5034" stroked="f" strokeweight="2pt"/>
            </w:pict>
          </mc:Fallback>
        </mc:AlternateContent>
      </w:r>
      <w:r w:rsidR="005F1B7B">
        <w:rPr>
          <w:noProof/>
          <w:lang w:eastAsia="en-AU"/>
        </w:rPr>
        <mc:AlternateContent>
          <mc:Choice Requires="wps">
            <w:drawing>
              <wp:anchor distT="0" distB="0" distL="114300" distR="114300" simplePos="0" relativeHeight="251662848" behindDoc="0" locked="0" layoutInCell="1" allowOverlap="1" wp14:anchorId="3E361EA8" wp14:editId="3D42D711">
                <wp:simplePos x="0" y="0"/>
                <wp:positionH relativeFrom="column">
                  <wp:posOffset>854075</wp:posOffset>
                </wp:positionH>
                <wp:positionV relativeFrom="paragraph">
                  <wp:posOffset>3084830</wp:posOffset>
                </wp:positionV>
                <wp:extent cx="0" cy="284480"/>
                <wp:effectExtent l="0" t="0" r="19050" b="20320"/>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6" o:spid="_x0000_s1026" type="#_x0000_t32" style="position:absolute;margin-left:67.25pt;margin-top:242.9pt;width:0;height:2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" strokecolor="white [3212]" strokeweight="1.5pt"/>
            </w:pict>
          </mc:Fallback>
        </mc:AlternateContent>
      </w:r>
      <w:r w:rsidR="005F1B7B">
        <w:rPr>
          <w:noProof/>
          <w:lang w:eastAsia="en-AU"/>
        </w:rPr>
        <mc:AlternateContent>
          <mc:Choice Requires="wps">
            <w:drawing>
              <wp:anchor distT="0" distB="0" distL="114300" distR="114300" simplePos="0" relativeHeight="251663872" behindDoc="0" locked="0" layoutInCell="1" allowOverlap="1" wp14:anchorId="48417E51" wp14:editId="1397CCC9">
                <wp:simplePos x="0" y="0"/>
                <wp:positionH relativeFrom="column">
                  <wp:posOffset>2568575</wp:posOffset>
                </wp:positionH>
                <wp:positionV relativeFrom="paragraph">
                  <wp:posOffset>3094355</wp:posOffset>
                </wp:positionV>
                <wp:extent cx="0" cy="284480"/>
                <wp:effectExtent l="0" t="0" r="19050" b="20320"/>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7" o:spid="_x0000_s1026" type="#_x0000_t32" style="position:absolute;margin-left:202.25pt;margin-top:243.65pt;width:0;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" strokecolor="white" strokeweight="1.5pt"/>
            </w:pict>
          </mc:Fallback>
        </mc:AlternateContent>
      </w:r>
      <w:r w:rsidR="005F1B7B">
        <w:rPr>
          <w:noProof/>
          <w:lang w:eastAsia="en-AU"/>
        </w:rPr>
        <mc:AlternateContent>
          <mc:Choice Requires="wps">
            <w:drawing>
              <wp:anchor distT="0" distB="0" distL="114300" distR="114300" simplePos="0" relativeHeight="251664896" behindDoc="0" locked="0" layoutInCell="1" allowOverlap="1" wp14:anchorId="4197E8F3" wp14:editId="7BD09960">
                <wp:simplePos x="0" y="0"/>
                <wp:positionH relativeFrom="column">
                  <wp:posOffset>3801745</wp:posOffset>
                </wp:positionH>
                <wp:positionV relativeFrom="paragraph">
                  <wp:posOffset>3094355</wp:posOffset>
                </wp:positionV>
                <wp:extent cx="0" cy="284480"/>
                <wp:effectExtent l="0" t="0" r="19050" b="20320"/>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8" o:spid="_x0000_s1026" type="#_x0000_t32" style="position:absolute;margin-left:299.35pt;margin-top:243.65pt;width:0;height:2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" strokecolor="white" strokeweight="1.5pt"/>
            </w:pict>
          </mc:Fallback>
        </mc:AlternateContent>
      </w:r>
      <w:r w:rsidR="005F1B7B">
        <w:rPr>
          <w:noProof/>
          <w:lang w:eastAsia="en-AU"/>
        </w:rPr>
        <mc:AlternateContent>
          <mc:Choice Requires="wps">
            <w:drawing>
              <wp:anchor distT="0" distB="0" distL="114300" distR="114300" simplePos="0" relativeHeight="251661824" behindDoc="0" locked="0" layoutInCell="1" allowOverlap="1" wp14:anchorId="0C98F5AF" wp14:editId="6315ED26">
                <wp:simplePos x="0" y="0"/>
                <wp:positionH relativeFrom="column">
                  <wp:posOffset>-467360</wp:posOffset>
                </wp:positionH>
                <wp:positionV relativeFrom="paragraph">
                  <wp:posOffset>3048635</wp:posOffset>
                </wp:positionV>
                <wp:extent cx="5831840" cy="517525"/>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A45996" w:rsidRDefault="007A2C42" w:rsidP="00E93068">
                            <w:pPr>
                              <w:rPr>
                                <w:rFonts w:ascii="Lucida Fax" w:hAnsi="Lucida Fax"/>
                                <w:color w:val="FFFFFF" w:themeColor="background1"/>
                                <w:sz w:val="32"/>
                                <w:szCs w:val="32"/>
                              </w:rPr>
                            </w:pPr>
                            <w:r w:rsidRPr="00A45996">
                              <w:rPr>
                                <w:rFonts w:ascii="Lucida Fax" w:hAnsi="Lucida Fax"/>
                                <w:color w:val="FFFFFF" w:themeColor="background1"/>
                                <w:sz w:val="32"/>
                                <w:szCs w:val="32"/>
                              </w:rPr>
                              <w:t>Brisbane          Melbourne          Perth          Sydney</w:t>
                            </w:r>
                            <w:r w:rsidRPr="00A45996">
                              <w:rPr>
                                <w:rFonts w:ascii="Lucida Fax" w:hAnsi="Lucida Fax"/>
                                <w:color w:val="FFFFFF" w:themeColor="background1"/>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29" type="#_x0000_t202" style="position:absolute;left:0;text-align:left;margin-left:-36.8pt;margin-top:240.05pt;width:459.2pt;height:4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" filled="f" stroked="f">
                <v:textbox>
                  <w:txbxContent>
                    <w:p w:rsidR="007A2C42" w:rsidRPr="00A45996" w:rsidRDefault="007A2C42" w:rsidP="00E93068">
                      <w:pPr>
                        <w:rPr>
                          <w:rFonts w:ascii="Lucida Fax" w:hAnsi="Lucida Fax"/>
                          <w:color w:val="FFFFFF" w:themeColor="background1"/>
                          <w:sz w:val="32"/>
                          <w:szCs w:val="32"/>
                        </w:rPr>
                      </w:pPr>
                      <w:r w:rsidRPr="00A45996">
                        <w:rPr>
                          <w:rFonts w:ascii="Lucida Fax" w:hAnsi="Lucida Fax"/>
                          <w:color w:val="FFFFFF" w:themeColor="background1"/>
                          <w:sz w:val="32"/>
                          <w:szCs w:val="32"/>
                        </w:rPr>
                        <w:t>Brisbane          Melbourne          Perth          Sydney</w:t>
                      </w:r>
                      <w:r w:rsidRPr="00A45996">
                        <w:rPr>
                          <w:rFonts w:ascii="Lucida Fax" w:hAnsi="Lucida Fax"/>
                          <w:color w:val="FFFFFF" w:themeColor="background1"/>
                          <w:sz w:val="32"/>
                          <w:szCs w:val="32"/>
                        </w:rPr>
                        <w:tab/>
                      </w:r>
                    </w:p>
                  </w:txbxContent>
                </v:textbox>
              </v:shape>
            </w:pict>
          </mc:Fallback>
        </mc:AlternateContent>
      </w:r>
      <w:r w:rsidR="005F1B7B">
        <w:rPr>
          <w:noProof/>
          <w:lang w:eastAsia="en-AU"/>
        </w:rPr>
        <mc:AlternateContent>
          <mc:Choice Requires="wps">
            <w:drawing>
              <wp:anchor distT="0" distB="0" distL="114300" distR="114300" simplePos="0" relativeHeight="251660800" behindDoc="0" locked="0" layoutInCell="1" allowOverlap="1" wp14:anchorId="5B37BBF2" wp14:editId="04321766">
                <wp:simplePos x="0" y="0"/>
                <wp:positionH relativeFrom="column">
                  <wp:posOffset>-502920</wp:posOffset>
                </wp:positionH>
                <wp:positionV relativeFrom="paragraph">
                  <wp:posOffset>1605915</wp:posOffset>
                </wp:positionV>
                <wp:extent cx="6271895" cy="156972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A45996" w:rsidRDefault="007A2C42" w:rsidP="00E93068">
                            <w:pPr>
                              <w:rPr>
                                <w:rFonts w:ascii="Lucida Fax" w:hAnsi="Lucida Fax"/>
                                <w:color w:val="FFFFFF" w:themeColor="background1"/>
                                <w:sz w:val="84"/>
                                <w:szCs w:val="84"/>
                              </w:rPr>
                            </w:pPr>
                            <w:bookmarkStart w:id="0" w:name="_GoBack"/>
                            <w:r w:rsidRPr="00A45996">
                              <w:rPr>
                                <w:rFonts w:ascii="Lucida Fax" w:hAnsi="Lucida Fax"/>
                                <w:color w:val="FFFFFF" w:themeColor="background1"/>
                                <w:sz w:val="84"/>
                                <w:szCs w:val="84"/>
                              </w:rPr>
                              <w:t xml:space="preserve">Airport Monitoring </w:t>
                            </w:r>
                            <w:r w:rsidRPr="00A45996">
                              <w:rPr>
                                <w:rFonts w:ascii="Lucida Fax" w:hAnsi="Lucida Fax"/>
                                <w:color w:val="FFFFFF" w:themeColor="background1"/>
                                <w:sz w:val="84"/>
                                <w:szCs w:val="84"/>
                              </w:rPr>
                              <w:br/>
                              <w:t>Report 201</w:t>
                            </w:r>
                            <w:r>
                              <w:rPr>
                                <w:rFonts w:ascii="Lucida Fax" w:hAnsi="Lucida Fax"/>
                                <w:color w:val="FFFFFF" w:themeColor="background1"/>
                                <w:sz w:val="84"/>
                                <w:szCs w:val="84"/>
                              </w:rPr>
                              <w:t>4</w:t>
                            </w:r>
                            <w:r w:rsidRPr="00A45996">
                              <w:rPr>
                                <w:rFonts w:ascii="Lucida Fax" w:hAnsi="Lucida Fax" w:cs="Arial"/>
                                <w:color w:val="FFFFFF" w:themeColor="background1"/>
                                <w:sz w:val="84"/>
                                <w:szCs w:val="84"/>
                              </w:rPr>
                              <w:t>-1</w:t>
                            </w:r>
                            <w:r>
                              <w:rPr>
                                <w:rFonts w:ascii="Lucida Fax" w:hAnsi="Lucida Fax" w:cs="Arial"/>
                                <w:color w:val="FFFFFF" w:themeColor="background1"/>
                                <w:sz w:val="84"/>
                                <w:szCs w:val="84"/>
                              </w:rPr>
                              <w:t>5</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30" type="#_x0000_t202" style="position:absolute;left:0;text-align:left;margin-left:-39.6pt;margin-top:126.45pt;width:493.85pt;height:12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GL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" filled="f" stroked="f">
                <v:textbox>
                  <w:txbxContent>
                    <w:p w:rsidR="007A2C42" w:rsidRPr="00A45996" w:rsidRDefault="007A2C42" w:rsidP="00E93068">
                      <w:pPr>
                        <w:rPr>
                          <w:rFonts w:ascii="Lucida Fax" w:hAnsi="Lucida Fax"/>
                          <w:color w:val="FFFFFF" w:themeColor="background1"/>
                          <w:sz w:val="84"/>
                          <w:szCs w:val="84"/>
                        </w:rPr>
                      </w:pPr>
                      <w:r w:rsidRPr="00A45996">
                        <w:rPr>
                          <w:rFonts w:ascii="Lucida Fax" w:hAnsi="Lucida Fax"/>
                          <w:color w:val="FFFFFF" w:themeColor="background1"/>
                          <w:sz w:val="84"/>
                          <w:szCs w:val="84"/>
                        </w:rPr>
                        <w:t xml:space="preserve">Airport Monitoring </w:t>
                      </w:r>
                      <w:r w:rsidRPr="00A45996">
                        <w:rPr>
                          <w:rFonts w:ascii="Lucida Fax" w:hAnsi="Lucida Fax"/>
                          <w:color w:val="FFFFFF" w:themeColor="background1"/>
                          <w:sz w:val="84"/>
                          <w:szCs w:val="84"/>
                        </w:rPr>
                        <w:br/>
                        <w:t>Report 201</w:t>
                      </w:r>
                      <w:r>
                        <w:rPr>
                          <w:rFonts w:ascii="Lucida Fax" w:hAnsi="Lucida Fax"/>
                          <w:color w:val="FFFFFF" w:themeColor="background1"/>
                          <w:sz w:val="84"/>
                          <w:szCs w:val="84"/>
                        </w:rPr>
                        <w:t>4</w:t>
                      </w:r>
                      <w:r w:rsidRPr="00A45996">
                        <w:rPr>
                          <w:rFonts w:ascii="Lucida Fax" w:hAnsi="Lucida Fax" w:cs="Arial"/>
                          <w:color w:val="FFFFFF" w:themeColor="background1"/>
                          <w:sz w:val="84"/>
                          <w:szCs w:val="84"/>
                        </w:rPr>
                        <w:t>-1</w:t>
                      </w:r>
                      <w:r>
                        <w:rPr>
                          <w:rFonts w:ascii="Lucida Fax" w:hAnsi="Lucida Fax" w:cs="Arial"/>
                          <w:color w:val="FFFFFF" w:themeColor="background1"/>
                          <w:sz w:val="84"/>
                          <w:szCs w:val="84"/>
                        </w:rPr>
                        <w:t>5</w:t>
                      </w:r>
                    </w:p>
                  </w:txbxContent>
                </v:textbox>
              </v:shape>
            </w:pict>
          </mc:Fallback>
        </mc:AlternateContent>
      </w:r>
      <w:r w:rsidR="005F1B7B">
        <w:rPr>
          <w:noProof/>
          <w:lang w:eastAsia="en-AU"/>
        </w:rPr>
        <mc:AlternateContent>
          <mc:Choice Requires="wps">
            <w:drawing>
              <wp:anchor distT="0" distB="0" distL="114300" distR="114300" simplePos="0" relativeHeight="251666944" behindDoc="0" locked="0" layoutInCell="1" allowOverlap="1" wp14:anchorId="10B8476D" wp14:editId="0898C9E3">
                <wp:simplePos x="0" y="0"/>
                <wp:positionH relativeFrom="column">
                  <wp:posOffset>-415290</wp:posOffset>
                </wp:positionH>
                <wp:positionV relativeFrom="paragraph">
                  <wp:posOffset>8627110</wp:posOffset>
                </wp:positionV>
                <wp:extent cx="1663700" cy="528955"/>
                <wp:effectExtent l="0" t="0" r="0" b="444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A45996" w:rsidRDefault="007A2C42" w:rsidP="00E93068">
                            <w:pPr>
                              <w:rPr>
                                <w:rFonts w:ascii="Lucida Fax" w:hAnsi="Lucida Fax"/>
                                <w:color w:val="FFFFFF" w:themeColor="background1"/>
                                <w:szCs w:val="20"/>
                              </w:rPr>
                            </w:pPr>
                            <w:r w:rsidRPr="00A45996">
                              <w:rPr>
                                <w:rFonts w:ascii="Lucida Fax" w:hAnsi="Lucida Fax"/>
                                <w:color w:val="FFFFFF" w:themeColor="background1"/>
                                <w:szCs w:val="20"/>
                              </w:rPr>
                              <w:t>www.accc.gov.au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1" type="#_x0000_t202" style="position:absolute;left:0;text-align:left;margin-left:-32.7pt;margin-top:679.3pt;width:131pt;height:4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NIuw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" filled="f" stroked="f">
                <v:textbox>
                  <w:txbxContent>
                    <w:p w:rsidR="007A2C42" w:rsidRPr="00A45996" w:rsidRDefault="007A2C42" w:rsidP="00E93068">
                      <w:pPr>
                        <w:rPr>
                          <w:rFonts w:ascii="Lucida Fax" w:hAnsi="Lucida Fax"/>
                          <w:color w:val="FFFFFF" w:themeColor="background1"/>
                          <w:szCs w:val="20"/>
                        </w:rPr>
                      </w:pPr>
                      <w:r w:rsidRPr="00A45996">
                        <w:rPr>
                          <w:rFonts w:ascii="Lucida Fax" w:hAnsi="Lucida Fax"/>
                          <w:color w:val="FFFFFF" w:themeColor="background1"/>
                          <w:szCs w:val="20"/>
                        </w:rPr>
                        <w:t>www.accc.gov.au</w:t>
                      </w:r>
                    </w:p>
                  </w:txbxContent>
                </v:textbox>
              </v:shape>
            </w:pict>
          </mc:Fallback>
        </mc:AlternateContent>
      </w:r>
      <w:r w:rsidR="00E93068">
        <w:br w:type="page"/>
      </w:r>
    </w:p>
    <w:p w:rsidR="00E93068" w:rsidRDefault="00E93068" w:rsidP="00E93068">
      <w:pPr>
        <w:spacing w:before="120"/>
        <w:rPr>
          <w:rFonts w:cs="Arial"/>
          <w:color w:val="000000"/>
          <w:sz w:val="16"/>
          <w:szCs w:val="16"/>
        </w:rPr>
      </w:pPr>
      <w:r w:rsidRPr="001C309D">
        <w:rPr>
          <w:rFonts w:cs="Arial"/>
          <w:color w:val="000000"/>
          <w:sz w:val="16"/>
          <w:szCs w:val="16"/>
        </w:rPr>
        <w:lastRenderedPageBreak/>
        <w:t xml:space="preserve">ISBN </w:t>
      </w:r>
      <w:r w:rsidR="00A75C8A" w:rsidRPr="00A75C8A">
        <w:rPr>
          <w:rFonts w:cs="Arial"/>
          <w:color w:val="000000"/>
          <w:sz w:val="16"/>
          <w:szCs w:val="16"/>
        </w:rPr>
        <w:t>978</w:t>
      </w:r>
      <w:r w:rsidR="00A75C8A">
        <w:rPr>
          <w:rFonts w:cs="Arial"/>
          <w:color w:val="000000"/>
          <w:sz w:val="16"/>
          <w:szCs w:val="16"/>
        </w:rPr>
        <w:t xml:space="preserve"> </w:t>
      </w:r>
      <w:r w:rsidR="00A75C8A" w:rsidRPr="00A75C8A">
        <w:rPr>
          <w:rFonts w:cs="Arial"/>
          <w:color w:val="000000"/>
          <w:sz w:val="16"/>
          <w:szCs w:val="16"/>
        </w:rPr>
        <w:t>1</w:t>
      </w:r>
      <w:r w:rsidR="00A75C8A">
        <w:rPr>
          <w:rFonts w:cs="Arial"/>
          <w:color w:val="000000"/>
          <w:sz w:val="16"/>
          <w:szCs w:val="16"/>
        </w:rPr>
        <w:t xml:space="preserve"> </w:t>
      </w:r>
      <w:r w:rsidR="00A75C8A" w:rsidRPr="00A75C8A">
        <w:rPr>
          <w:rFonts w:cs="Arial"/>
          <w:color w:val="000000"/>
          <w:sz w:val="16"/>
          <w:szCs w:val="16"/>
        </w:rPr>
        <w:t>922145</w:t>
      </w:r>
      <w:r w:rsidR="00A75C8A">
        <w:rPr>
          <w:rFonts w:cs="Arial"/>
          <w:color w:val="000000"/>
          <w:sz w:val="16"/>
          <w:szCs w:val="16"/>
        </w:rPr>
        <w:t xml:space="preserve"> </w:t>
      </w:r>
      <w:r w:rsidR="00A75C8A" w:rsidRPr="00A75C8A">
        <w:rPr>
          <w:rFonts w:cs="Arial"/>
          <w:color w:val="000000"/>
          <w:sz w:val="16"/>
          <w:szCs w:val="16"/>
        </w:rPr>
        <w:t>74</w:t>
      </w:r>
      <w:r w:rsidR="00A75C8A">
        <w:rPr>
          <w:rFonts w:cs="Arial"/>
          <w:color w:val="000000"/>
          <w:sz w:val="16"/>
          <w:szCs w:val="16"/>
        </w:rPr>
        <w:t xml:space="preserve"> </w:t>
      </w:r>
      <w:r w:rsidR="00A75C8A" w:rsidRPr="00A75C8A">
        <w:rPr>
          <w:rFonts w:cs="Arial"/>
          <w:color w:val="000000"/>
          <w:sz w:val="16"/>
          <w:szCs w:val="16"/>
        </w:rPr>
        <w:t>1</w:t>
      </w:r>
      <w:r w:rsidRPr="001C309D">
        <w:rPr>
          <w:rFonts w:cs="Arial"/>
          <w:color w:val="000000"/>
          <w:sz w:val="16"/>
          <w:szCs w:val="16"/>
        </w:rPr>
        <w:t> </w:t>
      </w:r>
    </w:p>
    <w:p w:rsidR="00E93068" w:rsidRPr="001C309D" w:rsidRDefault="00E93068" w:rsidP="00E93068">
      <w:pPr>
        <w:spacing w:before="120"/>
        <w:rPr>
          <w:rFonts w:cs="Arial"/>
          <w:color w:val="000000"/>
          <w:sz w:val="16"/>
          <w:szCs w:val="16"/>
        </w:rPr>
      </w:pPr>
      <w:r w:rsidRPr="001C309D">
        <w:rPr>
          <w:rFonts w:cs="Arial"/>
          <w:color w:val="000000"/>
          <w:sz w:val="16"/>
          <w:szCs w:val="16"/>
        </w:rPr>
        <w:t>Australian Competition and Consumer Commission</w:t>
      </w:r>
      <w:r>
        <w:rPr>
          <w:rFonts w:cs="Arial"/>
          <w:color w:val="000000"/>
          <w:sz w:val="16"/>
          <w:szCs w:val="16"/>
        </w:rPr>
        <w:br/>
      </w:r>
      <w:r w:rsidRPr="001C309D">
        <w:rPr>
          <w:rFonts w:cs="Arial"/>
          <w:color w:val="000000"/>
          <w:sz w:val="16"/>
          <w:szCs w:val="16"/>
        </w:rPr>
        <w:t xml:space="preserve">23 Marcus Clarke Street, </w:t>
      </w:r>
      <w:r>
        <w:rPr>
          <w:rFonts w:cs="Arial"/>
          <w:color w:val="000000"/>
          <w:sz w:val="16"/>
          <w:szCs w:val="16"/>
        </w:rPr>
        <w:br/>
      </w:r>
      <w:r w:rsidRPr="001C309D">
        <w:rPr>
          <w:rFonts w:cs="Arial"/>
          <w:color w:val="000000"/>
          <w:sz w:val="16"/>
          <w:szCs w:val="16"/>
        </w:rPr>
        <w:t>Canberra, Australian Capital Territory, 2601</w:t>
      </w:r>
    </w:p>
    <w:p w:rsidR="00E93068" w:rsidRPr="001C309D" w:rsidRDefault="00E93068" w:rsidP="00E93068">
      <w:pPr>
        <w:spacing w:before="120"/>
        <w:rPr>
          <w:rFonts w:cs="Arial"/>
          <w:color w:val="000000"/>
          <w:sz w:val="16"/>
          <w:szCs w:val="16"/>
        </w:rPr>
      </w:pPr>
      <w:r w:rsidRPr="001C309D">
        <w:rPr>
          <w:rFonts w:cs="Arial"/>
          <w:color w:val="000000"/>
          <w:sz w:val="16"/>
          <w:szCs w:val="16"/>
        </w:rPr>
        <w:t>© Commonwealth of Australia 201</w:t>
      </w:r>
      <w:r w:rsidR="00A75C8A">
        <w:rPr>
          <w:rFonts w:cs="Arial"/>
          <w:color w:val="000000"/>
          <w:sz w:val="16"/>
          <w:szCs w:val="16"/>
        </w:rPr>
        <w:t>6</w:t>
      </w:r>
    </w:p>
    <w:p w:rsidR="00E93068" w:rsidRPr="001C309D" w:rsidRDefault="00E93068" w:rsidP="00E93068">
      <w:pPr>
        <w:spacing w:before="120"/>
        <w:rPr>
          <w:rFonts w:cs="Arial"/>
          <w:color w:val="000000"/>
          <w:sz w:val="16"/>
          <w:szCs w:val="16"/>
        </w:rPr>
      </w:pPr>
      <w:r w:rsidRPr="001C309D">
        <w:rPr>
          <w:rFonts w:cs="Arial"/>
          <w:color w:val="000000"/>
          <w:sz w:val="16"/>
          <w:szCs w:val="16"/>
        </w:rPr>
        <w:t xml:space="preserve">This work is copyright. In addition to any use permitted under the </w:t>
      </w:r>
      <w:r w:rsidRPr="001C309D">
        <w:rPr>
          <w:rFonts w:cs="Arial"/>
          <w:i/>
          <w:iCs/>
          <w:color w:val="000000"/>
          <w:sz w:val="16"/>
          <w:szCs w:val="16"/>
        </w:rPr>
        <w:t>Copyright Act 1968</w:t>
      </w:r>
      <w:r w:rsidRPr="001C309D">
        <w:rPr>
          <w:rFonts w:cs="Arial"/>
          <w:color w:val="000000"/>
          <w:sz w:val="16"/>
          <w:szCs w:val="16"/>
        </w:rPr>
        <w:t>, all material contained within this work is provided under a Creative</w:t>
      </w:r>
      <w:r>
        <w:rPr>
          <w:rFonts w:cs="Arial"/>
          <w:color w:val="000000"/>
          <w:sz w:val="16"/>
          <w:szCs w:val="16"/>
        </w:rPr>
        <w:t xml:space="preserve"> </w:t>
      </w:r>
      <w:r w:rsidRPr="001C309D">
        <w:rPr>
          <w:rFonts w:cs="Arial"/>
          <w:color w:val="000000"/>
          <w:sz w:val="16"/>
          <w:szCs w:val="16"/>
        </w:rPr>
        <w:t>Commons Attribution 3.0 Australia licence, with the exception of:</w:t>
      </w:r>
    </w:p>
    <w:p w:rsidR="00E93068" w:rsidRPr="001C309D" w:rsidRDefault="00E93068" w:rsidP="00F26847">
      <w:pPr>
        <w:numPr>
          <w:ilvl w:val="0"/>
          <w:numId w:val="11"/>
        </w:numPr>
        <w:autoSpaceDE w:val="0"/>
        <w:autoSpaceDN w:val="0"/>
        <w:adjustRightInd w:val="0"/>
        <w:spacing w:before="120" w:after="120"/>
        <w:rPr>
          <w:rFonts w:cs="Arial"/>
          <w:color w:val="000000"/>
          <w:sz w:val="16"/>
          <w:szCs w:val="16"/>
        </w:rPr>
      </w:pPr>
      <w:r w:rsidRPr="001C309D">
        <w:rPr>
          <w:rFonts w:cs="Arial"/>
          <w:color w:val="000000"/>
          <w:sz w:val="16"/>
          <w:szCs w:val="16"/>
        </w:rPr>
        <w:t>the Commonwealth Coat of Arms</w:t>
      </w:r>
    </w:p>
    <w:p w:rsidR="00E93068" w:rsidRPr="001C309D" w:rsidRDefault="00E93068" w:rsidP="00F26847">
      <w:pPr>
        <w:numPr>
          <w:ilvl w:val="0"/>
          <w:numId w:val="11"/>
        </w:numPr>
        <w:autoSpaceDE w:val="0"/>
        <w:autoSpaceDN w:val="0"/>
        <w:adjustRightInd w:val="0"/>
        <w:spacing w:before="120" w:after="120"/>
        <w:rPr>
          <w:rFonts w:cs="Arial"/>
          <w:color w:val="000000"/>
          <w:sz w:val="16"/>
          <w:szCs w:val="16"/>
        </w:rPr>
      </w:pPr>
      <w:r w:rsidRPr="001C309D">
        <w:rPr>
          <w:rFonts w:cs="Arial"/>
          <w:color w:val="000000"/>
          <w:sz w:val="16"/>
          <w:szCs w:val="16"/>
        </w:rPr>
        <w:t>the ACCC and AER logos</w:t>
      </w:r>
    </w:p>
    <w:p w:rsidR="00E93068" w:rsidRPr="001C309D" w:rsidRDefault="00E93068" w:rsidP="00F26847">
      <w:pPr>
        <w:numPr>
          <w:ilvl w:val="0"/>
          <w:numId w:val="11"/>
        </w:numPr>
        <w:autoSpaceDE w:val="0"/>
        <w:autoSpaceDN w:val="0"/>
        <w:adjustRightInd w:val="0"/>
        <w:spacing w:before="120" w:after="120"/>
        <w:rPr>
          <w:rFonts w:cs="Arial"/>
          <w:color w:val="000000"/>
          <w:sz w:val="16"/>
          <w:szCs w:val="16"/>
        </w:rPr>
      </w:pPr>
      <w:r w:rsidRPr="001C309D">
        <w:rPr>
          <w:rFonts w:cs="Arial"/>
          <w:color w:val="000000"/>
          <w:sz w:val="16"/>
          <w:szCs w:val="16"/>
        </w:rPr>
        <w:t>any illustration, diagram, photograph or graphic over which the Australian Competition and Consumer Commission does not hold copyright, but which may be part of or contained within this publication.</w:t>
      </w:r>
    </w:p>
    <w:p w:rsidR="00E93068" w:rsidRPr="001C309D" w:rsidRDefault="00E93068" w:rsidP="00E93068">
      <w:pPr>
        <w:spacing w:before="120"/>
        <w:rPr>
          <w:rFonts w:cs="Arial"/>
          <w:color w:val="000000"/>
          <w:sz w:val="16"/>
          <w:szCs w:val="16"/>
        </w:rPr>
      </w:pPr>
      <w:r w:rsidRPr="001C309D">
        <w:rPr>
          <w:rFonts w:cs="Arial"/>
          <w:color w:val="000000"/>
          <w:sz w:val="16"/>
          <w:szCs w:val="16"/>
        </w:rPr>
        <w:t>The details of the relevant licence conditions are available on the Creative Commons website, as is the full legal code for the CC BY 3.0 AU licence.</w:t>
      </w:r>
    </w:p>
    <w:p w:rsidR="00E93068" w:rsidRPr="001C309D" w:rsidRDefault="00E93068" w:rsidP="00E93068">
      <w:pPr>
        <w:spacing w:before="120"/>
        <w:rPr>
          <w:rFonts w:cs="Arial"/>
          <w:color w:val="000000"/>
          <w:sz w:val="16"/>
          <w:szCs w:val="16"/>
        </w:rPr>
      </w:pPr>
      <w:r w:rsidRPr="001C309D">
        <w:rPr>
          <w:rFonts w:cs="Arial"/>
          <w:color w:val="000000"/>
          <w:sz w:val="16"/>
          <w:szCs w:val="16"/>
        </w:rPr>
        <w:t xml:space="preserve">Requests and inquiries concerning reproduction and rights should be addressed to the Director, </w:t>
      </w:r>
      <w:r>
        <w:rPr>
          <w:rFonts w:cs="Arial"/>
          <w:color w:val="000000"/>
          <w:sz w:val="16"/>
          <w:szCs w:val="16"/>
        </w:rPr>
        <w:t xml:space="preserve">Corporate </w:t>
      </w:r>
      <w:r w:rsidRPr="001C309D">
        <w:rPr>
          <w:rFonts w:cs="Arial"/>
          <w:color w:val="000000"/>
          <w:sz w:val="16"/>
          <w:szCs w:val="16"/>
        </w:rPr>
        <w:t>Communication, ACCC,</w:t>
      </w:r>
      <w:r>
        <w:rPr>
          <w:rFonts w:cs="Arial"/>
          <w:color w:val="000000"/>
          <w:sz w:val="16"/>
          <w:szCs w:val="16"/>
        </w:rPr>
        <w:t xml:space="preserve"> </w:t>
      </w:r>
      <w:r w:rsidRPr="001C309D">
        <w:rPr>
          <w:rFonts w:cs="Arial"/>
          <w:color w:val="000000"/>
          <w:sz w:val="16"/>
          <w:szCs w:val="16"/>
        </w:rPr>
        <w:t>GPO Box 3131, Canberra ACT 2601, or publishing.unit@accc.gov.au.</w:t>
      </w:r>
    </w:p>
    <w:p w:rsidR="00E93068" w:rsidRPr="001C309D" w:rsidRDefault="00E93068" w:rsidP="00E93068">
      <w:pPr>
        <w:spacing w:before="120"/>
        <w:rPr>
          <w:rFonts w:cs="Arial"/>
          <w:b/>
          <w:color w:val="000000"/>
          <w:sz w:val="16"/>
          <w:szCs w:val="16"/>
        </w:rPr>
      </w:pPr>
      <w:r w:rsidRPr="001C309D">
        <w:rPr>
          <w:rFonts w:cs="Arial"/>
          <w:b/>
          <w:color w:val="000000"/>
          <w:sz w:val="16"/>
          <w:szCs w:val="16"/>
        </w:rPr>
        <w:t>Important notice</w:t>
      </w:r>
    </w:p>
    <w:p w:rsidR="00E93068" w:rsidRDefault="00E93068" w:rsidP="00E93068">
      <w:pPr>
        <w:spacing w:before="120"/>
        <w:rPr>
          <w:rFonts w:cs="Arial"/>
          <w:color w:val="000000"/>
          <w:sz w:val="16"/>
          <w:szCs w:val="16"/>
        </w:rPr>
      </w:pPr>
      <w:r w:rsidRPr="001C309D">
        <w:rPr>
          <w:rFonts w:cs="Arial"/>
          <w:color w:val="000000"/>
          <w:sz w:val="16"/>
          <w:szCs w:val="16"/>
        </w:rPr>
        <w:t>The information in this publication is for general guidance only. It does not constitute legal or other professional advice, and should not be relied on as a</w:t>
      </w:r>
      <w:r>
        <w:rPr>
          <w:rFonts w:cs="Arial"/>
          <w:color w:val="000000"/>
          <w:sz w:val="16"/>
          <w:szCs w:val="16"/>
        </w:rPr>
        <w:t xml:space="preserve"> </w:t>
      </w:r>
      <w:r w:rsidRPr="001C309D">
        <w:rPr>
          <w:rFonts w:cs="Arial"/>
          <w:color w:val="000000"/>
          <w:sz w:val="16"/>
          <w:szCs w:val="16"/>
        </w:rPr>
        <w:t>statement of the law in any jurisdiction. Because it is intended only as a general guide, it may contain generalisations. You should obtain professional advice</w:t>
      </w:r>
      <w:r>
        <w:rPr>
          <w:rFonts w:cs="Arial"/>
          <w:color w:val="000000"/>
          <w:sz w:val="16"/>
          <w:szCs w:val="16"/>
        </w:rPr>
        <w:t xml:space="preserve"> </w:t>
      </w:r>
      <w:r w:rsidRPr="001C309D">
        <w:rPr>
          <w:rFonts w:cs="Arial"/>
          <w:color w:val="000000"/>
          <w:sz w:val="16"/>
          <w:szCs w:val="16"/>
        </w:rPr>
        <w:t>if you have any specific concern.</w:t>
      </w:r>
    </w:p>
    <w:p w:rsidR="00E93068" w:rsidRPr="001C309D" w:rsidRDefault="00E93068" w:rsidP="00E93068">
      <w:pPr>
        <w:spacing w:before="120"/>
        <w:rPr>
          <w:rFonts w:cs="Arial"/>
          <w:color w:val="000000"/>
          <w:sz w:val="16"/>
          <w:szCs w:val="16"/>
        </w:rPr>
      </w:pPr>
      <w:r w:rsidRPr="001C309D">
        <w:rPr>
          <w:rFonts w:cs="Arial"/>
          <w:color w:val="000000"/>
          <w:sz w:val="16"/>
          <w:szCs w:val="16"/>
        </w:rPr>
        <w:t>The ACCC has made every reasonable effort to provide current and accurate information, but it does not make any guarantees regarding the accuracy,</w:t>
      </w:r>
      <w:r>
        <w:rPr>
          <w:rFonts w:cs="Arial"/>
          <w:color w:val="000000"/>
          <w:sz w:val="16"/>
          <w:szCs w:val="16"/>
        </w:rPr>
        <w:t xml:space="preserve"> </w:t>
      </w:r>
      <w:r w:rsidRPr="001C309D">
        <w:rPr>
          <w:rFonts w:cs="Arial"/>
          <w:color w:val="000000"/>
          <w:sz w:val="16"/>
          <w:szCs w:val="16"/>
        </w:rPr>
        <w:t>currency or completeness of that information.</w:t>
      </w:r>
    </w:p>
    <w:p w:rsidR="00E93068" w:rsidRPr="001C309D" w:rsidRDefault="00E93068" w:rsidP="00E93068">
      <w:pPr>
        <w:spacing w:before="120"/>
        <w:rPr>
          <w:rFonts w:cs="Arial"/>
          <w:color w:val="000000"/>
          <w:sz w:val="16"/>
          <w:szCs w:val="16"/>
        </w:rPr>
      </w:pPr>
      <w:r w:rsidRPr="001C309D">
        <w:rPr>
          <w:rFonts w:cs="Arial"/>
          <w:color w:val="000000"/>
          <w:sz w:val="16"/>
          <w:szCs w:val="16"/>
        </w:rPr>
        <w:t>Parties who wish to re-publish or otherwise use the information in this publication must check this information for currency and accuracy prior to publication.</w:t>
      </w:r>
    </w:p>
    <w:p w:rsidR="00E93068" w:rsidRPr="001C309D" w:rsidRDefault="00E93068" w:rsidP="00E93068">
      <w:pPr>
        <w:spacing w:before="120"/>
        <w:rPr>
          <w:rFonts w:cs="Arial"/>
          <w:color w:val="000000"/>
          <w:sz w:val="16"/>
          <w:szCs w:val="16"/>
        </w:rPr>
      </w:pPr>
      <w:r w:rsidRPr="001C309D">
        <w:rPr>
          <w:rFonts w:cs="Arial"/>
          <w:color w:val="000000"/>
          <w:sz w:val="16"/>
          <w:szCs w:val="16"/>
        </w:rPr>
        <w:t>This should be done prior to each publication edition, as ACCC guidance and relevant transitional legislation frequently change. Any queries parties have</w:t>
      </w:r>
      <w:r>
        <w:rPr>
          <w:rFonts w:cs="Arial"/>
          <w:color w:val="000000"/>
          <w:sz w:val="16"/>
          <w:szCs w:val="16"/>
        </w:rPr>
        <w:t xml:space="preserve"> </w:t>
      </w:r>
      <w:r w:rsidRPr="001C309D">
        <w:rPr>
          <w:rFonts w:cs="Arial"/>
          <w:color w:val="000000"/>
          <w:sz w:val="16"/>
          <w:szCs w:val="16"/>
        </w:rPr>
        <w:t xml:space="preserve">should be addressed to the Director, </w:t>
      </w:r>
      <w:r>
        <w:rPr>
          <w:rFonts w:cs="Arial"/>
          <w:color w:val="000000"/>
          <w:sz w:val="16"/>
          <w:szCs w:val="16"/>
        </w:rPr>
        <w:t>Corporate Communication</w:t>
      </w:r>
      <w:r w:rsidRPr="001C309D">
        <w:rPr>
          <w:rFonts w:cs="Arial"/>
          <w:color w:val="000000"/>
          <w:sz w:val="16"/>
          <w:szCs w:val="16"/>
        </w:rPr>
        <w:t>, ACCC, GPO Box 3131, Canberra ACT 2601, or</w:t>
      </w:r>
      <w:r>
        <w:rPr>
          <w:rFonts w:cs="Arial"/>
          <w:color w:val="000000"/>
          <w:sz w:val="16"/>
          <w:szCs w:val="16"/>
        </w:rPr>
        <w:t xml:space="preserve"> </w:t>
      </w:r>
      <w:r w:rsidRPr="001C309D">
        <w:rPr>
          <w:rFonts w:cs="Arial"/>
          <w:color w:val="000000"/>
          <w:sz w:val="16"/>
          <w:szCs w:val="16"/>
        </w:rPr>
        <w:t>publishing.unit@accc.gov.au.</w:t>
      </w:r>
    </w:p>
    <w:p w:rsidR="00E93068" w:rsidRDefault="00A75C8A" w:rsidP="00E93068">
      <w:pPr>
        <w:spacing w:before="100" w:beforeAutospacing="1" w:after="100" w:afterAutospacing="1"/>
        <w:rPr>
          <w:rFonts w:cs="Arial"/>
          <w:color w:val="000000"/>
          <w:sz w:val="16"/>
          <w:szCs w:val="16"/>
        </w:rPr>
      </w:pPr>
      <w:r>
        <w:rPr>
          <w:rFonts w:cs="Arial"/>
          <w:color w:val="000000"/>
          <w:sz w:val="16"/>
          <w:szCs w:val="16"/>
        </w:rPr>
        <w:t>ACCC 04</w:t>
      </w:r>
      <w:r w:rsidR="00E93068" w:rsidRPr="001C309D">
        <w:rPr>
          <w:rFonts w:cs="Arial"/>
          <w:color w:val="000000"/>
          <w:sz w:val="16"/>
          <w:szCs w:val="16"/>
        </w:rPr>
        <w:t>/1</w:t>
      </w:r>
      <w:r>
        <w:rPr>
          <w:rFonts w:cs="Arial"/>
          <w:color w:val="000000"/>
          <w:sz w:val="16"/>
          <w:szCs w:val="16"/>
        </w:rPr>
        <w:t>6</w:t>
      </w:r>
      <w:r w:rsidR="00E93068">
        <w:rPr>
          <w:rFonts w:cs="Arial"/>
          <w:color w:val="000000"/>
          <w:sz w:val="16"/>
          <w:szCs w:val="16"/>
        </w:rPr>
        <w:t>_</w:t>
      </w:r>
      <w:r>
        <w:rPr>
          <w:rFonts w:cs="Arial"/>
          <w:color w:val="000000"/>
          <w:sz w:val="16"/>
          <w:szCs w:val="16"/>
        </w:rPr>
        <w:t>1064</w:t>
      </w: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E93068">
      <w:pPr>
        <w:spacing w:before="100" w:beforeAutospacing="1" w:after="100" w:afterAutospacing="1"/>
        <w:rPr>
          <w:rFonts w:cs="Arial"/>
          <w:color w:val="000000"/>
          <w:sz w:val="16"/>
          <w:szCs w:val="16"/>
        </w:rPr>
      </w:pPr>
    </w:p>
    <w:p w:rsidR="003327F2" w:rsidRDefault="003327F2" w:rsidP="003327F2">
      <w:pPr>
        <w:pStyle w:val="Non-numberedheading1"/>
      </w:pPr>
      <w:r>
        <w:lastRenderedPageBreak/>
        <w:t>Contents</w:t>
      </w:r>
    </w:p>
    <w:p w:rsidR="003327F2" w:rsidRPr="008F5EC2" w:rsidRDefault="003327F2" w:rsidP="003327F2">
      <w:pPr>
        <w:rPr>
          <w:b/>
        </w:rPr>
      </w:pPr>
      <w:r w:rsidRPr="008F5EC2">
        <w:rPr>
          <w:b/>
        </w:rPr>
        <w:t>Glossary</w:t>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t xml:space="preserve">       v</w:t>
      </w:r>
    </w:p>
    <w:p w:rsidR="003327F2" w:rsidRDefault="003327F2" w:rsidP="003327F2">
      <w:pPr>
        <w:rPr>
          <w:b/>
        </w:rPr>
      </w:pPr>
      <w:r>
        <w:rPr>
          <w:b/>
        </w:rPr>
        <w:t xml:space="preserve">Infographic        </w:t>
      </w:r>
      <w:r>
        <w:rPr>
          <w:b/>
        </w:rPr>
        <w:tab/>
      </w:r>
      <w:r>
        <w:rPr>
          <w:b/>
        </w:rPr>
        <w:tab/>
      </w:r>
      <w:r>
        <w:rPr>
          <w:b/>
        </w:rPr>
        <w:tab/>
      </w:r>
      <w:r>
        <w:rPr>
          <w:b/>
        </w:rPr>
        <w:tab/>
      </w:r>
      <w:r>
        <w:rPr>
          <w:b/>
        </w:rPr>
        <w:tab/>
      </w:r>
      <w:r>
        <w:rPr>
          <w:b/>
        </w:rPr>
        <w:tab/>
      </w:r>
      <w:r>
        <w:rPr>
          <w:b/>
        </w:rPr>
        <w:tab/>
        <w:t xml:space="preserve">                                </w:t>
      </w:r>
      <w:r w:rsidRPr="00F10AC3">
        <w:rPr>
          <w:b/>
        </w:rPr>
        <w:t>ix</w:t>
      </w:r>
      <w:r>
        <w:rPr>
          <w:b/>
        </w:rPr>
        <w:t xml:space="preserve">               </w:t>
      </w:r>
    </w:p>
    <w:p w:rsidR="003327F2" w:rsidRDefault="003327F2" w:rsidP="003327F2">
      <w:pPr>
        <w:rPr>
          <w:b/>
        </w:rPr>
      </w:pPr>
      <w:r>
        <w:rPr>
          <w:b/>
        </w:rPr>
        <w:t>Key Findings</w:t>
      </w:r>
      <w:r>
        <w:rPr>
          <w:b/>
        </w:rPr>
        <w:tab/>
      </w:r>
      <w:r>
        <w:rPr>
          <w:b/>
        </w:rPr>
        <w:tab/>
      </w:r>
      <w:r>
        <w:rPr>
          <w:b/>
        </w:rPr>
        <w:tab/>
      </w:r>
      <w:r>
        <w:rPr>
          <w:b/>
        </w:rPr>
        <w:tab/>
      </w:r>
      <w:r>
        <w:rPr>
          <w:b/>
        </w:rPr>
        <w:tab/>
      </w:r>
      <w:r>
        <w:rPr>
          <w:b/>
        </w:rPr>
        <w:tab/>
      </w:r>
      <w:r>
        <w:rPr>
          <w:b/>
        </w:rPr>
        <w:tab/>
      </w:r>
      <w:r>
        <w:rPr>
          <w:b/>
        </w:rPr>
        <w:tab/>
      </w:r>
      <w:r>
        <w:rPr>
          <w:b/>
        </w:rPr>
        <w:tab/>
        <w:t xml:space="preserve">                   </w:t>
      </w:r>
      <w:r w:rsidRPr="00F10AC3">
        <w:rPr>
          <w:b/>
        </w:rPr>
        <w:t>xi</w:t>
      </w:r>
    </w:p>
    <w:p w:rsidR="003327F2" w:rsidRPr="008F5EC2" w:rsidRDefault="003327F2" w:rsidP="003327F2">
      <w:pPr>
        <w:rPr>
          <w:b/>
        </w:rPr>
      </w:pPr>
      <w:r>
        <w:rPr>
          <w:b/>
        </w:rPr>
        <w:t>Introduction</w:t>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sidRPr="008F5EC2">
        <w:rPr>
          <w:b/>
        </w:rPr>
        <w:tab/>
      </w:r>
      <w:r>
        <w:rPr>
          <w:b/>
        </w:rPr>
        <w:t xml:space="preserve">       1</w:t>
      </w:r>
    </w:p>
    <w:p w:rsidR="003327F2" w:rsidRDefault="003327F2" w:rsidP="003327F2">
      <w:pPr>
        <w:rPr>
          <w:b/>
        </w:rPr>
      </w:pPr>
      <w:r>
        <w:rPr>
          <w:b/>
        </w:rPr>
        <w:t>1</w:t>
      </w:r>
      <w:r>
        <w:rPr>
          <w:b/>
        </w:rPr>
        <w:tab/>
        <w:t>Airport performance and industry developments</w:t>
      </w:r>
      <w:r>
        <w:rPr>
          <w:b/>
        </w:rPr>
        <w:tab/>
      </w:r>
      <w:r>
        <w:rPr>
          <w:b/>
        </w:rPr>
        <w:tab/>
      </w:r>
      <w:r>
        <w:rPr>
          <w:b/>
        </w:rPr>
        <w:tab/>
      </w:r>
      <w:r>
        <w:rPr>
          <w:b/>
        </w:rPr>
        <w:tab/>
        <w:t xml:space="preserve">       3</w:t>
      </w:r>
    </w:p>
    <w:p w:rsidR="003327F2" w:rsidRDefault="003327F2" w:rsidP="003327F2">
      <w:r>
        <w:t>1.1</w:t>
      </w:r>
      <w:r>
        <w:tab/>
        <w:t>Introduction</w:t>
      </w:r>
      <w:r>
        <w:tab/>
      </w:r>
      <w:r>
        <w:tab/>
      </w:r>
      <w:r>
        <w:tab/>
      </w:r>
      <w:r>
        <w:tab/>
      </w:r>
      <w:r>
        <w:tab/>
      </w:r>
      <w:r>
        <w:tab/>
      </w:r>
      <w:r>
        <w:tab/>
      </w:r>
      <w:r>
        <w:tab/>
      </w:r>
      <w:r>
        <w:tab/>
        <w:t xml:space="preserve">       3</w:t>
      </w:r>
    </w:p>
    <w:p w:rsidR="003327F2" w:rsidRDefault="003327F2" w:rsidP="003327F2">
      <w:pPr>
        <w:ind w:left="720" w:hanging="720"/>
      </w:pPr>
      <w:r>
        <w:t>1.2</w:t>
      </w:r>
      <w:r>
        <w:tab/>
        <w:t>Key issues and trends at each monitored airport</w:t>
      </w:r>
      <w:r>
        <w:tab/>
      </w:r>
      <w:r>
        <w:tab/>
      </w:r>
      <w:r>
        <w:tab/>
      </w:r>
      <w:r>
        <w:tab/>
      </w:r>
      <w:r>
        <w:tab/>
        <w:t xml:space="preserve">       4</w:t>
      </w:r>
    </w:p>
    <w:p w:rsidR="003327F2" w:rsidRDefault="003327F2" w:rsidP="003327F2">
      <w:pPr>
        <w:ind w:left="720" w:hanging="720"/>
      </w:pPr>
      <w:r>
        <w:t>1.3</w:t>
      </w:r>
      <w:r>
        <w:tab/>
        <w:t>Quality of service results for monitored airports</w:t>
      </w:r>
      <w:r>
        <w:tab/>
      </w:r>
      <w:r>
        <w:tab/>
      </w:r>
      <w:r>
        <w:tab/>
      </w:r>
      <w:r>
        <w:tab/>
      </w:r>
      <w:r>
        <w:tab/>
        <w:t xml:space="preserve">     11  </w:t>
      </w:r>
    </w:p>
    <w:p w:rsidR="003327F2" w:rsidRDefault="003327F2" w:rsidP="003327F2">
      <w:pPr>
        <w:ind w:left="720" w:hanging="720"/>
      </w:pPr>
      <w:r>
        <w:t>1.4</w:t>
      </w:r>
      <w:r>
        <w:tab/>
        <w:t>Key activity results for aeronautical services</w:t>
      </w:r>
      <w:r>
        <w:tab/>
      </w:r>
      <w:r>
        <w:tab/>
      </w:r>
      <w:r>
        <w:tab/>
      </w:r>
      <w:r>
        <w:tab/>
      </w:r>
      <w:r>
        <w:tab/>
        <w:t xml:space="preserve">     19</w:t>
      </w:r>
    </w:p>
    <w:p w:rsidR="003327F2" w:rsidRDefault="003327F2" w:rsidP="003327F2">
      <w:pPr>
        <w:ind w:left="720" w:hanging="720"/>
      </w:pPr>
      <w:r>
        <w:t>1.5</w:t>
      </w:r>
      <w:r>
        <w:tab/>
        <w:t>Airport revenues, prices, costs, profits, assets and investments</w:t>
      </w:r>
      <w:r>
        <w:tab/>
      </w:r>
      <w:r>
        <w:tab/>
        <w:t xml:space="preserve">                  22</w:t>
      </w:r>
    </w:p>
    <w:p w:rsidR="003327F2" w:rsidRDefault="003327F2" w:rsidP="003327F2">
      <w:pPr>
        <w:ind w:left="720" w:hanging="720"/>
      </w:pPr>
      <w:r>
        <w:t>1.6</w:t>
      </w:r>
      <w:r>
        <w:tab/>
        <w:t>Comparing aeronautical with quality outcomes</w:t>
      </w:r>
      <w:r>
        <w:tab/>
      </w:r>
      <w:r>
        <w:tab/>
      </w:r>
      <w:r>
        <w:tab/>
        <w:t xml:space="preserve">    </w:t>
      </w:r>
      <w:r>
        <w:tab/>
        <w:t xml:space="preserve">                  30</w:t>
      </w:r>
    </w:p>
    <w:p w:rsidR="003327F2" w:rsidRDefault="003327F2" w:rsidP="003327F2">
      <w:pPr>
        <w:ind w:left="720" w:hanging="720"/>
      </w:pPr>
      <w:r>
        <w:t>1.7</w:t>
      </w:r>
      <w:r>
        <w:tab/>
        <w:t>Airport car parking prices, revenues, costs and profits</w:t>
      </w:r>
      <w:r>
        <w:tab/>
      </w:r>
      <w:r>
        <w:tab/>
      </w:r>
      <w:r>
        <w:tab/>
      </w:r>
      <w:r>
        <w:tab/>
        <w:t xml:space="preserve">     32</w:t>
      </w:r>
    </w:p>
    <w:p w:rsidR="003327F2" w:rsidRDefault="003327F2" w:rsidP="003327F2">
      <w:pPr>
        <w:ind w:left="720" w:hanging="720"/>
      </w:pPr>
      <w:r>
        <w:t>1.8</w:t>
      </w:r>
      <w:r>
        <w:tab/>
        <w:t>Landside access prices and revenues</w:t>
      </w:r>
      <w:r>
        <w:tab/>
      </w:r>
      <w:r>
        <w:tab/>
      </w:r>
      <w:r>
        <w:tab/>
      </w:r>
      <w:r>
        <w:tab/>
      </w:r>
      <w:r>
        <w:tab/>
      </w:r>
      <w:r>
        <w:tab/>
        <w:t xml:space="preserve">     38</w:t>
      </w:r>
    </w:p>
    <w:p w:rsidR="003327F2" w:rsidRDefault="003327F2" w:rsidP="003327F2">
      <w:pPr>
        <w:rPr>
          <w:b/>
        </w:rPr>
      </w:pPr>
      <w:r>
        <w:rPr>
          <w:b/>
        </w:rPr>
        <w:t>2</w:t>
      </w:r>
      <w:r>
        <w:rPr>
          <w:b/>
        </w:rPr>
        <w:tab/>
        <w:t>Brisbane Airport</w:t>
      </w:r>
      <w:r>
        <w:rPr>
          <w:b/>
        </w:rPr>
        <w:tab/>
      </w:r>
      <w:r>
        <w:rPr>
          <w:b/>
        </w:rPr>
        <w:tab/>
      </w:r>
      <w:r>
        <w:rPr>
          <w:b/>
        </w:rPr>
        <w:tab/>
      </w:r>
      <w:r>
        <w:rPr>
          <w:b/>
        </w:rPr>
        <w:tab/>
      </w:r>
      <w:r>
        <w:rPr>
          <w:b/>
        </w:rPr>
        <w:tab/>
      </w:r>
      <w:r>
        <w:rPr>
          <w:b/>
        </w:rPr>
        <w:tab/>
      </w:r>
      <w:r>
        <w:rPr>
          <w:b/>
        </w:rPr>
        <w:tab/>
        <w:t xml:space="preserve">                  47</w:t>
      </w:r>
    </w:p>
    <w:p w:rsidR="003327F2" w:rsidRDefault="003327F2" w:rsidP="003327F2">
      <w:r>
        <w:t>2.1</w:t>
      </w:r>
      <w:r>
        <w:tab/>
        <w:t>Airport overview and major investments</w:t>
      </w:r>
      <w:r>
        <w:tab/>
      </w:r>
      <w:r>
        <w:tab/>
      </w:r>
      <w:r>
        <w:tab/>
      </w:r>
      <w:r>
        <w:tab/>
      </w:r>
      <w:r>
        <w:tab/>
      </w:r>
      <w:r>
        <w:tab/>
        <w:t xml:space="preserve">     47</w:t>
      </w:r>
    </w:p>
    <w:p w:rsidR="003327F2" w:rsidRDefault="003327F2" w:rsidP="003327F2">
      <w:r>
        <w:t>2.2</w:t>
      </w:r>
      <w:r>
        <w:tab/>
        <w:t>Aeronautical price monitoring and financial performance results</w:t>
      </w:r>
      <w:r>
        <w:tab/>
      </w:r>
      <w:r>
        <w:tab/>
      </w:r>
      <w:r>
        <w:tab/>
        <w:t xml:space="preserve">     50</w:t>
      </w:r>
    </w:p>
    <w:p w:rsidR="003327F2" w:rsidRDefault="003327F2" w:rsidP="003327F2">
      <w:r>
        <w:t>2.3</w:t>
      </w:r>
      <w:r>
        <w:tab/>
        <w:t>Aeronautical services quality of service monitoring results</w:t>
      </w:r>
      <w:r>
        <w:tab/>
      </w:r>
      <w:r>
        <w:tab/>
      </w:r>
      <w:r>
        <w:tab/>
        <w:t xml:space="preserve">     58</w:t>
      </w:r>
    </w:p>
    <w:p w:rsidR="003327F2" w:rsidRDefault="003327F2" w:rsidP="003327F2">
      <w:r>
        <w:t>2.4</w:t>
      </w:r>
      <w:r>
        <w:tab/>
        <w:t>Car parking services monitoring results</w:t>
      </w:r>
      <w:r>
        <w:tab/>
      </w:r>
      <w:r>
        <w:tab/>
      </w:r>
      <w:r>
        <w:tab/>
      </w:r>
      <w:r>
        <w:tab/>
      </w:r>
      <w:r>
        <w:tab/>
      </w:r>
      <w:r>
        <w:tab/>
        <w:t xml:space="preserve">     64</w:t>
      </w:r>
    </w:p>
    <w:p w:rsidR="003327F2" w:rsidRDefault="003327F2" w:rsidP="003327F2">
      <w:pPr>
        <w:rPr>
          <w:b/>
        </w:rPr>
      </w:pPr>
      <w:r>
        <w:rPr>
          <w:b/>
        </w:rPr>
        <w:t>3</w:t>
      </w:r>
      <w:r>
        <w:rPr>
          <w:b/>
        </w:rPr>
        <w:tab/>
        <w:t>Melbourne Airport</w:t>
      </w:r>
      <w:r>
        <w:rPr>
          <w:b/>
        </w:rPr>
        <w:tab/>
      </w:r>
      <w:r>
        <w:rPr>
          <w:b/>
        </w:rPr>
        <w:tab/>
      </w:r>
      <w:r>
        <w:rPr>
          <w:b/>
        </w:rPr>
        <w:tab/>
      </w:r>
      <w:r>
        <w:rPr>
          <w:b/>
        </w:rPr>
        <w:tab/>
      </w:r>
      <w:r>
        <w:rPr>
          <w:b/>
        </w:rPr>
        <w:tab/>
      </w:r>
      <w:r>
        <w:rPr>
          <w:b/>
        </w:rPr>
        <w:tab/>
      </w:r>
      <w:r>
        <w:rPr>
          <w:b/>
        </w:rPr>
        <w:tab/>
      </w:r>
      <w:r>
        <w:rPr>
          <w:b/>
        </w:rPr>
        <w:tab/>
        <w:t xml:space="preserve">     </w:t>
      </w:r>
      <w:r w:rsidRPr="00F23FFD">
        <w:rPr>
          <w:b/>
        </w:rPr>
        <w:t>7</w:t>
      </w:r>
      <w:r>
        <w:rPr>
          <w:b/>
        </w:rPr>
        <w:t>5</w:t>
      </w:r>
    </w:p>
    <w:p w:rsidR="003327F2" w:rsidRPr="00C53DEF" w:rsidRDefault="003327F2" w:rsidP="003327F2">
      <w:r w:rsidRPr="00C53DEF">
        <w:t>3.1</w:t>
      </w:r>
      <w:r w:rsidRPr="00C53DEF">
        <w:tab/>
        <w:t xml:space="preserve">Airport overview and major </w:t>
      </w:r>
      <w:r>
        <w:t>investments</w:t>
      </w:r>
      <w:r>
        <w:tab/>
      </w:r>
      <w:r>
        <w:tab/>
      </w:r>
      <w:r>
        <w:tab/>
      </w:r>
      <w:r>
        <w:tab/>
      </w:r>
      <w:r>
        <w:tab/>
      </w:r>
      <w:r>
        <w:tab/>
        <w:t xml:space="preserve">     75</w:t>
      </w:r>
    </w:p>
    <w:p w:rsidR="003327F2" w:rsidRPr="00C53DEF" w:rsidRDefault="003327F2" w:rsidP="003327F2">
      <w:r w:rsidRPr="00C53DEF">
        <w:t>3.2</w:t>
      </w:r>
      <w:r w:rsidRPr="00C53DEF">
        <w:tab/>
        <w:t>Aeronautical price monitoring and financi</w:t>
      </w:r>
      <w:r>
        <w:t>al performance results</w:t>
      </w:r>
      <w:r>
        <w:tab/>
      </w:r>
      <w:r>
        <w:tab/>
      </w:r>
      <w:r>
        <w:tab/>
        <w:t xml:space="preserve">     78</w:t>
      </w:r>
    </w:p>
    <w:p w:rsidR="003327F2" w:rsidRPr="00C53DEF" w:rsidRDefault="003327F2" w:rsidP="003327F2">
      <w:r w:rsidRPr="00C53DEF">
        <w:t>3.3</w:t>
      </w:r>
      <w:r w:rsidRPr="00C53DEF">
        <w:tab/>
        <w:t>Aeronautical services quality of serv</w:t>
      </w:r>
      <w:r>
        <w:t>ice monitoring results</w:t>
      </w:r>
      <w:r>
        <w:tab/>
      </w:r>
      <w:r>
        <w:tab/>
      </w:r>
      <w:r>
        <w:tab/>
        <w:t xml:space="preserve">     84</w:t>
      </w:r>
    </w:p>
    <w:p w:rsidR="003327F2" w:rsidRPr="00C53DEF" w:rsidRDefault="003327F2" w:rsidP="003327F2">
      <w:r w:rsidRPr="00C53DEF">
        <w:t>3.4</w:t>
      </w:r>
      <w:r w:rsidRPr="00C53DEF">
        <w:tab/>
        <w:t>Car parking services</w:t>
      </w:r>
      <w:r>
        <w:t xml:space="preserve"> monitoring results</w:t>
      </w:r>
      <w:r>
        <w:tab/>
      </w:r>
      <w:r>
        <w:tab/>
      </w:r>
      <w:r>
        <w:tab/>
      </w:r>
      <w:r>
        <w:tab/>
      </w:r>
      <w:r>
        <w:tab/>
      </w:r>
      <w:r>
        <w:tab/>
        <w:t xml:space="preserve">     93</w:t>
      </w:r>
    </w:p>
    <w:p w:rsidR="003327F2" w:rsidRPr="00C53DEF" w:rsidRDefault="003327F2" w:rsidP="003327F2">
      <w:pPr>
        <w:rPr>
          <w:b/>
        </w:rPr>
      </w:pPr>
      <w:r w:rsidRPr="00C53DEF">
        <w:rPr>
          <w:b/>
        </w:rPr>
        <w:t>4</w:t>
      </w:r>
      <w:r w:rsidRPr="00C53DEF">
        <w:rPr>
          <w:b/>
        </w:rPr>
        <w:tab/>
        <w:t>Perth Airport</w:t>
      </w:r>
      <w:r w:rsidRPr="00C53DEF">
        <w:rPr>
          <w:b/>
        </w:rPr>
        <w:tab/>
      </w:r>
      <w:r w:rsidRPr="00C53DEF">
        <w:rPr>
          <w:b/>
        </w:rPr>
        <w:tab/>
      </w:r>
      <w:r w:rsidRPr="00C53DEF">
        <w:rPr>
          <w:b/>
        </w:rPr>
        <w:tab/>
      </w:r>
      <w:r w:rsidRPr="00C53DEF">
        <w:rPr>
          <w:b/>
        </w:rPr>
        <w:tab/>
      </w:r>
      <w:r w:rsidRPr="00C53DEF">
        <w:rPr>
          <w:b/>
        </w:rPr>
        <w:tab/>
      </w:r>
      <w:r w:rsidRPr="00C53DEF">
        <w:rPr>
          <w:b/>
        </w:rPr>
        <w:tab/>
      </w:r>
      <w:r w:rsidRPr="00C53DEF">
        <w:rPr>
          <w:b/>
        </w:rPr>
        <w:tab/>
      </w:r>
      <w:r>
        <w:rPr>
          <w:b/>
        </w:rPr>
        <w:tab/>
        <w:t xml:space="preserve">      </w:t>
      </w:r>
      <w:r>
        <w:rPr>
          <w:b/>
        </w:rPr>
        <w:tab/>
        <w:t xml:space="preserve">   105</w:t>
      </w:r>
      <w:r w:rsidRPr="00C53DEF">
        <w:rPr>
          <w:b/>
        </w:rPr>
        <w:t xml:space="preserve"> </w:t>
      </w:r>
    </w:p>
    <w:p w:rsidR="003327F2" w:rsidRPr="00C53DEF" w:rsidRDefault="003327F2" w:rsidP="003327F2">
      <w:r w:rsidRPr="00C53DEF">
        <w:t>4.1</w:t>
      </w:r>
      <w:r w:rsidRPr="00C53DEF">
        <w:tab/>
        <w:t>Airport overview a</w:t>
      </w:r>
      <w:r>
        <w:t>nd major investments</w:t>
      </w:r>
      <w:r>
        <w:tab/>
      </w:r>
      <w:r>
        <w:tab/>
      </w:r>
      <w:r>
        <w:tab/>
      </w:r>
      <w:r>
        <w:tab/>
      </w:r>
      <w:r>
        <w:tab/>
      </w:r>
      <w:r>
        <w:tab/>
        <w:t xml:space="preserve">   105</w:t>
      </w:r>
    </w:p>
    <w:p w:rsidR="003327F2" w:rsidRPr="00C53DEF" w:rsidRDefault="003327F2" w:rsidP="003327F2">
      <w:r w:rsidRPr="00C53DEF">
        <w:t>4.2</w:t>
      </w:r>
      <w:r w:rsidRPr="00C53DEF">
        <w:tab/>
        <w:t>Aeronautical price monitoring and financ</w:t>
      </w:r>
      <w:r>
        <w:t>ial performance results</w:t>
      </w:r>
      <w:r>
        <w:tab/>
      </w:r>
      <w:r>
        <w:tab/>
      </w:r>
      <w:r>
        <w:tab/>
        <w:t xml:space="preserve">   108</w:t>
      </w:r>
    </w:p>
    <w:p w:rsidR="003327F2" w:rsidRPr="00C53DEF" w:rsidRDefault="003327F2" w:rsidP="003327F2">
      <w:r w:rsidRPr="00C53DEF">
        <w:t>4.3</w:t>
      </w:r>
      <w:r w:rsidRPr="00C53DEF">
        <w:tab/>
        <w:t>Aeronautical services quality of ser</w:t>
      </w:r>
      <w:r>
        <w:t>vice monitoring results</w:t>
      </w:r>
      <w:r>
        <w:tab/>
      </w:r>
      <w:r>
        <w:tab/>
      </w:r>
      <w:r>
        <w:tab/>
        <w:t xml:space="preserve">   114</w:t>
      </w:r>
    </w:p>
    <w:p w:rsidR="003327F2" w:rsidRPr="00C53DEF" w:rsidRDefault="003327F2" w:rsidP="003327F2">
      <w:r w:rsidRPr="00C53DEF">
        <w:lastRenderedPageBreak/>
        <w:t>4.4</w:t>
      </w:r>
      <w:r w:rsidRPr="00C53DEF">
        <w:tab/>
        <w:t>Car parking services monitoring</w:t>
      </w:r>
      <w:r>
        <w:t xml:space="preserve"> results</w:t>
      </w:r>
      <w:r>
        <w:tab/>
      </w:r>
      <w:r>
        <w:tab/>
      </w:r>
      <w:r>
        <w:tab/>
      </w:r>
      <w:r>
        <w:tab/>
      </w:r>
      <w:r>
        <w:tab/>
      </w:r>
      <w:r>
        <w:tab/>
        <w:t xml:space="preserve">   122</w:t>
      </w:r>
    </w:p>
    <w:p w:rsidR="003327F2" w:rsidRPr="00C53DEF" w:rsidRDefault="003327F2" w:rsidP="003327F2">
      <w:pPr>
        <w:rPr>
          <w:b/>
        </w:rPr>
      </w:pPr>
      <w:r w:rsidRPr="00C53DEF">
        <w:rPr>
          <w:b/>
        </w:rPr>
        <w:t>5</w:t>
      </w:r>
      <w:r w:rsidRPr="00C53DEF">
        <w:rPr>
          <w:b/>
        </w:rPr>
        <w:tab/>
        <w:t>Sydn</w:t>
      </w:r>
      <w:r>
        <w:rPr>
          <w:b/>
        </w:rPr>
        <w:t>ey Airport</w:t>
      </w:r>
      <w:r>
        <w:rPr>
          <w:b/>
        </w:rPr>
        <w:tab/>
      </w:r>
      <w:r>
        <w:rPr>
          <w:b/>
        </w:rPr>
        <w:tab/>
      </w:r>
      <w:r>
        <w:rPr>
          <w:b/>
        </w:rPr>
        <w:tab/>
      </w:r>
      <w:r>
        <w:rPr>
          <w:b/>
        </w:rPr>
        <w:tab/>
      </w:r>
      <w:r>
        <w:rPr>
          <w:b/>
        </w:rPr>
        <w:tab/>
      </w:r>
      <w:r>
        <w:rPr>
          <w:b/>
        </w:rPr>
        <w:tab/>
      </w:r>
      <w:r>
        <w:rPr>
          <w:b/>
        </w:rPr>
        <w:tab/>
      </w:r>
      <w:r>
        <w:rPr>
          <w:b/>
        </w:rPr>
        <w:tab/>
        <w:t xml:space="preserve">       </w:t>
      </w:r>
      <w:r>
        <w:rPr>
          <w:b/>
        </w:rPr>
        <w:tab/>
        <w:t xml:space="preserve">   131</w:t>
      </w:r>
    </w:p>
    <w:p w:rsidR="003327F2" w:rsidRPr="004D46FF" w:rsidRDefault="003327F2" w:rsidP="003327F2">
      <w:r w:rsidRPr="004D46FF">
        <w:t>5.1</w:t>
      </w:r>
      <w:r w:rsidRPr="004D46FF">
        <w:tab/>
        <w:t xml:space="preserve">Airport overview </w:t>
      </w:r>
      <w:r>
        <w:t>and major investments</w:t>
      </w:r>
      <w:r>
        <w:tab/>
      </w:r>
      <w:r>
        <w:tab/>
      </w:r>
      <w:r>
        <w:tab/>
      </w:r>
      <w:r>
        <w:tab/>
      </w:r>
      <w:r>
        <w:tab/>
      </w:r>
      <w:r>
        <w:tab/>
        <w:t xml:space="preserve">   131</w:t>
      </w:r>
    </w:p>
    <w:p w:rsidR="003327F2" w:rsidRPr="004D46FF" w:rsidRDefault="003327F2" w:rsidP="003327F2">
      <w:r w:rsidRPr="004D46FF">
        <w:t>5.2</w:t>
      </w:r>
      <w:r w:rsidRPr="004D46FF">
        <w:tab/>
        <w:t>Aeronautical price monitoring and financ</w:t>
      </w:r>
      <w:r>
        <w:t>ial performance results</w:t>
      </w:r>
      <w:r>
        <w:tab/>
      </w:r>
      <w:r>
        <w:tab/>
      </w:r>
      <w:r>
        <w:tab/>
        <w:t xml:space="preserve">   134</w:t>
      </w:r>
    </w:p>
    <w:p w:rsidR="003327F2" w:rsidRPr="004D46FF" w:rsidRDefault="003327F2" w:rsidP="003327F2">
      <w:r w:rsidRPr="004D46FF">
        <w:t>5.3</w:t>
      </w:r>
      <w:r w:rsidRPr="004D46FF">
        <w:tab/>
        <w:t>Aeronautical services quality of service monitoring results</w:t>
      </w:r>
      <w:r>
        <w:tab/>
      </w:r>
      <w:r>
        <w:tab/>
      </w:r>
      <w:r>
        <w:tab/>
        <w:t xml:space="preserve">   144</w:t>
      </w:r>
    </w:p>
    <w:p w:rsidR="003327F2" w:rsidRPr="004D46FF" w:rsidRDefault="003327F2" w:rsidP="003327F2">
      <w:r w:rsidRPr="004D46FF">
        <w:t>5.4</w:t>
      </w:r>
      <w:r w:rsidRPr="004D46FF">
        <w:tab/>
        <w:t>Car parking service</w:t>
      </w:r>
      <w:r>
        <w:t>s monitoring results</w:t>
      </w:r>
      <w:r>
        <w:tab/>
      </w:r>
      <w:r>
        <w:tab/>
      </w:r>
      <w:r>
        <w:tab/>
      </w:r>
      <w:r>
        <w:tab/>
      </w:r>
      <w:r>
        <w:tab/>
      </w:r>
      <w:r>
        <w:tab/>
        <w:t xml:space="preserve">   152</w:t>
      </w:r>
    </w:p>
    <w:p w:rsidR="003327F2" w:rsidRPr="004D46FF" w:rsidRDefault="003327F2" w:rsidP="003327F2">
      <w:r w:rsidRPr="004D46FF">
        <w:rPr>
          <w:b/>
        </w:rPr>
        <w:t>Appendixes</w:t>
      </w:r>
    </w:p>
    <w:p w:rsidR="003327F2" w:rsidRPr="009627FD" w:rsidRDefault="003327F2" w:rsidP="003327F2">
      <w:pPr>
        <w:rPr>
          <w:b/>
        </w:rPr>
      </w:pPr>
      <w:r w:rsidRPr="009627FD">
        <w:rPr>
          <w:b/>
        </w:rPr>
        <w:t>A</w:t>
      </w:r>
      <w:r>
        <w:rPr>
          <w:b/>
        </w:rPr>
        <w:t>1</w:t>
      </w:r>
      <w:r w:rsidRPr="009627FD">
        <w:rPr>
          <w:b/>
        </w:rPr>
        <w:tab/>
        <w:t>History of airport re</w:t>
      </w:r>
      <w:r>
        <w:rPr>
          <w:b/>
        </w:rPr>
        <w:t>gulation in Australia</w:t>
      </w:r>
      <w:r>
        <w:rPr>
          <w:b/>
        </w:rPr>
        <w:tab/>
      </w:r>
      <w:r>
        <w:rPr>
          <w:b/>
        </w:rPr>
        <w:tab/>
      </w:r>
      <w:r>
        <w:rPr>
          <w:b/>
        </w:rPr>
        <w:tab/>
      </w:r>
      <w:r>
        <w:rPr>
          <w:b/>
        </w:rPr>
        <w:tab/>
      </w:r>
      <w:r>
        <w:rPr>
          <w:b/>
        </w:rPr>
        <w:tab/>
        <w:t xml:space="preserve">   163</w:t>
      </w:r>
    </w:p>
    <w:p w:rsidR="003327F2" w:rsidRPr="009627FD" w:rsidRDefault="003327F2" w:rsidP="003327F2">
      <w:pPr>
        <w:rPr>
          <w:b/>
        </w:rPr>
      </w:pPr>
      <w:r w:rsidRPr="009627FD">
        <w:rPr>
          <w:b/>
        </w:rPr>
        <w:t>A</w:t>
      </w:r>
      <w:r>
        <w:rPr>
          <w:b/>
        </w:rPr>
        <w:t>2</w:t>
      </w:r>
      <w:r w:rsidRPr="009627FD">
        <w:rPr>
          <w:b/>
        </w:rPr>
        <w:tab/>
        <w:t>Re</w:t>
      </w:r>
      <w:r>
        <w:rPr>
          <w:b/>
        </w:rPr>
        <w:t>gulatory framework</w:t>
      </w:r>
      <w:r>
        <w:rPr>
          <w:b/>
        </w:rPr>
        <w:tab/>
      </w:r>
      <w:r>
        <w:rPr>
          <w:b/>
        </w:rPr>
        <w:tab/>
      </w:r>
      <w:r>
        <w:rPr>
          <w:b/>
        </w:rPr>
        <w:tab/>
      </w:r>
      <w:r>
        <w:rPr>
          <w:b/>
        </w:rPr>
        <w:tab/>
      </w:r>
      <w:r>
        <w:rPr>
          <w:b/>
        </w:rPr>
        <w:tab/>
      </w:r>
      <w:r>
        <w:rPr>
          <w:b/>
        </w:rPr>
        <w:tab/>
      </w:r>
      <w:r>
        <w:rPr>
          <w:b/>
        </w:rPr>
        <w:tab/>
      </w:r>
      <w:r>
        <w:rPr>
          <w:b/>
        </w:rPr>
        <w:tab/>
        <w:t xml:space="preserve">   165</w:t>
      </w:r>
    </w:p>
    <w:p w:rsidR="003327F2" w:rsidRPr="009627FD" w:rsidRDefault="003327F2" w:rsidP="003327F2">
      <w:pPr>
        <w:rPr>
          <w:b/>
        </w:rPr>
      </w:pPr>
      <w:r w:rsidRPr="009627FD">
        <w:rPr>
          <w:b/>
        </w:rPr>
        <w:t>A</w:t>
      </w:r>
      <w:r>
        <w:rPr>
          <w:b/>
        </w:rPr>
        <w:t>3</w:t>
      </w:r>
      <w:r w:rsidRPr="009627FD">
        <w:rPr>
          <w:b/>
        </w:rPr>
        <w:tab/>
        <w:t>Services p</w:t>
      </w:r>
      <w:r>
        <w:rPr>
          <w:b/>
        </w:rPr>
        <w:t>rovided by airports</w:t>
      </w:r>
      <w:r>
        <w:rPr>
          <w:b/>
        </w:rPr>
        <w:tab/>
      </w:r>
      <w:r>
        <w:rPr>
          <w:b/>
        </w:rPr>
        <w:tab/>
      </w:r>
      <w:r>
        <w:rPr>
          <w:b/>
        </w:rPr>
        <w:tab/>
      </w:r>
      <w:r>
        <w:rPr>
          <w:b/>
        </w:rPr>
        <w:tab/>
      </w:r>
      <w:r>
        <w:rPr>
          <w:b/>
        </w:rPr>
        <w:tab/>
      </w:r>
      <w:r>
        <w:rPr>
          <w:b/>
        </w:rPr>
        <w:tab/>
      </w:r>
      <w:r>
        <w:rPr>
          <w:b/>
        </w:rPr>
        <w:tab/>
        <w:t xml:space="preserve">   167</w:t>
      </w:r>
    </w:p>
    <w:p w:rsidR="003327F2" w:rsidRPr="00DD0612" w:rsidRDefault="003327F2" w:rsidP="003327F2">
      <w:pPr>
        <w:rPr>
          <w:b/>
        </w:rPr>
      </w:pPr>
      <w:r w:rsidRPr="009627FD">
        <w:rPr>
          <w:b/>
        </w:rPr>
        <w:t>A</w:t>
      </w:r>
      <w:r>
        <w:rPr>
          <w:b/>
        </w:rPr>
        <w:t>4</w:t>
      </w:r>
      <w:r w:rsidRPr="009627FD">
        <w:rPr>
          <w:b/>
        </w:rPr>
        <w:tab/>
        <w:t>Methodol</w:t>
      </w:r>
      <w:r>
        <w:rPr>
          <w:b/>
        </w:rPr>
        <w:t>ogy for this report</w:t>
      </w:r>
      <w:r>
        <w:rPr>
          <w:b/>
        </w:rPr>
        <w:tab/>
      </w:r>
      <w:r>
        <w:rPr>
          <w:b/>
        </w:rPr>
        <w:tab/>
      </w:r>
      <w:r>
        <w:rPr>
          <w:b/>
        </w:rPr>
        <w:tab/>
      </w:r>
      <w:r>
        <w:rPr>
          <w:b/>
        </w:rPr>
        <w:tab/>
      </w:r>
      <w:r>
        <w:rPr>
          <w:b/>
        </w:rPr>
        <w:tab/>
      </w:r>
      <w:r>
        <w:rPr>
          <w:b/>
        </w:rPr>
        <w:tab/>
      </w:r>
      <w:r>
        <w:rPr>
          <w:b/>
        </w:rPr>
        <w:tab/>
        <w:t xml:space="preserve">   169</w:t>
      </w:r>
    </w:p>
    <w:p w:rsidR="003327F2" w:rsidRDefault="003327F2" w:rsidP="003327F2"/>
    <w:p w:rsidR="003327F2" w:rsidRDefault="003327F2"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AB674F" w:rsidRDefault="00AB674F" w:rsidP="00E93068">
      <w:pPr>
        <w:spacing w:before="100" w:beforeAutospacing="1" w:after="100" w:afterAutospacing="1"/>
        <w:rPr>
          <w:rFonts w:cs="Arial"/>
          <w:color w:val="000000"/>
          <w:sz w:val="16"/>
          <w:szCs w:val="16"/>
        </w:rPr>
      </w:pPr>
    </w:p>
    <w:p w:rsidR="00EA71C1" w:rsidRDefault="00EA71C1" w:rsidP="00E93068">
      <w:pPr>
        <w:spacing w:before="100" w:beforeAutospacing="1" w:after="100" w:afterAutospacing="1"/>
        <w:rPr>
          <w:rFonts w:cs="Arial"/>
          <w:color w:val="000000"/>
          <w:sz w:val="16"/>
          <w:szCs w:val="16"/>
        </w:rPr>
        <w:sectPr w:rsidR="00EA71C1" w:rsidSect="00871762">
          <w:headerReference w:type="even" r:id="rId12"/>
          <w:headerReference w:type="default" r:id="rId13"/>
          <w:footerReference w:type="even" r:id="rId14"/>
          <w:footerReference w:type="default" r:id="rId15"/>
          <w:footnotePr>
            <w:numStart w:val="93"/>
          </w:footnotePr>
          <w:pgSz w:w="11906" w:h="16838"/>
          <w:pgMar w:top="1440" w:right="1729" w:bottom="1582" w:left="1729" w:header="709" w:footer="709" w:gutter="0"/>
          <w:pgNumType w:fmt="lowerRoman" w:start="1"/>
          <w:cols w:space="708"/>
          <w:docGrid w:linePitch="360"/>
        </w:sectPr>
      </w:pPr>
    </w:p>
    <w:p w:rsidR="00871762" w:rsidRDefault="00871762" w:rsidP="00871762">
      <w:pPr>
        <w:pStyle w:val="Non-numberedheading1"/>
      </w:pPr>
      <w:r>
        <w:lastRenderedPageBreak/>
        <w:t>Glossary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004"/>
      </w:tblGrid>
      <w:tr w:rsidR="00871762" w:rsidTr="00DC084A">
        <w:tc>
          <w:tcPr>
            <w:tcW w:w="2660" w:type="dxa"/>
          </w:tcPr>
          <w:p w:rsidR="00871762" w:rsidRDefault="00871762" w:rsidP="00DC084A">
            <w:pPr>
              <w:spacing w:afterLines="80" w:after="192"/>
            </w:pPr>
            <w:r>
              <w:t>AASB</w:t>
            </w:r>
          </w:p>
        </w:tc>
        <w:tc>
          <w:tcPr>
            <w:tcW w:w="6004" w:type="dxa"/>
          </w:tcPr>
          <w:p w:rsidR="00871762" w:rsidRDefault="00871762" w:rsidP="00DC084A">
            <w:pPr>
              <w:spacing w:afterLines="80" w:after="192"/>
            </w:pPr>
            <w:r>
              <w:t>Australian Accounting Standards Board</w:t>
            </w:r>
          </w:p>
        </w:tc>
      </w:tr>
      <w:tr w:rsidR="00871762" w:rsidTr="00DC084A">
        <w:tc>
          <w:tcPr>
            <w:tcW w:w="2660" w:type="dxa"/>
          </w:tcPr>
          <w:p w:rsidR="00871762" w:rsidRDefault="00871762" w:rsidP="00DC084A">
            <w:pPr>
              <w:spacing w:afterLines="80" w:after="192"/>
            </w:pPr>
            <w:r>
              <w:t>ACCC</w:t>
            </w:r>
          </w:p>
        </w:tc>
        <w:tc>
          <w:tcPr>
            <w:tcW w:w="6004" w:type="dxa"/>
          </w:tcPr>
          <w:p w:rsidR="00871762" w:rsidRDefault="00871762" w:rsidP="00DC084A">
            <w:pPr>
              <w:spacing w:afterLines="80" w:after="192"/>
            </w:pPr>
            <w:r w:rsidRPr="008A2D18">
              <w:t>Australian Competition and Consumer Commission</w:t>
            </w:r>
          </w:p>
        </w:tc>
      </w:tr>
      <w:tr w:rsidR="00871762" w:rsidTr="00DC084A">
        <w:tc>
          <w:tcPr>
            <w:tcW w:w="2660" w:type="dxa"/>
          </w:tcPr>
          <w:p w:rsidR="00871762" w:rsidRPr="006A1CB5" w:rsidRDefault="00871762" w:rsidP="00DC084A">
            <w:pPr>
              <w:spacing w:afterLines="80" w:after="192"/>
            </w:pPr>
            <w:r w:rsidRPr="006A1CB5">
              <w:t>AC&amp;BPS</w:t>
            </w:r>
          </w:p>
        </w:tc>
        <w:tc>
          <w:tcPr>
            <w:tcW w:w="6004" w:type="dxa"/>
          </w:tcPr>
          <w:p w:rsidR="00871762" w:rsidRPr="006A1CB5" w:rsidRDefault="00871762" w:rsidP="00DC084A">
            <w:pPr>
              <w:spacing w:afterLines="80" w:after="192"/>
            </w:pPr>
            <w:r w:rsidRPr="006A1CB5">
              <w:t>Australian Customs and Border Protection Service</w:t>
            </w:r>
            <w:r>
              <w:t xml:space="preserve">. </w:t>
            </w:r>
            <w:r w:rsidRPr="006A1CB5">
              <w:t>Th</w:t>
            </w:r>
            <w:r>
              <w:t xml:space="preserve">is agency was </w:t>
            </w:r>
            <w:r w:rsidRPr="006A1CB5">
              <w:t>integrated with the Department of Immigration and Border Protection on 1 July 2015.</w:t>
            </w:r>
            <w:r>
              <w:t xml:space="preserve"> </w:t>
            </w:r>
            <w:r w:rsidRPr="006A1CB5">
              <w:t>The Australian Border Force was established as the front-line operational agency within the Department</w:t>
            </w:r>
          </w:p>
        </w:tc>
      </w:tr>
      <w:tr w:rsidR="00871762" w:rsidTr="00DC084A">
        <w:tc>
          <w:tcPr>
            <w:tcW w:w="2660" w:type="dxa"/>
          </w:tcPr>
          <w:p w:rsidR="00871762" w:rsidRDefault="00871762" w:rsidP="00DC084A">
            <w:pPr>
              <w:spacing w:afterLines="80" w:after="192"/>
            </w:pPr>
            <w:r w:rsidRPr="008A2D18">
              <w:t>AGAAP</w:t>
            </w:r>
          </w:p>
        </w:tc>
        <w:tc>
          <w:tcPr>
            <w:tcW w:w="6004" w:type="dxa"/>
          </w:tcPr>
          <w:p w:rsidR="00871762" w:rsidRDefault="00871762" w:rsidP="00DC084A">
            <w:pPr>
              <w:spacing w:afterLines="80" w:after="192"/>
            </w:pPr>
            <w:r w:rsidRPr="008A2D18">
              <w:t>Australian Generally Accepted Accounting Principles</w:t>
            </w:r>
          </w:p>
        </w:tc>
      </w:tr>
      <w:tr w:rsidR="00871762" w:rsidTr="00DC084A">
        <w:tc>
          <w:tcPr>
            <w:tcW w:w="2660" w:type="dxa"/>
          </w:tcPr>
          <w:p w:rsidR="00871762" w:rsidRDefault="00871762" w:rsidP="00DC084A">
            <w:pPr>
              <w:spacing w:afterLines="80" w:after="192"/>
            </w:pPr>
            <w:r w:rsidRPr="008A2D18">
              <w:t>AIFRS</w:t>
            </w:r>
          </w:p>
        </w:tc>
        <w:tc>
          <w:tcPr>
            <w:tcW w:w="6004" w:type="dxa"/>
          </w:tcPr>
          <w:p w:rsidR="00871762" w:rsidRDefault="00871762" w:rsidP="00DC084A">
            <w:pPr>
              <w:spacing w:afterLines="80" w:after="192"/>
            </w:pPr>
            <w:r w:rsidRPr="008A2D18">
              <w:t>Australian equivalents to International Financial Reporting Standards</w:t>
            </w:r>
          </w:p>
        </w:tc>
      </w:tr>
      <w:tr w:rsidR="00871762" w:rsidTr="00DC084A">
        <w:tc>
          <w:tcPr>
            <w:tcW w:w="2660" w:type="dxa"/>
          </w:tcPr>
          <w:p w:rsidR="00871762" w:rsidRPr="008A2D18" w:rsidRDefault="00871762" w:rsidP="00DC084A">
            <w:pPr>
              <w:spacing w:afterLines="80" w:after="192"/>
            </w:pPr>
            <w:r>
              <w:t>Aerobridge</w:t>
            </w:r>
          </w:p>
        </w:tc>
        <w:tc>
          <w:tcPr>
            <w:tcW w:w="6004" w:type="dxa"/>
          </w:tcPr>
          <w:p w:rsidR="00871762" w:rsidRPr="008A2D18" w:rsidRDefault="00871762" w:rsidP="00DC084A">
            <w:pPr>
              <w:spacing w:afterLines="80" w:after="192"/>
            </w:pPr>
            <w:r>
              <w:t>Allows passengers to board and disembark aeroplanes directly from / to the terminal gate lounge. Avoids need for passengers to go outside and use the apron.</w:t>
            </w:r>
          </w:p>
        </w:tc>
      </w:tr>
      <w:tr w:rsidR="00871762" w:rsidTr="00DC084A">
        <w:tc>
          <w:tcPr>
            <w:tcW w:w="2660" w:type="dxa"/>
          </w:tcPr>
          <w:p w:rsidR="00871762" w:rsidRDefault="00871762" w:rsidP="00DC084A">
            <w:pPr>
              <w:spacing w:afterLines="80" w:after="192"/>
            </w:pPr>
            <w:r>
              <w:t>Aircraft-related services and facilities</w:t>
            </w:r>
          </w:p>
        </w:tc>
        <w:tc>
          <w:tcPr>
            <w:tcW w:w="6004" w:type="dxa"/>
          </w:tcPr>
          <w:p w:rsidR="00871762" w:rsidRPr="008A2D18" w:rsidRDefault="00871762" w:rsidP="00DC084A">
            <w:pPr>
              <w:spacing w:afterLines="80" w:after="192"/>
            </w:pPr>
            <w:r w:rsidRPr="008A2D18">
              <w:t>Services and facilities provided by airports that are specifically utilised by aircrafts</w:t>
            </w:r>
            <w:r>
              <w:t xml:space="preserve"> (</w:t>
            </w:r>
            <w:r w:rsidRPr="008A2D18">
              <w:t>for example</w:t>
            </w:r>
            <w:r>
              <w:t xml:space="preserve">; </w:t>
            </w:r>
            <w:r w:rsidRPr="008A2D18">
              <w:t xml:space="preserve">runways, </w:t>
            </w:r>
            <w:r>
              <w:t xml:space="preserve">aircraft </w:t>
            </w:r>
            <w:r w:rsidRPr="008A2D18">
              <w:t>parking bays</w:t>
            </w:r>
            <w:r>
              <w:t xml:space="preserve"> and</w:t>
            </w:r>
            <w:r w:rsidRPr="008A2D18">
              <w:t xml:space="preserve"> taxiways</w:t>
            </w:r>
            <w:r>
              <w:t>)</w:t>
            </w:r>
            <w:r w:rsidRPr="008A2D18">
              <w:t>.</w:t>
            </w:r>
            <w:r>
              <w:t xml:space="preserve"> The full list of aircraft</w:t>
            </w:r>
            <w:r>
              <w:noBreakHyphen/>
              <w:t xml:space="preserve">related services and facilities for monitoring purposes are listed in the </w:t>
            </w:r>
            <w:r>
              <w:rPr>
                <w:i/>
              </w:rPr>
              <w:t>Airports Regulations 1997</w:t>
            </w:r>
            <w:r>
              <w:t>.</w:t>
            </w:r>
          </w:p>
        </w:tc>
      </w:tr>
      <w:tr w:rsidR="00871762" w:rsidTr="00DC084A">
        <w:tc>
          <w:tcPr>
            <w:tcW w:w="2660" w:type="dxa"/>
          </w:tcPr>
          <w:p w:rsidR="00871762" w:rsidRDefault="00871762" w:rsidP="00DC084A">
            <w:pPr>
              <w:spacing w:afterLines="80" w:after="192"/>
            </w:pPr>
            <w:r>
              <w:t>Airline surveys</w:t>
            </w:r>
          </w:p>
        </w:tc>
        <w:tc>
          <w:tcPr>
            <w:tcW w:w="6004" w:type="dxa"/>
          </w:tcPr>
          <w:p w:rsidR="00871762" w:rsidRDefault="00871762" w:rsidP="00DC084A">
            <w:pPr>
              <w:spacing w:afterLines="80" w:after="192"/>
            </w:pPr>
            <w:r>
              <w:t>Each year, t</w:t>
            </w:r>
            <w:r w:rsidRPr="008A2D18">
              <w:t>he ACCC sends</w:t>
            </w:r>
            <w:r>
              <w:t xml:space="preserve"> domestic and international airlines a</w:t>
            </w:r>
            <w:r w:rsidRPr="008A2D18">
              <w:t xml:space="preserve"> survey </w:t>
            </w:r>
            <w:r>
              <w:t>to complete, in which they are asked to rate on a scale of 1 to 5 the availability and standard of services and facilities provided by</w:t>
            </w:r>
            <w:r w:rsidRPr="008A2D18">
              <w:t xml:space="preserve"> the monitored airports.</w:t>
            </w:r>
          </w:p>
        </w:tc>
      </w:tr>
      <w:tr w:rsidR="00871762" w:rsidTr="00DC084A">
        <w:tc>
          <w:tcPr>
            <w:tcW w:w="2660" w:type="dxa"/>
          </w:tcPr>
          <w:p w:rsidR="00871762" w:rsidRDefault="00871762" w:rsidP="00DC084A">
            <w:pPr>
              <w:spacing w:afterLines="80" w:after="192"/>
            </w:pPr>
            <w:r>
              <w:t>Airports Act</w:t>
            </w:r>
          </w:p>
        </w:tc>
        <w:tc>
          <w:tcPr>
            <w:tcW w:w="6004" w:type="dxa"/>
          </w:tcPr>
          <w:p w:rsidR="00871762" w:rsidRDefault="00871762" w:rsidP="00DC084A">
            <w:pPr>
              <w:spacing w:afterLines="80" w:after="192"/>
            </w:pPr>
            <w:r w:rsidRPr="008A2D18">
              <w:rPr>
                <w:i/>
              </w:rPr>
              <w:t>Airports Act 1996</w:t>
            </w:r>
            <w:r w:rsidRPr="008A2D18">
              <w:t xml:space="preserve">. </w:t>
            </w:r>
            <w:r>
              <w:t>Among other things, t</w:t>
            </w:r>
            <w:r w:rsidRPr="008A2D18">
              <w:t xml:space="preserve">his Act sets up a system for </w:t>
            </w:r>
            <w:r>
              <w:t xml:space="preserve">financial and quality of service monitoring of specific </w:t>
            </w:r>
            <w:r w:rsidRPr="008A2D18">
              <w:t>airports</w:t>
            </w:r>
            <w:r>
              <w:t>.</w:t>
            </w:r>
          </w:p>
        </w:tc>
      </w:tr>
      <w:tr w:rsidR="00871762" w:rsidTr="00DC084A">
        <w:tc>
          <w:tcPr>
            <w:tcW w:w="2660" w:type="dxa"/>
          </w:tcPr>
          <w:p w:rsidR="00871762" w:rsidRDefault="00871762" w:rsidP="00DC084A">
            <w:pPr>
              <w:spacing w:afterLines="80" w:after="192"/>
            </w:pPr>
            <w:r>
              <w:t>Airports Regulations</w:t>
            </w:r>
          </w:p>
        </w:tc>
        <w:tc>
          <w:tcPr>
            <w:tcW w:w="6004" w:type="dxa"/>
          </w:tcPr>
          <w:p w:rsidR="00871762" w:rsidRPr="008A2D18" w:rsidRDefault="00871762" w:rsidP="00DC084A">
            <w:pPr>
              <w:spacing w:afterLines="80" w:after="192"/>
            </w:pPr>
            <w:r>
              <w:rPr>
                <w:i/>
              </w:rPr>
              <w:t xml:space="preserve">Airports Regulations 1997. </w:t>
            </w:r>
            <w:r>
              <w:t xml:space="preserve">Among other things, this regulation outlines the management of airports, land use for airports, protection of airspace and outlines the Quality of Service Monitoring which the ACCC reports on. </w:t>
            </w:r>
          </w:p>
        </w:tc>
      </w:tr>
      <w:tr w:rsidR="00871762" w:rsidTr="00DC084A">
        <w:tc>
          <w:tcPr>
            <w:tcW w:w="2660" w:type="dxa"/>
          </w:tcPr>
          <w:p w:rsidR="00871762" w:rsidRDefault="00871762" w:rsidP="00DC084A">
            <w:pPr>
              <w:spacing w:afterLines="80" w:after="192"/>
            </w:pPr>
            <w:r>
              <w:t>Airside</w:t>
            </w:r>
          </w:p>
        </w:tc>
        <w:tc>
          <w:tcPr>
            <w:tcW w:w="6004" w:type="dxa"/>
          </w:tcPr>
          <w:p w:rsidR="00871762" w:rsidRPr="00760B8D" w:rsidRDefault="00871762" w:rsidP="00DC084A">
            <w:pPr>
              <w:spacing w:afterLines="80" w:after="192"/>
            </w:pPr>
            <w:r w:rsidRPr="006C65E8">
              <w:t xml:space="preserve">Refers to areas specifically in the airport that are dedicated to </w:t>
            </w:r>
            <w:r>
              <w:t>the provision of aircraft</w:t>
            </w:r>
            <w:r>
              <w:noBreakHyphen/>
              <w:t>related services and facilities and most passenger</w:t>
            </w:r>
            <w:r>
              <w:noBreakHyphen/>
              <w:t>related services and facilities. Airside areas include, for example, terminal buildings, runways and taxiways.</w:t>
            </w:r>
          </w:p>
        </w:tc>
      </w:tr>
      <w:tr w:rsidR="00871762" w:rsidTr="00DC084A">
        <w:tc>
          <w:tcPr>
            <w:tcW w:w="2660" w:type="dxa"/>
          </w:tcPr>
          <w:p w:rsidR="00871762" w:rsidRDefault="00871762" w:rsidP="00DC084A">
            <w:pPr>
              <w:spacing w:afterLines="80" w:after="192"/>
            </w:pPr>
            <w:r>
              <w:t>Aeronautical services and facilities</w:t>
            </w:r>
          </w:p>
        </w:tc>
        <w:tc>
          <w:tcPr>
            <w:tcW w:w="6004" w:type="dxa"/>
          </w:tcPr>
          <w:p w:rsidR="00871762" w:rsidRPr="00760B8D" w:rsidRDefault="00871762" w:rsidP="00DC084A">
            <w:pPr>
              <w:spacing w:afterLines="80" w:after="192"/>
            </w:pPr>
            <w:r>
              <w:t xml:space="preserve">As </w:t>
            </w:r>
            <w:r w:rsidRPr="006C65E8">
              <w:t xml:space="preserve">defined under the </w:t>
            </w:r>
            <w:r w:rsidRPr="00141A96">
              <w:rPr>
                <w:i/>
              </w:rPr>
              <w:t>Airports Regulations 1997</w:t>
            </w:r>
            <w:r>
              <w:rPr>
                <w:i/>
              </w:rPr>
              <w:t xml:space="preserve">, </w:t>
            </w:r>
            <w:r>
              <w:t>this refers to those s</w:t>
            </w:r>
            <w:r w:rsidRPr="006C65E8">
              <w:t>ervices</w:t>
            </w:r>
            <w:r>
              <w:t xml:space="preserve"> and facilities at an airport that are necessary for the operation and maintenance of civil aviation at the airport (including both</w:t>
            </w:r>
            <w:r w:rsidRPr="006C65E8">
              <w:t xml:space="preserve"> </w:t>
            </w:r>
            <w:r>
              <w:t>passenger</w:t>
            </w:r>
            <w:r>
              <w:noBreakHyphen/>
              <w:t>related</w:t>
            </w:r>
            <w:r w:rsidRPr="006C65E8">
              <w:t xml:space="preserve"> </w:t>
            </w:r>
            <w:r>
              <w:t>and aircraft-related services and facilities).</w:t>
            </w:r>
          </w:p>
        </w:tc>
      </w:tr>
      <w:tr w:rsidR="00871762" w:rsidTr="00DC084A">
        <w:tc>
          <w:tcPr>
            <w:tcW w:w="2660" w:type="dxa"/>
          </w:tcPr>
          <w:p w:rsidR="00871762" w:rsidRDefault="00871762" w:rsidP="00DC084A">
            <w:pPr>
              <w:spacing w:afterLines="80" w:after="192"/>
            </w:pPr>
            <w:r>
              <w:t>Apron</w:t>
            </w:r>
          </w:p>
        </w:tc>
        <w:tc>
          <w:tcPr>
            <w:tcW w:w="6004" w:type="dxa"/>
          </w:tcPr>
          <w:p w:rsidR="00871762" w:rsidRDefault="00871762" w:rsidP="00DC084A">
            <w:pPr>
              <w:spacing w:afterLines="80" w:after="192"/>
            </w:pPr>
            <w:r>
              <w:t>Airport aprons are areas where planes park and are refuelled, passengers embark and disembark and/or where planes are loaded and unloaded.</w:t>
            </w:r>
          </w:p>
        </w:tc>
      </w:tr>
      <w:tr w:rsidR="00871762" w:rsidTr="00DC084A">
        <w:tc>
          <w:tcPr>
            <w:tcW w:w="2660" w:type="dxa"/>
          </w:tcPr>
          <w:p w:rsidR="00871762" w:rsidRDefault="00871762" w:rsidP="00DC084A">
            <w:pPr>
              <w:spacing w:afterLines="80" w:after="192"/>
            </w:pPr>
            <w:r>
              <w:t>Availability</w:t>
            </w:r>
          </w:p>
        </w:tc>
        <w:tc>
          <w:tcPr>
            <w:tcW w:w="6004" w:type="dxa"/>
          </w:tcPr>
          <w:p w:rsidR="00871762" w:rsidRPr="00760B8D" w:rsidRDefault="00871762" w:rsidP="00DC084A">
            <w:pPr>
              <w:spacing w:afterLines="80" w:after="192"/>
            </w:pPr>
            <w:r w:rsidRPr="006C65E8">
              <w:t xml:space="preserve">Describes the amount of the facility/service made available relative to demands for the facility or service. May include whether facilities or services are available or restricted due to congestion, positioning, maintenance, or repairs, the accessibility </w:t>
            </w:r>
            <w:r w:rsidRPr="006C65E8">
              <w:lastRenderedPageBreak/>
              <w:t>or usefulness of the facility/service provided, and the efficiency of the system to allocate usage.</w:t>
            </w:r>
          </w:p>
        </w:tc>
      </w:tr>
      <w:tr w:rsidR="00871762" w:rsidTr="00DC084A">
        <w:tc>
          <w:tcPr>
            <w:tcW w:w="2660" w:type="dxa"/>
          </w:tcPr>
          <w:p w:rsidR="00871762" w:rsidRDefault="00871762" w:rsidP="00DC084A">
            <w:pPr>
              <w:spacing w:afterLines="80" w:after="192"/>
            </w:pPr>
            <w:r>
              <w:lastRenderedPageBreak/>
              <w:t>BARA</w:t>
            </w:r>
          </w:p>
        </w:tc>
        <w:tc>
          <w:tcPr>
            <w:tcW w:w="6004" w:type="dxa"/>
          </w:tcPr>
          <w:p w:rsidR="00871762" w:rsidRPr="00760B8D" w:rsidRDefault="00871762" w:rsidP="00DC084A">
            <w:pPr>
              <w:spacing w:afterLines="80" w:after="192"/>
            </w:pPr>
            <w:r w:rsidRPr="006C65E8">
              <w:t>Board of Airline Representatives of Australia</w:t>
            </w:r>
          </w:p>
        </w:tc>
      </w:tr>
      <w:tr w:rsidR="00871762" w:rsidTr="00DC084A">
        <w:tc>
          <w:tcPr>
            <w:tcW w:w="2660" w:type="dxa"/>
          </w:tcPr>
          <w:p w:rsidR="00871762" w:rsidRDefault="00871762" w:rsidP="00DC084A">
            <w:pPr>
              <w:spacing w:afterLines="80" w:after="192"/>
            </w:pPr>
            <w:r>
              <w:t>BITRE</w:t>
            </w:r>
          </w:p>
        </w:tc>
        <w:tc>
          <w:tcPr>
            <w:tcW w:w="6004" w:type="dxa"/>
          </w:tcPr>
          <w:p w:rsidR="00871762" w:rsidRPr="00760B8D" w:rsidRDefault="00871762" w:rsidP="00DC084A">
            <w:pPr>
              <w:spacing w:afterLines="80" w:after="192"/>
            </w:pPr>
            <w:r w:rsidRPr="006C65E8">
              <w:t>Bureau of Infrastructure, Transport and Regional Economics</w:t>
            </w:r>
          </w:p>
        </w:tc>
      </w:tr>
      <w:tr w:rsidR="00871762" w:rsidTr="00DC084A">
        <w:tc>
          <w:tcPr>
            <w:tcW w:w="2660" w:type="dxa"/>
          </w:tcPr>
          <w:p w:rsidR="00871762" w:rsidRDefault="00871762" w:rsidP="00DC084A">
            <w:pPr>
              <w:spacing w:afterLines="80" w:after="192"/>
            </w:pPr>
            <w:r>
              <w:t>CCA</w:t>
            </w:r>
          </w:p>
        </w:tc>
        <w:tc>
          <w:tcPr>
            <w:tcW w:w="6004" w:type="dxa"/>
          </w:tcPr>
          <w:p w:rsidR="00871762" w:rsidRPr="006C65E8" w:rsidRDefault="00871762" w:rsidP="00DC084A">
            <w:pPr>
              <w:spacing w:afterLines="80" w:after="192"/>
            </w:pPr>
            <w:r>
              <w:rPr>
                <w:i/>
              </w:rPr>
              <w:t>Competition and Consumer Act 2010</w:t>
            </w:r>
          </w:p>
        </w:tc>
      </w:tr>
      <w:tr w:rsidR="00871762" w:rsidTr="00DC084A">
        <w:tc>
          <w:tcPr>
            <w:tcW w:w="2660" w:type="dxa"/>
          </w:tcPr>
          <w:p w:rsidR="00871762" w:rsidRDefault="00871762" w:rsidP="00DC084A">
            <w:pPr>
              <w:spacing w:afterLines="80" w:after="192"/>
            </w:pPr>
            <w:r>
              <w:t>CTFR</w:t>
            </w:r>
          </w:p>
        </w:tc>
        <w:tc>
          <w:tcPr>
            <w:tcW w:w="6004" w:type="dxa"/>
          </w:tcPr>
          <w:p w:rsidR="00871762" w:rsidRPr="00760B8D" w:rsidRDefault="00871762" w:rsidP="00DC084A">
            <w:pPr>
              <w:spacing w:afterLines="80" w:after="192"/>
            </w:pPr>
            <w:r>
              <w:t>Counter Terrorism First Response</w:t>
            </w:r>
          </w:p>
        </w:tc>
      </w:tr>
      <w:tr w:rsidR="00871762" w:rsidTr="00DC084A">
        <w:tc>
          <w:tcPr>
            <w:tcW w:w="2660" w:type="dxa"/>
          </w:tcPr>
          <w:p w:rsidR="00871762" w:rsidRDefault="00871762" w:rsidP="00DC084A">
            <w:pPr>
              <w:spacing w:afterLines="80" w:after="192"/>
            </w:pPr>
            <w:r>
              <w:t>CPI</w:t>
            </w:r>
          </w:p>
        </w:tc>
        <w:tc>
          <w:tcPr>
            <w:tcW w:w="6004" w:type="dxa"/>
          </w:tcPr>
          <w:p w:rsidR="00871762" w:rsidRPr="00760B8D" w:rsidRDefault="00871762" w:rsidP="00DC084A">
            <w:pPr>
              <w:spacing w:afterLines="80" w:after="192"/>
            </w:pPr>
            <w:r>
              <w:t>Consumer Price Index</w:t>
            </w:r>
          </w:p>
        </w:tc>
      </w:tr>
      <w:tr w:rsidR="00871762" w:rsidTr="00DC084A">
        <w:tc>
          <w:tcPr>
            <w:tcW w:w="2660" w:type="dxa"/>
          </w:tcPr>
          <w:p w:rsidR="00871762" w:rsidRDefault="00871762" w:rsidP="00DC084A">
            <w:pPr>
              <w:spacing w:afterLines="80" w:after="192"/>
            </w:pPr>
            <w:r>
              <w:t>DoIRD</w:t>
            </w:r>
          </w:p>
        </w:tc>
        <w:tc>
          <w:tcPr>
            <w:tcW w:w="6004" w:type="dxa"/>
          </w:tcPr>
          <w:p w:rsidR="00871762" w:rsidRPr="00760B8D" w:rsidRDefault="00871762" w:rsidP="00DC084A">
            <w:pPr>
              <w:spacing w:afterLines="80" w:after="192"/>
            </w:pPr>
            <w:r>
              <w:t>Department of Infrastructure and Regional Development</w:t>
            </w:r>
          </w:p>
        </w:tc>
      </w:tr>
      <w:tr w:rsidR="00871762" w:rsidTr="00DC084A">
        <w:tc>
          <w:tcPr>
            <w:tcW w:w="2660" w:type="dxa"/>
          </w:tcPr>
          <w:p w:rsidR="00871762" w:rsidRDefault="00871762" w:rsidP="00DC084A">
            <w:pPr>
              <w:spacing w:afterLines="80" w:after="192"/>
            </w:pPr>
            <w:r>
              <w:t>DTL</w:t>
            </w:r>
          </w:p>
        </w:tc>
        <w:tc>
          <w:tcPr>
            <w:tcW w:w="6004" w:type="dxa"/>
          </w:tcPr>
          <w:p w:rsidR="00871762" w:rsidRPr="00760B8D" w:rsidRDefault="00871762" w:rsidP="00DC084A">
            <w:pPr>
              <w:spacing w:afterLines="80" w:after="192"/>
            </w:pPr>
            <w:r>
              <w:t>Domestic terminal lease</w:t>
            </w:r>
          </w:p>
        </w:tc>
      </w:tr>
      <w:tr w:rsidR="00871762" w:rsidTr="00DC084A">
        <w:tc>
          <w:tcPr>
            <w:tcW w:w="2660" w:type="dxa"/>
          </w:tcPr>
          <w:p w:rsidR="00871762" w:rsidRDefault="00871762" w:rsidP="00DC084A">
            <w:pPr>
              <w:spacing w:afterLines="80" w:after="192"/>
            </w:pPr>
            <w:r>
              <w:t>EBITA</w:t>
            </w:r>
          </w:p>
        </w:tc>
        <w:tc>
          <w:tcPr>
            <w:tcW w:w="6004" w:type="dxa"/>
          </w:tcPr>
          <w:p w:rsidR="00871762" w:rsidRPr="00760B8D" w:rsidRDefault="00871762" w:rsidP="00DC084A">
            <w:pPr>
              <w:spacing w:afterLines="80" w:after="192"/>
            </w:pPr>
            <w:r w:rsidRPr="006C65E8">
              <w:t>Earnings before interest, tax and amortisation</w:t>
            </w:r>
          </w:p>
        </w:tc>
      </w:tr>
      <w:tr w:rsidR="00871762" w:rsidTr="00DC084A">
        <w:tc>
          <w:tcPr>
            <w:tcW w:w="2660" w:type="dxa"/>
          </w:tcPr>
          <w:p w:rsidR="00871762" w:rsidRDefault="00871762" w:rsidP="00DC084A">
            <w:pPr>
              <w:spacing w:afterLines="80" w:after="192"/>
            </w:pPr>
            <w:r>
              <w:t>EBITDA</w:t>
            </w:r>
          </w:p>
        </w:tc>
        <w:tc>
          <w:tcPr>
            <w:tcW w:w="6004" w:type="dxa"/>
          </w:tcPr>
          <w:p w:rsidR="00871762" w:rsidRPr="00760B8D" w:rsidRDefault="00871762" w:rsidP="00DC084A">
            <w:pPr>
              <w:spacing w:afterLines="80" w:after="192"/>
            </w:pPr>
            <w:r w:rsidRPr="006C65E8">
              <w:t>Earnings before interest, tax, depreciation and amortisation</w:t>
            </w:r>
          </w:p>
        </w:tc>
      </w:tr>
      <w:tr w:rsidR="00871762" w:rsidTr="00DC084A">
        <w:tc>
          <w:tcPr>
            <w:tcW w:w="2660" w:type="dxa"/>
          </w:tcPr>
          <w:p w:rsidR="00871762" w:rsidRDefault="00871762" w:rsidP="00DC084A">
            <w:pPr>
              <w:spacing w:afterLines="80" w:after="192"/>
            </w:pPr>
            <w:r>
              <w:t>FAC</w:t>
            </w:r>
          </w:p>
        </w:tc>
        <w:tc>
          <w:tcPr>
            <w:tcW w:w="6004" w:type="dxa"/>
          </w:tcPr>
          <w:p w:rsidR="00871762" w:rsidRPr="006C65E8" w:rsidRDefault="00871762" w:rsidP="00DC084A">
            <w:pPr>
              <w:spacing w:afterLines="80" w:after="192"/>
            </w:pPr>
            <w:r w:rsidRPr="006C65E8">
              <w:t>Federal Airports Corporation</w:t>
            </w:r>
          </w:p>
        </w:tc>
      </w:tr>
      <w:tr w:rsidR="00871762" w:rsidTr="00DC084A">
        <w:tc>
          <w:tcPr>
            <w:tcW w:w="2660" w:type="dxa"/>
          </w:tcPr>
          <w:p w:rsidR="00871762" w:rsidRDefault="00871762" w:rsidP="00DC084A">
            <w:pPr>
              <w:spacing w:afterLines="80" w:after="192"/>
            </w:pPr>
            <w:r>
              <w:t>FIFO</w:t>
            </w:r>
          </w:p>
        </w:tc>
        <w:tc>
          <w:tcPr>
            <w:tcW w:w="6004" w:type="dxa"/>
          </w:tcPr>
          <w:p w:rsidR="00871762" w:rsidRPr="006C65E8" w:rsidRDefault="00871762" w:rsidP="00DC084A">
            <w:pPr>
              <w:spacing w:afterLines="80" w:after="192"/>
            </w:pPr>
            <w:r>
              <w:t xml:space="preserve">Fly-in / fly-out </w:t>
            </w:r>
            <w:proofErr w:type="gramStart"/>
            <w:r>
              <w:t>refers</w:t>
            </w:r>
            <w:proofErr w:type="gramEnd"/>
            <w:r>
              <w:t xml:space="preserve"> to passengers who fly to and from remote areas for work via air transport. </w:t>
            </w:r>
          </w:p>
        </w:tc>
      </w:tr>
      <w:tr w:rsidR="00871762" w:rsidTr="00DC084A">
        <w:tc>
          <w:tcPr>
            <w:tcW w:w="2660" w:type="dxa"/>
          </w:tcPr>
          <w:p w:rsidR="00871762" w:rsidRDefault="00871762" w:rsidP="00DC084A">
            <w:pPr>
              <w:spacing w:afterLines="80" w:after="192"/>
            </w:pPr>
            <w:r>
              <w:t>GA</w:t>
            </w:r>
          </w:p>
        </w:tc>
        <w:tc>
          <w:tcPr>
            <w:tcW w:w="6004" w:type="dxa"/>
          </w:tcPr>
          <w:p w:rsidR="00871762" w:rsidRPr="006C65E8" w:rsidRDefault="00871762" w:rsidP="00DC084A">
            <w:pPr>
              <w:spacing w:afterLines="80" w:after="192"/>
            </w:pPr>
            <w:r w:rsidRPr="00310446">
              <w:t>General aviation</w:t>
            </w:r>
            <w:r>
              <w:t>. These are a</w:t>
            </w:r>
            <w:r w:rsidRPr="00310446">
              <w:t>ircraft operations that are not regular public transport, such as private charter and aircraft training flights, and Royal Flying Doctor Services.</w:t>
            </w:r>
          </w:p>
        </w:tc>
      </w:tr>
      <w:tr w:rsidR="00871762" w:rsidTr="00DC084A">
        <w:tc>
          <w:tcPr>
            <w:tcW w:w="2660" w:type="dxa"/>
          </w:tcPr>
          <w:p w:rsidR="00871762" w:rsidRDefault="00871762" w:rsidP="00DC084A">
            <w:pPr>
              <w:spacing w:afterLines="80" w:after="192"/>
            </w:pPr>
            <w:r>
              <w:t>GST</w:t>
            </w:r>
          </w:p>
        </w:tc>
        <w:tc>
          <w:tcPr>
            <w:tcW w:w="6004" w:type="dxa"/>
          </w:tcPr>
          <w:p w:rsidR="00871762" w:rsidRPr="006C65E8" w:rsidRDefault="00871762" w:rsidP="00DC084A">
            <w:pPr>
              <w:spacing w:afterLines="80" w:after="192"/>
            </w:pPr>
            <w:r>
              <w:t>Goods and Services Tax</w:t>
            </w:r>
          </w:p>
        </w:tc>
      </w:tr>
      <w:tr w:rsidR="00871762" w:rsidTr="00DC084A">
        <w:tc>
          <w:tcPr>
            <w:tcW w:w="2660" w:type="dxa"/>
          </w:tcPr>
          <w:p w:rsidR="00871762" w:rsidRDefault="00871762" w:rsidP="00245A47">
            <w:pPr>
              <w:tabs>
                <w:tab w:val="center" w:pos="1222"/>
              </w:tabs>
              <w:spacing w:afterLines="80" w:after="192"/>
            </w:pPr>
            <w:r>
              <w:t>IASB</w:t>
            </w:r>
            <w:r w:rsidR="00245A47">
              <w:tab/>
            </w:r>
          </w:p>
        </w:tc>
        <w:tc>
          <w:tcPr>
            <w:tcW w:w="6004" w:type="dxa"/>
          </w:tcPr>
          <w:p w:rsidR="00871762" w:rsidRPr="006C65E8" w:rsidRDefault="00871762" w:rsidP="00DC084A">
            <w:pPr>
              <w:spacing w:afterLines="80" w:after="192"/>
            </w:pPr>
            <w:r w:rsidRPr="00310446">
              <w:t>International Accounting Standards Board</w:t>
            </w:r>
          </w:p>
        </w:tc>
      </w:tr>
      <w:tr w:rsidR="00871762" w:rsidTr="00DC084A">
        <w:tc>
          <w:tcPr>
            <w:tcW w:w="2660" w:type="dxa"/>
          </w:tcPr>
          <w:p w:rsidR="00871762" w:rsidRDefault="00871762" w:rsidP="00DC084A">
            <w:pPr>
              <w:spacing w:afterLines="80" w:after="192"/>
            </w:pPr>
            <w:r>
              <w:t>Landside</w:t>
            </w:r>
          </w:p>
        </w:tc>
        <w:tc>
          <w:tcPr>
            <w:tcW w:w="6004" w:type="dxa"/>
          </w:tcPr>
          <w:p w:rsidR="00871762" w:rsidRPr="006C65E8" w:rsidRDefault="00871762" w:rsidP="00DC084A">
            <w:pPr>
              <w:spacing w:afterLines="80" w:after="192"/>
            </w:pPr>
            <w:r w:rsidRPr="00310446">
              <w:t xml:space="preserve">Refers to areas specifically in the airport that are </w:t>
            </w:r>
            <w:r>
              <w:t>not established as airside areas. These areas generally include access roads and walkways within airport precincts.</w:t>
            </w:r>
          </w:p>
        </w:tc>
      </w:tr>
      <w:tr w:rsidR="00871762" w:rsidTr="00DC084A">
        <w:tc>
          <w:tcPr>
            <w:tcW w:w="2660" w:type="dxa"/>
          </w:tcPr>
          <w:p w:rsidR="00871762" w:rsidRDefault="00871762" w:rsidP="00DC084A">
            <w:pPr>
              <w:spacing w:afterLines="80" w:after="192"/>
            </w:pPr>
            <w:r>
              <w:t>LCC</w:t>
            </w:r>
          </w:p>
        </w:tc>
        <w:tc>
          <w:tcPr>
            <w:tcW w:w="6004" w:type="dxa"/>
          </w:tcPr>
          <w:p w:rsidR="00871762" w:rsidRPr="006C65E8" w:rsidRDefault="00871762" w:rsidP="00DC084A">
            <w:pPr>
              <w:spacing w:afterLines="80" w:after="192"/>
            </w:pPr>
            <w:r>
              <w:t>Low cost carrier</w:t>
            </w:r>
          </w:p>
        </w:tc>
      </w:tr>
      <w:tr w:rsidR="00871762" w:rsidTr="00DC084A">
        <w:tc>
          <w:tcPr>
            <w:tcW w:w="2660" w:type="dxa"/>
          </w:tcPr>
          <w:p w:rsidR="00871762" w:rsidRDefault="00871762" w:rsidP="00DC084A">
            <w:pPr>
              <w:spacing w:afterLines="80" w:after="192"/>
            </w:pPr>
            <w:r>
              <w:t>LIS</w:t>
            </w:r>
          </w:p>
        </w:tc>
        <w:tc>
          <w:tcPr>
            <w:tcW w:w="6004" w:type="dxa"/>
          </w:tcPr>
          <w:p w:rsidR="00871762" w:rsidRPr="006C65E8" w:rsidRDefault="00871762" w:rsidP="00DC084A">
            <w:pPr>
              <w:spacing w:afterLines="80" w:after="192"/>
            </w:pPr>
            <w:r w:rsidRPr="00310446">
              <w:t>Line in the sand approach; A regulatory approach to valuing airport assets under which the value of an airport’s aeronautical asset base for monitoring purposes is the value of tangible non-current aeronautical assets reported to the ACCC as at 30 June 2005, plus new investments, less depreciation and disposals.</w:t>
            </w:r>
          </w:p>
        </w:tc>
      </w:tr>
      <w:tr w:rsidR="00871762" w:rsidTr="00DC084A">
        <w:tc>
          <w:tcPr>
            <w:tcW w:w="2660" w:type="dxa"/>
          </w:tcPr>
          <w:p w:rsidR="00871762" w:rsidRDefault="00871762" w:rsidP="00DC084A">
            <w:pPr>
              <w:spacing w:afterLines="80" w:after="192"/>
            </w:pPr>
            <w:r>
              <w:t>Minister</w:t>
            </w:r>
          </w:p>
        </w:tc>
        <w:tc>
          <w:tcPr>
            <w:tcW w:w="6004" w:type="dxa"/>
          </w:tcPr>
          <w:p w:rsidR="00871762" w:rsidRPr="006C65E8" w:rsidRDefault="00871762" w:rsidP="00DC084A">
            <w:pPr>
              <w:spacing w:afterLines="80" w:after="192"/>
            </w:pPr>
            <w:r w:rsidRPr="00310446">
              <w:t xml:space="preserve">Minister with portfolio responsibility for </w:t>
            </w:r>
            <w:r>
              <w:t>i</w:t>
            </w:r>
            <w:r w:rsidRPr="00310446">
              <w:t>nfrastructure</w:t>
            </w:r>
          </w:p>
        </w:tc>
      </w:tr>
      <w:tr w:rsidR="00871762" w:rsidTr="00DC084A">
        <w:tc>
          <w:tcPr>
            <w:tcW w:w="2660" w:type="dxa"/>
          </w:tcPr>
          <w:p w:rsidR="00871762" w:rsidRDefault="00871762" w:rsidP="00DC084A">
            <w:pPr>
              <w:spacing w:afterLines="80" w:after="192"/>
            </w:pPr>
            <w:r>
              <w:t>Monitored airports</w:t>
            </w:r>
          </w:p>
        </w:tc>
        <w:tc>
          <w:tcPr>
            <w:tcW w:w="6004" w:type="dxa"/>
          </w:tcPr>
          <w:p w:rsidR="00871762" w:rsidRDefault="00871762" w:rsidP="00DC084A">
            <w:pPr>
              <w:spacing w:afterLines="80" w:after="192"/>
            </w:pPr>
            <w:r>
              <w:t xml:space="preserve">Those airports which are subject to price and quality of service monitoring and are specified in Parts 7 and 8 of the </w:t>
            </w:r>
            <w:r w:rsidRPr="00D0540F">
              <w:rPr>
                <w:i/>
              </w:rPr>
              <w:t>Airports Regulations 1997</w:t>
            </w:r>
            <w:r w:rsidRPr="00062712">
              <w:t xml:space="preserve">; </w:t>
            </w:r>
            <w:r>
              <w:t>currently Brisbane, Melbourne, Perth and Sydney airports.</w:t>
            </w:r>
          </w:p>
        </w:tc>
      </w:tr>
      <w:tr w:rsidR="00871762" w:rsidTr="00DC084A">
        <w:tc>
          <w:tcPr>
            <w:tcW w:w="2660" w:type="dxa"/>
          </w:tcPr>
          <w:p w:rsidR="00871762" w:rsidRDefault="00871762" w:rsidP="00DC084A">
            <w:pPr>
              <w:spacing w:afterLines="80" w:after="192"/>
            </w:pPr>
            <w:r>
              <w:t>MTOW</w:t>
            </w:r>
          </w:p>
        </w:tc>
        <w:tc>
          <w:tcPr>
            <w:tcW w:w="6004" w:type="dxa"/>
          </w:tcPr>
          <w:p w:rsidR="00871762" w:rsidRPr="006C65E8" w:rsidRDefault="00871762" w:rsidP="00DC084A">
            <w:pPr>
              <w:spacing w:afterLines="80" w:after="192"/>
            </w:pPr>
            <w:r>
              <w:t>Maximum take-off weight</w:t>
            </w:r>
          </w:p>
        </w:tc>
      </w:tr>
      <w:tr w:rsidR="00871762" w:rsidTr="00DC084A">
        <w:tc>
          <w:tcPr>
            <w:tcW w:w="2660" w:type="dxa"/>
          </w:tcPr>
          <w:p w:rsidR="00871762" w:rsidRDefault="00871762" w:rsidP="00DC084A">
            <w:pPr>
              <w:spacing w:afterLines="80" w:after="192"/>
            </w:pPr>
            <w:r>
              <w:t>Nominal terms</w:t>
            </w:r>
          </w:p>
        </w:tc>
        <w:tc>
          <w:tcPr>
            <w:tcW w:w="6004" w:type="dxa"/>
          </w:tcPr>
          <w:p w:rsidR="00871762" w:rsidRPr="006C65E8" w:rsidRDefault="00871762" w:rsidP="00DC084A">
            <w:pPr>
              <w:spacing w:afterLines="80" w:after="192"/>
            </w:pPr>
            <w:r w:rsidRPr="00310446">
              <w:t>A value expressed in the money of the time when either: a charge was set, expenses were incurred, or when income was received. There is no adjustment for inflation (see real terms).</w:t>
            </w:r>
          </w:p>
        </w:tc>
      </w:tr>
      <w:tr w:rsidR="00871762" w:rsidTr="00DC084A">
        <w:tc>
          <w:tcPr>
            <w:tcW w:w="2660" w:type="dxa"/>
          </w:tcPr>
          <w:p w:rsidR="00871762" w:rsidRDefault="00871762" w:rsidP="00DC084A">
            <w:pPr>
              <w:spacing w:afterLines="80" w:after="192"/>
            </w:pPr>
            <w:r>
              <w:t>Objective indicators</w:t>
            </w:r>
          </w:p>
        </w:tc>
        <w:tc>
          <w:tcPr>
            <w:tcW w:w="6004" w:type="dxa"/>
          </w:tcPr>
          <w:p w:rsidR="00871762" w:rsidRPr="006C65E8" w:rsidRDefault="00871762" w:rsidP="00DC084A">
            <w:pPr>
              <w:spacing w:afterLines="80" w:after="192"/>
            </w:pPr>
            <w:r w:rsidRPr="001E7015">
              <w:t xml:space="preserve">Refers to aspects of airport services and facilities listed in the </w:t>
            </w:r>
            <w:r w:rsidRPr="001E7015">
              <w:rPr>
                <w:i/>
              </w:rPr>
              <w:t xml:space="preserve">Airports Regulations 1997 </w:t>
            </w:r>
            <w:r w:rsidRPr="001E7015">
              <w:t>to be monitored and evaluated by the ACCC. Monitored airports are required to keep records of physical infrastructure (for example, the number of; check</w:t>
            </w:r>
            <w:r w:rsidRPr="001E7015">
              <w:noBreakHyphen/>
              <w:t xml:space="preserve">in </w:t>
            </w:r>
            <w:r w:rsidRPr="001E7015">
              <w:lastRenderedPageBreak/>
              <w:t>desks, seating facilities</w:t>
            </w:r>
            <w:r>
              <w:t xml:space="preserve"> and </w:t>
            </w:r>
            <w:r w:rsidRPr="001E7015">
              <w:t>flight information display screens), as well as other measurements (such as, number of passengers during peak hour, capacity of baggage equipment and total area in gate lounges).</w:t>
            </w:r>
          </w:p>
        </w:tc>
      </w:tr>
      <w:tr w:rsidR="00871762" w:rsidTr="00DC084A">
        <w:tc>
          <w:tcPr>
            <w:tcW w:w="2660" w:type="dxa"/>
          </w:tcPr>
          <w:p w:rsidR="00871762" w:rsidRDefault="00871762" w:rsidP="00DC084A">
            <w:pPr>
              <w:spacing w:afterLines="80" w:after="192"/>
            </w:pPr>
            <w:r>
              <w:lastRenderedPageBreak/>
              <w:t>On-carriage passengers</w:t>
            </w:r>
          </w:p>
        </w:tc>
        <w:tc>
          <w:tcPr>
            <w:tcW w:w="6004" w:type="dxa"/>
          </w:tcPr>
          <w:p w:rsidR="00871762" w:rsidRPr="007E70F2" w:rsidRDefault="00871762" w:rsidP="00DC084A">
            <w:pPr>
              <w:spacing w:afterLines="80" w:after="192"/>
            </w:pPr>
            <w:r>
              <w:t>Refers to those passengers who arrive on one flight and depart on another flight without generally leaving the airport.</w:t>
            </w:r>
          </w:p>
        </w:tc>
      </w:tr>
      <w:tr w:rsidR="00871762" w:rsidTr="00DC084A">
        <w:tc>
          <w:tcPr>
            <w:tcW w:w="2660" w:type="dxa"/>
          </w:tcPr>
          <w:p w:rsidR="00871762" w:rsidRDefault="00871762" w:rsidP="00DC084A">
            <w:pPr>
              <w:spacing w:afterLines="80" w:after="192"/>
            </w:pPr>
            <w:r>
              <w:t>Overall quality of service</w:t>
            </w:r>
          </w:p>
        </w:tc>
        <w:tc>
          <w:tcPr>
            <w:tcW w:w="6004" w:type="dxa"/>
          </w:tcPr>
          <w:p w:rsidR="00871762" w:rsidRPr="006C65E8" w:rsidRDefault="00871762" w:rsidP="00DC084A">
            <w:pPr>
              <w:spacing w:afterLines="80" w:after="192"/>
            </w:pPr>
            <w:r w:rsidRPr="007E70F2">
              <w:t xml:space="preserve">This is a metric derived by aggregating the quality of service </w:t>
            </w:r>
            <w:r>
              <w:t xml:space="preserve">monitoring </w:t>
            </w:r>
            <w:r w:rsidRPr="007E70F2">
              <w:t>results sourced from objective indicators and surveys o</w:t>
            </w:r>
            <w:r>
              <w:t>f</w:t>
            </w:r>
            <w:r w:rsidRPr="007E70F2">
              <w:t xml:space="preserve"> airlines</w:t>
            </w:r>
            <w:r>
              <w:t xml:space="preserve"> and </w:t>
            </w:r>
            <w:r w:rsidRPr="007E70F2">
              <w:t>passengers on the quality of services and facilities provided by the monitored airports.</w:t>
            </w:r>
            <w:r>
              <w:t xml:space="preserve"> As well as aeronautical services, the surveys include responses to questions on </w:t>
            </w:r>
            <w:r w:rsidRPr="0055271D">
              <w:t xml:space="preserve">landside </w:t>
            </w:r>
            <w:r>
              <w:t xml:space="preserve">facilities, such as </w:t>
            </w:r>
            <w:r w:rsidRPr="0055271D">
              <w:t>kerbside tax</w:t>
            </w:r>
            <w:r>
              <w:t>i facilities, car parking</w:t>
            </w:r>
            <w:r w:rsidRPr="0055271D">
              <w:t xml:space="preserve"> and </w:t>
            </w:r>
            <w:r>
              <w:t xml:space="preserve">airport </w:t>
            </w:r>
            <w:r w:rsidRPr="0055271D">
              <w:t>management responsiveness</w:t>
            </w:r>
            <w:r>
              <w:t>.</w:t>
            </w:r>
          </w:p>
        </w:tc>
      </w:tr>
      <w:tr w:rsidR="00871762" w:rsidTr="00DC084A">
        <w:tc>
          <w:tcPr>
            <w:tcW w:w="2660" w:type="dxa"/>
          </w:tcPr>
          <w:p w:rsidR="00871762" w:rsidRDefault="00871762" w:rsidP="00DC084A">
            <w:pPr>
              <w:spacing w:afterLines="80" w:after="192"/>
            </w:pPr>
            <w:r>
              <w:t>Passenger</w:t>
            </w:r>
            <w:r>
              <w:noBreakHyphen/>
              <w:t>related services and facilities</w:t>
            </w:r>
          </w:p>
        </w:tc>
        <w:tc>
          <w:tcPr>
            <w:tcW w:w="6004" w:type="dxa"/>
          </w:tcPr>
          <w:p w:rsidR="00871762" w:rsidRPr="001D70CF" w:rsidRDefault="00871762" w:rsidP="00DC084A">
            <w:pPr>
              <w:spacing w:afterLines="80" w:after="192"/>
            </w:pPr>
            <w:r>
              <w:t>Services and facilities provided by airports that are specifically utilised by passengers (for example; check</w:t>
            </w:r>
            <w:r>
              <w:noBreakHyphen/>
              <w:t>in desks, aerobridges and gate lounges). The full list of passenger</w:t>
            </w:r>
            <w:r>
              <w:noBreakHyphen/>
              <w:t xml:space="preserve">related services and facilities for monitoring purposes are listed in the </w:t>
            </w:r>
            <w:r>
              <w:rPr>
                <w:i/>
              </w:rPr>
              <w:t>Airports Regulations 1997</w:t>
            </w:r>
            <w:r>
              <w:t>.</w:t>
            </w:r>
          </w:p>
        </w:tc>
      </w:tr>
      <w:tr w:rsidR="00871762" w:rsidTr="00DC084A">
        <w:tc>
          <w:tcPr>
            <w:tcW w:w="2660" w:type="dxa"/>
          </w:tcPr>
          <w:p w:rsidR="00871762" w:rsidRDefault="00871762" w:rsidP="00DC084A">
            <w:pPr>
              <w:spacing w:afterLines="80" w:after="192"/>
            </w:pPr>
            <w:r>
              <w:t>Passenger surveys</w:t>
            </w:r>
          </w:p>
        </w:tc>
        <w:tc>
          <w:tcPr>
            <w:tcW w:w="6004" w:type="dxa"/>
          </w:tcPr>
          <w:p w:rsidR="00871762" w:rsidRDefault="00871762" w:rsidP="00DC084A">
            <w:pPr>
              <w:spacing w:afterLines="80" w:after="192"/>
            </w:pPr>
            <w:r w:rsidRPr="001E7015">
              <w:t xml:space="preserve">The monitored airports arrange for annual passenger surveys to be conducted by </w:t>
            </w:r>
            <w:r>
              <w:t xml:space="preserve">market research companies. </w:t>
            </w:r>
            <w:r w:rsidRPr="001E7015">
              <w:t xml:space="preserve"> </w:t>
            </w:r>
            <w:r w:rsidRPr="005A4C34">
              <w:t xml:space="preserve">Survey forms are designed by the airports to provide information to the ACCC as required under the </w:t>
            </w:r>
            <w:r>
              <w:t xml:space="preserve">Airports </w:t>
            </w:r>
            <w:r w:rsidRPr="005A4C34">
              <w:t xml:space="preserve">Regulations. </w:t>
            </w:r>
            <w:r w:rsidRPr="001E7015">
              <w:t>These surveys ask passengers to rat</w:t>
            </w:r>
            <w:r w:rsidRPr="005B3268">
              <w:t>e on a scale of 1 to 5 the availability and standard of services and facilities provided by the monitored airports.</w:t>
            </w:r>
          </w:p>
        </w:tc>
      </w:tr>
      <w:tr w:rsidR="00871762" w:rsidTr="00DC084A">
        <w:tc>
          <w:tcPr>
            <w:tcW w:w="2660" w:type="dxa"/>
          </w:tcPr>
          <w:p w:rsidR="00871762" w:rsidRDefault="00871762" w:rsidP="00DC084A">
            <w:pPr>
              <w:spacing w:afterLines="80" w:after="192"/>
            </w:pPr>
            <w:r>
              <w:t>Peak hour</w:t>
            </w:r>
          </w:p>
        </w:tc>
        <w:tc>
          <w:tcPr>
            <w:tcW w:w="6004" w:type="dxa"/>
          </w:tcPr>
          <w:p w:rsidR="00871762" w:rsidRPr="006C65E8" w:rsidRDefault="00871762" w:rsidP="00DC084A">
            <w:pPr>
              <w:spacing w:afterLines="80" w:after="192"/>
            </w:pPr>
            <w:r w:rsidRPr="001D70CF">
              <w:t>The hour that, on average for each day in the financial year, has the highest number of (arriving</w:t>
            </w:r>
            <w:r>
              <w:t xml:space="preserve"> </w:t>
            </w:r>
            <w:r w:rsidRPr="001D70CF">
              <w:t>/</w:t>
            </w:r>
            <w:r>
              <w:t xml:space="preserve"> </w:t>
            </w:r>
            <w:r w:rsidRPr="001D70CF">
              <w:t>departing</w:t>
            </w:r>
            <w:r>
              <w:t xml:space="preserve"> </w:t>
            </w:r>
            <w:r w:rsidRPr="001D70CF">
              <w:t>/</w:t>
            </w:r>
            <w:r>
              <w:t xml:space="preserve"> </w:t>
            </w:r>
            <w:r w:rsidRPr="001D70CF">
              <w:t>total of both) passengers.</w:t>
            </w:r>
          </w:p>
        </w:tc>
      </w:tr>
      <w:tr w:rsidR="00871762" w:rsidTr="00DC084A">
        <w:tc>
          <w:tcPr>
            <w:tcW w:w="2660" w:type="dxa"/>
          </w:tcPr>
          <w:p w:rsidR="00871762" w:rsidRDefault="00871762" w:rsidP="00DC084A">
            <w:pPr>
              <w:spacing w:afterLines="80" w:after="192"/>
            </w:pPr>
            <w:r>
              <w:t>PC</w:t>
            </w:r>
          </w:p>
        </w:tc>
        <w:tc>
          <w:tcPr>
            <w:tcW w:w="6004" w:type="dxa"/>
          </w:tcPr>
          <w:p w:rsidR="00871762" w:rsidRPr="006C65E8" w:rsidRDefault="00871762" w:rsidP="00DC084A">
            <w:pPr>
              <w:spacing w:afterLines="80" w:after="192"/>
            </w:pPr>
            <w:r>
              <w:t>Productivity Commission</w:t>
            </w:r>
          </w:p>
        </w:tc>
      </w:tr>
      <w:tr w:rsidR="00871762" w:rsidTr="00DC084A">
        <w:tc>
          <w:tcPr>
            <w:tcW w:w="2660" w:type="dxa"/>
          </w:tcPr>
          <w:p w:rsidR="00871762" w:rsidRDefault="00871762" w:rsidP="00DC084A">
            <w:pPr>
              <w:spacing w:afterLines="80" w:after="192"/>
            </w:pPr>
            <w:r>
              <w:t>PFC</w:t>
            </w:r>
          </w:p>
        </w:tc>
        <w:tc>
          <w:tcPr>
            <w:tcW w:w="6004" w:type="dxa"/>
          </w:tcPr>
          <w:p w:rsidR="00871762" w:rsidRPr="006C65E8" w:rsidRDefault="00871762" w:rsidP="00DC084A">
            <w:pPr>
              <w:spacing w:afterLines="80" w:after="192"/>
            </w:pPr>
            <w:r>
              <w:t>Passenger facilitation charges</w:t>
            </w:r>
          </w:p>
        </w:tc>
      </w:tr>
      <w:tr w:rsidR="00871762" w:rsidTr="00DC084A">
        <w:tc>
          <w:tcPr>
            <w:tcW w:w="2660" w:type="dxa"/>
          </w:tcPr>
          <w:p w:rsidR="00871762" w:rsidRDefault="00871762" w:rsidP="00DC084A">
            <w:pPr>
              <w:spacing w:afterLines="80" w:after="192"/>
            </w:pPr>
            <w:r>
              <w:t>PSC</w:t>
            </w:r>
          </w:p>
        </w:tc>
        <w:tc>
          <w:tcPr>
            <w:tcW w:w="6004" w:type="dxa"/>
          </w:tcPr>
          <w:p w:rsidR="00871762" w:rsidRDefault="00871762" w:rsidP="00DC084A">
            <w:pPr>
              <w:spacing w:afterLines="80" w:after="192"/>
            </w:pPr>
            <w:r>
              <w:t>Passenger services charge</w:t>
            </w:r>
          </w:p>
        </w:tc>
      </w:tr>
      <w:tr w:rsidR="00871762" w:rsidTr="00DC084A">
        <w:tc>
          <w:tcPr>
            <w:tcW w:w="2660" w:type="dxa"/>
          </w:tcPr>
          <w:p w:rsidR="00871762" w:rsidRDefault="00871762" w:rsidP="00DC084A">
            <w:pPr>
              <w:spacing w:afterLines="80" w:after="192"/>
            </w:pPr>
            <w:r>
              <w:t>Real terms</w:t>
            </w:r>
          </w:p>
        </w:tc>
        <w:tc>
          <w:tcPr>
            <w:tcW w:w="6004" w:type="dxa"/>
          </w:tcPr>
          <w:p w:rsidR="00871762" w:rsidRDefault="00871762" w:rsidP="00DC084A">
            <w:pPr>
              <w:spacing w:afterLines="80" w:after="192"/>
            </w:pPr>
            <w:r w:rsidRPr="001D70CF">
              <w:t xml:space="preserve">A value expressed in the money of a particular base time period (eg. </w:t>
            </w:r>
            <w:r>
              <w:t>2013</w:t>
            </w:r>
            <w:r w:rsidRPr="001D70CF">
              <w:t>-</w:t>
            </w:r>
            <w:r>
              <w:t>14</w:t>
            </w:r>
            <w:r w:rsidRPr="001D70CF">
              <w:t xml:space="preserve"> dollars). Values in real terms remove the impact of inflation and provide for better comparison of values over time.</w:t>
            </w:r>
          </w:p>
        </w:tc>
      </w:tr>
      <w:tr w:rsidR="00871762" w:rsidTr="00DC084A">
        <w:tc>
          <w:tcPr>
            <w:tcW w:w="2660" w:type="dxa"/>
          </w:tcPr>
          <w:p w:rsidR="00871762" w:rsidRDefault="00871762" w:rsidP="00DC084A">
            <w:pPr>
              <w:spacing w:afterLines="80" w:after="192"/>
            </w:pPr>
            <w:r>
              <w:t>RPT</w:t>
            </w:r>
          </w:p>
        </w:tc>
        <w:tc>
          <w:tcPr>
            <w:tcW w:w="6004" w:type="dxa"/>
          </w:tcPr>
          <w:p w:rsidR="00871762" w:rsidRDefault="00871762" w:rsidP="00DC084A">
            <w:pPr>
              <w:spacing w:afterLines="80" w:after="192"/>
            </w:pPr>
            <w:r>
              <w:t>Regular public transport</w:t>
            </w:r>
          </w:p>
        </w:tc>
      </w:tr>
      <w:tr w:rsidR="00871762" w:rsidTr="00DC084A">
        <w:tc>
          <w:tcPr>
            <w:tcW w:w="2660" w:type="dxa"/>
          </w:tcPr>
          <w:p w:rsidR="00871762" w:rsidRDefault="00871762" w:rsidP="00DC084A">
            <w:pPr>
              <w:spacing w:afterLines="80" w:after="192"/>
            </w:pPr>
            <w:r>
              <w:t>SLA</w:t>
            </w:r>
          </w:p>
        </w:tc>
        <w:tc>
          <w:tcPr>
            <w:tcW w:w="6004" w:type="dxa"/>
          </w:tcPr>
          <w:p w:rsidR="00871762" w:rsidRDefault="00871762" w:rsidP="00DC084A">
            <w:pPr>
              <w:spacing w:afterLines="80" w:after="192"/>
            </w:pPr>
            <w:r>
              <w:t>Service level agreements</w:t>
            </w:r>
          </w:p>
        </w:tc>
      </w:tr>
      <w:tr w:rsidR="00871762" w:rsidTr="00DC084A">
        <w:tc>
          <w:tcPr>
            <w:tcW w:w="2660" w:type="dxa"/>
          </w:tcPr>
          <w:p w:rsidR="00871762" w:rsidRDefault="00871762" w:rsidP="00DC084A">
            <w:pPr>
              <w:spacing w:afterLines="80" w:after="192"/>
            </w:pPr>
            <w:r>
              <w:t>Standard</w:t>
            </w:r>
          </w:p>
        </w:tc>
        <w:tc>
          <w:tcPr>
            <w:tcW w:w="6004" w:type="dxa"/>
          </w:tcPr>
          <w:p w:rsidR="00871762" w:rsidRDefault="00871762" w:rsidP="00DC084A">
            <w:pPr>
              <w:spacing w:afterLines="80" w:after="192"/>
            </w:pPr>
            <w:r>
              <w:t>Describes the physical condition of the facility / service supplied and condition in which it is generally maintained.</w:t>
            </w:r>
          </w:p>
        </w:tc>
      </w:tr>
      <w:tr w:rsidR="00871762" w:rsidTr="00DC084A">
        <w:tc>
          <w:tcPr>
            <w:tcW w:w="2660" w:type="dxa"/>
          </w:tcPr>
          <w:p w:rsidR="00871762" w:rsidRDefault="00871762" w:rsidP="00DC084A">
            <w:pPr>
              <w:spacing w:afterLines="80" w:after="192"/>
            </w:pPr>
            <w:r>
              <w:t>Subjective indicators</w:t>
            </w:r>
          </w:p>
        </w:tc>
        <w:tc>
          <w:tcPr>
            <w:tcW w:w="6004" w:type="dxa"/>
          </w:tcPr>
          <w:p w:rsidR="00871762" w:rsidRDefault="00871762" w:rsidP="00DC084A">
            <w:pPr>
              <w:spacing w:afterLines="80" w:after="192"/>
            </w:pPr>
            <w:r>
              <w:t>Quality of service indicators provided by survey responses from airlines and passengers</w:t>
            </w:r>
          </w:p>
        </w:tc>
      </w:tr>
      <w:tr w:rsidR="00871762" w:rsidTr="00DC084A">
        <w:tc>
          <w:tcPr>
            <w:tcW w:w="2660" w:type="dxa"/>
          </w:tcPr>
          <w:p w:rsidR="00871762" w:rsidRDefault="00871762" w:rsidP="00DC084A">
            <w:pPr>
              <w:spacing w:afterLines="80" w:after="192"/>
            </w:pPr>
            <w:r>
              <w:t>Taxiway</w:t>
            </w:r>
          </w:p>
        </w:tc>
        <w:tc>
          <w:tcPr>
            <w:tcW w:w="6004" w:type="dxa"/>
          </w:tcPr>
          <w:p w:rsidR="00871762" w:rsidRDefault="00871762" w:rsidP="00DC084A">
            <w:pPr>
              <w:spacing w:afterLines="80" w:after="192"/>
            </w:pPr>
            <w:r>
              <w:t>Is a road for aircraft that connects runways with airport facilities including ramps, hangers and terminals</w:t>
            </w:r>
          </w:p>
        </w:tc>
      </w:tr>
      <w:tr w:rsidR="00871762" w:rsidTr="00DC084A">
        <w:tc>
          <w:tcPr>
            <w:tcW w:w="2660" w:type="dxa"/>
          </w:tcPr>
          <w:p w:rsidR="00871762" w:rsidRDefault="00871762" w:rsidP="00DC084A">
            <w:pPr>
              <w:spacing w:afterLines="80" w:after="192"/>
            </w:pPr>
            <w:r>
              <w:t>White paper</w:t>
            </w:r>
          </w:p>
        </w:tc>
        <w:tc>
          <w:tcPr>
            <w:tcW w:w="6004" w:type="dxa"/>
          </w:tcPr>
          <w:p w:rsidR="00871762" w:rsidRDefault="00871762" w:rsidP="00DC084A">
            <w:pPr>
              <w:spacing w:afterLines="80" w:after="192"/>
            </w:pPr>
            <w:r>
              <w:rPr>
                <w:i/>
              </w:rPr>
              <w:t>Aviation White Paper: Flight path to the future</w:t>
            </w:r>
            <w:r>
              <w:t>, Australian Government, 2009.</w:t>
            </w:r>
          </w:p>
          <w:p w:rsidR="00871762" w:rsidRPr="001D70CF" w:rsidRDefault="00871762" w:rsidP="00DC084A">
            <w:pPr>
              <w:spacing w:afterLines="80" w:after="192"/>
            </w:pPr>
          </w:p>
        </w:tc>
      </w:tr>
    </w:tbl>
    <w:p w:rsidR="00871762" w:rsidRDefault="00871762" w:rsidP="00871762">
      <w:pPr>
        <w:jc w:val="center"/>
      </w:pPr>
    </w:p>
    <w:p w:rsidR="00871762" w:rsidRDefault="00871762" w:rsidP="00871762">
      <w:pPr>
        <w:jc w:val="center"/>
      </w:pPr>
    </w:p>
    <w:p w:rsidR="00871762" w:rsidRDefault="00871762" w:rsidP="00871762">
      <w:pPr>
        <w:jc w:val="center"/>
      </w:pPr>
    </w:p>
    <w:p w:rsidR="00871762" w:rsidRDefault="00871762" w:rsidP="00871762">
      <w:pPr>
        <w:jc w:val="center"/>
      </w:pPr>
    </w:p>
    <w:p w:rsidR="00871762" w:rsidRDefault="00871762" w:rsidP="00871762">
      <w:pPr>
        <w:jc w:val="center"/>
      </w:pPr>
    </w:p>
    <w:p w:rsidR="00871762" w:rsidRDefault="00871762" w:rsidP="00871762">
      <w:pPr>
        <w:jc w:val="center"/>
      </w:pPr>
    </w:p>
    <w:p w:rsidR="00871762" w:rsidRDefault="00871762" w:rsidP="00871762">
      <w:pPr>
        <w:jc w:val="center"/>
      </w:pPr>
    </w:p>
    <w:p w:rsidR="00871762" w:rsidRDefault="00871762" w:rsidP="00871762">
      <w:pPr>
        <w:jc w:val="center"/>
      </w:pPr>
    </w:p>
    <w:p w:rsidR="00871762" w:rsidRDefault="00871762" w:rsidP="00871762">
      <w:pPr>
        <w:jc w:val="center"/>
      </w:pPr>
    </w:p>
    <w:p w:rsidR="00871762" w:rsidRDefault="00871762" w:rsidP="00871762">
      <w:pPr>
        <w:jc w:val="center"/>
      </w:pPr>
    </w:p>
    <w:p w:rsidR="003327F2" w:rsidRDefault="003327F2" w:rsidP="00E93068">
      <w:pPr>
        <w:spacing w:before="100" w:beforeAutospacing="1" w:after="100" w:afterAutospacing="1"/>
        <w:rPr>
          <w:rFonts w:cs="Arial"/>
          <w:color w:val="000000"/>
          <w:sz w:val="16"/>
          <w:szCs w:val="16"/>
        </w:rPr>
      </w:pPr>
    </w:p>
    <w:p w:rsidR="00EA71C1" w:rsidRDefault="00EA71C1" w:rsidP="00E93068">
      <w:pPr>
        <w:spacing w:before="100" w:beforeAutospacing="1" w:after="100" w:afterAutospacing="1"/>
        <w:rPr>
          <w:rFonts w:cs="Arial"/>
          <w:color w:val="000000"/>
          <w:sz w:val="16"/>
          <w:szCs w:val="16"/>
        </w:rPr>
      </w:pPr>
    </w:p>
    <w:p w:rsidR="00EA71C1" w:rsidRDefault="00EA71C1" w:rsidP="00E93068">
      <w:pPr>
        <w:spacing w:before="100" w:beforeAutospacing="1" w:after="100" w:afterAutospacing="1"/>
        <w:rPr>
          <w:rFonts w:cs="Arial"/>
          <w:color w:val="000000"/>
          <w:sz w:val="16"/>
          <w:szCs w:val="16"/>
        </w:rPr>
        <w:sectPr w:rsidR="00EA71C1" w:rsidSect="004D263A">
          <w:headerReference w:type="even" r:id="rId16"/>
          <w:headerReference w:type="default" r:id="rId17"/>
          <w:footnotePr>
            <w:numStart w:val="93"/>
          </w:footnotePr>
          <w:pgSz w:w="11906" w:h="16838"/>
          <w:pgMar w:top="1440" w:right="1729" w:bottom="1582" w:left="1729" w:header="709" w:footer="709" w:gutter="0"/>
          <w:pgNumType w:fmt="lowerRoman"/>
          <w:cols w:space="708"/>
          <w:docGrid w:linePitch="360"/>
        </w:sectPr>
      </w:pPr>
    </w:p>
    <w:p w:rsidR="004D263A" w:rsidRDefault="004D263A" w:rsidP="004D263A">
      <w:pPr>
        <w:spacing w:before="100" w:beforeAutospacing="1" w:after="100" w:afterAutospacing="1"/>
        <w:ind w:left="-567"/>
        <w:rPr>
          <w:noProof/>
          <w:lang w:eastAsia="en-AU"/>
        </w:rPr>
      </w:pPr>
      <w:r>
        <w:rPr>
          <w:noProof/>
          <w:lang w:eastAsia="en-AU"/>
        </w:rPr>
        <w:lastRenderedPageBreak/>
        <w:drawing>
          <wp:inline distT="0" distB="0" distL="0" distR="0" wp14:anchorId="55AFA906" wp14:editId="4EF432CE">
            <wp:extent cx="6248400" cy="7673073"/>
            <wp:effectExtent l="0" t="0" r="0" b="4445"/>
            <wp:docPr id="3" name="Picture 3" descr="C:\Users\tcarr\AppData\Local\Microsoft\Windows\Temporary Internet Files\Content.Outlook\6Q9B99JF\1064_Airport-Monitoring-Report-Infographics_D0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arr\AppData\Local\Microsoft\Windows\Temporary Internet Files\Content.Outlook\6Q9B99JF\1064_Airport-Monitoring-Report-Infographics_D09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0619" cy="7675798"/>
                    </a:xfrm>
                    <a:prstGeom prst="rect">
                      <a:avLst/>
                    </a:prstGeom>
                    <a:noFill/>
                    <a:ln>
                      <a:noFill/>
                    </a:ln>
                  </pic:spPr>
                </pic:pic>
              </a:graphicData>
            </a:graphic>
          </wp:inline>
        </w:drawing>
      </w:r>
    </w:p>
    <w:p w:rsidR="00EA71C1" w:rsidRDefault="00EA71C1"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sectPr w:rsidR="004D263A" w:rsidSect="004D263A">
          <w:headerReference w:type="even" r:id="rId19"/>
          <w:headerReference w:type="default" r:id="rId20"/>
          <w:footnotePr>
            <w:numStart w:val="93"/>
          </w:footnotePr>
          <w:pgSz w:w="11906" w:h="16838"/>
          <w:pgMar w:top="1440" w:right="1729" w:bottom="1582" w:left="1729" w:header="709" w:footer="709" w:gutter="0"/>
          <w:pgNumType w:fmt="lowerRoman"/>
          <w:cols w:space="708"/>
          <w:docGrid w:linePitch="360"/>
        </w:sectPr>
      </w:pPr>
    </w:p>
    <w:p w:rsidR="004D263A" w:rsidRPr="004D263A" w:rsidRDefault="004D263A" w:rsidP="004D263A">
      <w:pPr>
        <w:keepNext/>
        <w:pageBreakBefore/>
        <w:spacing w:after="480"/>
        <w:outlineLvl w:val="1"/>
        <w:rPr>
          <w:rFonts w:ascii="Lucida Fax" w:eastAsiaTheme="majorEastAsia" w:hAnsi="Lucida Fax" w:cstheme="majorBidi"/>
          <w:bCs/>
          <w:color w:val="4F2D7F"/>
          <w:sz w:val="52"/>
          <w:szCs w:val="28"/>
        </w:rPr>
      </w:pPr>
      <w:r>
        <w:rPr>
          <w:rFonts w:ascii="Lucida Fax" w:eastAsiaTheme="majorEastAsia" w:hAnsi="Lucida Fax" w:cstheme="majorBidi"/>
          <w:bCs/>
          <w:color w:val="4F2D7F"/>
          <w:sz w:val="52"/>
          <w:szCs w:val="28"/>
        </w:rPr>
        <w:lastRenderedPageBreak/>
        <w:t>K</w:t>
      </w:r>
      <w:r w:rsidRPr="004D263A">
        <w:rPr>
          <w:rFonts w:ascii="Lucida Fax" w:eastAsiaTheme="majorEastAsia" w:hAnsi="Lucida Fax" w:cstheme="majorBidi"/>
          <w:bCs/>
          <w:color w:val="4F2D7F"/>
          <w:sz w:val="52"/>
          <w:szCs w:val="28"/>
        </w:rPr>
        <w:t>ey Findings</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Higher international passenger numbers flow through to higher earnings for most airports</w:t>
      </w:r>
    </w:p>
    <w:p w:rsidR="004D263A" w:rsidRPr="004D263A" w:rsidRDefault="004D263A" w:rsidP="004D263A">
      <w:pPr>
        <w:keepNext/>
        <w:ind w:left="993"/>
      </w:pPr>
      <w:r w:rsidRPr="004D263A">
        <w:t xml:space="preserve">While domestic passenger growth was flat during 2014-15 with a rise of just 0.7 per cent across the four monitored airports, international passengers grew 3.7 per cent. This growth in international passengers and the higher fees they attract resulted in three of the monitored airports reporting increases in aeronautical revenue of between 1.8 to 10.7 per cent in real terms. Brisbane Airport had the highest increase in aggregate aeronautical margin with growth of 12.9 per cent in real terms (to $118.6 million). </w:t>
      </w:r>
    </w:p>
    <w:p w:rsidR="004D263A" w:rsidRPr="004D263A" w:rsidRDefault="004D263A" w:rsidP="004D263A">
      <w:pPr>
        <w:keepNext/>
        <w:ind w:left="993"/>
      </w:pPr>
      <w:r w:rsidRPr="004D263A">
        <w:t>Aeronautical activities remain very profitable for the airports. Return on sales (or the profit earnt from a dollar of aeronautical revenue) ranged from a low of 40.2 cents at Perth Airport to a high of 50.1 cents at Sydney Airport. This latter figure is the highest of any airport since the time series began in 2004-05.</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Car parking margins remain very high, despite consumers increasingly taking advantage of online discounts</w:t>
      </w:r>
    </w:p>
    <w:p w:rsidR="004D263A" w:rsidRPr="004D263A" w:rsidRDefault="004D263A" w:rsidP="004D263A">
      <w:pPr>
        <w:keepNext/>
        <w:ind w:left="993"/>
      </w:pPr>
      <w:r w:rsidRPr="004D263A">
        <w:t xml:space="preserve">As the only suppliers of car parking on the airport grounds, the four monitored airports continue to earn significant profits from car parking. Return on sales for car parking revenue ranged from a low of 63.7 cents for Perth Airport to 73.2 cents for Melbourne Airport. </w:t>
      </w:r>
    </w:p>
    <w:p w:rsidR="004D263A" w:rsidRPr="004D263A" w:rsidRDefault="004D263A" w:rsidP="004D263A">
      <w:pPr>
        <w:keepNext/>
        <w:ind w:left="993"/>
      </w:pPr>
      <w:r w:rsidRPr="004D263A">
        <w:t xml:space="preserve">However, savvy motorists are increasingly taking advantage of the discount rates available by booking online. The ACCC found that consumers could save up to 66.5 per cent for longer term durations. Booking online is much more common for long-term parking where the discounts are higher and there is less need to be precise regarding arrival and departure times.  </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Quality of service outcomes were mixed, with passengers more satisfied than airlines</w:t>
      </w:r>
    </w:p>
    <w:p w:rsidR="004D263A" w:rsidRPr="004D263A" w:rsidRDefault="004D263A" w:rsidP="004D263A">
      <w:pPr>
        <w:keepNext/>
        <w:ind w:left="993"/>
      </w:pPr>
      <w:r w:rsidRPr="004D263A">
        <w:t xml:space="preserve">Overall </w:t>
      </w:r>
      <w:proofErr w:type="gramStart"/>
      <w:r w:rsidRPr="004D263A">
        <w:t>quality of service outcomes for the monitored airports were</w:t>
      </w:r>
      <w:proofErr w:type="gramEnd"/>
      <w:r w:rsidRPr="004D263A">
        <w:t xml:space="preserve"> mixed during 2014-15. Brisbane Airport once again came out on top. Both Brisbane and Perth airports were rated in the ‘good’ category. The performance of the larger airports of Melbourne and Sydney placed them at the top end of ‘satisfactory’. Over the period from 2004-05 to present, there have been no significant improvements in any of the monitored airports’ average quality of service ratings.</w:t>
      </w:r>
    </w:p>
    <w:p w:rsidR="004D263A" w:rsidRPr="004D263A" w:rsidRDefault="004D263A" w:rsidP="004D263A">
      <w:pPr>
        <w:keepNext/>
        <w:ind w:left="993"/>
      </w:pPr>
      <w:r w:rsidRPr="004D263A">
        <w:t xml:space="preserve">Airports appear to be satisfying passengers slightly more than airlines. All airports were rated as ‘good’ by passengers, with ratings at Brisbane and Perth airports marginally higher in 2014-15 than the previous year. However, Brisbane Airport was the only airport to be rated as ‘good’ by the airlines. Sydney Airport was the lowest rated airport by the airlines.  </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Over $1 billion in aeronautical investment may improve quality of service and ease congestion</w:t>
      </w:r>
    </w:p>
    <w:p w:rsidR="004D263A" w:rsidRPr="004D263A" w:rsidRDefault="004D263A" w:rsidP="004D263A">
      <w:pPr>
        <w:keepNext/>
        <w:ind w:left="993"/>
      </w:pPr>
      <w:r w:rsidRPr="004D263A">
        <w:t>Passengers are likely to benefit from a significant boost to investment, with the four monitored airports undertaking the largest aggregate capital spend on aeronautical assets since the airports were privatised. Perth, Melbourne and Brisbane airports all reported the largest additions as a percentage of aeronautical tangible non-current assets since privatisation. The aeronautical asset base increased across all airports except for Sydney Airport, which decreased by 3.2 per cent during 2014-15.</w:t>
      </w:r>
    </w:p>
    <w:p w:rsidR="004D263A" w:rsidRPr="004D263A" w:rsidRDefault="004D263A" w:rsidP="004D263A">
      <w:pPr>
        <w:keepNext/>
        <w:ind w:left="993"/>
      </w:pPr>
      <w:r w:rsidRPr="004D263A">
        <w:lastRenderedPageBreak/>
        <w:t xml:space="preserve">The major projects contributing to these capital additions include the new runway at Brisbane Airport, the new domestic terminal T4 at Melbourne Airport, and Perth Airport’s Terminal 1 International and Domestic Pier (which provides a domestic passenger facility with direct connections to the international terminal). </w:t>
      </w:r>
    </w:p>
    <w:p w:rsidR="004D263A" w:rsidRPr="004D263A" w:rsidRDefault="004D263A" w:rsidP="004D263A">
      <w:pPr>
        <w:keepNext/>
        <w:ind w:left="993"/>
      </w:pPr>
      <w:r w:rsidRPr="004D263A">
        <w:t xml:space="preserve">This investment follows past concern by the ACCC that the airports may not have invested in a way that added sufficient capacity to avoid congestion or accommodate forecast growth. Whether due to recent investment by airports, improved airline performance, changes in weather or simply a slowdown in passenger numbers, the proportion of flights that were on time in 2014-15 was the highest since 2006-07.  </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Individual monitored airport performance for 2014-15</w:t>
      </w:r>
    </w:p>
    <w:p w:rsidR="004D263A" w:rsidRPr="004D263A" w:rsidRDefault="004D263A" w:rsidP="004D263A">
      <w:pPr>
        <w:keepNext/>
        <w:ind w:left="993"/>
      </w:pPr>
      <w:r w:rsidRPr="004D263A">
        <w:t xml:space="preserve">The ACCC’s monitoring role for aeronautical services and facilities relates only to those terminals that are owned and operated by the airports. </w:t>
      </w:r>
    </w:p>
    <w:p w:rsidR="004D263A" w:rsidRPr="004D263A" w:rsidRDefault="004D263A" w:rsidP="004D263A">
      <w:pPr>
        <w:keepNext/>
        <w:ind w:left="993"/>
        <w:rPr>
          <w:i/>
        </w:rPr>
      </w:pPr>
      <w:r w:rsidRPr="004D263A">
        <w:rPr>
          <w:i/>
        </w:rPr>
        <w:t>Brisbane Airport</w:t>
      </w:r>
    </w:p>
    <w:p w:rsidR="004D263A" w:rsidRPr="004D263A" w:rsidRDefault="004D263A" w:rsidP="004D263A">
      <w:pPr>
        <w:keepNext/>
        <w:ind w:left="993"/>
      </w:pPr>
      <w:r w:rsidRPr="004D263A">
        <w:t xml:space="preserve">Brisbane Airport reported a relatively low increase in passengers of 0.8 per cent. Although domestic passenger numbers declined during 2014-15, international passenger growth was strong with an increase of 6.0 per cent. </w:t>
      </w:r>
    </w:p>
    <w:p w:rsidR="004D263A" w:rsidRPr="004D263A" w:rsidRDefault="004D263A" w:rsidP="004D263A">
      <w:pPr>
        <w:keepNext/>
        <w:ind w:left="993"/>
      </w:pPr>
      <w:r w:rsidRPr="004D263A">
        <w:t xml:space="preserve">Brisbane Airport reported the largest increase in aeronautical revenue of the monitored airports, with growth of 10.7 per cent in real terms during 2014-15 to $272.2 million. It had the second highest return on sales of the four airports with respect to aeronautical activities, with a return of 43.6 cents for each dollar in revenue. </w:t>
      </w:r>
      <w:proofErr w:type="gramStart"/>
      <w:r w:rsidRPr="004D263A">
        <w:t>The revenue from Brisbane Airport’s car parking services increased by 4.6 per cent to $84.5 million.</w:t>
      </w:r>
      <w:proofErr w:type="gramEnd"/>
      <w:r w:rsidRPr="004D263A">
        <w:t xml:space="preserve"> While its return on sales of 67.2 per cent for car parking activities was the second lowest of the four airports, it also reported the second highest growth (up 2.9 percentage points). </w:t>
      </w:r>
    </w:p>
    <w:p w:rsidR="004D263A" w:rsidRPr="004D263A" w:rsidRDefault="004D263A" w:rsidP="004D263A">
      <w:pPr>
        <w:keepNext/>
        <w:ind w:left="993"/>
      </w:pPr>
      <w:r w:rsidRPr="004D263A">
        <w:t xml:space="preserve">Brisbane Airport’s overall average quality of service rating remained unchanged at ‘good’ during 2014-15. Brisbane Airport has been rated the highest of the monitored airports since 2004-05. Both passengers and airlines continue to rate Brisbane Airport the highest of the monitored airports with ratings of ‘good’ from both. </w:t>
      </w:r>
    </w:p>
    <w:p w:rsidR="004D263A" w:rsidRPr="004D263A" w:rsidRDefault="004D263A" w:rsidP="004D263A">
      <w:pPr>
        <w:keepNext/>
        <w:ind w:left="993"/>
      </w:pPr>
      <w:r w:rsidRPr="004D263A">
        <w:t xml:space="preserve">Brisbane Airport’s 2014-15 aeronautical capital </w:t>
      </w:r>
      <w:proofErr w:type="gramStart"/>
      <w:r w:rsidRPr="004D263A">
        <w:t>spend</w:t>
      </w:r>
      <w:proofErr w:type="gramEnd"/>
      <w:r w:rsidRPr="004D263A">
        <w:t xml:space="preserve"> was its largest in real terms since privatisation. A number of aeronautical projects were completed during 2014</w:t>
      </w:r>
      <w:r w:rsidRPr="004D263A">
        <w:noBreakHyphen/>
        <w:t xml:space="preserve">15 including the expansion of the Domestic Southern Apron. Brisbane Airport’s major ongoing aeronautical project is the construction of its new parallel runway. </w:t>
      </w:r>
    </w:p>
    <w:p w:rsidR="004D263A" w:rsidRPr="004D263A" w:rsidRDefault="004D263A" w:rsidP="004D263A">
      <w:pPr>
        <w:keepNext/>
        <w:ind w:left="993"/>
        <w:rPr>
          <w:i/>
        </w:rPr>
      </w:pPr>
      <w:r w:rsidRPr="004D263A">
        <w:rPr>
          <w:i/>
        </w:rPr>
        <w:t>Melbourne Airport</w:t>
      </w:r>
    </w:p>
    <w:p w:rsidR="004D263A" w:rsidRPr="004D263A" w:rsidRDefault="004D263A" w:rsidP="004D263A">
      <w:pPr>
        <w:keepNext/>
        <w:ind w:left="993"/>
      </w:pPr>
      <w:r w:rsidRPr="004D263A">
        <w:t xml:space="preserve">Melbourne Airport reported the largest passenger growth of the monitored airports with a rise of 3.6 per cent during 2014-15. It also reported the largest growth for both domestic (2.2 per cent) and international passengers (7.7 per cent) respectively.  </w:t>
      </w:r>
    </w:p>
    <w:p w:rsidR="004D263A" w:rsidRPr="004D263A" w:rsidRDefault="004D263A" w:rsidP="004D263A">
      <w:pPr>
        <w:keepNext/>
        <w:ind w:left="993"/>
      </w:pPr>
      <w:r w:rsidRPr="004D263A">
        <w:t xml:space="preserve">The growth in international passengers and some higher charges resulted in aeronautical revenue growing by 7.7 per cent to $338.2 million. </w:t>
      </w:r>
      <w:proofErr w:type="gramStart"/>
      <w:r w:rsidRPr="004D263A">
        <w:t>Melbourne Airport earnt 43.4 cents in profit from each dollar of aeronautical revenue.</w:t>
      </w:r>
      <w:proofErr w:type="gramEnd"/>
      <w:r w:rsidRPr="004D263A">
        <w:t xml:space="preserve"> Melbourne Airport’s car park revenue increased by 14.8 per cent to $147.0 million, the highest that any monitored airport has ever reported. It also reported the highest return on sales from car parking activities, making 73.2 cents in profit from each dollar of revenue. Revenue per car park space also had a relatively large increase of 20.7 per cent in real terms.</w:t>
      </w:r>
    </w:p>
    <w:p w:rsidR="004D263A" w:rsidRPr="004D263A" w:rsidRDefault="004D263A" w:rsidP="004D263A">
      <w:pPr>
        <w:keepNext/>
        <w:ind w:left="993"/>
      </w:pPr>
      <w:r w:rsidRPr="004D263A">
        <w:lastRenderedPageBreak/>
        <w:t xml:space="preserve">Melbourne Airport’s overall average quality of service rating remained unchanged at the top end of the ‘satisfactory’ category. This placed it equal lowest overall with Sydney Airport. Average passenger and airline ratings for Melbourne Airport remained unchanged at ‘good’ and ‘satisfactory’ during 2014-15. </w:t>
      </w:r>
    </w:p>
    <w:p w:rsidR="004D263A" w:rsidRPr="004D263A" w:rsidRDefault="004D263A" w:rsidP="004D263A">
      <w:pPr>
        <w:keepNext/>
        <w:ind w:left="993"/>
      </w:pPr>
      <w:r w:rsidRPr="004D263A">
        <w:t>Melbourne Airport’s aeronautical capital spend of $484 million during 2014-15 was its largest since the airport’s privatisation.  Aeronautical projects completed included the ‘bussing, premium lounge and transfer screening facilities’ project and additional bag drop facilities in the international terminal. Melbourne Airport’s major ongoing aeronautical project was the construction of a new Terminal 4, which had a staged opening commencing on 18 August 2015.</w:t>
      </w:r>
    </w:p>
    <w:p w:rsidR="004D263A" w:rsidRPr="004D263A" w:rsidRDefault="004D263A" w:rsidP="004D263A">
      <w:pPr>
        <w:keepNext/>
        <w:ind w:left="993"/>
        <w:rPr>
          <w:i/>
        </w:rPr>
      </w:pPr>
      <w:r w:rsidRPr="004D263A">
        <w:rPr>
          <w:i/>
        </w:rPr>
        <w:t>Perth Airport</w:t>
      </w:r>
    </w:p>
    <w:p w:rsidR="004D263A" w:rsidRPr="004D263A" w:rsidRDefault="004D263A" w:rsidP="004D263A">
      <w:pPr>
        <w:keepNext/>
        <w:ind w:left="993"/>
      </w:pPr>
      <w:r w:rsidRPr="004D263A">
        <w:t xml:space="preserve">Perth Airport was the only monitored airport to report a drop in total passenger numbers during 2014-15 with a decrease of 1.0 per cent. This likely represents the end of a high growth period as a slowdown in the resources sector has reduced the number of flights by fly-in, fly-out workers. </w:t>
      </w:r>
    </w:p>
    <w:p w:rsidR="004D263A" w:rsidRPr="004D263A" w:rsidRDefault="004D263A" w:rsidP="004D263A">
      <w:pPr>
        <w:keepNext/>
        <w:ind w:left="993"/>
      </w:pPr>
      <w:proofErr w:type="gramStart"/>
      <w:r w:rsidRPr="004D263A">
        <w:t>Subsequently, Perth Airport’s aeronautical revenue decreased by 1.4 in real terms to $186.6 million.</w:t>
      </w:r>
      <w:proofErr w:type="gramEnd"/>
      <w:r w:rsidRPr="004D263A">
        <w:t xml:space="preserve"> Perth was the only airport to see its return on sales from aeronautical activities fall (down 3.6 to 40.2 per cent of revenue). The falling passenger numbers also impacted its car parking operations, with both revenue ($65.1 million) and return on sales (63.7 per cent of revenue) declining.   </w:t>
      </w:r>
    </w:p>
    <w:p w:rsidR="004D263A" w:rsidRPr="004D263A" w:rsidRDefault="004D263A" w:rsidP="004D263A">
      <w:pPr>
        <w:keepNext/>
        <w:ind w:left="993"/>
      </w:pPr>
      <w:r w:rsidRPr="004D263A">
        <w:t>Perth Airport’s overall average quality of service rating increased slightly within the ‘good’ range. Perth and Brisbane airports were the only airports to be rated as ‘good’ during 2014-15. Both airlines and passengers’ average ratings rose slightly but remained within the ‘satisfactory’ and ‘good’ ranges respectively.</w:t>
      </w:r>
    </w:p>
    <w:p w:rsidR="004D263A" w:rsidRPr="004D263A" w:rsidRDefault="004D263A" w:rsidP="004D263A">
      <w:pPr>
        <w:keepNext/>
        <w:ind w:left="993"/>
      </w:pPr>
      <w:r w:rsidRPr="004D263A">
        <w:t>Perth also reported record aeronautical capital spends during 2014-15, investing $250 million. Further, Perth Airport reported the largest additions as a percentage of aeronautical assets of the monitored airports with 28.7 per cent. The major aeronautical projects completed included the expansion and refurbishment works in T3 which increased the departure lounge area and an upgrade of the baggage handling system. The most significant aeronautical project underway during 2014</w:t>
      </w:r>
      <w:r w:rsidRPr="004D263A">
        <w:noBreakHyphen/>
        <w:t xml:space="preserve">15 was the T1 International and Domestic Pier project with a value of $330 million. </w:t>
      </w:r>
    </w:p>
    <w:p w:rsidR="004D263A" w:rsidRPr="004D263A" w:rsidRDefault="004D263A" w:rsidP="004D263A">
      <w:pPr>
        <w:keepNext/>
        <w:ind w:left="993"/>
        <w:rPr>
          <w:i/>
        </w:rPr>
      </w:pPr>
      <w:r w:rsidRPr="004D263A">
        <w:rPr>
          <w:i/>
        </w:rPr>
        <w:t>Sydney Airport</w:t>
      </w:r>
    </w:p>
    <w:p w:rsidR="004D263A" w:rsidRPr="004D263A" w:rsidRDefault="004D263A" w:rsidP="004D263A">
      <w:pPr>
        <w:keepNext/>
        <w:ind w:left="993"/>
      </w:pPr>
      <w:r w:rsidRPr="004D263A">
        <w:t xml:space="preserve">Total passenger growth was relatively flat with an overall increase of 1.2 per cent. Both domestic (1.4 per cent) and international passenger growth (1.0 per cent) was modest. </w:t>
      </w:r>
    </w:p>
    <w:p w:rsidR="004D263A" w:rsidRPr="004D263A" w:rsidRDefault="004D263A" w:rsidP="004D263A">
      <w:pPr>
        <w:keepNext/>
        <w:ind w:left="993"/>
      </w:pPr>
      <w:r w:rsidRPr="004D263A">
        <w:t>The flat passenger numbers led to a relatively low increase in aeronautical revenue, up 1.8 per cent in real terms to $643.0 million. The airport’s aeronautical return on sales was 50.1 per cent, up 0.2 percentage points. Sydney Airport’s car park revenue increased 4.7 per cent in real terms to $127.8 million. It made a return on sales of 71.6 cents for each dollar of car parking revenue (down 1.7 percentage points).</w:t>
      </w:r>
    </w:p>
    <w:p w:rsidR="004D263A" w:rsidRPr="004D263A" w:rsidRDefault="004D263A" w:rsidP="004D263A">
      <w:pPr>
        <w:keepNext/>
        <w:ind w:left="993"/>
      </w:pPr>
      <w:r w:rsidRPr="004D263A">
        <w:t xml:space="preserve">Sydney Airport’s overall average quality of service rating remained virtually unchanged at the top end of the ‘satisfactory’ category. This placed it equal lowest with Melbourne Airport. Average passenger ratings remained unchanged at ‘good’, while average airline ratings remained at ‘satisfactory’ but at a lower level within that band. </w:t>
      </w:r>
    </w:p>
    <w:p w:rsidR="004D263A" w:rsidRPr="004D263A" w:rsidRDefault="004D263A" w:rsidP="004D263A">
      <w:pPr>
        <w:keepNext/>
        <w:ind w:left="993"/>
      </w:pPr>
      <w:r w:rsidRPr="004D263A">
        <w:lastRenderedPageBreak/>
        <w:t xml:space="preserve">Sydney Airport added $126 million in aeronautical assets in 2014-15. It reported the lowest percentage of aeronautical additions as a percentage of aeronautical assets of the monitored airports with 5.0 per cent during 2014-15. The major aeronautical projects completed during 2014-15 include the T1 early bag store system. Significant airfield projects commenced during 2014-15 include taxiway strengthening and additional aprons.   </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 xml:space="preserve">All monitored airports have reported higher aeronautical prices and lower quality outcomes over the past 11 years </w:t>
      </w:r>
    </w:p>
    <w:p w:rsidR="004D263A" w:rsidRPr="004D263A" w:rsidRDefault="004D263A" w:rsidP="004D263A">
      <w:pPr>
        <w:keepNext/>
        <w:ind w:left="993"/>
      </w:pPr>
      <w:r w:rsidRPr="004D263A">
        <w:t>An unconstrained monopolist would be expected to exercise its market power to increase prices and provide lower service quality outcomes over time. All monitored airports have seen their earnings increase in real terms over the past decade, while quality of service outcomes have declined slightly.</w:t>
      </w:r>
    </w:p>
    <w:p w:rsidR="004D263A" w:rsidRPr="004D263A" w:rsidRDefault="004D263A" w:rsidP="004D263A">
      <w:pPr>
        <w:keepNext/>
        <w:ind w:left="993"/>
      </w:pPr>
      <w:r w:rsidRPr="004D263A">
        <w:t xml:space="preserve">Chart 1 presents aeronautical revenue per passenger (a proxy for average price) and aeronautical quality of service ratings in 2004-05 and 2014-15. The most favoured combination for a passenger of lower price and higher quality outcomes would be located in the lower right quadrant. While three of the airports were in this quadrant in 2004-05, there were no airports in this quadrant for 2014-15.   </w:t>
      </w:r>
    </w:p>
    <w:p w:rsidR="004D263A" w:rsidRPr="004D263A" w:rsidRDefault="004D263A" w:rsidP="004D263A">
      <w:pPr>
        <w:keepNext/>
        <w:spacing w:before="240" w:after="200" w:line="276" w:lineRule="auto"/>
        <w:ind w:left="1440" w:hanging="1440"/>
        <w:outlineLvl w:val="3"/>
        <w:rPr>
          <w:b/>
          <w:color w:val="51626F"/>
        </w:rPr>
      </w:pPr>
      <w:r w:rsidRPr="004D263A">
        <w:rPr>
          <w:b/>
          <w:color w:val="51626F"/>
        </w:rPr>
        <w:t>Chart 1:</w:t>
      </w:r>
      <w:r w:rsidRPr="004D263A">
        <w:rPr>
          <w:b/>
          <w:color w:val="51626F"/>
        </w:rPr>
        <w:tab/>
        <w:t>Aeronautical revenue per passenger (in real terms) and aeronautical quality of service ratings, 2004</w:t>
      </w:r>
      <w:r w:rsidRPr="004D263A">
        <w:rPr>
          <w:b/>
          <w:color w:val="51626F"/>
        </w:rPr>
        <w:noBreakHyphen/>
        <w:t>05 and 2014</w:t>
      </w:r>
      <w:r w:rsidRPr="004D263A">
        <w:rPr>
          <w:b/>
          <w:color w:val="51626F"/>
        </w:rPr>
        <w:noBreakHyphen/>
        <w:t>15</w:t>
      </w:r>
    </w:p>
    <w:p w:rsidR="004D263A" w:rsidRPr="004D263A" w:rsidRDefault="004D263A" w:rsidP="004D263A">
      <w:pPr>
        <w:keepNext/>
        <w:jc w:val="center"/>
        <w:rPr>
          <w:rFonts w:eastAsia="Calibri" w:cs="Times New Roman"/>
          <w:b/>
          <w:color w:val="51626F"/>
          <w:lang w:eastAsia="en-AU"/>
        </w:rPr>
      </w:pPr>
      <w:r w:rsidRPr="004D263A">
        <w:rPr>
          <w:b/>
          <w:noProof/>
          <w:color w:val="51626F"/>
          <w:lang w:eastAsia="en-AU"/>
        </w:rPr>
        <mc:AlternateContent>
          <mc:Choice Requires="wpg">
            <w:drawing>
              <wp:anchor distT="0" distB="0" distL="114300" distR="114300" simplePos="0" relativeHeight="251675136" behindDoc="0" locked="0" layoutInCell="1" allowOverlap="1" wp14:anchorId="094DEAB2" wp14:editId="0D316AAF">
                <wp:simplePos x="0" y="0"/>
                <wp:positionH relativeFrom="column">
                  <wp:posOffset>3355975</wp:posOffset>
                </wp:positionH>
                <wp:positionV relativeFrom="paragraph">
                  <wp:posOffset>3030220</wp:posOffset>
                </wp:positionV>
                <wp:extent cx="997585" cy="395605"/>
                <wp:effectExtent l="0" t="19050" r="0" b="44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395605"/>
                          <a:chOff x="7219" y="2084"/>
                          <a:chExt cx="1571" cy="623"/>
                        </a:xfrm>
                      </wpg:grpSpPr>
                      <wps:wsp>
                        <wps:cNvPr id="7" name="AutoShape 3"/>
                        <wps:cNvSpPr>
                          <a:spLocks noChangeArrowheads="1"/>
                        </wps:cNvSpPr>
                        <wps:spPr bwMode="auto">
                          <a:xfrm rot="16200000">
                            <a:off x="7739" y="1670"/>
                            <a:ext cx="546" cy="137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4"/>
                        <wps:cNvSpPr txBox="1">
                          <a:spLocks noChangeArrowheads="1"/>
                        </wps:cNvSpPr>
                        <wps:spPr bwMode="auto">
                          <a:xfrm>
                            <a:off x="7219" y="2242"/>
                            <a:ext cx="157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832DF4" w:rsidRDefault="007A2C42" w:rsidP="004D263A">
                              <w:pPr>
                                <w:rPr>
                                  <w:b/>
                                  <w:sz w:val="14"/>
                                </w:rPr>
                              </w:pPr>
                              <w:r w:rsidRPr="00832DF4">
                                <w:rPr>
                                  <w:b/>
                                  <w:sz w:val="14"/>
                                </w:rPr>
                                <w:t>HIGHER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2" style="position:absolute;left:0;text-align:left;margin-left:264.25pt;margin-top:238.6pt;width:78.55pt;height:31.15pt;z-index:251675136" coordorigin="7219,2084" coordsize="157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33" type="#_x0000_t67" style="position:absolute;left:7739;top:1670;width:546;height:13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w28AA&#10;AADaAAAADwAAAGRycy9kb3ducmV2LnhtbERPXWvCMBR9H/gfwhX2MjRVREc1igiCMGSs+jDfLs21&#10;LTY3JYmm+/eLMNjj4XyvNr1pxYOcbywrmIwzEMSl1Q1XCs6n/egdhA/IGlvLpOCHPGzWg5cV5tpG&#10;/qJHESqRQtjnqKAOocul9GVNBv3YdsSJu1pnMCToKqkdxhRuWjnNsrk02HBqqLGjXU3lrbibNOPy&#10;OVvMvkOcn4pYnT+O8c1dtkq9DvvtEkSgPvyL/9wHrWABzyvJD3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uw28AAAADaAAAADwAAAAAAAAAAAAAAAACYAgAAZHJzL2Rvd25y&#10;ZXYueG1sUEsFBgAAAAAEAAQA9QAAAIUDAAAAAA==&#10;" adj="15623"/>
                <v:shape id="Text Box 4" o:spid="_x0000_s1034" type="#_x0000_t202" style="position:absolute;left:7219;top:2242;width:157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A2C42" w:rsidRPr="00832DF4" w:rsidRDefault="007A2C42" w:rsidP="004D263A">
                        <w:pPr>
                          <w:rPr>
                            <w:b/>
                            <w:sz w:val="14"/>
                          </w:rPr>
                        </w:pPr>
                        <w:r w:rsidRPr="00832DF4">
                          <w:rPr>
                            <w:b/>
                            <w:sz w:val="14"/>
                          </w:rPr>
                          <w:t>HIGHER QUALITY</w:t>
                        </w:r>
                      </w:p>
                    </w:txbxContent>
                  </v:textbox>
                </v:shape>
              </v:group>
            </w:pict>
          </mc:Fallback>
        </mc:AlternateContent>
      </w:r>
      <w:r w:rsidRPr="004D263A">
        <w:rPr>
          <w:b/>
          <w:noProof/>
          <w:color w:val="51626F"/>
          <w:lang w:eastAsia="en-AU"/>
        </w:rPr>
        <mc:AlternateContent>
          <mc:Choice Requires="wpg">
            <w:drawing>
              <wp:anchor distT="0" distB="0" distL="114300" distR="114300" simplePos="0" relativeHeight="251674112" behindDoc="0" locked="0" layoutInCell="1" allowOverlap="1" wp14:anchorId="3BD68202" wp14:editId="2F4656AD">
                <wp:simplePos x="0" y="0"/>
                <wp:positionH relativeFrom="column">
                  <wp:posOffset>1111436</wp:posOffset>
                </wp:positionH>
                <wp:positionV relativeFrom="paragraph">
                  <wp:posOffset>86651</wp:posOffset>
                </wp:positionV>
                <wp:extent cx="1087062" cy="340187"/>
                <wp:effectExtent l="19050" t="19050" r="18415" b="412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062" cy="340187"/>
                          <a:chOff x="4700" y="2824"/>
                          <a:chExt cx="2284" cy="820"/>
                        </a:xfrm>
                      </wpg:grpSpPr>
                      <wps:wsp>
                        <wps:cNvPr id="10" name="AutoShape 9"/>
                        <wps:cNvSpPr>
                          <a:spLocks noChangeArrowheads="1"/>
                        </wps:cNvSpPr>
                        <wps:spPr bwMode="auto">
                          <a:xfrm rot="5400000">
                            <a:off x="5432" y="2092"/>
                            <a:ext cx="820" cy="228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0"/>
                        <wps:cNvSpPr txBox="1">
                          <a:spLocks noChangeArrowheads="1"/>
                        </wps:cNvSpPr>
                        <wps:spPr bwMode="auto">
                          <a:xfrm>
                            <a:off x="5031" y="3044"/>
                            <a:ext cx="195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832DF4" w:rsidRDefault="007A2C42" w:rsidP="004D263A">
                              <w:pPr>
                                <w:jc w:val="both"/>
                                <w:rPr>
                                  <w:b/>
                                  <w:sz w:val="14"/>
                                </w:rPr>
                              </w:pPr>
                              <w:r w:rsidRPr="00832DF4">
                                <w:rPr>
                                  <w:b/>
                                  <w:sz w:val="14"/>
                                </w:rPr>
                                <w:t>LOWER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5" style="position:absolute;left:0;text-align:left;margin-left:87.5pt;margin-top:6.8pt;width:85.6pt;height:26.8pt;z-index:251674112" coordorigin="4700,2824" coordsize="22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">
                <v:shape id="AutoShape 9" o:spid="_x0000_s1036" type="#_x0000_t67" style="position:absolute;left:5432;top:2092;width:820;height:2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lMQA&#10;AADbAAAADwAAAGRycy9kb3ducmV2LnhtbESPQWsCMRCF7wX/Q5hCbzWrliJbo6ggeqgFbSn0Nmym&#10;u6GbybKJmv575yB4m+G9ee+b2SL7Vp2pjy6wgdGwAEVcBeu4NvD1uXmegooJ2WIbmAz8U4TFfPAw&#10;w9KGCx/ofEy1khCOJRpoUupKrWPVkMc4DB2xaL+h95hk7Wtte7xIuG/1uChetUfH0tBgR+uGqr/j&#10;yRv4cDuXV+9b+pm8rL/T0u1HeWWNeXrMyzdQiXK6m2/XOyv4Qi+/yAB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xpTEAAAA2wAAAA8AAAAAAAAAAAAAAAAAmAIAAGRycy9k&#10;b3ducmV2LnhtbFBLBQYAAAAABAAEAPUAAACJAwAAAAA=&#10;"/>
                <v:shape id="Text Box 10" o:spid="_x0000_s1037" type="#_x0000_t202" style="position:absolute;left:5031;top:3044;width:195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7A2C42" w:rsidRPr="00832DF4" w:rsidRDefault="007A2C42" w:rsidP="004D263A">
                        <w:pPr>
                          <w:jc w:val="both"/>
                          <w:rPr>
                            <w:b/>
                            <w:sz w:val="14"/>
                          </w:rPr>
                        </w:pPr>
                        <w:r w:rsidRPr="00832DF4">
                          <w:rPr>
                            <w:b/>
                            <w:sz w:val="14"/>
                          </w:rPr>
                          <w:t>LOWER QUALITY</w:t>
                        </w:r>
                      </w:p>
                    </w:txbxContent>
                  </v:textbox>
                </v:shape>
              </v:group>
            </w:pict>
          </mc:Fallback>
        </mc:AlternateContent>
      </w:r>
      <w:r w:rsidRPr="004D263A">
        <w:rPr>
          <w:b/>
          <w:noProof/>
          <w:color w:val="51626F"/>
          <w:lang w:eastAsia="en-AU"/>
        </w:rPr>
        <mc:AlternateContent>
          <mc:Choice Requires="wpg">
            <w:drawing>
              <wp:anchor distT="0" distB="0" distL="114300" distR="114300" simplePos="0" relativeHeight="251673088" behindDoc="0" locked="0" layoutInCell="1" allowOverlap="1" wp14:anchorId="3877FD6B" wp14:editId="6E41D227">
                <wp:simplePos x="0" y="0"/>
                <wp:positionH relativeFrom="column">
                  <wp:posOffset>-116032</wp:posOffset>
                </wp:positionH>
                <wp:positionV relativeFrom="paragraph">
                  <wp:posOffset>773026</wp:posOffset>
                </wp:positionV>
                <wp:extent cx="962660" cy="775335"/>
                <wp:effectExtent l="0" t="19050" r="46990"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775335"/>
                          <a:chOff x="1431" y="4480"/>
                          <a:chExt cx="1516" cy="1221"/>
                        </a:xfrm>
                      </wpg:grpSpPr>
                      <wps:wsp>
                        <wps:cNvPr id="13" name="AutoShape 3"/>
                        <wps:cNvSpPr>
                          <a:spLocks noChangeArrowheads="1"/>
                        </wps:cNvSpPr>
                        <wps:spPr bwMode="auto">
                          <a:xfrm rot="10800000">
                            <a:off x="2481" y="4480"/>
                            <a:ext cx="466" cy="1079"/>
                          </a:xfrm>
                          <a:prstGeom prst="downArrow">
                            <a:avLst>
                              <a:gd name="adj1" fmla="val 50000"/>
                              <a:gd name="adj2" fmla="val 6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Text Box 4"/>
                        <wps:cNvSpPr txBox="1">
                          <a:spLocks noChangeArrowheads="1"/>
                        </wps:cNvSpPr>
                        <wps:spPr bwMode="auto">
                          <a:xfrm>
                            <a:off x="1431" y="4894"/>
                            <a:ext cx="1356"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832DF4" w:rsidRDefault="007A2C42" w:rsidP="004D263A">
                              <w:pPr>
                                <w:jc w:val="center"/>
                                <w:rPr>
                                  <w:b/>
                                  <w:sz w:val="14"/>
                                </w:rPr>
                              </w:pPr>
                              <w:r w:rsidRPr="00832DF4">
                                <w:rPr>
                                  <w:b/>
                                  <w:sz w:val="14"/>
                                </w:rPr>
                                <w:t>HIGHER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8" style="position:absolute;left:0;text-align:left;margin-left:-9.15pt;margin-top:60.85pt;width:75.8pt;height:61.05pt;z-index:251673088" coordorigin="1431,4480" coordsize="1516,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">
                <v:shape id="AutoShape 3" o:spid="_x0000_s1039" type="#_x0000_t67" style="position:absolute;left:2481;top:4480;width:466;height:107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itMIA&#10;AADbAAAADwAAAGRycy9kb3ducmV2LnhtbERPS4vCMBC+C/sfwix4EU1VEOkaRYRVUS8+ds9jM9sW&#10;m0m3iVr99UYQvM3H95zRpDaFuFDlcssKup0IBHFidc6pgsP+uz0E4TyyxsIyKbiRg8n4ozHCWNsr&#10;b+my86kIIexiVJB5X8ZSuiQjg65jS+LA/dnKoA+wSqWu8BrCTSF7UTSQBnMODRmWNMsoOe3ORsH/&#10;7yxd71tHbXB1qBeb+c/xTl2lmp/19AuEp9q/xS/3Uof5fXj+Eg6Q4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eK0wgAAANsAAAAPAAAAAAAAAAAAAAAAAJgCAABkcnMvZG93&#10;bnJldi54bWxQSwUGAAAAAAQABAD1AAAAhwMAAAAA&#10;" adj="15822"/>
                <v:shape id="Text Box 4" o:spid="_x0000_s1040" type="#_x0000_t202" style="position:absolute;left:1431;top:4894;width:1356;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7A2C42" w:rsidRPr="00832DF4" w:rsidRDefault="007A2C42" w:rsidP="004D263A">
                        <w:pPr>
                          <w:jc w:val="center"/>
                          <w:rPr>
                            <w:b/>
                            <w:sz w:val="14"/>
                          </w:rPr>
                        </w:pPr>
                        <w:r w:rsidRPr="00832DF4">
                          <w:rPr>
                            <w:b/>
                            <w:sz w:val="14"/>
                          </w:rPr>
                          <w:t>HIGHER UNIT REVENUE</w:t>
                        </w:r>
                      </w:p>
                    </w:txbxContent>
                  </v:textbox>
                </v:shape>
              </v:group>
            </w:pict>
          </mc:Fallback>
        </mc:AlternateContent>
      </w:r>
      <w:r w:rsidRPr="004D263A">
        <w:rPr>
          <w:b/>
          <w:noProof/>
          <w:color w:val="51626F"/>
          <w:lang w:eastAsia="en-AU"/>
        </w:rPr>
        <mc:AlternateContent>
          <mc:Choice Requires="wpg">
            <w:drawing>
              <wp:anchor distT="0" distB="0" distL="114300" distR="114300" simplePos="0" relativeHeight="251676160" behindDoc="0" locked="0" layoutInCell="1" allowOverlap="1" wp14:anchorId="6E280BAA" wp14:editId="11546F5F">
                <wp:simplePos x="0" y="0"/>
                <wp:positionH relativeFrom="column">
                  <wp:posOffset>4263390</wp:posOffset>
                </wp:positionH>
                <wp:positionV relativeFrom="paragraph">
                  <wp:posOffset>1840230</wp:posOffset>
                </wp:positionV>
                <wp:extent cx="975360" cy="864870"/>
                <wp:effectExtent l="1905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64870"/>
                          <a:chOff x="8623" y="10435"/>
                          <a:chExt cx="1536" cy="1362"/>
                        </a:xfrm>
                      </wpg:grpSpPr>
                      <wps:wsp>
                        <wps:cNvPr id="16" name="AutoShape 6"/>
                        <wps:cNvSpPr>
                          <a:spLocks noChangeArrowheads="1"/>
                        </wps:cNvSpPr>
                        <wps:spPr bwMode="auto">
                          <a:xfrm>
                            <a:off x="8623" y="10435"/>
                            <a:ext cx="554" cy="1058"/>
                          </a:xfrm>
                          <a:prstGeom prst="downArrow">
                            <a:avLst>
                              <a:gd name="adj1" fmla="val 50000"/>
                              <a:gd name="adj2" fmla="val 477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Text Box 7"/>
                        <wps:cNvSpPr txBox="1">
                          <a:spLocks noChangeArrowheads="1"/>
                        </wps:cNvSpPr>
                        <wps:spPr bwMode="auto">
                          <a:xfrm>
                            <a:off x="8944" y="10618"/>
                            <a:ext cx="1215"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832DF4" w:rsidRDefault="007A2C42" w:rsidP="004D263A">
                              <w:pPr>
                                <w:jc w:val="center"/>
                                <w:rPr>
                                  <w:b/>
                                  <w:sz w:val="14"/>
                                </w:rPr>
                              </w:pPr>
                              <w:r w:rsidRPr="00832DF4">
                                <w:rPr>
                                  <w:b/>
                                  <w:sz w:val="14"/>
                                </w:rPr>
                                <w:t>LOWER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1" style="position:absolute;left:0;text-align:left;margin-left:335.7pt;margin-top:144.9pt;width:76.8pt;height:68.1pt;z-index:251676160" coordorigin="8623,10435" coordsize="1536,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">
                <v:shape id="AutoShape 6" o:spid="_x0000_s1042" type="#_x0000_t67" style="position:absolute;left:8623;top:10435;width:554;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BOMMA&#10;AADbAAAADwAAAGRycy9kb3ducmV2LnhtbERPTWvCQBC9F/wPywi9FN3oQSS6CaIWLUihaXMfstNs&#10;anY2ZLca++u7BaG3ebzPWeeDbcWFet84VjCbJiCIK6cbrhV8vD9PliB8QNbYOiYFN/KQZ6OHNaba&#10;XfmNLkWoRQxhn6ICE0KXSukrQxb91HXEkft0vcUQYV9L3eM1httWzpNkIS02HBsMdrQ1VJ2Lb6tg&#10;V76a/c+pKL+Oh1B7u9+eXp5uSj2Oh80KRKAh/Ivv7qOO8xf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qBOMMAAADbAAAADwAAAAAAAAAAAAAAAACYAgAAZHJzL2Rv&#10;d25yZXYueG1sUEsFBgAAAAAEAAQA9QAAAIgDAAAAAA==&#10;" adj="16199"/>
                <v:shape id="Text Box 7" o:spid="_x0000_s1043" type="#_x0000_t202" style="position:absolute;left:8944;top:10618;width:1215;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A2C42" w:rsidRPr="00832DF4" w:rsidRDefault="007A2C42" w:rsidP="004D263A">
                        <w:pPr>
                          <w:jc w:val="center"/>
                          <w:rPr>
                            <w:b/>
                            <w:sz w:val="14"/>
                          </w:rPr>
                        </w:pPr>
                        <w:r w:rsidRPr="00832DF4">
                          <w:rPr>
                            <w:b/>
                            <w:sz w:val="14"/>
                          </w:rPr>
                          <w:t>LOWER UNIT REVENUE</w:t>
                        </w:r>
                      </w:p>
                    </w:txbxContent>
                  </v:textbox>
                </v:shape>
              </v:group>
            </w:pict>
          </mc:Fallback>
        </mc:AlternateContent>
      </w:r>
      <w:r w:rsidRPr="004D263A">
        <w:rPr>
          <w:b/>
          <w:noProof/>
          <w:color w:val="51626F"/>
          <w:lang w:eastAsia="en-AU"/>
        </w:rPr>
        <w:drawing>
          <wp:inline distT="0" distB="0" distL="0" distR="0" wp14:anchorId="6F4157AA" wp14:editId="38CD11E4">
            <wp:extent cx="4572000" cy="38325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0879" cy="3831588"/>
                    </a:xfrm>
                    <a:prstGeom prst="rect">
                      <a:avLst/>
                    </a:prstGeom>
                    <a:noFill/>
                    <a:ln>
                      <a:noFill/>
                    </a:ln>
                  </pic:spPr>
                </pic:pic>
              </a:graphicData>
            </a:graphic>
          </wp:inline>
        </w:drawing>
      </w:r>
    </w:p>
    <w:p w:rsidR="004D263A" w:rsidRPr="004D263A" w:rsidRDefault="004D263A" w:rsidP="004D263A">
      <w:pPr>
        <w:keepNext/>
        <w:ind w:left="993"/>
      </w:pPr>
      <w:r w:rsidRPr="004D263A">
        <w:t>For the majority of the past 11 years, Sydney Airport has been the only airport located in the high price, lower quality quadrant. Further, Sydney Airport has been in this quadrant for the majority of the time series.</w:t>
      </w:r>
    </w:p>
    <w:p w:rsidR="004D263A" w:rsidRPr="004D263A" w:rsidRDefault="004D263A" w:rsidP="004D263A">
      <w:pPr>
        <w:keepNext/>
        <w:rPr>
          <w:rFonts w:eastAsia="Calibri" w:cs="Times New Roman"/>
          <w:b/>
          <w:color w:val="51626F"/>
          <w:lang w:eastAsia="en-AU"/>
        </w:rPr>
      </w:pPr>
    </w:p>
    <w:p w:rsidR="004D263A" w:rsidRPr="004D263A" w:rsidRDefault="004D263A" w:rsidP="004D263A">
      <w:pPr>
        <w:keepNext/>
        <w:rPr>
          <w:rFonts w:eastAsia="Calibri" w:cs="Times New Roman"/>
          <w:b/>
          <w:color w:val="51626F"/>
          <w:lang w:eastAsia="en-AU"/>
        </w:rPr>
      </w:pP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lastRenderedPageBreak/>
        <w:t>Service level framework between airports and airlines offers hope of improved quality of service outcomes for passengers</w:t>
      </w:r>
    </w:p>
    <w:p w:rsidR="004D263A" w:rsidRPr="004D263A" w:rsidRDefault="004D263A" w:rsidP="004D263A">
      <w:pPr>
        <w:keepNext/>
        <w:ind w:left="993"/>
        <w:rPr>
          <w:lang w:eastAsia="en-AU"/>
        </w:rPr>
      </w:pPr>
      <w:r w:rsidRPr="004D263A">
        <w:t xml:space="preserve">During 2014-15, Sydney Airport concluded its negotiations with a range of international airlines on the pricing of airport services for a five-year period. Of particular interest is that the agreement included a service level framework for the first time, facilitated by the Board of Airline Representatives of Australia (BARA). The service level agreement provides for the measurement of airport performance against various </w:t>
      </w:r>
      <w:proofErr w:type="gramStart"/>
      <w:r w:rsidRPr="004D263A">
        <w:t>quality</w:t>
      </w:r>
      <w:proofErr w:type="gramEnd"/>
      <w:r w:rsidRPr="004D263A">
        <w:t xml:space="preserve"> of service indicators for airlines and passengers. BARA advised the ACCC that this represents a significant step towards enabling improved service quality outcomes and hopes that other airports can adopt a similar arrangement where no framework exists or to enhance the existing framework.  </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Rail links and airport car park market power</w:t>
      </w:r>
    </w:p>
    <w:p w:rsidR="004D263A" w:rsidRPr="004D263A" w:rsidRDefault="004D263A" w:rsidP="004D263A">
      <w:pPr>
        <w:keepNext/>
        <w:ind w:left="992"/>
      </w:pPr>
      <w:r w:rsidRPr="004D263A">
        <w:t xml:space="preserve">As the sole providers of car parking on airport grounds, the major Australian airports are likely to hold significant market power in the supply of car parking services. Potential constraints on this market power—and the ability for airports to raise prices or reduce quality—come from alternatives such as taxis, off-airport parking and airport rail links. </w:t>
      </w:r>
    </w:p>
    <w:p w:rsidR="004D263A" w:rsidRPr="004D263A" w:rsidRDefault="004D263A" w:rsidP="004D263A">
      <w:pPr>
        <w:keepNext/>
        <w:ind w:left="993"/>
      </w:pPr>
      <w:r w:rsidRPr="004D263A">
        <w:t xml:space="preserve">The ACCC took a closer look at airport rail links in this year’s report. There are existing rail links at Brisbane and Sydney Airports, while one is under construction in Perth. The rail links in Brisbane and Sydney have struggled to reach levels of market share seen in some overseas cities. Possible reasons include the premium price (above public transport fares), lower population density, lower use of public transport and higher number of cars per capita. </w:t>
      </w:r>
    </w:p>
    <w:p w:rsidR="004D263A" w:rsidRPr="004D263A" w:rsidRDefault="004D263A" w:rsidP="004D263A">
      <w:pPr>
        <w:keepNext/>
        <w:ind w:left="993"/>
      </w:pPr>
      <w:r w:rsidRPr="004D263A">
        <w:t xml:space="preserve">Some studies have suggested there may not initially be a significant mode shift away from private car usage following the introduction of an airport rail link, and therefore it may not be a particularly strong constraint on airport car parking prices. A rail link may instead have a greater impact on the use of other private options such as taxis and other public transport such as buses. The time and convenience characteristics of on-airport car parking are more likely to be substituted by taxis, other shuttle services or off-airport car parking facilities, where it is easier for passengers to travel to and from their home. </w:t>
      </w:r>
    </w:p>
    <w:p w:rsidR="004D263A" w:rsidRPr="004D263A" w:rsidRDefault="004D263A" w:rsidP="004D263A">
      <w:pPr>
        <w:keepNext/>
        <w:rPr>
          <w:rFonts w:eastAsia="Calibri" w:cs="Times New Roman"/>
          <w:b/>
          <w:color w:val="51626F"/>
          <w:lang w:eastAsia="en-AU"/>
        </w:rPr>
      </w:pPr>
      <w:r w:rsidRPr="004D263A">
        <w:rPr>
          <w:rFonts w:eastAsia="Calibri" w:cs="Times New Roman"/>
          <w:b/>
          <w:color w:val="51626F"/>
          <w:lang w:eastAsia="en-AU"/>
        </w:rPr>
        <w:t>Passenger delays associated with Australian Border Force operations</w:t>
      </w:r>
    </w:p>
    <w:p w:rsidR="004D263A" w:rsidRPr="004D263A" w:rsidRDefault="004D263A" w:rsidP="004D263A">
      <w:pPr>
        <w:keepNext/>
        <w:ind w:left="993"/>
      </w:pPr>
      <w:r w:rsidRPr="004D263A">
        <w:t xml:space="preserve">Over the past two years, monitored airports have raised concerns with the ACCC around the operations of Australian Border Force (ABF) and delays for international passengers through customs. </w:t>
      </w:r>
    </w:p>
    <w:p w:rsidR="004D263A" w:rsidRPr="004D263A" w:rsidRDefault="004D263A" w:rsidP="004D263A">
      <w:pPr>
        <w:keepNext/>
        <w:ind w:left="993"/>
      </w:pPr>
      <w:r w:rsidRPr="004D263A">
        <w:t xml:space="preserve">The role of the ABF (and its predecessor) has become more challenging over time with heightened security requirements, increased passenger numbers and heavier peak periods. The ABF noted to the ACCC that airport commercial considerations (including those related to retail service) meant that the layout of airports may not be optimal for efficient passenger movements. Despite these challenges, the ABF acknowledged to the ACCC that its past performance had suffered from staffing reductions and insufficient engagement with airports.  </w:t>
      </w:r>
    </w:p>
    <w:p w:rsidR="004D263A" w:rsidRPr="004D263A" w:rsidRDefault="004D263A" w:rsidP="004D263A">
      <w:pPr>
        <w:keepNext/>
        <w:ind w:left="993"/>
      </w:pPr>
      <w:r w:rsidRPr="004D263A">
        <w:t>However, the ABF also said that recent performance had been significantly improved by the rollout of more technologically advanced SmartGates and increased staffing. This improvement has also been recognised by the airports. The ACCC considers that ongoing close coordination by all parties involved in the processing of passengers is vital in ensuring optimal outcomes for passengers.</w:t>
      </w:r>
    </w:p>
    <w:p w:rsidR="004D263A" w:rsidRPr="004D263A" w:rsidRDefault="004D263A" w:rsidP="004D263A">
      <w:pPr>
        <w:keepNext/>
        <w:rPr>
          <w:rFonts w:eastAsia="Calibri" w:cs="Times New Roman"/>
          <w:b/>
          <w:color w:val="51626F"/>
          <w:lang w:eastAsia="en-AU"/>
        </w:rPr>
      </w:pPr>
    </w:p>
    <w:p w:rsidR="004D263A" w:rsidRPr="004D263A" w:rsidRDefault="004D263A" w:rsidP="004D263A">
      <w:pPr>
        <w:keepNext/>
        <w:rPr>
          <w:b/>
          <w:color w:val="51626F"/>
        </w:rPr>
      </w:pPr>
      <w:r w:rsidRPr="004D263A">
        <w:rPr>
          <w:rFonts w:eastAsia="Calibri" w:cs="Times New Roman"/>
          <w:b/>
          <w:color w:val="51626F"/>
          <w:lang w:eastAsia="en-AU"/>
        </w:rPr>
        <w:lastRenderedPageBreak/>
        <w:t>Missed opportunity for competition as progress is made towards an airport in Western Sydney</w:t>
      </w:r>
      <w:r w:rsidRPr="004D263A">
        <w:rPr>
          <w:b/>
          <w:color w:val="51626F"/>
        </w:rPr>
        <w:t xml:space="preserve"> </w:t>
      </w:r>
    </w:p>
    <w:p w:rsidR="004D263A" w:rsidRPr="004D263A" w:rsidRDefault="004D263A" w:rsidP="004D263A">
      <w:pPr>
        <w:keepNext/>
        <w:ind w:left="993"/>
      </w:pPr>
      <w:r w:rsidRPr="004D263A">
        <w:t xml:space="preserve">In April 2014, the Australian government confirmed its intentions to develop a new major airport in Western Sydney at Badgerys Creek. The government intends for the airport to open in the mid-2020s, and to operate initially with one runway. </w:t>
      </w:r>
    </w:p>
    <w:p w:rsidR="004D263A" w:rsidRPr="004D263A" w:rsidRDefault="004D263A" w:rsidP="004D263A">
      <w:pPr>
        <w:keepNext/>
        <w:ind w:left="993"/>
      </w:pPr>
      <w:r w:rsidRPr="004D263A">
        <w:t xml:space="preserve">A second significant airport in a city has the potential to provide competition with the current Sydney Airport which would drive reduced prices and/or improved facilities. However, this potential benefit was lost during the privatisation process when the Australian government provided the acquirer of Sydney (Kingsford Smith) Airport with the right of first refusal to develop and operate any second airport within 100 kilometres of the CBD. It is now all but certain that there will be common ownership of the two airports in Sydney. </w:t>
      </w:r>
    </w:p>
    <w:p w:rsidR="004D263A" w:rsidRPr="004D263A" w:rsidRDefault="004D263A" w:rsidP="004D263A">
      <w:pPr>
        <w:keepNext/>
        <w:ind w:left="993"/>
      </w:pPr>
      <w:r w:rsidRPr="004D263A">
        <w:t>This is an example of Australian governments focusing overly on short term budgetary goals during privatisation, without sufficient regard to longer term competition. The ACCC believes the immediate financial benefit comes at a potentially significant cost which is effectively a ‘tax’ on future generations.</w:t>
      </w:r>
      <w:r w:rsidRPr="004D263A">
        <w:rPr>
          <w:vertAlign w:val="superscript"/>
        </w:rPr>
        <w:footnoteReference w:id="1"/>
      </w:r>
      <w:r w:rsidRPr="004D263A">
        <w:t xml:space="preserve"> </w:t>
      </w:r>
    </w:p>
    <w:p w:rsidR="004D263A" w:rsidRPr="004D263A" w:rsidRDefault="004D263A" w:rsidP="004D263A">
      <w:pPr>
        <w:spacing w:after="200" w:line="276" w:lineRule="auto"/>
        <w:outlineLvl w:val="3"/>
        <w:rPr>
          <w:rFonts w:eastAsiaTheme="majorEastAsia" w:cstheme="majorBidi"/>
          <w:b/>
          <w:bCs/>
          <w:color w:val="000000" w:themeColor="text1"/>
          <w:sz w:val="24"/>
          <w:szCs w:val="28"/>
        </w:rPr>
      </w:pPr>
      <w:r w:rsidRPr="004D263A">
        <w:rPr>
          <w:rFonts w:eastAsiaTheme="majorEastAsia" w:cstheme="majorBidi"/>
          <w:b/>
          <w:bCs/>
          <w:color w:val="000000" w:themeColor="text1"/>
          <w:sz w:val="24"/>
          <w:szCs w:val="28"/>
        </w:rPr>
        <w:t>Key performance indicators 2014</w:t>
      </w:r>
      <w:r w:rsidRPr="004D263A">
        <w:rPr>
          <w:rFonts w:eastAsiaTheme="majorEastAsia" w:cstheme="majorBidi"/>
          <w:b/>
          <w:bCs/>
          <w:color w:val="000000" w:themeColor="text1"/>
          <w:sz w:val="24"/>
          <w:szCs w:val="28"/>
        </w:rPr>
        <w:noBreakHyphen/>
        <w:t>15</w:t>
      </w:r>
    </w:p>
    <w:p w:rsidR="004D263A" w:rsidRPr="004D263A" w:rsidRDefault="004D263A" w:rsidP="004D263A">
      <w:pPr>
        <w:keepNext/>
        <w:spacing w:before="240" w:after="200" w:line="276" w:lineRule="auto"/>
        <w:ind w:left="1440" w:hanging="1440"/>
        <w:outlineLvl w:val="3"/>
        <w:rPr>
          <w:b/>
          <w:color w:val="51626F"/>
        </w:rPr>
      </w:pPr>
      <w:r w:rsidRPr="004D263A">
        <w:rPr>
          <w:b/>
          <w:color w:val="51626F"/>
        </w:rPr>
        <w:t>Table 1:</w:t>
      </w:r>
      <w:r w:rsidRPr="004D263A">
        <w:rPr>
          <w:b/>
          <w:color w:val="51626F"/>
        </w:rPr>
        <w:tab/>
        <w:t>Key aeronautical indicators for the monitored airports for 2014</w:t>
      </w:r>
      <w:r w:rsidRPr="004D263A">
        <w:rPr>
          <w:b/>
          <w:color w:val="51626F"/>
        </w:rPr>
        <w:noBreakHyphen/>
        <w:t>15</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4D263A" w:rsidRPr="004D263A" w:rsidTr="00DC084A">
        <w:tc>
          <w:tcPr>
            <w:tcW w:w="1237"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Airport</w:t>
            </w:r>
          </w:p>
        </w:tc>
        <w:tc>
          <w:tcPr>
            <w:tcW w:w="1237"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Passenger numbers</w:t>
            </w:r>
            <w:r w:rsidRPr="004D263A">
              <w:rPr>
                <w:b/>
                <w:color w:val="000000" w:themeColor="text1"/>
                <w:sz w:val="18"/>
              </w:rPr>
              <w:br/>
            </w:r>
            <w:r w:rsidRPr="004D263A">
              <w:rPr>
                <w:b/>
                <w:color w:val="000000" w:themeColor="text1"/>
                <w:sz w:val="18"/>
              </w:rPr>
              <w:br/>
            </w:r>
            <w:r w:rsidRPr="004D263A">
              <w:rPr>
                <w:b/>
                <w:color w:val="000000" w:themeColor="text1"/>
                <w:sz w:val="18"/>
              </w:rPr>
              <w:br/>
              <w:t>(million)</w:t>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Total aero revenue</w:t>
            </w:r>
            <w:r w:rsidRPr="004D263A">
              <w:rPr>
                <w:b/>
                <w:color w:val="000000" w:themeColor="text1"/>
                <w:sz w:val="18"/>
              </w:rPr>
              <w:br/>
            </w:r>
            <w:r w:rsidRPr="004D263A">
              <w:rPr>
                <w:b/>
                <w:color w:val="000000" w:themeColor="text1"/>
                <w:sz w:val="18"/>
              </w:rPr>
              <w:br/>
            </w:r>
            <w:r w:rsidRPr="004D263A">
              <w:rPr>
                <w:b/>
                <w:color w:val="000000" w:themeColor="text1"/>
                <w:sz w:val="18"/>
              </w:rPr>
              <w:br/>
              <w:t>($million)</w:t>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Aero revenue per passenger</w:t>
            </w:r>
            <w:r w:rsidRPr="004D263A">
              <w:rPr>
                <w:b/>
                <w:color w:val="000000" w:themeColor="text1"/>
                <w:sz w:val="18"/>
              </w:rPr>
              <w:br/>
            </w:r>
            <w:r w:rsidRPr="004D263A">
              <w:rPr>
                <w:b/>
                <w:color w:val="000000" w:themeColor="text1"/>
                <w:sz w:val="18"/>
              </w:rPr>
              <w:br/>
              <w:t>($)</w:t>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Total aero margin</w:t>
            </w:r>
            <w:r w:rsidRPr="004D263A">
              <w:rPr>
                <w:b/>
                <w:color w:val="000000" w:themeColor="text1"/>
                <w:sz w:val="18"/>
              </w:rPr>
              <w:br/>
            </w:r>
            <w:r w:rsidRPr="004D263A">
              <w:rPr>
                <w:b/>
                <w:color w:val="000000" w:themeColor="text1"/>
                <w:sz w:val="18"/>
              </w:rPr>
              <w:br/>
            </w:r>
            <w:r w:rsidRPr="004D263A">
              <w:rPr>
                <w:b/>
                <w:color w:val="000000" w:themeColor="text1"/>
                <w:sz w:val="18"/>
              </w:rPr>
              <w:br/>
              <w:t>($million)</w:t>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Aero margin per passenger</w:t>
            </w:r>
            <w:r w:rsidRPr="004D263A">
              <w:rPr>
                <w:b/>
                <w:color w:val="000000" w:themeColor="text1"/>
                <w:sz w:val="18"/>
              </w:rPr>
              <w:br/>
            </w:r>
            <w:r w:rsidRPr="004D263A">
              <w:rPr>
                <w:b/>
                <w:color w:val="000000" w:themeColor="text1"/>
                <w:sz w:val="18"/>
              </w:rPr>
              <w:br/>
              <w:t>($)</w:t>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Overall rating for quality of service</w:t>
            </w:r>
            <w:r w:rsidRPr="004D263A">
              <w:rPr>
                <w:b/>
                <w:color w:val="000000" w:themeColor="text1"/>
                <w:sz w:val="18"/>
              </w:rPr>
              <w:br/>
            </w:r>
          </w:p>
        </w:tc>
      </w:tr>
      <w:tr w:rsidR="004D263A" w:rsidRPr="004D263A" w:rsidTr="00DC084A">
        <w:tc>
          <w:tcPr>
            <w:tcW w:w="1237" w:type="dxa"/>
            <w:tcBorders>
              <w:left w:val="nil"/>
              <w:bottom w:val="nil"/>
              <w:right w:val="nil"/>
            </w:tcBorders>
          </w:tcPr>
          <w:p w:rsidR="004D263A" w:rsidRPr="004D263A" w:rsidRDefault="004D263A" w:rsidP="004D263A">
            <w:pPr>
              <w:spacing w:before="40" w:after="40"/>
              <w:rPr>
                <w:sz w:val="18"/>
              </w:rPr>
            </w:pPr>
            <w:r w:rsidRPr="004D263A">
              <w:rPr>
                <w:sz w:val="18"/>
              </w:rPr>
              <w:t>Brisbane</w:t>
            </w:r>
          </w:p>
        </w:tc>
        <w:tc>
          <w:tcPr>
            <w:tcW w:w="1237" w:type="dxa"/>
            <w:tcBorders>
              <w:left w:val="nil"/>
              <w:bottom w:val="nil"/>
              <w:right w:val="nil"/>
            </w:tcBorders>
          </w:tcPr>
          <w:p w:rsidR="004D263A" w:rsidRPr="004D263A" w:rsidRDefault="004D263A" w:rsidP="004D263A">
            <w:pPr>
              <w:spacing w:before="40" w:after="40"/>
              <w:jc w:val="right"/>
              <w:rPr>
                <w:sz w:val="18"/>
              </w:rPr>
            </w:pPr>
            <w:r w:rsidRPr="004D263A">
              <w:rPr>
                <w:sz w:val="18"/>
              </w:rPr>
              <w:t>22.3</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sz w:val="18"/>
              </w:rPr>
              <w:t>272.2</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sz w:val="18"/>
              </w:rPr>
              <w:t>12.22</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sz w:val="18"/>
              </w:rPr>
              <w:t>118.6</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sz w:val="18"/>
              </w:rPr>
              <w:t>5.33</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sz w:val="18"/>
              </w:rPr>
              <w:t>Good</w:t>
            </w:r>
          </w:p>
        </w:tc>
      </w:tr>
      <w:tr w:rsidR="004D263A" w:rsidRPr="004D263A" w:rsidTr="00DC084A">
        <w:tc>
          <w:tcPr>
            <w:tcW w:w="1237" w:type="dxa"/>
            <w:tcBorders>
              <w:top w:val="nil"/>
              <w:left w:val="nil"/>
              <w:bottom w:val="nil"/>
              <w:right w:val="nil"/>
            </w:tcBorders>
          </w:tcPr>
          <w:p w:rsidR="004D263A" w:rsidRPr="004D263A" w:rsidRDefault="004D263A" w:rsidP="004D263A">
            <w:pPr>
              <w:spacing w:before="40" w:after="40"/>
              <w:rPr>
                <w:sz w:val="18"/>
              </w:rPr>
            </w:pPr>
            <w:r w:rsidRPr="004D263A">
              <w:rPr>
                <w:sz w:val="18"/>
              </w:rPr>
              <w:t>Melbourne</w:t>
            </w:r>
          </w:p>
        </w:tc>
        <w:tc>
          <w:tcPr>
            <w:tcW w:w="1237"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32.3</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338.2</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10.47</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146.8</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4.54</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Satisfactory</w:t>
            </w:r>
          </w:p>
        </w:tc>
      </w:tr>
      <w:tr w:rsidR="004D263A" w:rsidRPr="004D263A" w:rsidTr="00DC084A">
        <w:tc>
          <w:tcPr>
            <w:tcW w:w="1237" w:type="dxa"/>
            <w:tcBorders>
              <w:top w:val="nil"/>
              <w:left w:val="nil"/>
              <w:bottom w:val="nil"/>
              <w:right w:val="nil"/>
            </w:tcBorders>
          </w:tcPr>
          <w:p w:rsidR="004D263A" w:rsidRPr="004D263A" w:rsidRDefault="004D263A" w:rsidP="004D263A">
            <w:pPr>
              <w:spacing w:before="40" w:after="40"/>
              <w:rPr>
                <w:sz w:val="18"/>
              </w:rPr>
            </w:pPr>
            <w:r w:rsidRPr="004D263A">
              <w:rPr>
                <w:sz w:val="18"/>
              </w:rPr>
              <w:t>Perth</w:t>
            </w:r>
          </w:p>
        </w:tc>
        <w:tc>
          <w:tcPr>
            <w:tcW w:w="1237"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14.8</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186.6</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12.64</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75.0</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5.08</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Good</w:t>
            </w:r>
          </w:p>
        </w:tc>
      </w:tr>
      <w:tr w:rsidR="004D263A" w:rsidRPr="004D263A" w:rsidTr="00DC084A">
        <w:tc>
          <w:tcPr>
            <w:tcW w:w="1237" w:type="dxa"/>
            <w:tcBorders>
              <w:top w:val="nil"/>
              <w:left w:val="nil"/>
              <w:right w:val="nil"/>
            </w:tcBorders>
          </w:tcPr>
          <w:p w:rsidR="004D263A" w:rsidRPr="004D263A" w:rsidRDefault="004D263A" w:rsidP="004D263A">
            <w:pPr>
              <w:spacing w:before="40" w:after="40"/>
              <w:rPr>
                <w:sz w:val="18"/>
              </w:rPr>
            </w:pPr>
            <w:r w:rsidRPr="004D263A">
              <w:rPr>
                <w:sz w:val="18"/>
              </w:rPr>
              <w:t>Sydney</w:t>
            </w:r>
          </w:p>
        </w:tc>
        <w:tc>
          <w:tcPr>
            <w:tcW w:w="1237" w:type="dxa"/>
            <w:tcBorders>
              <w:top w:val="nil"/>
              <w:left w:val="nil"/>
              <w:right w:val="nil"/>
            </w:tcBorders>
          </w:tcPr>
          <w:p w:rsidR="004D263A" w:rsidRPr="004D263A" w:rsidRDefault="004D263A" w:rsidP="004D263A">
            <w:pPr>
              <w:spacing w:before="40" w:after="40"/>
              <w:jc w:val="right"/>
              <w:rPr>
                <w:sz w:val="18"/>
              </w:rPr>
            </w:pPr>
            <w:r w:rsidRPr="004D263A">
              <w:rPr>
                <w:sz w:val="18"/>
              </w:rPr>
              <w:t>39.2</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sz w:val="18"/>
              </w:rPr>
              <w:t>643.0</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sz w:val="18"/>
              </w:rPr>
              <w:t>16.40</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sz w:val="18"/>
              </w:rPr>
              <w:t>322.2</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sz w:val="18"/>
              </w:rPr>
              <w:t>8.22</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sz w:val="18"/>
              </w:rPr>
              <w:t>Satisfactory</w:t>
            </w:r>
          </w:p>
        </w:tc>
      </w:tr>
    </w:tbl>
    <w:p w:rsidR="004D263A" w:rsidRPr="004D263A" w:rsidRDefault="004D263A" w:rsidP="004D263A">
      <w:pPr>
        <w:spacing w:before="120" w:after="60"/>
        <w:ind w:left="720" w:hanging="720"/>
        <w:contextualSpacing/>
        <w:rPr>
          <w:sz w:val="16"/>
          <w:szCs w:val="16"/>
        </w:rPr>
      </w:pPr>
      <w:r w:rsidRPr="004D263A">
        <w:rPr>
          <w:sz w:val="16"/>
          <w:szCs w:val="16"/>
        </w:rPr>
        <w:t>Note:</w:t>
      </w:r>
      <w:r w:rsidRPr="004D263A">
        <w:rPr>
          <w:sz w:val="16"/>
          <w:szCs w:val="16"/>
        </w:rPr>
        <w:tab/>
        <w:t>Comparisons across monitored airports must be treated with caution. Results can be affected by the airports’ different terminal configurations, passenger mix and the different approaches to valuing assets.</w:t>
      </w:r>
    </w:p>
    <w:p w:rsidR="009E15B9" w:rsidRDefault="009E15B9" w:rsidP="004D263A">
      <w:pPr>
        <w:keepNext/>
        <w:spacing w:before="120"/>
        <w:ind w:left="720"/>
        <w:contextualSpacing/>
        <w:rPr>
          <w:sz w:val="16"/>
          <w:szCs w:val="16"/>
        </w:rPr>
      </w:pPr>
    </w:p>
    <w:p w:rsidR="004D263A" w:rsidRPr="004D263A" w:rsidRDefault="004D263A" w:rsidP="004D263A">
      <w:pPr>
        <w:keepNext/>
        <w:spacing w:before="120"/>
        <w:ind w:left="720"/>
        <w:contextualSpacing/>
      </w:pPr>
      <w:r w:rsidRPr="004D263A">
        <w:rPr>
          <w:sz w:val="16"/>
          <w:szCs w:val="16"/>
        </w:rPr>
        <w:t>The rating categories are: very poor, poor, satisfactory, good, and excellent.</w:t>
      </w:r>
      <w:r w:rsidRPr="004D263A">
        <w:rPr>
          <w:sz w:val="16"/>
          <w:szCs w:val="16"/>
        </w:rPr>
        <w:br/>
        <w:t xml:space="preserve">For each indicator for the period specified: </w:t>
      </w:r>
      <w:r w:rsidRPr="004D263A">
        <w:rPr>
          <w:rFonts w:eastAsia="Times New Roman" w:cs="Times New Roman"/>
          <w:color w:val="943634"/>
          <w:sz w:val="16"/>
          <w:szCs w:val="24"/>
          <w:lang w:eastAsia="en-AU"/>
        </w:rPr>
        <w:t>▲</w:t>
      </w:r>
      <w:r w:rsidRPr="004D263A">
        <w:rPr>
          <w:rFonts w:eastAsia="Times New Roman" w:cs="Times New Roman"/>
          <w:color w:val="943634"/>
          <w:sz w:val="18"/>
          <w:szCs w:val="24"/>
          <w:lang w:eastAsia="en-AU"/>
        </w:rPr>
        <w:t xml:space="preserve"> </w:t>
      </w:r>
      <w:r w:rsidRPr="004D263A">
        <w:rPr>
          <w:sz w:val="16"/>
          <w:szCs w:val="16"/>
        </w:rPr>
        <w:t>indicates an improvement;</w:t>
      </w:r>
      <w:r w:rsidRPr="004D263A">
        <w:rPr>
          <w:rFonts w:eastAsia="Times New Roman" w:cs="Times New Roman"/>
          <w:color w:val="943634"/>
          <w:sz w:val="18"/>
          <w:szCs w:val="24"/>
          <w:lang w:eastAsia="en-AU"/>
        </w:rPr>
        <w:t xml:space="preserve"> </w:t>
      </w:r>
      <w:r w:rsidRPr="004D263A">
        <w:rPr>
          <w:rFonts w:eastAsia="Times New Roman" w:cs="Times New Roman"/>
          <w:color w:val="F79646"/>
          <w:sz w:val="16"/>
          <w:szCs w:val="24"/>
          <w:lang w:eastAsia="en-AU"/>
        </w:rPr>
        <w:t xml:space="preserve">▼ </w:t>
      </w:r>
      <w:r w:rsidRPr="004D263A">
        <w:rPr>
          <w:sz w:val="16"/>
          <w:szCs w:val="16"/>
        </w:rPr>
        <w:t>indicates a decline;</w:t>
      </w:r>
      <w:r w:rsidRPr="004D263A">
        <w:rPr>
          <w:rFonts w:eastAsia="Times New Roman" w:cs="Times New Roman"/>
          <w:color w:val="F79646"/>
          <w:sz w:val="16"/>
          <w:szCs w:val="24"/>
          <w:lang w:eastAsia="en-AU"/>
        </w:rPr>
        <w:t xml:space="preserve"> </w:t>
      </w:r>
      <w:r w:rsidRPr="004D263A">
        <w:rPr>
          <w:rFonts w:cs="Arial"/>
          <w:color w:val="4BACC6"/>
          <w:sz w:val="16"/>
          <w:szCs w:val="16"/>
        </w:rPr>
        <w:t>▬</w:t>
      </w:r>
      <w:r w:rsidRPr="004D263A">
        <w:rPr>
          <w:sz w:val="16"/>
          <w:szCs w:val="16"/>
        </w:rPr>
        <w:t xml:space="preserve"> indicates no change. *Rating changed by a category over the period.</w:t>
      </w:r>
    </w:p>
    <w:p w:rsidR="009E15B9" w:rsidRDefault="009E15B9" w:rsidP="004D263A">
      <w:pPr>
        <w:keepNext/>
        <w:spacing w:before="240" w:after="200" w:line="276" w:lineRule="auto"/>
        <w:ind w:left="1440" w:hanging="1440"/>
        <w:outlineLvl w:val="3"/>
        <w:rPr>
          <w:b/>
          <w:color w:val="51626F"/>
        </w:rPr>
      </w:pPr>
    </w:p>
    <w:p w:rsidR="004D263A" w:rsidRPr="004D263A" w:rsidRDefault="004D263A" w:rsidP="004D263A">
      <w:pPr>
        <w:keepNext/>
        <w:spacing w:before="240" w:after="200" w:line="276" w:lineRule="auto"/>
        <w:ind w:left="1440" w:hanging="1440"/>
        <w:outlineLvl w:val="3"/>
        <w:rPr>
          <w:b/>
          <w:color w:val="51626F"/>
        </w:rPr>
      </w:pPr>
      <w:r w:rsidRPr="004D263A">
        <w:rPr>
          <w:b/>
          <w:color w:val="51626F"/>
        </w:rPr>
        <w:t>Table 2:</w:t>
      </w:r>
      <w:r w:rsidRPr="004D263A">
        <w:rPr>
          <w:b/>
          <w:color w:val="51626F"/>
        </w:rPr>
        <w:tab/>
        <w:t>Percentage change in key aeronautical indicators from 2013-14 to 2014</w:t>
      </w:r>
      <w:r w:rsidRPr="004D263A">
        <w:rPr>
          <w:b/>
          <w:color w:val="51626F"/>
        </w:rPr>
        <w:noBreakHyphen/>
        <w:t>15</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4D263A" w:rsidRPr="004D263A" w:rsidTr="00DC084A">
        <w:tc>
          <w:tcPr>
            <w:tcW w:w="1237"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Airport</w:t>
            </w:r>
          </w:p>
        </w:tc>
        <w:tc>
          <w:tcPr>
            <w:tcW w:w="1237"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Passenger numbers</w:t>
            </w:r>
            <w:r w:rsidRPr="004D263A">
              <w:rPr>
                <w:b/>
                <w:color w:val="000000" w:themeColor="text1"/>
                <w:sz w:val="18"/>
              </w:rPr>
              <w:br/>
            </w:r>
            <w:r w:rsidRPr="004D263A">
              <w:rPr>
                <w:b/>
                <w:color w:val="000000" w:themeColor="text1"/>
                <w:sz w:val="18"/>
              </w:rPr>
              <w:br/>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Total aero revenue</w:t>
            </w:r>
            <w:r w:rsidRPr="004D263A">
              <w:rPr>
                <w:b/>
                <w:color w:val="000000" w:themeColor="text1"/>
                <w:sz w:val="18"/>
              </w:rPr>
              <w:br/>
            </w:r>
            <w:r w:rsidRPr="004D263A">
              <w:rPr>
                <w:b/>
                <w:color w:val="000000" w:themeColor="text1"/>
                <w:sz w:val="18"/>
              </w:rPr>
              <w:br/>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Aero revenue per passenger</w:t>
            </w:r>
            <w:r w:rsidRPr="004D263A">
              <w:rPr>
                <w:b/>
                <w:color w:val="000000" w:themeColor="text1"/>
                <w:sz w:val="18"/>
              </w:rPr>
              <w:br/>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Total aero margin</w:t>
            </w:r>
            <w:r w:rsidRPr="004D263A">
              <w:rPr>
                <w:b/>
                <w:color w:val="000000" w:themeColor="text1"/>
                <w:sz w:val="18"/>
              </w:rPr>
              <w:br/>
            </w:r>
            <w:r w:rsidRPr="004D263A">
              <w:rPr>
                <w:b/>
                <w:color w:val="000000" w:themeColor="text1"/>
                <w:sz w:val="18"/>
              </w:rPr>
              <w:br/>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Aero margin per passenger</w:t>
            </w:r>
            <w:r w:rsidRPr="004D263A">
              <w:rPr>
                <w:b/>
                <w:color w:val="000000" w:themeColor="text1"/>
                <w:sz w:val="18"/>
              </w:rPr>
              <w:br/>
            </w:r>
          </w:p>
        </w:tc>
        <w:tc>
          <w:tcPr>
            <w:tcW w:w="1238"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Overall rating for quality of service</w:t>
            </w:r>
          </w:p>
        </w:tc>
      </w:tr>
      <w:tr w:rsidR="004D263A" w:rsidRPr="004D263A" w:rsidTr="00DC084A">
        <w:tc>
          <w:tcPr>
            <w:tcW w:w="1237" w:type="dxa"/>
            <w:tcBorders>
              <w:left w:val="nil"/>
              <w:bottom w:val="nil"/>
              <w:right w:val="nil"/>
            </w:tcBorders>
          </w:tcPr>
          <w:p w:rsidR="004D263A" w:rsidRPr="004D263A" w:rsidRDefault="004D263A" w:rsidP="004D263A">
            <w:pPr>
              <w:spacing w:before="40" w:after="40"/>
              <w:rPr>
                <w:sz w:val="18"/>
              </w:rPr>
            </w:pPr>
            <w:r w:rsidRPr="004D263A">
              <w:rPr>
                <w:sz w:val="18"/>
              </w:rPr>
              <w:t>Brisbane</w:t>
            </w:r>
          </w:p>
        </w:tc>
        <w:tc>
          <w:tcPr>
            <w:tcW w:w="1237"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0.8%</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sz w:val="18"/>
                <w:szCs w:val="24"/>
                <w:lang w:eastAsia="en-AU"/>
              </w:rPr>
              <w:t>10.7</w:t>
            </w:r>
            <w:r w:rsidRPr="004D263A">
              <w:rPr>
                <w:rFonts w:eastAsia="Times New Roman" w:cs="Times New Roman"/>
                <w:color w:val="000000" w:themeColor="text1"/>
                <w:sz w:val="18"/>
                <w:szCs w:val="24"/>
                <w:lang w:eastAsia="en-AU"/>
              </w:rPr>
              <w:t>%</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9.8%</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w:t>
            </w:r>
            <w:r w:rsidRPr="004D263A">
              <w:rPr>
                <w:rFonts w:eastAsia="Times New Roman" w:cs="Times New Roman"/>
                <w:color w:val="000000" w:themeColor="text1"/>
                <w:sz w:val="18"/>
                <w:szCs w:val="24"/>
                <w:lang w:eastAsia="en-AU"/>
              </w:rPr>
              <w:t>12.9%</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12.0%</w:t>
            </w:r>
          </w:p>
        </w:tc>
        <w:tc>
          <w:tcPr>
            <w:tcW w:w="1238" w:type="dxa"/>
            <w:tcBorders>
              <w:left w:val="nil"/>
              <w:bottom w:val="nil"/>
              <w:right w:val="nil"/>
            </w:tcBorders>
          </w:tcPr>
          <w:p w:rsidR="004D263A" w:rsidRPr="004D263A" w:rsidRDefault="004D263A" w:rsidP="004D263A">
            <w:pPr>
              <w:spacing w:before="40" w:after="40"/>
              <w:jc w:val="right"/>
              <w:rPr>
                <w:sz w:val="18"/>
              </w:rPr>
            </w:pPr>
            <w:r w:rsidRPr="004D263A">
              <w:rPr>
                <w:rFonts w:cs="Arial"/>
                <w:b/>
                <w:color w:val="4BACC6"/>
                <w:sz w:val="16"/>
                <w:szCs w:val="18"/>
              </w:rPr>
              <w:t>▬</w:t>
            </w:r>
          </w:p>
        </w:tc>
      </w:tr>
      <w:tr w:rsidR="004D263A" w:rsidRPr="004D263A" w:rsidTr="00DC084A">
        <w:tc>
          <w:tcPr>
            <w:tcW w:w="1237" w:type="dxa"/>
            <w:tcBorders>
              <w:top w:val="nil"/>
              <w:left w:val="nil"/>
              <w:bottom w:val="nil"/>
              <w:right w:val="nil"/>
            </w:tcBorders>
          </w:tcPr>
          <w:p w:rsidR="004D263A" w:rsidRPr="004D263A" w:rsidRDefault="004D263A" w:rsidP="004D263A">
            <w:pPr>
              <w:spacing w:before="40" w:after="40"/>
              <w:rPr>
                <w:sz w:val="18"/>
              </w:rPr>
            </w:pPr>
            <w:r w:rsidRPr="004D263A">
              <w:rPr>
                <w:sz w:val="18"/>
              </w:rPr>
              <w:t>Melbourne</w:t>
            </w:r>
          </w:p>
        </w:tc>
        <w:tc>
          <w:tcPr>
            <w:tcW w:w="1237"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3.6%</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7.7%</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3.9%</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3.4%</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0.2%</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cs="Arial"/>
                <w:b/>
                <w:color w:val="4BACC6"/>
                <w:sz w:val="16"/>
                <w:szCs w:val="18"/>
              </w:rPr>
              <w:t>▬</w:t>
            </w:r>
          </w:p>
        </w:tc>
      </w:tr>
      <w:tr w:rsidR="004D263A" w:rsidRPr="004D263A" w:rsidTr="00DC084A">
        <w:tc>
          <w:tcPr>
            <w:tcW w:w="1237" w:type="dxa"/>
            <w:tcBorders>
              <w:top w:val="nil"/>
              <w:left w:val="nil"/>
              <w:bottom w:val="nil"/>
              <w:right w:val="nil"/>
            </w:tcBorders>
          </w:tcPr>
          <w:p w:rsidR="004D263A" w:rsidRPr="004D263A" w:rsidRDefault="004D263A" w:rsidP="004D263A">
            <w:pPr>
              <w:spacing w:before="40" w:after="40"/>
              <w:rPr>
                <w:sz w:val="18"/>
              </w:rPr>
            </w:pPr>
            <w:r w:rsidRPr="004D263A">
              <w:rPr>
                <w:sz w:val="18"/>
              </w:rPr>
              <w:t>Perth</w:t>
            </w:r>
          </w:p>
        </w:tc>
        <w:tc>
          <w:tcPr>
            <w:tcW w:w="1237"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1.0%</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1.4%</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0.4%</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9.6%</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8.7%</w:t>
            </w:r>
          </w:p>
        </w:tc>
        <w:tc>
          <w:tcPr>
            <w:tcW w:w="1238"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w:t>
            </w:r>
            <w:r w:rsidRPr="004D263A">
              <w:rPr>
                <w:rFonts w:eastAsia="Times New Roman" w:cs="Times New Roman"/>
                <w:sz w:val="18"/>
                <w:szCs w:val="24"/>
                <w:lang w:eastAsia="en-AU"/>
              </w:rPr>
              <w:t>6.0</w:t>
            </w:r>
            <w:r w:rsidRPr="004D263A">
              <w:rPr>
                <w:rFonts w:eastAsia="Times New Roman" w:cs="Times New Roman"/>
                <w:color w:val="000000" w:themeColor="text1"/>
                <w:sz w:val="18"/>
                <w:szCs w:val="24"/>
                <w:lang w:eastAsia="en-AU"/>
              </w:rPr>
              <w:t>%</w:t>
            </w:r>
          </w:p>
        </w:tc>
      </w:tr>
      <w:tr w:rsidR="004D263A" w:rsidRPr="004D263A" w:rsidTr="00DC084A">
        <w:tc>
          <w:tcPr>
            <w:tcW w:w="1237" w:type="dxa"/>
            <w:tcBorders>
              <w:top w:val="nil"/>
              <w:left w:val="nil"/>
              <w:right w:val="nil"/>
            </w:tcBorders>
          </w:tcPr>
          <w:p w:rsidR="004D263A" w:rsidRPr="004D263A" w:rsidRDefault="004D263A" w:rsidP="004D263A">
            <w:pPr>
              <w:spacing w:before="40" w:after="40"/>
              <w:rPr>
                <w:sz w:val="18"/>
              </w:rPr>
            </w:pPr>
            <w:r w:rsidRPr="004D263A">
              <w:rPr>
                <w:sz w:val="18"/>
              </w:rPr>
              <w:t>Sydney</w:t>
            </w:r>
          </w:p>
        </w:tc>
        <w:tc>
          <w:tcPr>
            <w:tcW w:w="1237" w:type="dxa"/>
            <w:tcBorders>
              <w:top w:val="nil"/>
              <w:left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1.2%</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1.8%</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0.6%</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2.3%</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1.1%</w:t>
            </w:r>
          </w:p>
        </w:tc>
        <w:tc>
          <w:tcPr>
            <w:tcW w:w="1238" w:type="dxa"/>
            <w:tcBorders>
              <w:top w:val="nil"/>
              <w:left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w:t>
            </w:r>
            <w:r w:rsidRPr="004D263A">
              <w:rPr>
                <w:rFonts w:eastAsia="Times New Roman" w:cs="Times New Roman"/>
                <w:color w:val="000000" w:themeColor="text1"/>
                <w:sz w:val="18"/>
                <w:szCs w:val="24"/>
                <w:lang w:eastAsia="en-AU"/>
              </w:rPr>
              <w:t>2.1%</w:t>
            </w:r>
          </w:p>
        </w:tc>
      </w:tr>
    </w:tbl>
    <w:p w:rsidR="004D263A" w:rsidRPr="004D263A" w:rsidRDefault="004D263A" w:rsidP="004D263A">
      <w:pPr>
        <w:spacing w:before="120"/>
        <w:ind w:left="720" w:hanging="720"/>
        <w:contextualSpacing/>
        <w:rPr>
          <w:sz w:val="16"/>
          <w:szCs w:val="16"/>
        </w:rPr>
      </w:pPr>
      <w:r w:rsidRPr="004D263A">
        <w:rPr>
          <w:sz w:val="16"/>
          <w:szCs w:val="16"/>
        </w:rPr>
        <w:t>Note:</w:t>
      </w:r>
      <w:r w:rsidRPr="004D263A">
        <w:rPr>
          <w:sz w:val="16"/>
          <w:szCs w:val="16"/>
        </w:rPr>
        <w:tab/>
        <w:t>Changes for financial data are presented in real terms (base year = 2014-15)</w:t>
      </w:r>
    </w:p>
    <w:p w:rsidR="004D263A" w:rsidRPr="004D263A" w:rsidRDefault="004D263A" w:rsidP="004D263A">
      <w:pPr>
        <w:keepNext/>
        <w:spacing w:before="240" w:after="200" w:line="276" w:lineRule="auto"/>
        <w:ind w:left="1440" w:hanging="1440"/>
        <w:outlineLvl w:val="3"/>
        <w:rPr>
          <w:b/>
          <w:color w:val="51626F"/>
        </w:rPr>
      </w:pPr>
      <w:r w:rsidRPr="004D263A">
        <w:rPr>
          <w:b/>
          <w:color w:val="51626F"/>
        </w:rPr>
        <w:lastRenderedPageBreak/>
        <w:t>Table 3:</w:t>
      </w:r>
      <w:r w:rsidRPr="004D263A">
        <w:rPr>
          <w:b/>
          <w:color w:val="51626F"/>
        </w:rPr>
        <w:tab/>
        <w:t>Key car parking indicators for the monitored airports for 2014-15</w:t>
      </w:r>
    </w:p>
    <w:tbl>
      <w:tblPr>
        <w:tblStyle w:val="TableGrid"/>
        <w:tblW w:w="0" w:type="auto"/>
        <w:tblLook w:val="04A0" w:firstRow="1" w:lastRow="0" w:firstColumn="1" w:lastColumn="0" w:noHBand="0" w:noVBand="1"/>
      </w:tblPr>
      <w:tblGrid>
        <w:gridCol w:w="1136"/>
        <w:gridCol w:w="1075"/>
        <w:gridCol w:w="1075"/>
        <w:gridCol w:w="1076"/>
        <w:gridCol w:w="1075"/>
        <w:gridCol w:w="1076"/>
        <w:gridCol w:w="1075"/>
        <w:gridCol w:w="1076"/>
      </w:tblGrid>
      <w:tr w:rsidR="004D263A" w:rsidRPr="004D263A" w:rsidTr="00DC084A">
        <w:tc>
          <w:tcPr>
            <w:tcW w:w="113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Airport</w:t>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rPr>
                <w:b/>
                <w:color w:val="000000" w:themeColor="text1"/>
                <w:sz w:val="18"/>
              </w:rPr>
            </w:pPr>
            <w:r w:rsidRPr="004D263A">
              <w:rPr>
                <w:b/>
                <w:color w:val="000000" w:themeColor="text1"/>
                <w:sz w:val="18"/>
              </w:rPr>
              <w:t>Revenue</w:t>
            </w:r>
            <w:r w:rsidRPr="004D263A">
              <w:rPr>
                <w:b/>
                <w:color w:val="000000" w:themeColor="text1"/>
                <w:sz w:val="18"/>
              </w:rPr>
              <w:br/>
            </w:r>
            <w:r w:rsidRPr="004D263A">
              <w:rPr>
                <w:b/>
                <w:color w:val="000000" w:themeColor="text1"/>
                <w:sz w:val="18"/>
              </w:rPr>
              <w:br/>
            </w:r>
            <w:r w:rsidRPr="004D263A">
              <w:rPr>
                <w:b/>
                <w:color w:val="000000" w:themeColor="text1"/>
                <w:sz w:val="18"/>
              </w:rPr>
              <w:br/>
            </w:r>
            <w:r w:rsidRPr="004D263A">
              <w:rPr>
                <w:b/>
                <w:color w:val="000000" w:themeColor="text1"/>
                <w:sz w:val="18"/>
              </w:rPr>
              <w:br/>
            </w:r>
            <w:r w:rsidRPr="004D263A">
              <w:rPr>
                <w:b/>
                <w:color w:val="000000" w:themeColor="text1"/>
                <w:sz w:val="18"/>
              </w:rPr>
              <w:br/>
              <w:t>($million)</w:t>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Operating margin</w:t>
            </w:r>
            <w:r w:rsidRPr="004D263A">
              <w:rPr>
                <w:b/>
                <w:color w:val="000000" w:themeColor="text1"/>
                <w:sz w:val="18"/>
              </w:rPr>
              <w:br/>
            </w:r>
            <w:r w:rsidRPr="004D263A">
              <w:rPr>
                <w:b/>
                <w:color w:val="000000" w:themeColor="text1"/>
                <w:sz w:val="18"/>
              </w:rPr>
              <w:br/>
            </w:r>
            <w:r w:rsidRPr="004D263A">
              <w:rPr>
                <w:b/>
                <w:color w:val="000000" w:themeColor="text1"/>
                <w:sz w:val="18"/>
              </w:rPr>
              <w:br/>
            </w:r>
            <w:r w:rsidRPr="004D263A">
              <w:rPr>
                <w:b/>
                <w:color w:val="000000" w:themeColor="text1"/>
                <w:sz w:val="18"/>
              </w:rPr>
              <w:br/>
              <w:t>($million)</w:t>
            </w:r>
          </w:p>
        </w:tc>
        <w:tc>
          <w:tcPr>
            <w:tcW w:w="107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Spaces</w:t>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Revenue per car park space</w:t>
            </w:r>
            <w:r w:rsidRPr="004D263A">
              <w:rPr>
                <w:b/>
                <w:color w:val="000000" w:themeColor="text1"/>
                <w:sz w:val="18"/>
              </w:rPr>
              <w:br/>
            </w:r>
            <w:r w:rsidRPr="004D263A">
              <w:rPr>
                <w:b/>
                <w:color w:val="000000" w:themeColor="text1"/>
                <w:sz w:val="18"/>
              </w:rPr>
              <w:br/>
              <w:t>($)</w:t>
            </w:r>
          </w:p>
        </w:tc>
        <w:tc>
          <w:tcPr>
            <w:tcW w:w="107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Margin per car park space</w:t>
            </w:r>
            <w:r w:rsidRPr="004D263A">
              <w:rPr>
                <w:b/>
                <w:color w:val="000000" w:themeColor="text1"/>
                <w:sz w:val="18"/>
              </w:rPr>
              <w:br/>
            </w:r>
            <w:r w:rsidRPr="004D263A">
              <w:rPr>
                <w:b/>
                <w:color w:val="000000" w:themeColor="text1"/>
                <w:sz w:val="18"/>
              </w:rPr>
              <w:br/>
              <w:t>($)</w:t>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 xml:space="preserve">Margin as % of car parking </w:t>
            </w:r>
            <w:proofErr w:type="gramStart"/>
            <w:r w:rsidRPr="004D263A">
              <w:rPr>
                <w:b/>
                <w:color w:val="000000" w:themeColor="text1"/>
                <w:sz w:val="18"/>
              </w:rPr>
              <w:t>revenue</w:t>
            </w:r>
            <w:proofErr w:type="gramEnd"/>
            <w:r w:rsidRPr="004D263A">
              <w:rPr>
                <w:b/>
                <w:color w:val="000000" w:themeColor="text1"/>
                <w:sz w:val="18"/>
              </w:rPr>
              <w:br/>
            </w:r>
            <w:r w:rsidRPr="004D263A">
              <w:rPr>
                <w:b/>
                <w:color w:val="000000" w:themeColor="text1"/>
                <w:sz w:val="18"/>
              </w:rPr>
              <w:br/>
              <w:t>(%)</w:t>
            </w:r>
          </w:p>
        </w:tc>
        <w:tc>
          <w:tcPr>
            <w:tcW w:w="107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 xml:space="preserve">Revenue as a % of total airport </w:t>
            </w:r>
            <w:proofErr w:type="gramStart"/>
            <w:r w:rsidRPr="004D263A">
              <w:rPr>
                <w:b/>
                <w:color w:val="000000" w:themeColor="text1"/>
                <w:sz w:val="18"/>
              </w:rPr>
              <w:t>revenue</w:t>
            </w:r>
            <w:proofErr w:type="gramEnd"/>
            <w:r w:rsidRPr="004D263A">
              <w:rPr>
                <w:b/>
                <w:color w:val="000000" w:themeColor="text1"/>
                <w:sz w:val="18"/>
              </w:rPr>
              <w:br/>
              <w:t>(%)</w:t>
            </w:r>
          </w:p>
        </w:tc>
      </w:tr>
      <w:tr w:rsidR="004D263A" w:rsidRPr="004D263A" w:rsidTr="00DC084A">
        <w:tc>
          <w:tcPr>
            <w:tcW w:w="1136" w:type="dxa"/>
            <w:tcBorders>
              <w:left w:val="nil"/>
              <w:bottom w:val="nil"/>
              <w:right w:val="nil"/>
            </w:tcBorders>
          </w:tcPr>
          <w:p w:rsidR="004D263A" w:rsidRPr="004D263A" w:rsidRDefault="004D263A" w:rsidP="004D263A">
            <w:pPr>
              <w:spacing w:before="40" w:after="40"/>
              <w:rPr>
                <w:sz w:val="18"/>
              </w:rPr>
            </w:pPr>
            <w:r w:rsidRPr="004D263A">
              <w:rPr>
                <w:sz w:val="18"/>
              </w:rPr>
              <w:t>Brisbane</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sz w:val="18"/>
              </w:rPr>
              <w:t>84.5</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sz w:val="18"/>
              </w:rPr>
              <w:t>56.8</w:t>
            </w:r>
          </w:p>
        </w:tc>
        <w:tc>
          <w:tcPr>
            <w:tcW w:w="1076" w:type="dxa"/>
            <w:tcBorders>
              <w:left w:val="nil"/>
              <w:bottom w:val="nil"/>
              <w:right w:val="nil"/>
            </w:tcBorders>
          </w:tcPr>
          <w:p w:rsidR="004D263A" w:rsidRPr="004D263A" w:rsidRDefault="004D263A" w:rsidP="004D263A">
            <w:pPr>
              <w:spacing w:before="40" w:after="40"/>
              <w:jc w:val="right"/>
              <w:rPr>
                <w:sz w:val="18"/>
              </w:rPr>
            </w:pPr>
            <w:r w:rsidRPr="004D263A">
              <w:rPr>
                <w:sz w:val="18"/>
              </w:rPr>
              <w:t>13 677</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sz w:val="18"/>
              </w:rPr>
              <w:t>6 181</w:t>
            </w:r>
          </w:p>
        </w:tc>
        <w:tc>
          <w:tcPr>
            <w:tcW w:w="1076" w:type="dxa"/>
            <w:tcBorders>
              <w:left w:val="nil"/>
              <w:bottom w:val="nil"/>
              <w:right w:val="nil"/>
            </w:tcBorders>
          </w:tcPr>
          <w:p w:rsidR="004D263A" w:rsidRPr="004D263A" w:rsidRDefault="004D263A" w:rsidP="004D263A">
            <w:pPr>
              <w:spacing w:before="40" w:after="40"/>
              <w:jc w:val="right"/>
              <w:rPr>
                <w:sz w:val="18"/>
              </w:rPr>
            </w:pPr>
            <w:r w:rsidRPr="004D263A">
              <w:rPr>
                <w:sz w:val="18"/>
              </w:rPr>
              <w:t>4 153</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sz w:val="18"/>
              </w:rPr>
              <w:t>67.2</w:t>
            </w:r>
          </w:p>
        </w:tc>
        <w:tc>
          <w:tcPr>
            <w:tcW w:w="1076" w:type="dxa"/>
            <w:tcBorders>
              <w:left w:val="nil"/>
              <w:bottom w:val="nil"/>
              <w:right w:val="nil"/>
            </w:tcBorders>
          </w:tcPr>
          <w:p w:rsidR="004D263A" w:rsidRPr="004D263A" w:rsidRDefault="004D263A" w:rsidP="004D263A">
            <w:pPr>
              <w:spacing w:before="40" w:after="40"/>
              <w:jc w:val="right"/>
              <w:rPr>
                <w:sz w:val="18"/>
              </w:rPr>
            </w:pPr>
            <w:r w:rsidRPr="004D263A">
              <w:rPr>
                <w:sz w:val="18"/>
              </w:rPr>
              <w:t>13.8</w:t>
            </w:r>
          </w:p>
        </w:tc>
      </w:tr>
      <w:tr w:rsidR="004D263A" w:rsidRPr="004D263A" w:rsidTr="00DC084A">
        <w:tc>
          <w:tcPr>
            <w:tcW w:w="1136" w:type="dxa"/>
            <w:tcBorders>
              <w:top w:val="nil"/>
              <w:left w:val="nil"/>
              <w:bottom w:val="nil"/>
              <w:right w:val="nil"/>
            </w:tcBorders>
          </w:tcPr>
          <w:p w:rsidR="004D263A" w:rsidRPr="004D263A" w:rsidRDefault="004D263A" w:rsidP="004D263A">
            <w:pPr>
              <w:spacing w:before="40" w:after="40"/>
              <w:rPr>
                <w:sz w:val="18"/>
              </w:rPr>
            </w:pPr>
            <w:r w:rsidRPr="004D263A">
              <w:rPr>
                <w:sz w:val="18"/>
              </w:rPr>
              <w:t>Melbourne</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147.0</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107.6</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23 223</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6 331</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4 633</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73.2</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19.5</w:t>
            </w:r>
          </w:p>
        </w:tc>
      </w:tr>
      <w:tr w:rsidR="004D263A" w:rsidRPr="004D263A" w:rsidTr="00DC084A">
        <w:tc>
          <w:tcPr>
            <w:tcW w:w="1136" w:type="dxa"/>
            <w:tcBorders>
              <w:top w:val="nil"/>
              <w:left w:val="nil"/>
              <w:bottom w:val="nil"/>
              <w:right w:val="nil"/>
            </w:tcBorders>
          </w:tcPr>
          <w:p w:rsidR="004D263A" w:rsidRPr="004D263A" w:rsidRDefault="004D263A" w:rsidP="004D263A">
            <w:pPr>
              <w:spacing w:before="40" w:after="40"/>
              <w:rPr>
                <w:sz w:val="18"/>
              </w:rPr>
            </w:pPr>
            <w:r w:rsidRPr="004D263A">
              <w:rPr>
                <w:sz w:val="18"/>
              </w:rPr>
              <w:t>Perth</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65.1</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41.5</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22 166</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2 937</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1 871</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63.7</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sz w:val="18"/>
              </w:rPr>
              <w:t>15.2</w:t>
            </w:r>
          </w:p>
        </w:tc>
      </w:tr>
      <w:tr w:rsidR="004D263A" w:rsidRPr="004D263A" w:rsidTr="00DC084A">
        <w:tc>
          <w:tcPr>
            <w:tcW w:w="1136" w:type="dxa"/>
            <w:tcBorders>
              <w:top w:val="nil"/>
              <w:left w:val="nil"/>
              <w:right w:val="nil"/>
            </w:tcBorders>
          </w:tcPr>
          <w:p w:rsidR="004D263A" w:rsidRPr="004D263A" w:rsidRDefault="004D263A" w:rsidP="004D263A">
            <w:pPr>
              <w:spacing w:before="40" w:after="40"/>
              <w:rPr>
                <w:sz w:val="18"/>
              </w:rPr>
            </w:pPr>
            <w:r w:rsidRPr="004D263A">
              <w:rPr>
                <w:sz w:val="18"/>
              </w:rPr>
              <w:t>Sydney</w:t>
            </w:r>
          </w:p>
        </w:tc>
        <w:tc>
          <w:tcPr>
            <w:tcW w:w="1075" w:type="dxa"/>
            <w:tcBorders>
              <w:top w:val="nil"/>
              <w:left w:val="nil"/>
              <w:right w:val="nil"/>
            </w:tcBorders>
          </w:tcPr>
          <w:p w:rsidR="004D263A" w:rsidRPr="004D263A" w:rsidRDefault="004D263A" w:rsidP="004D263A">
            <w:pPr>
              <w:spacing w:before="40" w:after="40"/>
              <w:jc w:val="right"/>
              <w:rPr>
                <w:sz w:val="18"/>
              </w:rPr>
            </w:pPr>
            <w:r w:rsidRPr="004D263A">
              <w:rPr>
                <w:sz w:val="18"/>
              </w:rPr>
              <w:t>127.8</w:t>
            </w:r>
          </w:p>
        </w:tc>
        <w:tc>
          <w:tcPr>
            <w:tcW w:w="1075" w:type="dxa"/>
            <w:tcBorders>
              <w:top w:val="nil"/>
              <w:left w:val="nil"/>
              <w:right w:val="nil"/>
            </w:tcBorders>
          </w:tcPr>
          <w:p w:rsidR="004D263A" w:rsidRPr="004D263A" w:rsidRDefault="004D263A" w:rsidP="004D263A">
            <w:pPr>
              <w:spacing w:before="40" w:after="40"/>
              <w:jc w:val="right"/>
              <w:rPr>
                <w:sz w:val="18"/>
              </w:rPr>
            </w:pPr>
            <w:r w:rsidRPr="004D263A">
              <w:rPr>
                <w:sz w:val="18"/>
              </w:rPr>
              <w:t>91.5</w:t>
            </w:r>
          </w:p>
        </w:tc>
        <w:tc>
          <w:tcPr>
            <w:tcW w:w="1076" w:type="dxa"/>
            <w:tcBorders>
              <w:top w:val="nil"/>
              <w:left w:val="nil"/>
              <w:right w:val="nil"/>
            </w:tcBorders>
          </w:tcPr>
          <w:p w:rsidR="004D263A" w:rsidRPr="004D263A" w:rsidRDefault="004D263A" w:rsidP="004D263A">
            <w:pPr>
              <w:spacing w:before="40" w:after="40"/>
              <w:jc w:val="right"/>
              <w:rPr>
                <w:sz w:val="18"/>
              </w:rPr>
            </w:pPr>
            <w:r w:rsidRPr="004D263A">
              <w:rPr>
                <w:sz w:val="18"/>
              </w:rPr>
              <w:t>16 492</w:t>
            </w:r>
          </w:p>
        </w:tc>
        <w:tc>
          <w:tcPr>
            <w:tcW w:w="1075" w:type="dxa"/>
            <w:tcBorders>
              <w:top w:val="nil"/>
              <w:left w:val="nil"/>
              <w:right w:val="nil"/>
            </w:tcBorders>
          </w:tcPr>
          <w:p w:rsidR="004D263A" w:rsidRPr="004D263A" w:rsidRDefault="004D263A" w:rsidP="004D263A">
            <w:pPr>
              <w:spacing w:before="40" w:after="40"/>
              <w:jc w:val="right"/>
              <w:rPr>
                <w:sz w:val="18"/>
              </w:rPr>
            </w:pPr>
            <w:r w:rsidRPr="004D263A">
              <w:rPr>
                <w:sz w:val="18"/>
              </w:rPr>
              <w:t>7 749</w:t>
            </w:r>
          </w:p>
        </w:tc>
        <w:tc>
          <w:tcPr>
            <w:tcW w:w="1076" w:type="dxa"/>
            <w:tcBorders>
              <w:top w:val="nil"/>
              <w:left w:val="nil"/>
              <w:right w:val="nil"/>
            </w:tcBorders>
          </w:tcPr>
          <w:p w:rsidR="004D263A" w:rsidRPr="004D263A" w:rsidRDefault="004D263A" w:rsidP="004D263A">
            <w:pPr>
              <w:spacing w:before="40" w:after="40"/>
              <w:jc w:val="right"/>
              <w:rPr>
                <w:sz w:val="18"/>
              </w:rPr>
            </w:pPr>
            <w:r w:rsidRPr="004D263A">
              <w:rPr>
                <w:sz w:val="18"/>
              </w:rPr>
              <w:t>5 551</w:t>
            </w:r>
          </w:p>
        </w:tc>
        <w:tc>
          <w:tcPr>
            <w:tcW w:w="1075" w:type="dxa"/>
            <w:tcBorders>
              <w:top w:val="nil"/>
              <w:left w:val="nil"/>
              <w:right w:val="nil"/>
            </w:tcBorders>
          </w:tcPr>
          <w:p w:rsidR="004D263A" w:rsidRPr="004D263A" w:rsidRDefault="004D263A" w:rsidP="004D263A">
            <w:pPr>
              <w:spacing w:before="40" w:after="40"/>
              <w:jc w:val="right"/>
              <w:rPr>
                <w:sz w:val="18"/>
              </w:rPr>
            </w:pPr>
            <w:r w:rsidRPr="004D263A">
              <w:rPr>
                <w:sz w:val="18"/>
              </w:rPr>
              <w:t>71.6</w:t>
            </w:r>
          </w:p>
        </w:tc>
        <w:tc>
          <w:tcPr>
            <w:tcW w:w="1076" w:type="dxa"/>
            <w:tcBorders>
              <w:top w:val="nil"/>
              <w:left w:val="nil"/>
              <w:right w:val="nil"/>
            </w:tcBorders>
          </w:tcPr>
          <w:p w:rsidR="004D263A" w:rsidRPr="004D263A" w:rsidRDefault="004D263A" w:rsidP="004D263A">
            <w:pPr>
              <w:spacing w:before="40" w:after="40"/>
              <w:jc w:val="right"/>
              <w:rPr>
                <w:sz w:val="18"/>
              </w:rPr>
            </w:pPr>
            <w:r w:rsidRPr="004D263A">
              <w:rPr>
                <w:sz w:val="18"/>
              </w:rPr>
              <w:t>10.7</w:t>
            </w:r>
          </w:p>
        </w:tc>
      </w:tr>
    </w:tbl>
    <w:p w:rsidR="004D263A" w:rsidRPr="004D263A" w:rsidRDefault="004D263A" w:rsidP="004D263A">
      <w:pPr>
        <w:keepNext/>
        <w:spacing w:before="240" w:after="200" w:line="276" w:lineRule="auto"/>
        <w:ind w:left="1440" w:hanging="1440"/>
        <w:outlineLvl w:val="3"/>
        <w:rPr>
          <w:b/>
          <w:color w:val="51626F"/>
        </w:rPr>
      </w:pPr>
      <w:r w:rsidRPr="004D263A">
        <w:rPr>
          <w:b/>
          <w:color w:val="51626F"/>
        </w:rPr>
        <w:t>Table 4:</w:t>
      </w:r>
      <w:r w:rsidRPr="004D263A">
        <w:rPr>
          <w:b/>
          <w:color w:val="51626F"/>
        </w:rPr>
        <w:tab/>
        <w:t>Percentage change in key car parking indicators from 2013-14 to 2014-15</w:t>
      </w:r>
    </w:p>
    <w:tbl>
      <w:tblPr>
        <w:tblStyle w:val="TableGrid"/>
        <w:tblW w:w="0" w:type="auto"/>
        <w:tblLook w:val="04A0" w:firstRow="1" w:lastRow="0" w:firstColumn="1" w:lastColumn="0" w:noHBand="0" w:noVBand="1"/>
      </w:tblPr>
      <w:tblGrid>
        <w:gridCol w:w="1136"/>
        <w:gridCol w:w="1075"/>
        <w:gridCol w:w="1075"/>
        <w:gridCol w:w="1076"/>
        <w:gridCol w:w="1075"/>
        <w:gridCol w:w="1076"/>
        <w:gridCol w:w="1075"/>
        <w:gridCol w:w="1076"/>
      </w:tblGrid>
      <w:tr w:rsidR="004D263A" w:rsidRPr="004D263A" w:rsidTr="00DC084A">
        <w:tc>
          <w:tcPr>
            <w:tcW w:w="113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Airport</w:t>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Revenue</w:t>
            </w:r>
            <w:r w:rsidRPr="004D263A">
              <w:rPr>
                <w:b/>
                <w:color w:val="000000" w:themeColor="text1"/>
                <w:sz w:val="18"/>
              </w:rPr>
              <w:br/>
            </w:r>
            <w:r w:rsidRPr="004D263A">
              <w:rPr>
                <w:b/>
                <w:color w:val="000000" w:themeColor="text1"/>
                <w:sz w:val="18"/>
              </w:rPr>
              <w:br/>
            </w:r>
            <w:r w:rsidRPr="004D263A">
              <w:rPr>
                <w:b/>
                <w:color w:val="000000" w:themeColor="text1"/>
                <w:sz w:val="18"/>
              </w:rPr>
              <w:br/>
            </w:r>
            <w:r w:rsidRPr="004D263A">
              <w:rPr>
                <w:b/>
                <w:color w:val="000000" w:themeColor="text1"/>
                <w:sz w:val="18"/>
              </w:rPr>
              <w:br/>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Operating margin</w:t>
            </w:r>
            <w:r w:rsidRPr="004D263A">
              <w:rPr>
                <w:b/>
                <w:color w:val="000000" w:themeColor="text1"/>
                <w:sz w:val="18"/>
              </w:rPr>
              <w:br/>
            </w:r>
            <w:r w:rsidRPr="004D263A">
              <w:rPr>
                <w:b/>
                <w:color w:val="000000" w:themeColor="text1"/>
                <w:sz w:val="18"/>
              </w:rPr>
              <w:br/>
            </w:r>
            <w:r w:rsidRPr="004D263A">
              <w:rPr>
                <w:b/>
                <w:color w:val="000000" w:themeColor="text1"/>
                <w:sz w:val="18"/>
              </w:rPr>
              <w:br/>
            </w:r>
          </w:p>
        </w:tc>
        <w:tc>
          <w:tcPr>
            <w:tcW w:w="107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Spaces</w:t>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Revenue per car park space</w:t>
            </w:r>
            <w:r w:rsidRPr="004D263A">
              <w:rPr>
                <w:b/>
                <w:color w:val="000000" w:themeColor="text1"/>
                <w:sz w:val="18"/>
              </w:rPr>
              <w:br/>
            </w:r>
          </w:p>
        </w:tc>
        <w:tc>
          <w:tcPr>
            <w:tcW w:w="107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Margin per car park space</w:t>
            </w:r>
            <w:r w:rsidRPr="004D263A">
              <w:rPr>
                <w:b/>
                <w:color w:val="000000" w:themeColor="text1"/>
                <w:sz w:val="18"/>
              </w:rPr>
              <w:br/>
            </w:r>
          </w:p>
        </w:tc>
        <w:tc>
          <w:tcPr>
            <w:tcW w:w="1075"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Margin as % of car parking revenue</w:t>
            </w:r>
            <w:r w:rsidRPr="004D263A">
              <w:rPr>
                <w:b/>
                <w:color w:val="000000" w:themeColor="text1"/>
                <w:sz w:val="18"/>
              </w:rPr>
              <w:br/>
            </w:r>
          </w:p>
        </w:tc>
        <w:tc>
          <w:tcPr>
            <w:tcW w:w="1076" w:type="dxa"/>
            <w:tcBorders>
              <w:left w:val="nil"/>
              <w:bottom w:val="single" w:sz="4" w:space="0" w:color="auto"/>
              <w:right w:val="nil"/>
            </w:tcBorders>
            <w:shd w:val="clear" w:color="auto" w:fill="DFE0DC"/>
          </w:tcPr>
          <w:p w:rsidR="004D263A" w:rsidRPr="004D263A" w:rsidRDefault="004D263A" w:rsidP="004D263A">
            <w:pPr>
              <w:keepNext/>
              <w:spacing w:before="40" w:after="40"/>
              <w:jc w:val="right"/>
              <w:rPr>
                <w:b/>
                <w:color w:val="000000" w:themeColor="text1"/>
                <w:sz w:val="18"/>
              </w:rPr>
            </w:pPr>
            <w:r w:rsidRPr="004D263A">
              <w:rPr>
                <w:b/>
                <w:color w:val="000000" w:themeColor="text1"/>
                <w:sz w:val="18"/>
              </w:rPr>
              <w:t>Revenue as a % of total airport revenue</w:t>
            </w:r>
          </w:p>
        </w:tc>
      </w:tr>
      <w:tr w:rsidR="004D263A" w:rsidRPr="004D263A" w:rsidTr="00DC084A">
        <w:tc>
          <w:tcPr>
            <w:tcW w:w="1136" w:type="dxa"/>
            <w:tcBorders>
              <w:left w:val="nil"/>
              <w:bottom w:val="nil"/>
              <w:right w:val="nil"/>
            </w:tcBorders>
          </w:tcPr>
          <w:p w:rsidR="004D263A" w:rsidRPr="004D263A" w:rsidRDefault="004D263A" w:rsidP="004D263A">
            <w:pPr>
              <w:spacing w:before="40" w:after="40"/>
              <w:rPr>
                <w:sz w:val="18"/>
              </w:rPr>
            </w:pPr>
            <w:r w:rsidRPr="004D263A">
              <w:rPr>
                <w:sz w:val="18"/>
              </w:rPr>
              <w:t>Brisbane</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4.6%</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9.4%</w:t>
            </w:r>
          </w:p>
        </w:tc>
        <w:tc>
          <w:tcPr>
            <w:tcW w:w="1076"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2.1%</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6.9%</w:t>
            </w:r>
          </w:p>
        </w:tc>
        <w:tc>
          <w:tcPr>
            <w:tcW w:w="1076"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11.8%</w:t>
            </w:r>
          </w:p>
        </w:tc>
        <w:tc>
          <w:tcPr>
            <w:tcW w:w="1075"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2.9pp</w:t>
            </w:r>
          </w:p>
        </w:tc>
        <w:tc>
          <w:tcPr>
            <w:tcW w:w="1076" w:type="dxa"/>
            <w:tcBorders>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0.2pp</w:t>
            </w:r>
          </w:p>
        </w:tc>
      </w:tr>
      <w:tr w:rsidR="004D263A" w:rsidRPr="004D263A" w:rsidTr="00DC084A">
        <w:tc>
          <w:tcPr>
            <w:tcW w:w="1136" w:type="dxa"/>
            <w:tcBorders>
              <w:top w:val="nil"/>
              <w:left w:val="nil"/>
              <w:bottom w:val="nil"/>
              <w:right w:val="nil"/>
            </w:tcBorders>
          </w:tcPr>
          <w:p w:rsidR="004D263A" w:rsidRPr="004D263A" w:rsidRDefault="004D263A" w:rsidP="004D263A">
            <w:pPr>
              <w:spacing w:before="40" w:after="40"/>
              <w:rPr>
                <w:sz w:val="18"/>
              </w:rPr>
            </w:pPr>
            <w:r w:rsidRPr="004D263A">
              <w:rPr>
                <w:sz w:val="18"/>
              </w:rPr>
              <w:t>Melbourne</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14.8%</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21.6%</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4.8%</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20.7%</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27.8%</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4.1pp</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1.4pp</w:t>
            </w:r>
          </w:p>
        </w:tc>
      </w:tr>
      <w:tr w:rsidR="004D263A" w:rsidRPr="004D263A" w:rsidTr="00DC084A">
        <w:tc>
          <w:tcPr>
            <w:tcW w:w="1136" w:type="dxa"/>
            <w:tcBorders>
              <w:top w:val="nil"/>
              <w:left w:val="nil"/>
              <w:bottom w:val="nil"/>
              <w:right w:val="nil"/>
            </w:tcBorders>
          </w:tcPr>
          <w:p w:rsidR="004D263A" w:rsidRPr="004D263A" w:rsidRDefault="004D263A" w:rsidP="004D263A">
            <w:pPr>
              <w:spacing w:before="40" w:after="40"/>
              <w:rPr>
                <w:sz w:val="18"/>
              </w:rPr>
            </w:pPr>
            <w:r w:rsidRPr="004D263A">
              <w:rPr>
                <w:sz w:val="18"/>
              </w:rPr>
              <w:t>Perth</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1.2%</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8.5%</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16.7%</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15.3%</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21.6%</w:t>
            </w:r>
          </w:p>
        </w:tc>
        <w:tc>
          <w:tcPr>
            <w:tcW w:w="1075"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5.1pp</w:t>
            </w:r>
          </w:p>
        </w:tc>
        <w:tc>
          <w:tcPr>
            <w:tcW w:w="1076" w:type="dxa"/>
            <w:tcBorders>
              <w:top w:val="nil"/>
              <w:left w:val="nil"/>
              <w:bottom w:val="nil"/>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1.8pp</w:t>
            </w:r>
          </w:p>
        </w:tc>
      </w:tr>
      <w:tr w:rsidR="004D263A" w:rsidRPr="004D263A" w:rsidTr="00DC084A">
        <w:tc>
          <w:tcPr>
            <w:tcW w:w="1136" w:type="dxa"/>
            <w:tcBorders>
              <w:top w:val="nil"/>
              <w:left w:val="nil"/>
              <w:bottom w:val="single" w:sz="4" w:space="0" w:color="auto"/>
              <w:right w:val="nil"/>
            </w:tcBorders>
          </w:tcPr>
          <w:p w:rsidR="004D263A" w:rsidRPr="004D263A" w:rsidRDefault="004D263A" w:rsidP="004D263A">
            <w:pPr>
              <w:spacing w:before="40" w:after="40"/>
              <w:rPr>
                <w:sz w:val="18"/>
              </w:rPr>
            </w:pPr>
            <w:r w:rsidRPr="004D263A">
              <w:rPr>
                <w:sz w:val="18"/>
              </w:rPr>
              <w:t>Sydney</w:t>
            </w:r>
          </w:p>
        </w:tc>
        <w:tc>
          <w:tcPr>
            <w:tcW w:w="1075" w:type="dxa"/>
            <w:tcBorders>
              <w:top w:val="nil"/>
              <w:left w:val="nil"/>
              <w:bottom w:val="single" w:sz="4" w:space="0" w:color="auto"/>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4.7%</w:t>
            </w:r>
          </w:p>
        </w:tc>
        <w:tc>
          <w:tcPr>
            <w:tcW w:w="1075" w:type="dxa"/>
            <w:tcBorders>
              <w:top w:val="nil"/>
              <w:left w:val="nil"/>
              <w:bottom w:val="single" w:sz="4" w:space="0" w:color="auto"/>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2.2%</w:t>
            </w:r>
          </w:p>
        </w:tc>
        <w:tc>
          <w:tcPr>
            <w:tcW w:w="1076" w:type="dxa"/>
            <w:tcBorders>
              <w:top w:val="nil"/>
              <w:left w:val="nil"/>
              <w:bottom w:val="single" w:sz="4" w:space="0" w:color="auto"/>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2.2%</w:t>
            </w:r>
          </w:p>
        </w:tc>
        <w:tc>
          <w:tcPr>
            <w:tcW w:w="1075" w:type="dxa"/>
            <w:tcBorders>
              <w:top w:val="nil"/>
              <w:left w:val="nil"/>
              <w:bottom w:val="single" w:sz="4" w:space="0" w:color="auto"/>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7.0%</w:t>
            </w:r>
          </w:p>
        </w:tc>
        <w:tc>
          <w:tcPr>
            <w:tcW w:w="1076" w:type="dxa"/>
            <w:tcBorders>
              <w:top w:val="nil"/>
              <w:left w:val="nil"/>
              <w:bottom w:val="single" w:sz="4" w:space="0" w:color="auto"/>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4.5%</w:t>
            </w:r>
          </w:p>
        </w:tc>
        <w:tc>
          <w:tcPr>
            <w:tcW w:w="1075" w:type="dxa"/>
            <w:tcBorders>
              <w:top w:val="nil"/>
              <w:left w:val="nil"/>
              <w:bottom w:val="single" w:sz="4" w:space="0" w:color="auto"/>
              <w:right w:val="nil"/>
            </w:tcBorders>
          </w:tcPr>
          <w:p w:rsidR="004D263A" w:rsidRPr="004D263A" w:rsidRDefault="004D263A" w:rsidP="004D263A">
            <w:pPr>
              <w:spacing w:before="40" w:after="40"/>
              <w:jc w:val="right"/>
              <w:rPr>
                <w:sz w:val="18"/>
              </w:rPr>
            </w:pPr>
            <w:r w:rsidRPr="004D263A">
              <w:rPr>
                <w:rFonts w:eastAsia="Times New Roman" w:cs="Times New Roman"/>
                <w:color w:val="F79646"/>
                <w:sz w:val="18"/>
                <w:szCs w:val="24"/>
                <w:lang w:eastAsia="en-AU"/>
              </w:rPr>
              <w:t xml:space="preserve">▼ </w:t>
            </w:r>
            <w:r w:rsidRPr="004D263A">
              <w:rPr>
                <w:rFonts w:eastAsia="Times New Roman" w:cs="Times New Roman"/>
                <w:color w:val="000000" w:themeColor="text1"/>
                <w:sz w:val="18"/>
                <w:szCs w:val="24"/>
                <w:lang w:eastAsia="en-AU"/>
              </w:rPr>
              <w:t>1.7pp</w:t>
            </w:r>
          </w:p>
        </w:tc>
        <w:tc>
          <w:tcPr>
            <w:tcW w:w="1076" w:type="dxa"/>
            <w:tcBorders>
              <w:top w:val="nil"/>
              <w:left w:val="nil"/>
              <w:bottom w:val="single" w:sz="4" w:space="0" w:color="auto"/>
              <w:right w:val="nil"/>
            </w:tcBorders>
          </w:tcPr>
          <w:p w:rsidR="004D263A" w:rsidRPr="004D263A" w:rsidRDefault="004D263A" w:rsidP="004D263A">
            <w:pPr>
              <w:spacing w:before="40" w:after="40"/>
              <w:jc w:val="right"/>
              <w:rPr>
                <w:sz w:val="18"/>
              </w:rPr>
            </w:pPr>
            <w:r w:rsidRPr="004D263A">
              <w:rPr>
                <w:rFonts w:eastAsia="Times New Roman" w:cs="Times New Roman"/>
                <w:color w:val="943634"/>
                <w:sz w:val="18"/>
                <w:szCs w:val="24"/>
                <w:lang w:eastAsia="en-AU"/>
              </w:rPr>
              <w:t xml:space="preserve">▲ </w:t>
            </w:r>
            <w:r w:rsidRPr="004D263A">
              <w:rPr>
                <w:rFonts w:eastAsia="Times New Roman" w:cs="Times New Roman"/>
                <w:color w:val="000000" w:themeColor="text1"/>
                <w:sz w:val="18"/>
                <w:szCs w:val="24"/>
                <w:lang w:eastAsia="en-AU"/>
              </w:rPr>
              <w:t>0.3pp</w:t>
            </w:r>
          </w:p>
        </w:tc>
      </w:tr>
    </w:tbl>
    <w:p w:rsidR="004D263A" w:rsidRPr="004D263A" w:rsidRDefault="004D263A" w:rsidP="004D263A">
      <w:pPr>
        <w:spacing w:before="120"/>
        <w:ind w:left="720" w:hanging="720"/>
        <w:contextualSpacing/>
        <w:rPr>
          <w:sz w:val="16"/>
          <w:szCs w:val="16"/>
        </w:rPr>
      </w:pPr>
      <w:r w:rsidRPr="004D263A">
        <w:rPr>
          <w:sz w:val="16"/>
          <w:szCs w:val="16"/>
        </w:rPr>
        <w:t>Note:</w:t>
      </w:r>
      <w:r w:rsidRPr="004D263A">
        <w:rPr>
          <w:sz w:val="16"/>
          <w:szCs w:val="16"/>
        </w:rPr>
        <w:tab/>
        <w:t>(1) pp = percentage points; (2) Changes for financial data are presented in real terms (base year = 2014-15)</w:t>
      </w: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Default="004D263A" w:rsidP="004D263A">
      <w:pPr>
        <w:spacing w:before="120"/>
        <w:ind w:left="720" w:hanging="720"/>
        <w:contextualSpacing/>
        <w:rPr>
          <w:sz w:val="16"/>
          <w:szCs w:val="16"/>
        </w:rPr>
        <w:sectPr w:rsidR="004D263A" w:rsidSect="001734F5">
          <w:headerReference w:type="even" r:id="rId22"/>
          <w:headerReference w:type="default" r:id="rId23"/>
          <w:footnotePr>
            <w:numStart w:val="93"/>
          </w:footnotePr>
          <w:type w:val="continuous"/>
          <w:pgSz w:w="11906" w:h="16838"/>
          <w:pgMar w:top="1440" w:right="1729" w:bottom="1582" w:left="1729" w:header="709" w:footer="709" w:gutter="0"/>
          <w:pgNumType w:fmt="lowerRoman"/>
          <w:cols w:space="708"/>
          <w:docGrid w:linePitch="360"/>
        </w:sect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Pr="004D263A" w:rsidRDefault="004D263A" w:rsidP="004D263A">
      <w:pPr>
        <w:spacing w:before="120"/>
        <w:ind w:left="720" w:hanging="720"/>
        <w:contextualSpacing/>
        <w:rPr>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pPr>
    </w:p>
    <w:p w:rsidR="004D263A" w:rsidRDefault="004D263A" w:rsidP="00E93068">
      <w:pPr>
        <w:spacing w:before="100" w:beforeAutospacing="1" w:after="100" w:afterAutospacing="1"/>
        <w:rPr>
          <w:rFonts w:cs="Arial"/>
          <w:color w:val="000000"/>
          <w:sz w:val="16"/>
          <w:szCs w:val="16"/>
        </w:rPr>
        <w:sectPr w:rsidR="004D263A" w:rsidSect="004D263A">
          <w:footnotePr>
            <w:numStart w:val="93"/>
          </w:footnotePr>
          <w:pgSz w:w="11906" w:h="16838"/>
          <w:pgMar w:top="1440" w:right="1729" w:bottom="1582" w:left="1729" w:header="709" w:footer="709" w:gutter="0"/>
          <w:pgNumType w:fmt="lowerRoman"/>
          <w:cols w:space="708"/>
          <w:docGrid w:linePitch="360"/>
        </w:sectPr>
      </w:pPr>
    </w:p>
    <w:p w:rsidR="00DC084A" w:rsidRPr="00DC084A" w:rsidRDefault="00DC084A" w:rsidP="00D13330">
      <w:pPr>
        <w:pageBreakBefore/>
        <w:spacing w:after="480"/>
        <w:outlineLvl w:val="1"/>
        <w:rPr>
          <w:rFonts w:ascii="Lucida Bright" w:eastAsiaTheme="majorEastAsia" w:hAnsi="Lucida Bright" w:cstheme="majorBidi"/>
          <w:bCs/>
          <w:color w:val="4F2D7F"/>
          <w:sz w:val="52"/>
          <w:szCs w:val="28"/>
        </w:rPr>
      </w:pPr>
      <w:r w:rsidRPr="00DC084A">
        <w:rPr>
          <w:rFonts w:ascii="Lucida Bright" w:eastAsiaTheme="majorEastAsia" w:hAnsi="Lucida Bright" w:cstheme="majorBidi"/>
          <w:bCs/>
          <w:color w:val="4F2D7F"/>
          <w:sz w:val="52"/>
          <w:szCs w:val="28"/>
        </w:rPr>
        <w:lastRenderedPageBreak/>
        <w:t>Introduction</w:t>
      </w:r>
    </w:p>
    <w:p w:rsidR="00DC084A" w:rsidRPr="00DC084A" w:rsidRDefault="00DC084A" w:rsidP="00DC084A">
      <w:pPr>
        <w:keepNext/>
        <w:spacing w:before="480"/>
        <w:outlineLvl w:val="2"/>
        <w:rPr>
          <w:rFonts w:ascii="Lucida Fax" w:eastAsiaTheme="majorEastAsia" w:hAnsi="Lucida Fax" w:cstheme="majorBidi"/>
          <w:bCs/>
          <w:color w:val="51626F"/>
          <w:sz w:val="28"/>
          <w:szCs w:val="28"/>
        </w:rPr>
      </w:pPr>
      <w:r w:rsidRPr="00DC084A">
        <w:rPr>
          <w:rFonts w:ascii="Lucida Fax" w:eastAsiaTheme="majorEastAsia" w:hAnsi="Lucida Fax" w:cstheme="majorBidi"/>
          <w:bCs/>
          <w:color w:val="51626F"/>
          <w:sz w:val="28"/>
          <w:szCs w:val="28"/>
        </w:rPr>
        <w:t>The ACCC’s monitoring role</w:t>
      </w:r>
    </w:p>
    <w:p w:rsidR="00DC084A" w:rsidRPr="00DC084A" w:rsidRDefault="00DC084A" w:rsidP="00DC084A">
      <w:pPr>
        <w:autoSpaceDE w:val="0"/>
        <w:autoSpaceDN w:val="0"/>
        <w:adjustRightInd w:val="0"/>
      </w:pPr>
      <w:r w:rsidRPr="00DC084A">
        <w:t xml:space="preserve">This report presents the results of the ACCC’s monitoring of the quality, prices, costs and profits relating to the supply of aeronautical services and facilities and of car parking services supplied at Brisbane, Melbourne (Tullamarine), Perth and Sydney (Kingsford Smith) airports for 2014-15. </w:t>
      </w:r>
    </w:p>
    <w:p w:rsidR="00DC084A" w:rsidRPr="00DC084A" w:rsidRDefault="00DC084A" w:rsidP="00DC084A">
      <w:pPr>
        <w:autoSpaceDE w:val="0"/>
        <w:autoSpaceDN w:val="0"/>
        <w:adjustRightInd w:val="0"/>
      </w:pPr>
      <w:r w:rsidRPr="00DC084A">
        <w:t xml:space="preserve">The ACCC’s monitoring functions originate from directions issued by the Assistant Treasurer pursuant to section 95ZF of the </w:t>
      </w:r>
      <w:r w:rsidRPr="00DC084A">
        <w:rPr>
          <w:i/>
        </w:rPr>
        <w:t>Competition and Consumer Act 2010</w:t>
      </w:r>
      <w:r w:rsidRPr="00DC084A">
        <w:t xml:space="preserve"> and from Part 8 of the </w:t>
      </w:r>
      <w:r w:rsidRPr="00DC084A">
        <w:rPr>
          <w:i/>
        </w:rPr>
        <w:t>Airports Act 1996</w:t>
      </w:r>
      <w:r w:rsidRPr="00DC084A">
        <w:t xml:space="preserve">. </w:t>
      </w:r>
    </w:p>
    <w:p w:rsidR="00DC084A" w:rsidRPr="00DC084A" w:rsidRDefault="00DC084A" w:rsidP="00DC084A">
      <w:r w:rsidRPr="00DC084A">
        <w:t>The price monitoring regime was established in 2002 following the consideration of the recommendations of a Productivity Commission inquiry. The move from a price regulation regime to a monitoring regime was intended to facilitate investment and innovation, while retaining a constraint on the exercise of market power by the airports in their dealings with airlines and other customers.</w:t>
      </w:r>
    </w:p>
    <w:p w:rsidR="00DC084A" w:rsidRPr="00DC084A" w:rsidRDefault="00DC084A" w:rsidP="00DC084A">
      <w:pPr>
        <w:autoSpaceDE w:val="0"/>
        <w:autoSpaceDN w:val="0"/>
        <w:adjustRightInd w:val="0"/>
      </w:pPr>
      <w:r w:rsidRPr="00DC084A">
        <w:t xml:space="preserve">It is generally accepted that Australia’s four major airports have market power and control access to monopoly infrastructure. Further, there is evidence that at some airports, airlines do not possess enough bargaining power to ensure appropriate commercial outcomes. </w:t>
      </w:r>
    </w:p>
    <w:p w:rsidR="00DC084A" w:rsidRPr="00DC084A" w:rsidRDefault="00DC084A" w:rsidP="00DC084A">
      <w:pPr>
        <w:autoSpaceDE w:val="0"/>
        <w:autoSpaceDN w:val="0"/>
        <w:adjustRightInd w:val="0"/>
      </w:pPr>
      <w:r w:rsidRPr="00DC084A">
        <w:t xml:space="preserve">An unconstrained airport would be expected to exercise its market power to earn monopoly profits to the detriment of the broader Australian economy. For example, an airport could seek to charge high prices and provide lower service-quality. Further, it could also under-invest in key infrastructure so as to artificially restrict supply and potentially lead to higher prices. An unconstrained airport may also operate inefficiently by allowing its costs to rise or not adopting cost-saving or innovative technologies. </w:t>
      </w:r>
    </w:p>
    <w:p w:rsidR="00DC084A" w:rsidRPr="00DC084A" w:rsidRDefault="00DC084A" w:rsidP="00DC084A">
      <w:pPr>
        <w:autoSpaceDE w:val="0"/>
        <w:autoSpaceDN w:val="0"/>
        <w:adjustRightInd w:val="0"/>
      </w:pPr>
      <w:r w:rsidRPr="00DC084A">
        <w:t xml:space="preserve">The ACCC notes that price monitoring can be an appropriate tool for the dissemination of information that otherwise may not be available to the Australian government, users of airport services and the general public. Further, it allows for a greater level of transparency of the airports’ performance. The ACCC’s monitoring allows for some general observations to be made from the monitoring results over time within the context of the airports’ market power, as well as the incentives and ability to use that market power. </w:t>
      </w:r>
    </w:p>
    <w:p w:rsidR="00DC084A" w:rsidRPr="00DC084A" w:rsidRDefault="00DC084A" w:rsidP="00DC084A">
      <w:r w:rsidRPr="00DC084A">
        <w:t xml:space="preserve">However, monitoring is limited in its scope to enable a detailed assessment of the airports’ performance to be undertaken and cannot be used to establish whether or not an airport has exercised its market power to earn monopoly profits. Further, monitoring will have little or no longer term impact on the conduct of the infrastructure owner in circumstances of natural or legislated monopoly such as the major airports. Monitoring does not restrict the airports from exercising their market power and it is limited in its scope to provide information about the airports’ performance. Monitoring does not directly restrict the airports from increasing prices and/or lowering service-quality. In particular, it does not provide the ACCC with a general power to intervene in the airports’ setting of terms and conditions of access to the airports’ infrastructure. </w:t>
      </w:r>
    </w:p>
    <w:p w:rsidR="00DC084A" w:rsidRPr="00DC084A" w:rsidRDefault="00DC084A" w:rsidP="00DC084A">
      <w:r w:rsidRPr="00DC084A">
        <w:t xml:space="preserve">It should also be noted that comparisons across monitored airports are complicated by the various terminal configurations, passenger mix, differing approaches to valuing assets and domestic terminal leases. </w:t>
      </w:r>
    </w:p>
    <w:p w:rsidR="00DC084A" w:rsidRPr="00DC084A" w:rsidRDefault="00DC084A" w:rsidP="00DC084A">
      <w:r w:rsidRPr="00DC084A">
        <w:t xml:space="preserve">The ACCC’s monitoring role for aeronautical services and facilities relates only to those terminals that are owned and operated by the airports. Some domestic terminals at the monitored airports are leased and operated by domestic airlines and these terminals are not subject to the ACCC’s monitoring. These include the majority of Brisbane Airport’s domestic </w:t>
      </w:r>
      <w:r w:rsidRPr="00DC084A">
        <w:lastRenderedPageBreak/>
        <w:t xml:space="preserve">terminal under leases to Qantas and Virgin Australia; Terminal 1 at Melbourne Airport which is leased by Qantas for domestic flights; Terminal 4 at Perth Airport which is also leased by Qantas; and Terminal 3 at Sydney which is another domestic terminal under lease to Qantas. </w:t>
      </w:r>
    </w:p>
    <w:p w:rsidR="00DC084A" w:rsidRPr="00DC084A" w:rsidRDefault="00DC084A" w:rsidP="00DC084A">
      <w:pPr>
        <w:keepNext/>
        <w:spacing w:before="480"/>
        <w:outlineLvl w:val="2"/>
        <w:rPr>
          <w:rFonts w:ascii="Lucida Fax" w:eastAsiaTheme="majorEastAsia" w:hAnsi="Lucida Fax" w:cstheme="majorBidi"/>
          <w:bCs/>
          <w:color w:val="51626F"/>
          <w:sz w:val="28"/>
          <w:szCs w:val="28"/>
        </w:rPr>
      </w:pPr>
      <w:r w:rsidRPr="00DC084A">
        <w:rPr>
          <w:rFonts w:ascii="Lucida Fax" w:eastAsiaTheme="majorEastAsia" w:hAnsi="Lucida Fax" w:cstheme="majorBidi"/>
          <w:bCs/>
          <w:color w:val="51626F"/>
          <w:sz w:val="28"/>
          <w:szCs w:val="28"/>
        </w:rPr>
        <w:t>The structure of this report</w:t>
      </w:r>
    </w:p>
    <w:p w:rsidR="00DC084A" w:rsidRPr="00DC084A" w:rsidRDefault="00DC084A" w:rsidP="00DC084A">
      <w:r w:rsidRPr="00DC084A">
        <w:t xml:space="preserve">In this monitoring report, the key findings provide a summary of the overall monitoring results. </w:t>
      </w:r>
    </w:p>
    <w:p w:rsidR="00DC084A" w:rsidRPr="00DC084A" w:rsidRDefault="00DC084A" w:rsidP="00DC084A">
      <w:pPr>
        <w:numPr>
          <w:ilvl w:val="0"/>
          <w:numId w:val="6"/>
        </w:numPr>
        <w:spacing w:before="120" w:after="120"/>
      </w:pPr>
      <w:r w:rsidRPr="00DC084A">
        <w:t xml:space="preserve">Chapter 1 provides for an overview of the monitoring of the prices, revenues, costs, profits and quality of service indicators at the four monitored airports and also discusses a number of related themes. </w:t>
      </w:r>
    </w:p>
    <w:p w:rsidR="00DC084A" w:rsidRPr="00DC084A" w:rsidRDefault="00DC084A" w:rsidP="00DC084A">
      <w:pPr>
        <w:numPr>
          <w:ilvl w:val="0"/>
          <w:numId w:val="6"/>
        </w:numPr>
        <w:spacing w:before="120" w:after="120"/>
      </w:pPr>
      <w:r w:rsidRPr="00DC084A">
        <w:t xml:space="preserve">Chapters 2 to 5 present the results for each monitored airport. </w:t>
      </w:r>
    </w:p>
    <w:p w:rsidR="00DC084A" w:rsidRPr="00DC084A" w:rsidRDefault="00DC084A" w:rsidP="00DC084A">
      <w:pPr>
        <w:numPr>
          <w:ilvl w:val="0"/>
          <w:numId w:val="6"/>
        </w:numPr>
        <w:spacing w:before="120" w:after="120"/>
      </w:pPr>
      <w:r w:rsidRPr="00DC084A">
        <w:t xml:space="preserve">Appendix A1 presents a history of airport regulations in Australia. </w:t>
      </w:r>
    </w:p>
    <w:p w:rsidR="00DC084A" w:rsidRPr="00DC084A" w:rsidRDefault="00DC084A" w:rsidP="00DC084A">
      <w:pPr>
        <w:numPr>
          <w:ilvl w:val="0"/>
          <w:numId w:val="6"/>
        </w:numPr>
        <w:spacing w:before="120" w:after="120"/>
      </w:pPr>
      <w:r w:rsidRPr="00DC084A">
        <w:t xml:space="preserve">Appendix A2 provides background on the regulatory framework around the monitoring of the airports. </w:t>
      </w:r>
    </w:p>
    <w:p w:rsidR="00DC084A" w:rsidRPr="00DC084A" w:rsidRDefault="00DC084A" w:rsidP="00DC084A">
      <w:pPr>
        <w:numPr>
          <w:ilvl w:val="0"/>
          <w:numId w:val="6"/>
        </w:numPr>
        <w:spacing w:before="120" w:after="120"/>
      </w:pPr>
      <w:r w:rsidRPr="00DC084A">
        <w:t xml:space="preserve">Appendix A3 outlines the services provided by the airports and appendix A4 presents the methodology used in the analysis of airports in this report. </w:t>
      </w:r>
    </w:p>
    <w:p w:rsidR="00DC084A" w:rsidRPr="00DC084A" w:rsidRDefault="00DC084A" w:rsidP="00DC084A">
      <w:pPr>
        <w:numPr>
          <w:ilvl w:val="0"/>
          <w:numId w:val="6"/>
        </w:numPr>
        <w:spacing w:before="120" w:after="120"/>
      </w:pPr>
      <w:r w:rsidRPr="00DC084A">
        <w:t xml:space="preserve">The regulatory accounts for the monitored airports, airport car parking statistics and indicators and statistics used in this report can be found in a separate spreadsheet on the ACCC’s website </w:t>
      </w:r>
      <w:hyperlink r:id="rId24" w:history="1">
        <w:r w:rsidRPr="00DC084A">
          <w:rPr>
            <w:color w:val="0000FF" w:themeColor="hyperlink"/>
            <w:u w:val="single"/>
          </w:rPr>
          <w:t>http://www.accc.gov.au/regulated-infrastructure/airports-aviation/airports-monitoring</w:t>
        </w:r>
      </w:hyperlink>
      <w:r w:rsidRPr="00DC084A">
        <w:t>.</w:t>
      </w:r>
    </w:p>
    <w:p w:rsidR="004D263A" w:rsidRDefault="004D263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pPr>
    </w:p>
    <w:p w:rsidR="00DC084A" w:rsidRDefault="00DC084A" w:rsidP="00E93068">
      <w:pPr>
        <w:spacing w:before="100" w:beforeAutospacing="1" w:after="100" w:afterAutospacing="1"/>
        <w:rPr>
          <w:rFonts w:cs="Arial"/>
          <w:color w:val="000000"/>
          <w:sz w:val="16"/>
          <w:szCs w:val="16"/>
        </w:rPr>
        <w:sectPr w:rsidR="00DC084A" w:rsidSect="00DC084A">
          <w:headerReference w:type="even" r:id="rId25"/>
          <w:headerReference w:type="default" r:id="rId26"/>
          <w:footerReference w:type="even" r:id="rId27"/>
          <w:footerReference w:type="default" r:id="rId28"/>
          <w:headerReference w:type="first" r:id="rId29"/>
          <w:footerReference w:type="first" r:id="rId30"/>
          <w:footnotePr>
            <w:numStart w:val="93"/>
          </w:footnotePr>
          <w:pgSz w:w="11906" w:h="16838"/>
          <w:pgMar w:top="1440" w:right="1729" w:bottom="1582" w:left="1729" w:header="709" w:footer="709" w:gutter="0"/>
          <w:pgNumType w:start="1"/>
          <w:cols w:space="708"/>
          <w:docGrid w:linePitch="360"/>
        </w:sectPr>
      </w:pPr>
    </w:p>
    <w:p w:rsidR="00883552" w:rsidRDefault="00883552" w:rsidP="00A648E7">
      <w:pPr>
        <w:pStyle w:val="Numberedheading1"/>
        <w:keepNext/>
        <w:ind w:left="851" w:hanging="851"/>
      </w:pPr>
      <w:r>
        <w:lastRenderedPageBreak/>
        <w:t>Airport performance and industry developments</w:t>
      </w:r>
    </w:p>
    <w:p w:rsidR="00883552" w:rsidRPr="00A648E7" w:rsidRDefault="00883552" w:rsidP="00A648E7">
      <w:pPr>
        <w:keepNext/>
        <w:shd w:val="clear" w:color="auto" w:fill="DFE0DC"/>
        <w:spacing w:after="120" w:line="276" w:lineRule="auto"/>
        <w:outlineLvl w:val="3"/>
        <w:rPr>
          <w:rFonts w:ascii="Lucida Fax" w:eastAsiaTheme="majorEastAsia" w:hAnsi="Lucida Fax" w:cstheme="majorBidi"/>
          <w:bCs/>
          <w:color w:val="51626F"/>
          <w:sz w:val="28"/>
          <w:szCs w:val="28"/>
        </w:rPr>
      </w:pPr>
      <w:r w:rsidRPr="00A648E7">
        <w:rPr>
          <w:rFonts w:ascii="Lucida Fax" w:eastAsiaTheme="majorEastAsia" w:hAnsi="Lucida Fax" w:cstheme="majorBidi"/>
          <w:bCs/>
          <w:color w:val="51626F"/>
          <w:sz w:val="28"/>
          <w:szCs w:val="28"/>
        </w:rPr>
        <w:t>Key points—2014-15</w:t>
      </w:r>
    </w:p>
    <w:p w:rsidR="00883552" w:rsidRPr="006A52B8" w:rsidRDefault="00883552" w:rsidP="00A648E7">
      <w:pPr>
        <w:keepNext/>
        <w:shd w:val="clear" w:color="auto" w:fill="DFE0DC"/>
        <w:spacing w:after="120" w:line="276" w:lineRule="auto"/>
        <w:outlineLvl w:val="3"/>
        <w:rPr>
          <w:rFonts w:eastAsiaTheme="majorEastAsia" w:cstheme="majorBidi"/>
          <w:b/>
          <w:bCs/>
          <w:i/>
          <w:color w:val="17365D" w:themeColor="text2" w:themeShade="BF"/>
          <w:szCs w:val="28"/>
        </w:rPr>
      </w:pPr>
      <w:r w:rsidRPr="006A52B8">
        <w:rPr>
          <w:rFonts w:eastAsiaTheme="majorEastAsia" w:cstheme="majorBidi"/>
          <w:b/>
          <w:bCs/>
          <w:i/>
          <w:color w:val="17365D" w:themeColor="text2" w:themeShade="BF"/>
          <w:szCs w:val="28"/>
        </w:rPr>
        <w:t xml:space="preserve">Quality of service </w:t>
      </w:r>
    </w:p>
    <w:p w:rsidR="00883552" w:rsidRPr="00621C24" w:rsidRDefault="00883552" w:rsidP="00A648E7">
      <w:pPr>
        <w:pStyle w:val="KeyPointbullets"/>
        <w:numPr>
          <w:ilvl w:val="0"/>
          <w:numId w:val="12"/>
        </w:numPr>
        <w:ind w:left="426" w:hanging="426"/>
      </w:pPr>
      <w:r w:rsidRPr="00621C24">
        <w:t xml:space="preserve">Brisbane Airport was </w:t>
      </w:r>
      <w:r>
        <w:t xml:space="preserve">again the highest rated airport with </w:t>
      </w:r>
      <w:r w:rsidRPr="00621C24">
        <w:t xml:space="preserve">an overall average quality of service rating of ‘good’. </w:t>
      </w:r>
      <w:r>
        <w:t>Perth Airport was the only other airport to be also rated as ‘good’.</w:t>
      </w:r>
    </w:p>
    <w:p w:rsidR="00883552" w:rsidRPr="000B3C64" w:rsidRDefault="00883552" w:rsidP="00A648E7">
      <w:pPr>
        <w:pStyle w:val="KeyPointbullets"/>
        <w:numPr>
          <w:ilvl w:val="0"/>
          <w:numId w:val="12"/>
        </w:numPr>
        <w:ind w:left="426" w:hanging="426"/>
        <w:rPr>
          <w:rFonts w:eastAsiaTheme="majorEastAsia" w:cstheme="majorBidi"/>
          <w:b/>
          <w:bCs/>
          <w:i/>
          <w:szCs w:val="28"/>
        </w:rPr>
      </w:pPr>
      <w:r>
        <w:t>Sydney and Melbourne Airports were both equally rated as ‘satisfactory’ during 2014-15</w:t>
      </w:r>
      <w:r w:rsidRPr="000B3C64">
        <w:t>.</w:t>
      </w:r>
    </w:p>
    <w:p w:rsidR="00883552" w:rsidRPr="000B3C64" w:rsidRDefault="00883552" w:rsidP="00A648E7">
      <w:pPr>
        <w:keepNext/>
        <w:shd w:val="clear" w:color="auto" w:fill="DFE0DC"/>
        <w:spacing w:after="120" w:line="276" w:lineRule="auto"/>
        <w:outlineLvl w:val="3"/>
        <w:rPr>
          <w:rFonts w:eastAsiaTheme="majorEastAsia" w:cstheme="majorBidi"/>
          <w:b/>
          <w:bCs/>
          <w:i/>
          <w:color w:val="17365D" w:themeColor="text2" w:themeShade="BF"/>
          <w:szCs w:val="28"/>
        </w:rPr>
      </w:pPr>
      <w:r w:rsidRPr="000B3C64">
        <w:rPr>
          <w:rFonts w:eastAsiaTheme="majorEastAsia" w:cstheme="majorBidi"/>
          <w:b/>
          <w:bCs/>
          <w:i/>
          <w:color w:val="17365D" w:themeColor="text2" w:themeShade="BF"/>
          <w:szCs w:val="28"/>
        </w:rPr>
        <w:t>Aeronautical services and facilities</w:t>
      </w:r>
    </w:p>
    <w:p w:rsidR="00883552" w:rsidRPr="000B3C64" w:rsidRDefault="00883552" w:rsidP="00A648E7">
      <w:pPr>
        <w:pStyle w:val="KeyPointbullets"/>
        <w:numPr>
          <w:ilvl w:val="0"/>
          <w:numId w:val="12"/>
        </w:numPr>
        <w:ind w:left="426" w:hanging="426"/>
      </w:pPr>
      <w:r>
        <w:t>Total passenger increases were moderate at Brisbane, Melbourne and Sydney airports while Perth Airport reported total passenger decreases of 1.0 per cent during 2014-15</w:t>
      </w:r>
      <w:r w:rsidRPr="000B3C64">
        <w:t>.</w:t>
      </w:r>
    </w:p>
    <w:p w:rsidR="00883552" w:rsidRPr="000B3C64" w:rsidRDefault="00883552" w:rsidP="00A648E7">
      <w:pPr>
        <w:pStyle w:val="KeyPointbullets"/>
        <w:numPr>
          <w:ilvl w:val="0"/>
          <w:numId w:val="12"/>
        </w:numPr>
        <w:ind w:left="426" w:hanging="426"/>
      </w:pPr>
      <w:r>
        <w:t>Both Brisbane and Melbourne airports reported aeronautical revenue increases of 10.7 and 7.7 per cent in real terms respectively. Sydney Airport’s aeronautical income rose a modest 1.8 per cent in real terms while Perth Airport had a decline of 1.4 per cent in real terms.</w:t>
      </w:r>
    </w:p>
    <w:p w:rsidR="00883552" w:rsidRPr="000B3C64" w:rsidRDefault="00883552" w:rsidP="00A648E7">
      <w:pPr>
        <w:pStyle w:val="KeyPointbullets"/>
        <w:numPr>
          <w:ilvl w:val="0"/>
          <w:numId w:val="12"/>
        </w:numPr>
        <w:ind w:left="426" w:hanging="426"/>
      </w:pPr>
      <w:r w:rsidRPr="000B3C64">
        <w:t xml:space="preserve">Total aeronautical </w:t>
      </w:r>
      <w:r>
        <w:t>aggregate</w:t>
      </w:r>
      <w:r w:rsidRPr="000B3C64">
        <w:t xml:space="preserve"> margin increased in real terms at each airport</w:t>
      </w:r>
      <w:r>
        <w:t xml:space="preserve"> except Perth Airport which experienced a drop of 9.6 per cent in real terms to $75.0 million during 2014</w:t>
      </w:r>
      <w:r>
        <w:noBreakHyphen/>
        <w:t>15</w:t>
      </w:r>
      <w:r w:rsidRPr="000B3C64">
        <w:t>.</w:t>
      </w:r>
    </w:p>
    <w:p w:rsidR="00883552" w:rsidRPr="000B3C64" w:rsidRDefault="00883552" w:rsidP="00A648E7">
      <w:pPr>
        <w:keepNext/>
        <w:shd w:val="clear" w:color="auto" w:fill="DFE0DC"/>
        <w:spacing w:after="120" w:line="276" w:lineRule="auto"/>
        <w:outlineLvl w:val="3"/>
        <w:rPr>
          <w:rFonts w:eastAsiaTheme="majorEastAsia" w:cstheme="majorBidi"/>
          <w:b/>
          <w:bCs/>
          <w:i/>
          <w:color w:val="17365D" w:themeColor="text2" w:themeShade="BF"/>
          <w:szCs w:val="28"/>
        </w:rPr>
      </w:pPr>
      <w:r w:rsidRPr="000B3C64">
        <w:rPr>
          <w:rFonts w:eastAsiaTheme="majorEastAsia" w:cstheme="majorBidi"/>
          <w:b/>
          <w:bCs/>
          <w:i/>
          <w:color w:val="17365D" w:themeColor="text2" w:themeShade="BF"/>
          <w:szCs w:val="28"/>
        </w:rPr>
        <w:t>Car parking services and facilities</w:t>
      </w:r>
    </w:p>
    <w:p w:rsidR="00883552" w:rsidRDefault="00883552" w:rsidP="00A648E7">
      <w:pPr>
        <w:pStyle w:val="KeyPointbullets"/>
        <w:numPr>
          <w:ilvl w:val="0"/>
          <w:numId w:val="12"/>
        </w:numPr>
        <w:ind w:left="426" w:hanging="426"/>
      </w:pPr>
      <w:r w:rsidRPr="000B3C64">
        <w:t xml:space="preserve">Melbourne Airport reported a </w:t>
      </w:r>
      <w:r>
        <w:t xml:space="preserve">substantial increase in its </w:t>
      </w:r>
      <w:r w:rsidRPr="000B3C64">
        <w:t xml:space="preserve">car parking </w:t>
      </w:r>
      <w:r>
        <w:t>aggregate</w:t>
      </w:r>
      <w:r w:rsidRPr="000B3C64">
        <w:t xml:space="preserve"> margin </w:t>
      </w:r>
      <w:r>
        <w:t xml:space="preserve">of 21.6 per cent </w:t>
      </w:r>
      <w:r w:rsidRPr="000B3C64">
        <w:t>in real terms</w:t>
      </w:r>
      <w:r>
        <w:t xml:space="preserve"> to $107.6 million. </w:t>
      </w:r>
    </w:p>
    <w:p w:rsidR="00883552" w:rsidRPr="000B3C64" w:rsidRDefault="00883552" w:rsidP="00A648E7">
      <w:pPr>
        <w:pStyle w:val="KeyPointbullets"/>
        <w:numPr>
          <w:ilvl w:val="0"/>
          <w:numId w:val="12"/>
        </w:numPr>
        <w:ind w:left="426" w:hanging="426"/>
      </w:pPr>
      <w:r>
        <w:t xml:space="preserve">Perth Airport was the only airport to report a decline with a drop of 8.5 per cent in real terms to $41.5 million. </w:t>
      </w:r>
    </w:p>
    <w:p w:rsidR="00883552" w:rsidRDefault="00883552" w:rsidP="00A648E7">
      <w:pPr>
        <w:pStyle w:val="Numberedheading2"/>
      </w:pPr>
      <w:r>
        <w:t>Introduction</w:t>
      </w:r>
    </w:p>
    <w:p w:rsidR="00883552" w:rsidRDefault="00883552" w:rsidP="00A648E7">
      <w:pPr>
        <w:keepNext/>
      </w:pPr>
      <w:r>
        <w:t xml:space="preserve">This chapter presents an overview of the ACCC’s monitoring of the prices, revenues, costs, profits and quality of service indicators for the supply of aeronautical and car parking services at Brisbane, Melbourne (Tullamarine), Perth and Sydney (Kingsford Smith) airports. The ACCC reports on these indicators pursuant to the ministerial directions made under Section 95ZF of the </w:t>
      </w:r>
      <w:r>
        <w:rPr>
          <w:i/>
        </w:rPr>
        <w:t xml:space="preserve">Competition and Consumer Act 2010 </w:t>
      </w:r>
      <w:r w:rsidRPr="007264F4">
        <w:t>(CCA)</w:t>
      </w:r>
      <w:r w:rsidRPr="00A53ABD">
        <w:t>.</w:t>
      </w:r>
    </w:p>
    <w:p w:rsidR="00883552" w:rsidRPr="00D44188" w:rsidRDefault="00883552" w:rsidP="00A648E7">
      <w:pPr>
        <w:keepNext/>
      </w:pPr>
      <w:r w:rsidRPr="00D44188">
        <w:t>In this chapter, a summary of the key issues and trends at each monitored airport for 2014</w:t>
      </w:r>
      <w:r>
        <w:t>-</w:t>
      </w:r>
      <w:r w:rsidRPr="00D44188">
        <w:t xml:space="preserve">15 is presented in </w:t>
      </w:r>
      <w:r>
        <w:t>S</w:t>
      </w:r>
      <w:r w:rsidRPr="00D44188">
        <w:t xml:space="preserve">ection 1.2 while </w:t>
      </w:r>
      <w:r>
        <w:t>S</w:t>
      </w:r>
      <w:r w:rsidRPr="00D44188">
        <w:t>ection 1.3 provides the quality of service results for 201</w:t>
      </w:r>
      <w:r>
        <w:t>4</w:t>
      </w:r>
      <w:r w:rsidRPr="00D44188">
        <w:noBreakHyphen/>
        <w:t>1</w:t>
      </w:r>
      <w:r>
        <w:t>5</w:t>
      </w:r>
      <w:r w:rsidRPr="00D44188">
        <w:t xml:space="preserve">. Section 1.4 presents key data on passenger and aircraft movements, and </w:t>
      </w:r>
      <w:r>
        <w:t>S</w:t>
      </w:r>
      <w:r w:rsidRPr="00D44188">
        <w:t xml:space="preserve">ection 1.5 reports on revenues, prices, costs, profits, assets and investments for aeronautical services. </w:t>
      </w:r>
      <w:r>
        <w:t>An overview of changes in aeronautical price and also quality outcomes over the period 2004-05 to 2014-15 is presented in Section 1.6. Section 1.7 presents pricing and the financial results for airport car parking services and Section 1.8</w:t>
      </w:r>
      <w:r w:rsidRPr="00D44188">
        <w:rPr>
          <w:color w:val="FF0000"/>
        </w:rPr>
        <w:t xml:space="preserve"> </w:t>
      </w:r>
      <w:r w:rsidRPr="00D44188">
        <w:t xml:space="preserve">presents prices and revenues received from landside activities.  </w:t>
      </w:r>
    </w:p>
    <w:p w:rsidR="00883552" w:rsidRPr="00F31D66" w:rsidRDefault="00883552" w:rsidP="00A648E7">
      <w:pPr>
        <w:keepNext/>
      </w:pPr>
      <w:r w:rsidRPr="00D44188">
        <w:t xml:space="preserve">An important </w:t>
      </w:r>
      <w:r>
        <w:t>factor</w:t>
      </w:r>
      <w:r w:rsidRPr="00D44188">
        <w:t xml:space="preserve"> when considering an airport’s quality of aero</w:t>
      </w:r>
      <w:r>
        <w:t>nautical services or comparing revenues and profits is the configuration of terminals and whether these terminals are operated by the airports or are under domestic terminal leases (DTLs).</w:t>
      </w:r>
      <w:r>
        <w:rPr>
          <w:rStyle w:val="FootnoteReference"/>
        </w:rPr>
        <w:footnoteReference w:id="2"/>
      </w:r>
      <w:r>
        <w:t xml:space="preserve"> The revenues, costs, profits and </w:t>
      </w:r>
      <w:r>
        <w:lastRenderedPageBreak/>
        <w:t>quality of service monitoring associated with DTLs are not included in the ACCC’s monitoring program for aeronautical services.</w:t>
      </w:r>
      <w:r>
        <w:rPr>
          <w:rStyle w:val="FootnoteReference"/>
        </w:rPr>
        <w:footnoteReference w:id="3"/>
      </w:r>
      <w:r>
        <w:t xml:space="preserve"> For further detail on terminals and DTLs, refer to the individual airport chapters. </w:t>
      </w:r>
    </w:p>
    <w:p w:rsidR="00883552" w:rsidRDefault="00883552" w:rsidP="00114E05">
      <w:pPr>
        <w:pStyle w:val="Numberedheading2"/>
      </w:pPr>
      <w:r>
        <w:t>Key statistics and trends at each monitored airport</w:t>
      </w:r>
    </w:p>
    <w:p w:rsidR="00883552" w:rsidRPr="00D44188" w:rsidRDefault="00883552" w:rsidP="00883552">
      <w:r w:rsidRPr="00D44188">
        <w:t>Key ob</w:t>
      </w:r>
      <w:r>
        <w:t xml:space="preserve">servations for each monitored airport are presented in this section on quality of service, prices and margins. Although the data presented may raise concerns about individual airports, it does not allow for a detailed economic assessment of an airport’s performance to be undertaken. Further, and more importantly, it cannot be used to conclusively establish whether an airport has exercised market power to extract monopoly rents from airport users.  </w:t>
      </w:r>
    </w:p>
    <w:p w:rsidR="00883552" w:rsidRPr="00D44188" w:rsidRDefault="00883552" w:rsidP="00883552">
      <w:r>
        <w:t xml:space="preserve">The ACCC’s monitoring role does not include any direct regulation of monitored airports’ prices </w:t>
      </w:r>
      <w:proofErr w:type="gramStart"/>
      <w:r>
        <w:t>nor</w:t>
      </w:r>
      <w:proofErr w:type="gramEnd"/>
      <w:r>
        <w:t xml:space="preserve"> any power to intervene in the setting of terms and conditions. Appendices 2 and 4 detail further the ACCC’s monitoring role and the limitations of monitoring. </w:t>
      </w:r>
    </w:p>
    <w:p w:rsidR="00883552" w:rsidRPr="00CE235A" w:rsidRDefault="00883552" w:rsidP="00883552">
      <w:pPr>
        <w:keepNext/>
        <w:numPr>
          <w:ilvl w:val="2"/>
          <w:numId w:val="1"/>
        </w:numPr>
        <w:spacing w:after="200" w:line="276" w:lineRule="auto"/>
        <w:ind w:left="958"/>
        <w:outlineLvl w:val="3"/>
        <w:rPr>
          <w:rFonts w:eastAsiaTheme="majorEastAsia" w:cstheme="majorBidi"/>
          <w:b/>
          <w:bCs/>
          <w:color w:val="000000" w:themeColor="text1"/>
          <w:sz w:val="24"/>
          <w:szCs w:val="28"/>
        </w:rPr>
      </w:pPr>
      <w:r w:rsidRPr="00CE235A">
        <w:rPr>
          <w:rFonts w:eastAsiaTheme="majorEastAsia" w:cstheme="majorBidi"/>
          <w:b/>
          <w:bCs/>
          <w:color w:val="000000" w:themeColor="text1"/>
          <w:sz w:val="24"/>
          <w:szCs w:val="28"/>
        </w:rPr>
        <w:t>Observations about Brisbane Airport</w:t>
      </w:r>
    </w:p>
    <w:p w:rsidR="00883552" w:rsidRDefault="00883552" w:rsidP="00114E05">
      <w:pPr>
        <w:pStyle w:val="Non-numberedheading4"/>
      </w:pPr>
      <w:r>
        <w:t>Activity levels, aeronautical pricing, revenues and profits</w:t>
      </w:r>
    </w:p>
    <w:p w:rsidR="00883552" w:rsidRDefault="00883552" w:rsidP="00883552">
      <w:r>
        <w:t xml:space="preserve">Brisbane Airport reported low increases in passenger growth of 0.8 per cent during 2014-15 which was largely driven by a reduction in domestic passengers of 0.7 per cent. However international passenger growth was relatively strong with increases of 6.0 per cent. </w:t>
      </w:r>
    </w:p>
    <w:p w:rsidR="00883552" w:rsidRDefault="00883552" w:rsidP="00883552">
      <w:r>
        <w:t xml:space="preserve">Increases in a number of aeronautical charges and the shift in passenger mix from domestic to international saw Brisbane Airport report the largest increase in aeronautical revenue (10.7 per cent in real terms) and aggregate margin (12.9 per cent in real terms) of the monitored airports. Return on sales during 2014-15 for </w:t>
      </w:r>
      <w:proofErr w:type="gramStart"/>
      <w:r>
        <w:t>aeronautical services was</w:t>
      </w:r>
      <w:proofErr w:type="gramEnd"/>
      <w:r>
        <w:t xml:space="preserve"> 43.6 per cent, up 0.9 percentage points from 2013</w:t>
      </w:r>
      <w:r>
        <w:noBreakHyphen/>
        <w:t>14.</w:t>
      </w:r>
    </w:p>
    <w:p w:rsidR="00883552" w:rsidRDefault="00883552" w:rsidP="00114E05">
      <w:pPr>
        <w:pStyle w:val="Non-numberedheading4"/>
      </w:pPr>
      <w:r>
        <w:t>Quality of service outcomes at Brisbane Airport</w:t>
      </w:r>
    </w:p>
    <w:p w:rsidR="00883552" w:rsidRDefault="00883552" w:rsidP="00883552">
      <w:r>
        <w:t xml:space="preserve">Brisbane Airport’s overall average quality of service rating remained unchanged at ‘good’ during 2014-15. Brisbane Airport has been rated the highest of the monitored airports since 2004-05. Both passengers and airlines on average continue to rate Brisbane Airport the highest of the monitored airports with ratings of ‘good’ from both.  </w:t>
      </w:r>
    </w:p>
    <w:p w:rsidR="00883552" w:rsidRDefault="00883552" w:rsidP="00883552">
      <w:r>
        <w:t xml:space="preserve">Chart 1.2.1 displays average ratings for passenger related services and also for aircraft related services for Brisbane Airport. The rating for the availability and standard of passenger related services both remained unchanged at ‘good’. A number of passenger related services were rated ‘excellent’ including check-in waiting time, waiting time in outbound immigration areas, findability of baggage trolleys and crowding in lounge areas.  </w:t>
      </w:r>
    </w:p>
    <w:p w:rsidR="00883552" w:rsidRDefault="00883552" w:rsidP="00883552">
      <w:r>
        <w:t>Average ratings for aircraft related services and facilities remained unchanged for availability but increased for standard of these services. Both were rated as ‘good’ during 2014-15. The change in the standard was partly due to an increase in the rating for the standard of management responsiveness from ‘satisfactory’ to ‘good’ while the standard of runway, taxiways and aprons all increased within the ‘good’ category. During 2012-13, average ratings for the availability of aircraft related services dropped from ‘good’ to ‘satisfactory’. However, for the last two years it has been rated as ‘good’.</w:t>
      </w:r>
    </w:p>
    <w:p w:rsidR="00883552" w:rsidRDefault="00883552" w:rsidP="00883552">
      <w:pPr>
        <w:pStyle w:val="Numberedcharttitle"/>
      </w:pPr>
      <w:r>
        <w:lastRenderedPageBreak/>
        <w:t>Chart 1.2.1:</w:t>
      </w:r>
      <w:r>
        <w:tab/>
        <w:t>Brisbane Airport—passenger and aircraft related services and facilities, availability and standard: 2010</w:t>
      </w:r>
      <w:r>
        <w:noBreakHyphen/>
        <w:t>11 to 2014</w:t>
      </w:r>
      <w:r>
        <w:noBreakHyphen/>
        <w:t>15</w:t>
      </w:r>
    </w:p>
    <w:p w:rsidR="00883552" w:rsidRDefault="00883552" w:rsidP="00883552">
      <w:pPr>
        <w:pStyle w:val="Numberedcharttitle"/>
      </w:pPr>
      <w:r w:rsidRPr="004E0A0F">
        <w:rPr>
          <w:noProof/>
          <w:lang w:eastAsia="en-AU"/>
        </w:rPr>
        <w:drawing>
          <wp:inline distT="0" distB="0" distL="0" distR="0" wp14:anchorId="586F663E" wp14:editId="44B24FCF">
            <wp:extent cx="5364480" cy="2859928"/>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4480" cy="2859928"/>
                    </a:xfrm>
                    <a:prstGeom prst="rect">
                      <a:avLst/>
                    </a:prstGeom>
                    <a:noFill/>
                    <a:ln>
                      <a:noFill/>
                    </a:ln>
                  </pic:spPr>
                </pic:pic>
              </a:graphicData>
            </a:graphic>
          </wp:inline>
        </w:drawing>
      </w:r>
    </w:p>
    <w:p w:rsidR="00883552" w:rsidRPr="00462007" w:rsidRDefault="00883552" w:rsidP="00883552">
      <w:pPr>
        <w:keepNext/>
        <w:spacing w:before="120"/>
        <w:ind w:left="720" w:hanging="720"/>
        <w:contextualSpacing/>
        <w:rPr>
          <w:sz w:val="16"/>
          <w:szCs w:val="16"/>
        </w:rPr>
      </w:pPr>
      <w:r w:rsidRPr="00462007">
        <w:rPr>
          <w:sz w:val="16"/>
          <w:szCs w:val="16"/>
        </w:rPr>
        <w:t>Source:</w:t>
      </w:r>
      <w:r w:rsidRPr="00462007">
        <w:rPr>
          <w:sz w:val="16"/>
          <w:szCs w:val="16"/>
        </w:rPr>
        <w:tab/>
        <w:t>Airline surveys, passenger surveys, and objective indicators obtained from the monitored airports through the ACCC’s monitoring process</w:t>
      </w:r>
    </w:p>
    <w:p w:rsidR="00883552" w:rsidRDefault="00883552" w:rsidP="00883552">
      <w:pPr>
        <w:keepNext/>
      </w:pPr>
    </w:p>
    <w:p w:rsidR="00883552" w:rsidRPr="00813CE3" w:rsidRDefault="00883552" w:rsidP="00883552">
      <w:pPr>
        <w:keepNext/>
        <w:spacing w:after="200" w:line="276" w:lineRule="auto"/>
        <w:outlineLvl w:val="4"/>
        <w:rPr>
          <w:rFonts w:eastAsiaTheme="majorEastAsia" w:cstheme="majorBidi"/>
          <w:b/>
          <w:bCs/>
          <w:i/>
          <w:color w:val="51626F"/>
          <w:sz w:val="24"/>
          <w:szCs w:val="28"/>
        </w:rPr>
      </w:pPr>
      <w:r w:rsidRPr="00813CE3">
        <w:rPr>
          <w:rFonts w:eastAsiaTheme="majorEastAsia" w:cstheme="majorBidi"/>
          <w:b/>
          <w:bCs/>
          <w:i/>
          <w:color w:val="51626F"/>
          <w:sz w:val="24"/>
          <w:szCs w:val="28"/>
        </w:rPr>
        <w:t>Car parking</w:t>
      </w:r>
    </w:p>
    <w:p w:rsidR="00883552" w:rsidRDefault="00883552" w:rsidP="00883552">
      <w:pPr>
        <w:keepNext/>
      </w:pPr>
      <w:r>
        <w:t>The revenue and aggregate margin from Brisbane Airport’s car parking services both increased during 2014-15 by 4.6 and 9.4 per cent in real terms respectively. On a per car park basis, revenue and aggregate margin increased by 6.9 and 11.8 per cent in real terms respectively. Return on sales for car parking activities was 67.2 per cent during 2014-15, up 2.9 percentage points from 2013</w:t>
      </w:r>
      <w:r>
        <w:noBreakHyphen/>
        <w:t>14.</w:t>
      </w:r>
    </w:p>
    <w:p w:rsidR="00883552" w:rsidRDefault="00883552" w:rsidP="00883552">
      <w:pPr>
        <w:keepNext/>
      </w:pPr>
      <w:r>
        <w:t xml:space="preserve">During 2014-15, the ACCC introduced the collection of online and drive-up prices so as to derive an average price for all car park durations. While the average price for lengths of stay from 4 to 24 hours is marginally lower than the drive-up price, durations of 4 to 5 days show that the average price is over 10 per cent less than the drive-up price at Brisbane Airport. Durations of 6 to 7 days at both Brisbane Airport’s international and domestic car parks show that the average price is around 20 to 24 per cent less. Although passengers appear to have been reluctant to take advantage of any online deals for 4 to 24 hours durations, the majority of bookings for 4 to 5 days and longer are predominantly booked online. </w:t>
      </w:r>
    </w:p>
    <w:p w:rsidR="00883552" w:rsidRPr="00813CE3" w:rsidRDefault="00883552" w:rsidP="00883552">
      <w:pPr>
        <w:keepNext/>
        <w:numPr>
          <w:ilvl w:val="2"/>
          <w:numId w:val="1"/>
        </w:numPr>
        <w:spacing w:after="200" w:line="276" w:lineRule="auto"/>
        <w:ind w:left="958"/>
        <w:outlineLvl w:val="3"/>
        <w:rPr>
          <w:rFonts w:eastAsiaTheme="majorEastAsia" w:cstheme="majorBidi"/>
          <w:b/>
          <w:bCs/>
          <w:color w:val="000000" w:themeColor="text1"/>
          <w:sz w:val="24"/>
          <w:szCs w:val="28"/>
        </w:rPr>
      </w:pPr>
      <w:r w:rsidRPr="00813CE3">
        <w:rPr>
          <w:rFonts w:eastAsiaTheme="majorEastAsia" w:cstheme="majorBidi"/>
          <w:b/>
          <w:bCs/>
          <w:color w:val="000000" w:themeColor="text1"/>
          <w:sz w:val="24"/>
          <w:szCs w:val="28"/>
        </w:rPr>
        <w:t>Observations about Melbourne Airport</w:t>
      </w:r>
    </w:p>
    <w:p w:rsidR="00883552" w:rsidRDefault="00883552" w:rsidP="00114E05">
      <w:pPr>
        <w:pStyle w:val="Non-numberedheading4"/>
      </w:pPr>
      <w:r>
        <w:t>Activity levels, aeronautical pricing, revenues and profits</w:t>
      </w:r>
    </w:p>
    <w:p w:rsidR="00883552" w:rsidRDefault="00883552" w:rsidP="00883552">
      <w:pPr>
        <w:keepNext/>
      </w:pPr>
      <w:r>
        <w:t xml:space="preserve">Melbourne Airport reported passenger growth of 3.6 per cent during 2014-15 which is the highest of the monitored airports. This growth was driven by increases in international passengers with growth of 7.7 per cent. </w:t>
      </w:r>
    </w:p>
    <w:p w:rsidR="00883552" w:rsidRDefault="00883552" w:rsidP="00883552">
      <w:pPr>
        <w:keepNext/>
      </w:pPr>
      <w:r>
        <w:t xml:space="preserve">Aeronautical revenue increased by 7.7 per cent in real terms partly as a result of higher charges and passengers (particularly the growth in international passengers). Melbourne Airport’s aeronautical aggregate margin grew by 3.4 per cent in real terms to $146.8 million. Return on sales for </w:t>
      </w:r>
      <w:proofErr w:type="gramStart"/>
      <w:r>
        <w:t>aeronautical services was</w:t>
      </w:r>
      <w:proofErr w:type="gramEnd"/>
      <w:r>
        <w:t xml:space="preserve"> 43.4 per cent for 2014-15, down 1.8 percentage points since 2013-14. </w:t>
      </w:r>
    </w:p>
    <w:p w:rsidR="00883552" w:rsidRDefault="00883552" w:rsidP="00114E05">
      <w:pPr>
        <w:pStyle w:val="Non-numberedheading4"/>
      </w:pPr>
      <w:r>
        <w:lastRenderedPageBreak/>
        <w:t>Quality of service outcomes at Melbourne Airport</w:t>
      </w:r>
    </w:p>
    <w:p w:rsidR="00883552" w:rsidRDefault="00883552" w:rsidP="00883552">
      <w:pPr>
        <w:keepNext/>
      </w:pPr>
      <w:r>
        <w:t>Melbourne Airport’s overall average quality of service rating remained at just below ‘good’ in the ‘satisfactory’ category. It had the equal lowest overall rating with Sydney Airport. Average passenger ratings for Melbourne Airport decreased marginally but remained at ‘good’, while average airline ratings remained unchanged at ‘satisfactory’.</w:t>
      </w:r>
    </w:p>
    <w:p w:rsidR="00883552" w:rsidRDefault="00883552" w:rsidP="00883552">
      <w:pPr>
        <w:keepNext/>
      </w:pPr>
      <w:r>
        <w:t>Chart 1.2.2 presents average ratings for both passenger and aircraft related services for Melbourne Airport. While both the standard and availability of passenger related services remained unchanged, the former was rated overall at ‘good’ while availability was rated overall as ‘satisfactory’. All passenger related services were rated as ‘good’ during 2014</w:t>
      </w:r>
      <w:r>
        <w:noBreakHyphen/>
        <w:t>15 with no services changing rating categories.</w:t>
      </w:r>
    </w:p>
    <w:p w:rsidR="00883552" w:rsidRDefault="00883552" w:rsidP="00883552">
      <w:pPr>
        <w:pStyle w:val="Numberedcharttitle"/>
      </w:pPr>
      <w:r>
        <w:t>Chart 1.2.2:</w:t>
      </w:r>
      <w:r>
        <w:tab/>
        <w:t>Melbourne Airport—passenger and aircraft related services and facilities, availability and standard: 2010</w:t>
      </w:r>
      <w:r>
        <w:noBreakHyphen/>
        <w:t>11 to 2014</w:t>
      </w:r>
      <w:r>
        <w:noBreakHyphen/>
        <w:t>15</w:t>
      </w:r>
    </w:p>
    <w:p w:rsidR="00883552" w:rsidRDefault="00883552" w:rsidP="00883552">
      <w:pPr>
        <w:pStyle w:val="Numberedcharttitle"/>
      </w:pPr>
      <w:r w:rsidRPr="008F24A3">
        <w:rPr>
          <w:noProof/>
          <w:lang w:eastAsia="en-AU"/>
        </w:rPr>
        <w:drawing>
          <wp:inline distT="0" distB="0" distL="0" distR="0" wp14:anchorId="07AC98A3" wp14:editId="03684FEE">
            <wp:extent cx="5364480" cy="2858388"/>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4480" cy="2858388"/>
                    </a:xfrm>
                    <a:prstGeom prst="rect">
                      <a:avLst/>
                    </a:prstGeom>
                    <a:noFill/>
                    <a:ln>
                      <a:noFill/>
                    </a:ln>
                  </pic:spPr>
                </pic:pic>
              </a:graphicData>
            </a:graphic>
          </wp:inline>
        </w:drawing>
      </w:r>
    </w:p>
    <w:p w:rsidR="00883552" w:rsidRPr="00462007" w:rsidRDefault="00883552" w:rsidP="00883552">
      <w:pPr>
        <w:keepNext/>
        <w:spacing w:before="120"/>
        <w:ind w:left="720" w:hanging="720"/>
        <w:contextualSpacing/>
        <w:rPr>
          <w:sz w:val="16"/>
          <w:szCs w:val="16"/>
        </w:rPr>
      </w:pPr>
      <w:r w:rsidRPr="00462007">
        <w:rPr>
          <w:sz w:val="16"/>
          <w:szCs w:val="16"/>
        </w:rPr>
        <w:t>Source:</w:t>
      </w:r>
      <w:r w:rsidRPr="00462007">
        <w:rPr>
          <w:sz w:val="16"/>
          <w:szCs w:val="16"/>
        </w:rPr>
        <w:tab/>
        <w:t>Airline surveys, passenger surveys and objective indicators obtained from the monitored airports through the ACCC’s monitoring process</w:t>
      </w:r>
    </w:p>
    <w:p w:rsidR="00883552" w:rsidRDefault="00883552" w:rsidP="00883552">
      <w:pPr>
        <w:keepNext/>
      </w:pPr>
    </w:p>
    <w:p w:rsidR="00883552" w:rsidRDefault="00883552" w:rsidP="00883552">
      <w:pPr>
        <w:keepNext/>
      </w:pPr>
      <w:r>
        <w:t xml:space="preserve">Average ratings for aircraft related services and facilities remained unchanged at ‘satisfactory’ for the standard while the availability of these services dropped slightly but also remained at ‘satisfactory’. </w:t>
      </w:r>
    </w:p>
    <w:p w:rsidR="00883552" w:rsidRDefault="00883552" w:rsidP="00883552">
      <w:pPr>
        <w:keepNext/>
      </w:pPr>
      <w:r>
        <w:t>In relation to specific services and facilities, most were rated as either ‘satisfactory’ or ‘good’. Both the availability of runways and standard of taxiways increased from ‘satisfactory’ to ‘good’ during 2014-15. However, the availability of aircraft parking dropped from ‘satisfactory’ to ‘poor’ during 2014-15.</w:t>
      </w:r>
    </w:p>
    <w:p w:rsidR="00883552" w:rsidRPr="00813CE3" w:rsidRDefault="00883552" w:rsidP="00883552">
      <w:pPr>
        <w:keepNext/>
        <w:spacing w:after="200" w:line="276" w:lineRule="auto"/>
        <w:outlineLvl w:val="4"/>
        <w:rPr>
          <w:rFonts w:eastAsiaTheme="majorEastAsia" w:cstheme="majorBidi"/>
          <w:b/>
          <w:bCs/>
          <w:i/>
          <w:color w:val="51626F"/>
          <w:sz w:val="24"/>
          <w:szCs w:val="28"/>
        </w:rPr>
      </w:pPr>
      <w:r w:rsidRPr="00813CE3">
        <w:rPr>
          <w:rFonts w:eastAsiaTheme="majorEastAsia" w:cstheme="majorBidi"/>
          <w:b/>
          <w:bCs/>
          <w:i/>
          <w:color w:val="51626F"/>
          <w:sz w:val="24"/>
          <w:szCs w:val="28"/>
        </w:rPr>
        <w:t>Car parking</w:t>
      </w:r>
    </w:p>
    <w:p w:rsidR="00883552" w:rsidRDefault="00883552" w:rsidP="00883552">
      <w:pPr>
        <w:keepNext/>
      </w:pPr>
      <w:r>
        <w:t>Melbourne Airport’s car park revenue increased by 14.8 per cent to $147.0 million while the aggregate margin jumped by 21.6 per cent in real terms to $107.6 million. Melbourne Airport reported the largest revenues and aggregate margin from car parking services of the monitored airports during 2014</w:t>
      </w:r>
      <w:r>
        <w:noBreakHyphen/>
        <w:t>15. Revenue and margin per car park space also had relatively large increases of 20.7 and 27.8 per cent in real terms respectively. Melbourne Airport’s return on sales for car parking activities was 73.2 per cent during 2014-15 which was the highest of the monitored airports.</w:t>
      </w:r>
    </w:p>
    <w:p w:rsidR="00883552" w:rsidRDefault="00883552" w:rsidP="00883552">
      <w:pPr>
        <w:keepNext/>
      </w:pPr>
      <w:r>
        <w:lastRenderedPageBreak/>
        <w:t xml:space="preserve">As noted, the ACCC has introduced the collection of online and drive-up prices so as to derive a weighted average car parking prices. Average prices for car park short-term durations at Melbourne Airport are slightly lower than for the equivalent the drive-up prices. The average price for the 3 to 4 hour duration was 6.9 per cent lower than the equivalent drive-up prices. </w:t>
      </w:r>
    </w:p>
    <w:p w:rsidR="00883552" w:rsidRDefault="00883552" w:rsidP="00883552">
      <w:pPr>
        <w:keepNext/>
      </w:pPr>
      <w:r>
        <w:t xml:space="preserve">Average car parking prices for long-term parking show substantial differences to the drive-up price. At the long-term uncovered car park, the average price difference to the drive-up ranged from a low of 16.2 per cent for 8 plus days to 24 per cent for 6 to 7 days duration. At the ‘Value Long-stay’ car park average prices for the 7 to 8 day duration were 28.2 per cent lower than the drive-up price. </w:t>
      </w:r>
    </w:p>
    <w:p w:rsidR="00883552" w:rsidRPr="00AC6B5C" w:rsidRDefault="00883552" w:rsidP="00883552">
      <w:pPr>
        <w:keepNext/>
        <w:numPr>
          <w:ilvl w:val="2"/>
          <w:numId w:val="1"/>
        </w:numPr>
        <w:spacing w:after="200" w:line="276" w:lineRule="auto"/>
        <w:ind w:left="958"/>
        <w:outlineLvl w:val="3"/>
        <w:rPr>
          <w:rFonts w:eastAsiaTheme="majorEastAsia" w:cstheme="majorBidi"/>
          <w:b/>
          <w:bCs/>
          <w:color w:val="000000" w:themeColor="text1"/>
          <w:sz w:val="24"/>
          <w:szCs w:val="28"/>
        </w:rPr>
      </w:pPr>
      <w:r w:rsidRPr="00AC6B5C">
        <w:rPr>
          <w:rFonts w:eastAsiaTheme="majorEastAsia" w:cstheme="majorBidi"/>
          <w:b/>
          <w:bCs/>
          <w:color w:val="000000" w:themeColor="text1"/>
          <w:sz w:val="24"/>
          <w:szCs w:val="28"/>
        </w:rPr>
        <w:t>Observations about Perth Airport</w:t>
      </w:r>
    </w:p>
    <w:p w:rsidR="00883552" w:rsidRDefault="00883552" w:rsidP="00114E05">
      <w:pPr>
        <w:pStyle w:val="Non-numberedheading4"/>
      </w:pPr>
      <w:r w:rsidRPr="00AC6B5C">
        <w:t>Activity levels, aeronautical pricing, revenues and profits</w:t>
      </w:r>
    </w:p>
    <w:p w:rsidR="00883552" w:rsidRDefault="00883552" w:rsidP="00883552">
      <w:pPr>
        <w:keepNext/>
      </w:pPr>
      <w:r>
        <w:t xml:space="preserve">Perth Airport was the only monitored airport to report a drop in total passenger numbers during 2014-15 with a decrease of 1.0 per cent. </w:t>
      </w:r>
      <w:r w:rsidRPr="00125755">
        <w:t>This likely represents the end of a high growth period as a slowdown in the resources sector has reduced the number of flights by fly-in, fly-out workers</w:t>
      </w:r>
      <w:r>
        <w:t xml:space="preserve">. </w:t>
      </w:r>
    </w:p>
    <w:p w:rsidR="00883552" w:rsidRDefault="00883552" w:rsidP="00883552">
      <w:pPr>
        <w:keepNext/>
      </w:pPr>
      <w:proofErr w:type="gramStart"/>
      <w:r>
        <w:t>Perth Airport’s total a</w:t>
      </w:r>
      <w:r w:rsidRPr="0024186B">
        <w:t xml:space="preserve">eronautical revenue </w:t>
      </w:r>
      <w:r>
        <w:t>decreased by 1.4 per cent in real terms to $186.6 million.</w:t>
      </w:r>
      <w:proofErr w:type="gramEnd"/>
      <w:r w:rsidRPr="00310A04">
        <w:t xml:space="preserve"> </w:t>
      </w:r>
      <w:r>
        <w:t>This is the first decrease in aeronautical revenue in real terms since 2001-02. Perth Airport was also the only monitored airport to report a decrease during 2014</w:t>
      </w:r>
      <w:r>
        <w:noBreakHyphen/>
        <w:t>15. Perth Airport was also the only monitored airport to report a decrease in aeronautical aggregate margin, which declined by 9.6 per cent in real terms to $75.0 million. Return on sales for aeronautical services was 40.2 per cent, down 3.6 percentage points from 2013-14.</w:t>
      </w:r>
    </w:p>
    <w:p w:rsidR="00883552" w:rsidRDefault="00883552" w:rsidP="00114E05">
      <w:pPr>
        <w:pStyle w:val="Non-numberedheading4"/>
      </w:pPr>
      <w:r>
        <w:t>Quality of service outcomes at Perth Airport</w:t>
      </w:r>
    </w:p>
    <w:p w:rsidR="00883552" w:rsidRDefault="00883552" w:rsidP="00883552">
      <w:pPr>
        <w:keepNext/>
      </w:pPr>
      <w:r>
        <w:t xml:space="preserve">Perth Airport’s overall average quality of service rating increased slightly within the ‘good’ range during 2014-15. Chart 1.2.3 displays average ratings for both passenger and aircraft related services for Perth Airport. </w:t>
      </w:r>
    </w:p>
    <w:p w:rsidR="00883552" w:rsidRDefault="00883552" w:rsidP="00883552">
      <w:pPr>
        <w:pStyle w:val="Numberedcharttitle"/>
      </w:pPr>
      <w:r>
        <w:t>Chart 1.2.3:</w:t>
      </w:r>
      <w:r>
        <w:tab/>
        <w:t>Perth Airport—passenger and aircraft related services and facilities, availability and standard: 2010</w:t>
      </w:r>
      <w:r>
        <w:noBreakHyphen/>
        <w:t>11 to 2014</w:t>
      </w:r>
      <w:r>
        <w:noBreakHyphen/>
        <w:t>15</w:t>
      </w:r>
    </w:p>
    <w:p w:rsidR="00883552" w:rsidRDefault="00883552" w:rsidP="00883552">
      <w:pPr>
        <w:keepNext/>
      </w:pPr>
      <w:r w:rsidRPr="00F75B06">
        <w:rPr>
          <w:noProof/>
          <w:lang w:eastAsia="en-AU"/>
        </w:rPr>
        <w:drawing>
          <wp:inline distT="0" distB="0" distL="0" distR="0" wp14:anchorId="53CEFF1A" wp14:editId="471D77A4">
            <wp:extent cx="5367130" cy="2520563"/>
            <wp:effectExtent l="0" t="0" r="508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4480" cy="2519318"/>
                    </a:xfrm>
                    <a:prstGeom prst="rect">
                      <a:avLst/>
                    </a:prstGeom>
                    <a:noFill/>
                    <a:ln>
                      <a:noFill/>
                    </a:ln>
                  </pic:spPr>
                </pic:pic>
              </a:graphicData>
            </a:graphic>
          </wp:inline>
        </w:drawing>
      </w:r>
    </w:p>
    <w:p w:rsidR="00883552" w:rsidRPr="00AC6B5C" w:rsidRDefault="00883552" w:rsidP="00883552">
      <w:pPr>
        <w:keepNext/>
        <w:spacing w:before="120"/>
        <w:ind w:left="720" w:hanging="720"/>
        <w:contextualSpacing/>
        <w:rPr>
          <w:sz w:val="16"/>
          <w:szCs w:val="16"/>
        </w:rPr>
      </w:pPr>
      <w:r w:rsidRPr="00AC6B5C">
        <w:rPr>
          <w:sz w:val="16"/>
          <w:szCs w:val="16"/>
        </w:rPr>
        <w:t>Source:</w:t>
      </w:r>
      <w:r w:rsidRPr="00AC6B5C">
        <w:rPr>
          <w:sz w:val="16"/>
          <w:szCs w:val="16"/>
        </w:rPr>
        <w:tab/>
        <w:t>Airline surveys, passenger surveys and objective indicators obtained from the monitored airports through the ACCC’s monitoring process</w:t>
      </w:r>
    </w:p>
    <w:p w:rsidR="00883552" w:rsidRDefault="00883552" w:rsidP="00883552">
      <w:pPr>
        <w:keepNext/>
      </w:pPr>
    </w:p>
    <w:p w:rsidR="00883552" w:rsidRDefault="00883552" w:rsidP="00883552">
      <w:pPr>
        <w:keepNext/>
      </w:pPr>
      <w:r>
        <w:lastRenderedPageBreak/>
        <w:t xml:space="preserve">During 2014-15, the availability of passenger related services increased from ‘satisfactory’ to ‘good’. The standard of passenger related services also increased but remained at ‘good’. Passengers were generally happy with the services at Perth Airport’s terminals and car parks with ratings of ‘good’ reported for all categories. </w:t>
      </w:r>
    </w:p>
    <w:p w:rsidR="00883552" w:rsidRDefault="00883552" w:rsidP="00883552">
      <w:pPr>
        <w:keepNext/>
      </w:pPr>
      <w:r>
        <w:t xml:space="preserve">Average ratings for aircraft related services and facilities availability and standard both increased slightly but remained at ‘satisfactory’. Airline ratings of the availability of the runway increased from ‘satisfactory’ to ‘good’, as did the standard of taxiways. Airlines’ ratings of the standard of aprons and availability of management both decreased from ‘good’ to ‘satisfactory’ during 2014-15. </w:t>
      </w:r>
    </w:p>
    <w:p w:rsidR="00883552" w:rsidRPr="00AC6B5C" w:rsidRDefault="00883552" w:rsidP="00883552">
      <w:pPr>
        <w:keepNext/>
        <w:spacing w:after="200" w:line="276" w:lineRule="auto"/>
        <w:rPr>
          <w:rFonts w:eastAsiaTheme="majorEastAsia" w:cstheme="majorBidi"/>
          <w:b/>
          <w:bCs/>
          <w:i/>
          <w:color w:val="51626F"/>
          <w:sz w:val="24"/>
          <w:szCs w:val="28"/>
        </w:rPr>
      </w:pPr>
      <w:r w:rsidRPr="00AC6B5C">
        <w:rPr>
          <w:rFonts w:eastAsiaTheme="majorEastAsia" w:cstheme="majorBidi"/>
          <w:b/>
          <w:bCs/>
          <w:i/>
          <w:color w:val="51626F"/>
          <w:sz w:val="24"/>
          <w:szCs w:val="28"/>
        </w:rPr>
        <w:t>Car parking</w:t>
      </w:r>
    </w:p>
    <w:p w:rsidR="00883552" w:rsidRDefault="00883552" w:rsidP="00883552">
      <w:pPr>
        <w:keepNext/>
      </w:pPr>
      <w:r>
        <w:t xml:space="preserve">Perth Airport was the only monitored airport to report reductions in car parking revenue and margin. </w:t>
      </w:r>
      <w:proofErr w:type="gramStart"/>
      <w:r>
        <w:t>Total car parking revenue and margin decreased by 1.2 per cent and 8.5 per cent in real terms respectively during 2014-15.</w:t>
      </w:r>
      <w:proofErr w:type="gramEnd"/>
      <w:r>
        <w:t xml:space="preserve"> Return on sales for car parking services was 63.7 per cent, down 5.1 percentage points from 2013-14.   </w:t>
      </w:r>
    </w:p>
    <w:p w:rsidR="00883552" w:rsidRDefault="00883552" w:rsidP="00883552">
      <w:pPr>
        <w:keepNext/>
      </w:pPr>
      <w:r>
        <w:t xml:space="preserve">The ACCC was unable to compare drive-up car parking prices with average prices as Perth Airport declined to provide weighted online data. Perth Airport does offer some online car parking offers which are generally at a discount to the drive-up prices. </w:t>
      </w:r>
    </w:p>
    <w:p w:rsidR="00883552" w:rsidRDefault="00883552" w:rsidP="00883552">
      <w:pPr>
        <w:keepNext/>
      </w:pPr>
      <w:r w:rsidRPr="006A52B8">
        <w:t>During 2014-15, Perth Airport increased in real terms all short-term car parking charges apart from the 5-30 minute category at both terminal precincts. Increases ranged from a low of 0.8 per cent to a high of 14.7 per cent. Similarly, all long-term car parking charges apart from ‘additional days thereafter’ had increases ranging from 4.9 to 13.1 per cent in real terms.</w:t>
      </w:r>
    </w:p>
    <w:p w:rsidR="00883552" w:rsidRPr="00AC6B5C" w:rsidRDefault="00883552" w:rsidP="00883552">
      <w:pPr>
        <w:keepNext/>
        <w:numPr>
          <w:ilvl w:val="2"/>
          <w:numId w:val="1"/>
        </w:numPr>
        <w:spacing w:after="200" w:line="276" w:lineRule="auto"/>
        <w:ind w:left="958"/>
        <w:outlineLvl w:val="3"/>
        <w:rPr>
          <w:rFonts w:eastAsiaTheme="majorEastAsia" w:cstheme="majorBidi"/>
          <w:b/>
          <w:bCs/>
          <w:color w:val="000000" w:themeColor="text1"/>
          <w:sz w:val="24"/>
          <w:szCs w:val="28"/>
        </w:rPr>
      </w:pPr>
      <w:r w:rsidRPr="00AC6B5C">
        <w:rPr>
          <w:rFonts w:eastAsiaTheme="majorEastAsia" w:cstheme="majorBidi"/>
          <w:b/>
          <w:bCs/>
          <w:color w:val="000000" w:themeColor="text1"/>
          <w:sz w:val="24"/>
          <w:szCs w:val="28"/>
        </w:rPr>
        <w:t>Observations about Sydney Airport</w:t>
      </w:r>
    </w:p>
    <w:p w:rsidR="00883552" w:rsidRDefault="00883552" w:rsidP="00114E05">
      <w:pPr>
        <w:pStyle w:val="Non-numberedheading4"/>
      </w:pPr>
      <w:r w:rsidRPr="00AC6B5C">
        <w:t>Activity levels, aeronautical pricing, revenues and profits</w:t>
      </w:r>
    </w:p>
    <w:p w:rsidR="00883552" w:rsidRDefault="00883552" w:rsidP="00883552">
      <w:pPr>
        <w:keepNext/>
      </w:pPr>
      <w:r>
        <w:t xml:space="preserve">Sydney Airport’s total passenger growth was 1.2 per cent during 2014-15. Domestic passenger numbers grew by 1.4 per cent while international passenger growth was 1.0 per cent. The growth in international passengers was the lowest since 2008-09 when it reduced by 3.0 per cent. Return on sales during 2014-15 was 50.1 per cent which was the largest of the monitored airports. </w:t>
      </w:r>
    </w:p>
    <w:p w:rsidR="00883552" w:rsidRDefault="00883552" w:rsidP="00883552">
      <w:pPr>
        <w:keepNext/>
      </w:pPr>
      <w:r>
        <w:t xml:space="preserve">Sydney Airport reported relatively flat increases in real terms for aeronautical revenue and aggregate margin. Aeronautical revenue increased by 1.8 per cent in real terms to $643.0 million, while aeronautical aggregate margin increased by 2.3 per cent to $322.2 million. </w:t>
      </w:r>
    </w:p>
    <w:p w:rsidR="00883552" w:rsidRDefault="00883552" w:rsidP="00114E05">
      <w:pPr>
        <w:pStyle w:val="Non-numberedheading4"/>
      </w:pPr>
      <w:r>
        <w:t>Quality of service outcomes at Sydney Airport</w:t>
      </w:r>
    </w:p>
    <w:p w:rsidR="00883552" w:rsidRDefault="00883552" w:rsidP="00883552">
      <w:pPr>
        <w:keepNext/>
      </w:pPr>
      <w:r>
        <w:t xml:space="preserve">Sydney Airport’s overall average quality of service rating decreased slightly and was at just below ‘good’ in the ‘satisfactory’ category. It had the equal lowest overall rating with Melbourne Airport. Average passenger ratings remained unchanged at ‘satisfactory’, while average airline ratings decreased but remained at ‘satisfactory’. </w:t>
      </w:r>
    </w:p>
    <w:p w:rsidR="00883552" w:rsidRDefault="00883552" w:rsidP="00883552">
      <w:pPr>
        <w:keepNext/>
      </w:pPr>
      <w:r>
        <w:t xml:space="preserve">Chart 1.2.4 displays average ratings for passenger and aircraft related services and facilities for Sydney Airport. The average for standard of passenger related services and facilities remained unchanged at ‘good’ during 2014-15. The average passenger rating for the availability of services and facilities dropped slightly from ‘good’ to just below the ‘good’ category at ‘satisfactory’. </w:t>
      </w:r>
    </w:p>
    <w:p w:rsidR="00883552" w:rsidRDefault="00883552" w:rsidP="00883552">
      <w:pPr>
        <w:keepNext/>
      </w:pPr>
      <w:r>
        <w:t xml:space="preserve">Average ratings for the availability and standard of aircraft related services and facilities both decreased during 2014-15 but remained at ‘satisfactory’. Airlines’ ratings for the availability and standard of baggage processing facilities at the international terminal dropped from </w:t>
      </w:r>
      <w:r>
        <w:lastRenderedPageBreak/>
        <w:t xml:space="preserve">‘satisfactory’ to ‘poor’ during 2014-15. Airlines ratings of aerobridge availability and standard also declined from ‘satisfactory’ to ‘poor’. </w:t>
      </w:r>
    </w:p>
    <w:p w:rsidR="00883552" w:rsidRDefault="00883552" w:rsidP="00883552">
      <w:pPr>
        <w:pStyle w:val="Numberedcharttitle"/>
      </w:pPr>
      <w:r>
        <w:t>Chart 1.2.4:</w:t>
      </w:r>
      <w:r>
        <w:tab/>
        <w:t>Sydney Airport—passenger and aircraft related services and facilities, availability and standard: 2010</w:t>
      </w:r>
      <w:r>
        <w:noBreakHyphen/>
        <w:t>11 to 2014</w:t>
      </w:r>
      <w:r>
        <w:noBreakHyphen/>
        <w:t>15</w:t>
      </w:r>
    </w:p>
    <w:p w:rsidR="00883552" w:rsidRDefault="00883552" w:rsidP="00883552">
      <w:pPr>
        <w:keepNext/>
      </w:pPr>
      <w:r w:rsidRPr="00854183">
        <w:rPr>
          <w:noProof/>
          <w:lang w:eastAsia="en-AU"/>
        </w:rPr>
        <w:drawing>
          <wp:inline distT="0" distB="0" distL="0" distR="0" wp14:anchorId="50839755" wp14:editId="63518007">
            <wp:extent cx="5364480" cy="2858388"/>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480" cy="2858388"/>
                    </a:xfrm>
                    <a:prstGeom prst="rect">
                      <a:avLst/>
                    </a:prstGeom>
                    <a:noFill/>
                    <a:ln>
                      <a:noFill/>
                    </a:ln>
                  </pic:spPr>
                </pic:pic>
              </a:graphicData>
            </a:graphic>
          </wp:inline>
        </w:drawing>
      </w:r>
    </w:p>
    <w:p w:rsidR="00883552" w:rsidRPr="00AC6B5C" w:rsidRDefault="00883552" w:rsidP="00883552">
      <w:pPr>
        <w:keepNext/>
        <w:spacing w:before="120"/>
        <w:ind w:left="720" w:hanging="720"/>
        <w:contextualSpacing/>
        <w:rPr>
          <w:sz w:val="16"/>
          <w:szCs w:val="16"/>
        </w:rPr>
      </w:pPr>
      <w:r w:rsidRPr="00AC6B5C">
        <w:rPr>
          <w:sz w:val="16"/>
          <w:szCs w:val="16"/>
        </w:rPr>
        <w:t>Source:</w:t>
      </w:r>
      <w:r w:rsidRPr="00AC6B5C">
        <w:rPr>
          <w:sz w:val="16"/>
          <w:szCs w:val="16"/>
        </w:rPr>
        <w:tab/>
        <w:t>Airline surveys, passenger surveys, and objective indicators obtained from the monitored airports through the ACCC’s monitoring process</w:t>
      </w:r>
    </w:p>
    <w:p w:rsidR="00883552" w:rsidRDefault="00883552" w:rsidP="00883552">
      <w:pPr>
        <w:keepNext/>
      </w:pPr>
    </w:p>
    <w:p w:rsidR="00883552" w:rsidRPr="00AC6B5C" w:rsidRDefault="00883552" w:rsidP="00883552">
      <w:pPr>
        <w:keepNext/>
        <w:spacing w:after="200" w:line="276" w:lineRule="auto"/>
        <w:rPr>
          <w:rFonts w:eastAsiaTheme="majorEastAsia" w:cstheme="majorBidi"/>
          <w:b/>
          <w:bCs/>
          <w:i/>
          <w:color w:val="51626F"/>
          <w:sz w:val="24"/>
          <w:szCs w:val="28"/>
        </w:rPr>
      </w:pPr>
      <w:r w:rsidRPr="00AC6B5C">
        <w:rPr>
          <w:rFonts w:eastAsiaTheme="majorEastAsia" w:cstheme="majorBidi"/>
          <w:b/>
          <w:bCs/>
          <w:i/>
          <w:color w:val="51626F"/>
          <w:sz w:val="24"/>
          <w:szCs w:val="28"/>
        </w:rPr>
        <w:t>Car parking</w:t>
      </w:r>
    </w:p>
    <w:p w:rsidR="00883552" w:rsidRDefault="00883552" w:rsidP="00883552">
      <w:pPr>
        <w:keepNext/>
      </w:pPr>
      <w:proofErr w:type="gramStart"/>
      <w:r>
        <w:t>Sydney Airport’s car park revenue increased by 4.7 per cent in real terms to $127.8 million.</w:t>
      </w:r>
      <w:proofErr w:type="gramEnd"/>
      <w:r>
        <w:t xml:space="preserve"> The aggregate margin increased by 2.2 per cent to $91.5 million. Revenue and aggregate margin per car park space increased 7.0 and 4.5 per cent in real terms to $7748 and $5551 respectively. Sydney Airport earned the most revenue and aggregate margin per car park space of the monitored airports each year since 2002-03.</w:t>
      </w:r>
    </w:p>
    <w:p w:rsidR="00883552" w:rsidRDefault="00883552" w:rsidP="00883552">
      <w:pPr>
        <w:keepNext/>
      </w:pPr>
      <w:r>
        <w:t>Average prices for car park short-term durations were generally slightly lower than the equivalent drive-up prices during 2014-15. The average price for the two to three hour duration was 0.7 cent less than the drive up price at the domestic car park terminal. The same price duration at the international terminal car park was 1.6 per cent lower than the drive up prices.</w:t>
      </w:r>
    </w:p>
    <w:p w:rsidR="00883552" w:rsidRDefault="00883552" w:rsidP="00883552">
      <w:pPr>
        <w:keepNext/>
      </w:pPr>
      <w:r>
        <w:t>In difference to the short-term parking, average prices for long-term parking show substantial differences with the equivalent drive-up price. At the domestic terminal car park, long-term average rates are between 5.7 to 63.2 per cent cheaper than the equivalent drive up rates. Average long-term parking rates at the international terminal are up to 39.8 per cent cheaper than the equivalent drive-up prices while at the Blu Emu car park, average rates are up to 35.5 per cent lower.</w:t>
      </w:r>
    </w:p>
    <w:tbl>
      <w:tblPr>
        <w:tblStyle w:val="TableGrid"/>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shd w:val="clear" w:color="auto" w:fill="DEE9EE"/>
        <w:tblLook w:val="04A0" w:firstRow="1" w:lastRow="0" w:firstColumn="1" w:lastColumn="0" w:noHBand="0" w:noVBand="1"/>
      </w:tblPr>
      <w:tblGrid>
        <w:gridCol w:w="8664"/>
      </w:tblGrid>
      <w:tr w:rsidR="00883552" w:rsidTr="00883552">
        <w:tc>
          <w:tcPr>
            <w:tcW w:w="8664" w:type="dxa"/>
            <w:shd w:val="clear" w:color="auto" w:fill="DEE9EE"/>
          </w:tcPr>
          <w:p w:rsidR="00883552" w:rsidRPr="00E70F7D" w:rsidRDefault="00883552" w:rsidP="00883552">
            <w:pPr>
              <w:keepNext/>
              <w:spacing w:before="60"/>
              <w:jc w:val="center"/>
              <w:rPr>
                <w:b/>
                <w:sz w:val="22"/>
              </w:rPr>
            </w:pPr>
            <w:r w:rsidRPr="00E70F7D">
              <w:rPr>
                <w:b/>
                <w:i/>
                <w:color w:val="17365D" w:themeColor="text2" w:themeShade="BF"/>
                <w:sz w:val="24"/>
                <w:szCs w:val="24"/>
              </w:rPr>
              <w:t>Western Sydney Airport and competition outcomes</w:t>
            </w:r>
          </w:p>
          <w:p w:rsidR="00883552" w:rsidRDefault="00883552" w:rsidP="00883552">
            <w:pPr>
              <w:keepNext/>
              <w:rPr>
                <w:color w:val="17365D" w:themeColor="text2" w:themeShade="BF"/>
              </w:rPr>
            </w:pPr>
            <w:r w:rsidRPr="00B02985">
              <w:rPr>
                <w:color w:val="17365D" w:themeColor="text2" w:themeShade="BF"/>
              </w:rPr>
              <w:t xml:space="preserve">In April 2014, the Australian </w:t>
            </w:r>
            <w:r>
              <w:rPr>
                <w:color w:val="17365D" w:themeColor="text2" w:themeShade="BF"/>
              </w:rPr>
              <w:t>g</w:t>
            </w:r>
            <w:r w:rsidRPr="00B02985">
              <w:rPr>
                <w:color w:val="17365D" w:themeColor="text2" w:themeShade="BF"/>
              </w:rPr>
              <w:t xml:space="preserve">overnment confirmed its intention to develop a new major airport in Western Sydney at Badgerys Creek. The </w:t>
            </w:r>
            <w:r>
              <w:rPr>
                <w:color w:val="17365D" w:themeColor="text2" w:themeShade="BF"/>
              </w:rPr>
              <w:t>g</w:t>
            </w:r>
            <w:r w:rsidRPr="00B02985">
              <w:rPr>
                <w:color w:val="17365D" w:themeColor="text2" w:themeShade="BF"/>
              </w:rPr>
              <w:t xml:space="preserve">overnment intends for the airport to open in the mid-2020s, and to operate </w:t>
            </w:r>
            <w:r>
              <w:rPr>
                <w:color w:val="17365D" w:themeColor="text2" w:themeShade="BF"/>
              </w:rPr>
              <w:t xml:space="preserve">initially </w:t>
            </w:r>
            <w:r w:rsidRPr="00B02985">
              <w:rPr>
                <w:color w:val="17365D" w:themeColor="text2" w:themeShade="BF"/>
              </w:rPr>
              <w:t xml:space="preserve">with one runway. It is expected that the airport will initially cater for approximately </w:t>
            </w:r>
            <w:r>
              <w:rPr>
                <w:color w:val="17365D" w:themeColor="text2" w:themeShade="BF"/>
              </w:rPr>
              <w:t>10</w:t>
            </w:r>
            <w:r w:rsidRPr="00B02985">
              <w:rPr>
                <w:color w:val="17365D" w:themeColor="text2" w:themeShade="BF"/>
              </w:rPr>
              <w:t xml:space="preserve"> million passengers</w:t>
            </w:r>
            <w:r>
              <w:rPr>
                <w:color w:val="17365D" w:themeColor="text2" w:themeShade="BF"/>
              </w:rPr>
              <w:t xml:space="preserve"> by 2030</w:t>
            </w:r>
            <w:r w:rsidRPr="00B02985">
              <w:rPr>
                <w:color w:val="17365D" w:themeColor="text2" w:themeShade="BF"/>
              </w:rPr>
              <w:t xml:space="preserve">. The </w:t>
            </w:r>
            <w:r>
              <w:rPr>
                <w:color w:val="17365D" w:themeColor="text2" w:themeShade="BF"/>
              </w:rPr>
              <w:t>g</w:t>
            </w:r>
            <w:r w:rsidRPr="00B02985">
              <w:rPr>
                <w:color w:val="17365D" w:themeColor="text2" w:themeShade="BF"/>
              </w:rPr>
              <w:t xml:space="preserve">overnment considers that a second parallel runway would be required after 25 years, to provide the capacity to meet </w:t>
            </w:r>
            <w:r w:rsidRPr="00B02985">
              <w:rPr>
                <w:color w:val="17365D" w:themeColor="text2" w:themeShade="BF"/>
              </w:rPr>
              <w:lastRenderedPageBreak/>
              <w:t xml:space="preserve">growth in demand for air travel. </w:t>
            </w:r>
          </w:p>
          <w:p w:rsidR="00883552" w:rsidRPr="00B02985" w:rsidRDefault="00883552" w:rsidP="00883552">
            <w:pPr>
              <w:keepNext/>
              <w:spacing w:before="120"/>
              <w:rPr>
                <w:b/>
                <w:color w:val="17365D" w:themeColor="text2" w:themeShade="BF"/>
                <w:sz w:val="22"/>
              </w:rPr>
            </w:pPr>
            <w:r w:rsidRPr="00B02985">
              <w:rPr>
                <w:color w:val="17365D" w:themeColor="text2" w:themeShade="BF"/>
              </w:rPr>
              <w:t xml:space="preserve">However, the </w:t>
            </w:r>
            <w:r>
              <w:rPr>
                <w:color w:val="17365D" w:themeColor="text2" w:themeShade="BF"/>
              </w:rPr>
              <w:t>g</w:t>
            </w:r>
            <w:r w:rsidRPr="00B02985">
              <w:rPr>
                <w:color w:val="17365D" w:themeColor="text2" w:themeShade="BF"/>
              </w:rPr>
              <w:t>overnment removed the potential for competition between the two airports in Sydney when it provided the acquirer of Sydney (Kingsford Smith) Airport (</w:t>
            </w:r>
            <w:r>
              <w:rPr>
                <w:color w:val="17365D" w:themeColor="text2" w:themeShade="BF"/>
              </w:rPr>
              <w:t xml:space="preserve">at the time </w:t>
            </w:r>
            <w:r w:rsidRPr="00B02985">
              <w:rPr>
                <w:color w:val="17365D" w:themeColor="text2" w:themeShade="BF"/>
              </w:rPr>
              <w:t>it was privatised) the right of first refusal to develop and operate any second airport within 100 kilometres of the CBD.</w:t>
            </w:r>
          </w:p>
          <w:p w:rsidR="00883552" w:rsidRPr="00B02985" w:rsidRDefault="00883552" w:rsidP="00883552">
            <w:pPr>
              <w:keepNext/>
              <w:rPr>
                <w:b/>
                <w:i/>
                <w:color w:val="17365D" w:themeColor="text2" w:themeShade="BF"/>
                <w:szCs w:val="20"/>
              </w:rPr>
            </w:pPr>
            <w:r w:rsidRPr="00B02985">
              <w:rPr>
                <w:i/>
                <w:color w:val="17365D" w:themeColor="text2" w:themeShade="BF"/>
                <w:szCs w:val="20"/>
              </w:rPr>
              <w:t>Privatisation of Sydney (Kingsford Smith) and the right of first refusal</w:t>
            </w:r>
          </w:p>
          <w:p w:rsidR="00883552" w:rsidRPr="00B02985" w:rsidRDefault="00883552" w:rsidP="00883552">
            <w:pPr>
              <w:keepNext/>
              <w:rPr>
                <w:b/>
                <w:color w:val="17365D" w:themeColor="text2" w:themeShade="BF"/>
                <w:szCs w:val="20"/>
              </w:rPr>
            </w:pPr>
            <w:r w:rsidRPr="00B02985">
              <w:rPr>
                <w:color w:val="17365D" w:themeColor="text2" w:themeShade="BF"/>
                <w:szCs w:val="20"/>
              </w:rPr>
              <w:t xml:space="preserve">The ACCC noted </w:t>
            </w:r>
            <w:proofErr w:type="gramStart"/>
            <w:r w:rsidRPr="00B02985">
              <w:rPr>
                <w:color w:val="17365D" w:themeColor="text2" w:themeShade="BF"/>
                <w:szCs w:val="20"/>
              </w:rPr>
              <w:t>in the 2013-14 Airport Monitoring Report</w:t>
            </w:r>
            <w:proofErr w:type="gramEnd"/>
            <w:r w:rsidRPr="00B02985">
              <w:rPr>
                <w:color w:val="17365D" w:themeColor="text2" w:themeShade="BF"/>
                <w:szCs w:val="20"/>
              </w:rPr>
              <w:t xml:space="preserve"> that the National Audit Office had found that the sale price of Sydney Airport was higher than a number of possible valuation benchmarks when it was privatised by the Commonwealth Government in 2002.</w:t>
            </w:r>
            <w:r w:rsidRPr="00B02985">
              <w:rPr>
                <w:rStyle w:val="FootnoteReference"/>
                <w:color w:val="17365D" w:themeColor="text2" w:themeShade="BF"/>
                <w:szCs w:val="20"/>
              </w:rPr>
              <w:footnoteReference w:id="4"/>
            </w:r>
            <w:r w:rsidRPr="00B02985">
              <w:rPr>
                <w:color w:val="17365D" w:themeColor="text2" w:themeShade="BF"/>
                <w:szCs w:val="20"/>
              </w:rPr>
              <w:t xml:space="preserve">  Further, the ACCC considered that this higher price was a reflection of a premium placed on the right of first refusal to develop and operate any second airport. The ACCC considered that the inclusion of the right of first refusal would result in a</w:t>
            </w:r>
            <w:r>
              <w:rPr>
                <w:color w:val="17365D" w:themeColor="text2" w:themeShade="BF"/>
                <w:szCs w:val="20"/>
              </w:rPr>
              <w:t xml:space="preserve"> missed opportunity for more </w:t>
            </w:r>
            <w:r w:rsidRPr="00B02985">
              <w:rPr>
                <w:color w:val="17365D" w:themeColor="text2" w:themeShade="BF"/>
                <w:szCs w:val="20"/>
              </w:rPr>
              <w:t>competitive outcomes in the aviation sector and provide little relief to airlines and other airport users who may have difficulties negotiating commercial agreements with the existing Sydney Airport.</w:t>
            </w:r>
          </w:p>
          <w:p w:rsidR="00883552" w:rsidRPr="00B02985" w:rsidRDefault="00883552" w:rsidP="00883552">
            <w:pPr>
              <w:keepNext/>
              <w:rPr>
                <w:b/>
                <w:color w:val="17365D" w:themeColor="text2" w:themeShade="BF"/>
                <w:szCs w:val="20"/>
              </w:rPr>
            </w:pPr>
            <w:r w:rsidRPr="00B02985">
              <w:rPr>
                <w:color w:val="17365D" w:themeColor="text2" w:themeShade="BF"/>
                <w:szCs w:val="20"/>
              </w:rPr>
              <w:t xml:space="preserve">The </w:t>
            </w:r>
            <w:r>
              <w:rPr>
                <w:color w:val="17365D" w:themeColor="text2" w:themeShade="BF"/>
                <w:szCs w:val="20"/>
              </w:rPr>
              <w:t xml:space="preserve">government’s </w:t>
            </w:r>
            <w:r w:rsidRPr="00B02985">
              <w:rPr>
                <w:color w:val="17365D" w:themeColor="text2" w:themeShade="BF"/>
                <w:szCs w:val="20"/>
              </w:rPr>
              <w:t>Competition Policy Review commented on the inclusion of a right of first refusal</w:t>
            </w:r>
            <w:r>
              <w:rPr>
                <w:color w:val="17365D" w:themeColor="text2" w:themeShade="BF"/>
                <w:szCs w:val="20"/>
              </w:rPr>
              <w:t xml:space="preserve"> in its final report in November 2015.</w:t>
            </w:r>
            <w:r w:rsidRPr="00B02985">
              <w:rPr>
                <w:color w:val="17365D" w:themeColor="text2" w:themeShade="BF"/>
                <w:szCs w:val="20"/>
              </w:rPr>
              <w:t xml:space="preserve"> </w:t>
            </w:r>
            <w:r>
              <w:rPr>
                <w:color w:val="17365D" w:themeColor="text2" w:themeShade="BF"/>
                <w:szCs w:val="20"/>
              </w:rPr>
              <w:t>T</w:t>
            </w:r>
            <w:r w:rsidRPr="00B02985">
              <w:rPr>
                <w:color w:val="17365D" w:themeColor="text2" w:themeShade="BF"/>
                <w:szCs w:val="20"/>
              </w:rPr>
              <w:t>he Panel</w:t>
            </w:r>
            <w:r>
              <w:rPr>
                <w:color w:val="17365D" w:themeColor="text2" w:themeShade="BF"/>
                <w:szCs w:val="20"/>
              </w:rPr>
              <w:t xml:space="preserve"> considered</w:t>
            </w:r>
            <w:r w:rsidRPr="00B02985">
              <w:rPr>
                <w:color w:val="17365D" w:themeColor="text2" w:themeShade="BF"/>
                <w:szCs w:val="20"/>
              </w:rPr>
              <w:t xml:space="preserve"> that:</w:t>
            </w:r>
          </w:p>
          <w:p w:rsidR="00883552" w:rsidRPr="00B02985" w:rsidRDefault="00883552" w:rsidP="00F26847">
            <w:pPr>
              <w:pStyle w:val="ListParagraph"/>
              <w:keepNext/>
              <w:numPr>
                <w:ilvl w:val="0"/>
                <w:numId w:val="14"/>
              </w:numPr>
              <w:tabs>
                <w:tab w:val="left" w:pos="340"/>
              </w:tabs>
              <w:spacing w:after="120"/>
              <w:contextualSpacing w:val="0"/>
              <w:rPr>
                <w:b/>
                <w:color w:val="17365D" w:themeColor="text2" w:themeShade="BF"/>
                <w:szCs w:val="20"/>
              </w:rPr>
            </w:pPr>
            <w:r>
              <w:rPr>
                <w:color w:val="17365D" w:themeColor="text2" w:themeShade="BF"/>
                <w:szCs w:val="20"/>
              </w:rPr>
              <w:t>a</w:t>
            </w:r>
            <w:r w:rsidRPr="00B02985">
              <w:rPr>
                <w:color w:val="17365D" w:themeColor="text2" w:themeShade="BF"/>
                <w:szCs w:val="20"/>
              </w:rPr>
              <w:t xml:space="preserve"> significant opportunity for greater competition was lost as a result of </w:t>
            </w:r>
            <w:r>
              <w:rPr>
                <w:color w:val="17365D" w:themeColor="text2" w:themeShade="BF"/>
                <w:szCs w:val="20"/>
              </w:rPr>
              <w:t xml:space="preserve">the owner of the private </w:t>
            </w:r>
            <w:r w:rsidRPr="00B02985">
              <w:rPr>
                <w:color w:val="17365D" w:themeColor="text2" w:themeShade="BF"/>
                <w:szCs w:val="20"/>
              </w:rPr>
              <w:t xml:space="preserve">Sydney Airport </w:t>
            </w:r>
            <w:r>
              <w:rPr>
                <w:color w:val="17365D" w:themeColor="text2" w:themeShade="BF"/>
                <w:szCs w:val="20"/>
              </w:rPr>
              <w:t>being</w:t>
            </w:r>
            <w:r w:rsidRPr="00B02985">
              <w:rPr>
                <w:color w:val="17365D" w:themeColor="text2" w:themeShade="BF"/>
                <w:szCs w:val="20"/>
              </w:rPr>
              <w:t xml:space="preserve"> given first right of refusal to operate the second Sydney Airport</w:t>
            </w:r>
            <w:r>
              <w:rPr>
                <w:color w:val="17365D" w:themeColor="text2" w:themeShade="BF"/>
                <w:szCs w:val="20"/>
              </w:rPr>
              <w:t xml:space="preserve"> as part of the sale agreement, and</w:t>
            </w:r>
          </w:p>
          <w:p w:rsidR="00883552" w:rsidRPr="00B02985" w:rsidRDefault="00883552" w:rsidP="00F26847">
            <w:pPr>
              <w:pStyle w:val="ListParagraph"/>
              <w:keepNext/>
              <w:numPr>
                <w:ilvl w:val="0"/>
                <w:numId w:val="14"/>
              </w:numPr>
              <w:tabs>
                <w:tab w:val="left" w:pos="340"/>
              </w:tabs>
              <w:spacing w:after="120"/>
              <w:contextualSpacing w:val="0"/>
              <w:rPr>
                <w:b/>
                <w:color w:val="17365D" w:themeColor="text2" w:themeShade="BF"/>
                <w:szCs w:val="20"/>
              </w:rPr>
            </w:pPr>
            <w:proofErr w:type="gramStart"/>
            <w:r>
              <w:rPr>
                <w:color w:val="17365D" w:themeColor="text2" w:themeShade="BF"/>
                <w:szCs w:val="20"/>
              </w:rPr>
              <w:t>p</w:t>
            </w:r>
            <w:r w:rsidRPr="00B02985">
              <w:rPr>
                <w:color w:val="17365D" w:themeColor="text2" w:themeShade="BF"/>
                <w:szCs w:val="20"/>
              </w:rPr>
              <w:t>rivatising</w:t>
            </w:r>
            <w:proofErr w:type="gramEnd"/>
            <w:r w:rsidRPr="00B02985">
              <w:rPr>
                <w:color w:val="17365D" w:themeColor="text2" w:themeShade="BF"/>
                <w:szCs w:val="20"/>
              </w:rPr>
              <w:t xml:space="preserve"> in a way that restricts competition may result in a higher sale price, but it comes at the long-term cost of a less competitive market structure.</w:t>
            </w:r>
            <w:r w:rsidRPr="00B02985">
              <w:rPr>
                <w:rStyle w:val="FootnoteReference"/>
                <w:color w:val="17365D" w:themeColor="text2" w:themeShade="BF"/>
                <w:szCs w:val="20"/>
              </w:rPr>
              <w:footnoteReference w:id="5"/>
            </w:r>
            <w:r w:rsidRPr="00B02985">
              <w:rPr>
                <w:color w:val="17365D" w:themeColor="text2" w:themeShade="BF"/>
                <w:szCs w:val="20"/>
              </w:rPr>
              <w:t xml:space="preserve"> </w:t>
            </w:r>
          </w:p>
          <w:p w:rsidR="00883552" w:rsidRPr="00B02985" w:rsidRDefault="00883552" w:rsidP="00883552">
            <w:pPr>
              <w:keepNext/>
              <w:rPr>
                <w:b/>
                <w:color w:val="17365D" w:themeColor="text2" w:themeShade="BF"/>
                <w:szCs w:val="20"/>
              </w:rPr>
            </w:pPr>
            <w:r w:rsidRPr="00B02985">
              <w:rPr>
                <w:color w:val="17365D" w:themeColor="text2" w:themeShade="BF"/>
                <w:szCs w:val="20"/>
              </w:rPr>
              <w:t xml:space="preserve">Sydney Airport expressed a contrasting view in its submission to the Competition Policy Review. In particular, Sydney Airport commented that the </w:t>
            </w:r>
            <w:r>
              <w:rPr>
                <w:color w:val="17365D" w:themeColor="text2" w:themeShade="BF"/>
                <w:szCs w:val="20"/>
              </w:rPr>
              <w:t>g</w:t>
            </w:r>
            <w:r w:rsidRPr="00B02985">
              <w:rPr>
                <w:color w:val="17365D" w:themeColor="text2" w:themeShade="BF"/>
                <w:szCs w:val="20"/>
              </w:rPr>
              <w:t>overnment’s approach to selling the airport with a right of first refusal reflected the benefits of common ownership and management of the two airports in Sydney. Sydney Airport stated that common ownership would ‘maximise the utilisation of the new airport and support faster economic growth and benefits’.</w:t>
            </w:r>
            <w:r w:rsidRPr="00B02985">
              <w:rPr>
                <w:rStyle w:val="FootnoteReference"/>
                <w:color w:val="17365D" w:themeColor="text2" w:themeShade="BF"/>
                <w:szCs w:val="20"/>
              </w:rPr>
              <w:footnoteReference w:id="6"/>
            </w:r>
          </w:p>
          <w:p w:rsidR="00883552" w:rsidRPr="00B02985" w:rsidRDefault="00883552" w:rsidP="00883552">
            <w:pPr>
              <w:keepNext/>
              <w:rPr>
                <w:b/>
                <w:color w:val="17365D" w:themeColor="text2" w:themeShade="BF"/>
                <w:szCs w:val="20"/>
              </w:rPr>
            </w:pPr>
            <w:r w:rsidRPr="00B02985">
              <w:rPr>
                <w:color w:val="17365D" w:themeColor="text2" w:themeShade="BF"/>
                <w:szCs w:val="20"/>
              </w:rPr>
              <w:t xml:space="preserve">The ACCC’s view remains that the inclusion of a right of first refusal increased the Sydney Airport sale price at the expense of potential competition in the aviation sector. In particular, the ACCC believes that </w:t>
            </w:r>
            <w:r>
              <w:rPr>
                <w:color w:val="17365D" w:themeColor="text2" w:themeShade="BF"/>
                <w:szCs w:val="20"/>
              </w:rPr>
              <w:t xml:space="preserve">there </w:t>
            </w:r>
            <w:r w:rsidRPr="00B02985">
              <w:rPr>
                <w:color w:val="17365D" w:themeColor="text2" w:themeShade="BF"/>
                <w:szCs w:val="20"/>
              </w:rPr>
              <w:t xml:space="preserve">are strong financial motives for governments to structure their privatisation processes in a manner that maximises the sale price they receive. The Sydney Airport privatisation process is an example of Australian </w:t>
            </w:r>
            <w:r>
              <w:rPr>
                <w:color w:val="17365D" w:themeColor="text2" w:themeShade="BF"/>
                <w:szCs w:val="20"/>
              </w:rPr>
              <w:t>g</w:t>
            </w:r>
            <w:r w:rsidRPr="00B02985">
              <w:rPr>
                <w:color w:val="17365D" w:themeColor="text2" w:themeShade="BF"/>
                <w:szCs w:val="20"/>
              </w:rPr>
              <w:t xml:space="preserve">overnments focusing overly on </w:t>
            </w:r>
            <w:r>
              <w:rPr>
                <w:color w:val="17365D" w:themeColor="text2" w:themeShade="BF"/>
                <w:szCs w:val="20"/>
              </w:rPr>
              <w:t>short-term</w:t>
            </w:r>
            <w:r w:rsidRPr="00B02985">
              <w:rPr>
                <w:color w:val="17365D" w:themeColor="text2" w:themeShade="BF"/>
                <w:szCs w:val="20"/>
              </w:rPr>
              <w:t xml:space="preserve"> budgetary goals, without sufficient regard to longer term competition. The ACCC believes the immediate financial benefit comes at a potentially significant cost which would be an effective ‘tax’ on future generations. This can include higher prices to users and restricted access.</w:t>
            </w:r>
          </w:p>
          <w:p w:rsidR="00883552" w:rsidRPr="00B02985" w:rsidRDefault="00883552" w:rsidP="00883552">
            <w:pPr>
              <w:keepNext/>
              <w:rPr>
                <w:b/>
                <w:i/>
                <w:color w:val="17365D" w:themeColor="text2" w:themeShade="BF"/>
                <w:szCs w:val="20"/>
              </w:rPr>
            </w:pPr>
            <w:r w:rsidRPr="00B02985">
              <w:rPr>
                <w:i/>
                <w:color w:val="17365D" w:themeColor="text2" w:themeShade="BF"/>
                <w:szCs w:val="20"/>
              </w:rPr>
              <w:t>Timeline of Western Sydney Airport progress</w:t>
            </w:r>
          </w:p>
          <w:p w:rsidR="00883552" w:rsidRPr="00B02985" w:rsidRDefault="00883552" w:rsidP="00883552">
            <w:pPr>
              <w:keepNext/>
              <w:rPr>
                <w:b/>
                <w:color w:val="17365D" w:themeColor="text2" w:themeShade="BF"/>
                <w:szCs w:val="20"/>
              </w:rPr>
            </w:pPr>
            <w:r w:rsidRPr="00B02985">
              <w:rPr>
                <w:color w:val="17365D" w:themeColor="text2" w:themeShade="BF"/>
                <w:szCs w:val="20"/>
              </w:rPr>
              <w:t xml:space="preserve">Following the announcement of the new airport site, the Australian </w:t>
            </w:r>
            <w:r>
              <w:rPr>
                <w:color w:val="17365D" w:themeColor="text2" w:themeShade="BF"/>
                <w:szCs w:val="20"/>
              </w:rPr>
              <w:t>g</w:t>
            </w:r>
            <w:r w:rsidRPr="00B02985">
              <w:rPr>
                <w:color w:val="17365D" w:themeColor="text2" w:themeShade="BF"/>
                <w:szCs w:val="20"/>
              </w:rPr>
              <w:t xml:space="preserve">overnment began negotiations with the owners of Sydney Airport, as required under its right of first refusal. The formal consultation on developing an airport proposal officially began in October 2014, with the nine month consultation period concluding in July 2015. The next step in negotiations will be for the </w:t>
            </w:r>
            <w:r>
              <w:rPr>
                <w:color w:val="17365D" w:themeColor="text2" w:themeShade="BF"/>
                <w:szCs w:val="20"/>
              </w:rPr>
              <w:t>g</w:t>
            </w:r>
            <w:r w:rsidRPr="00B02985">
              <w:rPr>
                <w:color w:val="17365D" w:themeColor="text2" w:themeShade="BF"/>
                <w:szCs w:val="20"/>
              </w:rPr>
              <w:t xml:space="preserve">overnment to put a contractual offer to Sydney Airport. The </w:t>
            </w:r>
            <w:r>
              <w:rPr>
                <w:color w:val="17365D" w:themeColor="text2" w:themeShade="BF"/>
                <w:szCs w:val="20"/>
              </w:rPr>
              <w:t>g</w:t>
            </w:r>
            <w:r w:rsidRPr="00B02985">
              <w:rPr>
                <w:color w:val="17365D" w:themeColor="text2" w:themeShade="BF"/>
                <w:szCs w:val="20"/>
              </w:rPr>
              <w:t xml:space="preserve">overnment initially indicated </w:t>
            </w:r>
            <w:r w:rsidRPr="00B02985">
              <w:rPr>
                <w:color w:val="17365D" w:themeColor="text2" w:themeShade="BF"/>
                <w:szCs w:val="20"/>
              </w:rPr>
              <w:lastRenderedPageBreak/>
              <w:t xml:space="preserve">that this </w:t>
            </w:r>
            <w:r>
              <w:rPr>
                <w:color w:val="17365D" w:themeColor="text2" w:themeShade="BF"/>
                <w:szCs w:val="20"/>
              </w:rPr>
              <w:t xml:space="preserve">might have </w:t>
            </w:r>
            <w:r w:rsidRPr="00B02985">
              <w:rPr>
                <w:color w:val="17365D" w:themeColor="text2" w:themeShade="BF"/>
                <w:szCs w:val="20"/>
              </w:rPr>
              <w:t>occu</w:t>
            </w:r>
            <w:r>
              <w:rPr>
                <w:color w:val="17365D" w:themeColor="text2" w:themeShade="BF"/>
                <w:szCs w:val="20"/>
              </w:rPr>
              <w:t>r</w:t>
            </w:r>
            <w:r w:rsidRPr="00B02985">
              <w:rPr>
                <w:color w:val="17365D" w:themeColor="text2" w:themeShade="BF"/>
                <w:szCs w:val="20"/>
              </w:rPr>
              <w:t>r</w:t>
            </w:r>
            <w:r>
              <w:rPr>
                <w:color w:val="17365D" w:themeColor="text2" w:themeShade="BF"/>
                <w:szCs w:val="20"/>
              </w:rPr>
              <w:t>ed</w:t>
            </w:r>
            <w:r w:rsidRPr="00B02985">
              <w:rPr>
                <w:color w:val="17365D" w:themeColor="text2" w:themeShade="BF"/>
                <w:szCs w:val="20"/>
              </w:rPr>
              <w:t xml:space="preserve"> before the end of 2015, although this has not </w:t>
            </w:r>
            <w:r>
              <w:rPr>
                <w:color w:val="17365D" w:themeColor="text2" w:themeShade="BF"/>
                <w:szCs w:val="20"/>
              </w:rPr>
              <w:t xml:space="preserve">occurred </w:t>
            </w:r>
            <w:r w:rsidRPr="00B02985">
              <w:rPr>
                <w:color w:val="17365D" w:themeColor="text2" w:themeShade="BF"/>
                <w:szCs w:val="20"/>
              </w:rPr>
              <w:t>yet.</w:t>
            </w:r>
          </w:p>
          <w:p w:rsidR="00883552" w:rsidRPr="00B02985" w:rsidRDefault="00883552" w:rsidP="00883552">
            <w:pPr>
              <w:keepNext/>
              <w:rPr>
                <w:b/>
                <w:color w:val="17365D" w:themeColor="text2" w:themeShade="BF"/>
                <w:szCs w:val="20"/>
              </w:rPr>
            </w:pPr>
            <w:r w:rsidRPr="00B02985">
              <w:rPr>
                <w:color w:val="17365D" w:themeColor="text2" w:themeShade="BF"/>
                <w:szCs w:val="20"/>
              </w:rPr>
              <w:t xml:space="preserve">In August 2015, new regulations naming Badgery’s </w:t>
            </w:r>
            <w:r>
              <w:rPr>
                <w:color w:val="17365D" w:themeColor="text2" w:themeShade="BF"/>
                <w:szCs w:val="20"/>
              </w:rPr>
              <w:t>C</w:t>
            </w:r>
            <w:r w:rsidRPr="00B02985">
              <w:rPr>
                <w:color w:val="17365D" w:themeColor="text2" w:themeShade="BF"/>
                <w:szCs w:val="20"/>
              </w:rPr>
              <w:t>reek as the site for Western Sydney’s airport were proclaimed by the Minister for Infrastructure and Regional Development.</w:t>
            </w:r>
          </w:p>
          <w:p w:rsidR="00883552" w:rsidRPr="00B02985" w:rsidRDefault="00883552" w:rsidP="00883552">
            <w:pPr>
              <w:keepNext/>
              <w:rPr>
                <w:b/>
                <w:color w:val="17365D" w:themeColor="text2" w:themeShade="BF"/>
                <w:szCs w:val="20"/>
              </w:rPr>
            </w:pPr>
            <w:r w:rsidRPr="00B02985">
              <w:rPr>
                <w:color w:val="17365D" w:themeColor="text2" w:themeShade="BF"/>
                <w:szCs w:val="20"/>
              </w:rPr>
              <w:t xml:space="preserve">In addition to consultation with Sydney Airport, the </w:t>
            </w:r>
            <w:r>
              <w:rPr>
                <w:color w:val="17365D" w:themeColor="text2" w:themeShade="BF"/>
                <w:szCs w:val="20"/>
              </w:rPr>
              <w:t>G</w:t>
            </w:r>
            <w:r w:rsidRPr="00B02985">
              <w:rPr>
                <w:color w:val="17365D" w:themeColor="text2" w:themeShade="BF"/>
                <w:szCs w:val="20"/>
              </w:rPr>
              <w:t xml:space="preserve">overnment has also been </w:t>
            </w:r>
            <w:r>
              <w:rPr>
                <w:color w:val="17365D" w:themeColor="text2" w:themeShade="BF"/>
                <w:szCs w:val="20"/>
              </w:rPr>
              <w:t>publicly</w:t>
            </w:r>
            <w:r w:rsidRPr="00B02985">
              <w:rPr>
                <w:color w:val="17365D" w:themeColor="text2" w:themeShade="BF"/>
                <w:szCs w:val="20"/>
              </w:rPr>
              <w:t xml:space="preserve"> consult</w:t>
            </w:r>
            <w:r>
              <w:rPr>
                <w:color w:val="17365D" w:themeColor="text2" w:themeShade="BF"/>
                <w:szCs w:val="20"/>
              </w:rPr>
              <w:t>ing</w:t>
            </w:r>
            <w:r w:rsidRPr="00B02985">
              <w:rPr>
                <w:color w:val="17365D" w:themeColor="text2" w:themeShade="BF"/>
                <w:szCs w:val="20"/>
              </w:rPr>
              <w:t xml:space="preserve"> on aspects of the Western Sydney Airport. The Australian Government released a draft Airport Plan and Environment Impact Statement (EIS) for public consultation in October 2015. </w:t>
            </w:r>
            <w:r>
              <w:rPr>
                <w:color w:val="17365D" w:themeColor="text2" w:themeShade="BF"/>
                <w:szCs w:val="20"/>
              </w:rPr>
              <w:t>A</w:t>
            </w:r>
            <w:r w:rsidRPr="00B02985">
              <w:rPr>
                <w:color w:val="17365D" w:themeColor="text2" w:themeShade="BF"/>
                <w:szCs w:val="20"/>
              </w:rPr>
              <w:t xml:space="preserve"> final EIS will be provided to the Minister for Environment for consideration and decision during early 2016. </w:t>
            </w:r>
          </w:p>
          <w:p w:rsidR="00883552" w:rsidRDefault="00883552" w:rsidP="00883552">
            <w:pPr>
              <w:keepNext/>
              <w:rPr>
                <w:b/>
                <w:color w:val="17365D" w:themeColor="text2" w:themeShade="BF"/>
                <w:szCs w:val="20"/>
              </w:rPr>
            </w:pPr>
            <w:r w:rsidRPr="00B02985">
              <w:rPr>
                <w:color w:val="17365D" w:themeColor="text2" w:themeShade="BF"/>
                <w:szCs w:val="20"/>
              </w:rPr>
              <w:t>The Airport Plan sets out the Australian Government’s vision for the proposed Western Sydney Airport (including concept designs and specifications for Stage 1 of the airport). The EIS is a study of the environmental, social and economic impact the proposed Western Sydney Airport would have on the airport site and surrounding area. The study also includes details on indicative flight paths.</w:t>
            </w:r>
          </w:p>
          <w:p w:rsidR="00883552" w:rsidRPr="00B02985" w:rsidRDefault="00883552" w:rsidP="00883552">
            <w:pPr>
              <w:keepNext/>
              <w:rPr>
                <w:b/>
              </w:rPr>
            </w:pPr>
            <w:r w:rsidRPr="006A52B8">
              <w:rPr>
                <w:color w:val="17365D" w:themeColor="text2" w:themeShade="BF"/>
              </w:rPr>
              <w:t>The Western Sydney Airport will initially open with one 3.7 kilometre runway and is planned to handle domestic, international and freight aircraft. The airport has been planned to operate on a curfew-free basis. A second parallel runway is expected to be required around 2050. The terminal precinct will be located in the midfield area between the two runways.</w:t>
            </w:r>
            <w:r w:rsidRPr="006A52B8">
              <w:rPr>
                <w:rStyle w:val="FootnoteReference"/>
                <w:color w:val="17365D" w:themeColor="text2" w:themeShade="BF"/>
              </w:rPr>
              <w:footnoteReference w:id="7"/>
            </w:r>
          </w:p>
        </w:tc>
      </w:tr>
    </w:tbl>
    <w:p w:rsidR="00883552" w:rsidRDefault="00883552" w:rsidP="00114E05">
      <w:pPr>
        <w:pStyle w:val="Numberedheading2"/>
      </w:pPr>
      <w:r>
        <w:lastRenderedPageBreak/>
        <w:t>Quality of service results for monitored airports</w:t>
      </w:r>
    </w:p>
    <w:p w:rsidR="00883552" w:rsidRDefault="00883552" w:rsidP="00883552">
      <w:pPr>
        <w:keepNext/>
      </w:pPr>
      <w:r>
        <w:t>This section outlines each of the monitored airports’ quality of service results. The ACCC collects and assesses objective and subjective information on four major components of an airport’s operations: passenger</w:t>
      </w:r>
      <w:r>
        <w:noBreakHyphen/>
        <w:t>related services and facilities; aircraft</w:t>
      </w:r>
      <w:r>
        <w:noBreakHyphen/>
        <w:t>related services and facilities; landside infrastructure; and management responsiveness.</w:t>
      </w:r>
    </w:p>
    <w:p w:rsidR="00883552" w:rsidRDefault="00883552" w:rsidP="00883552">
      <w:pPr>
        <w:keepNext/>
      </w:pPr>
      <w:r>
        <w:t>A key source of data for the ACCC’s quality of service assessment is survey data from airport users, particularly passengers and airlines. The ACCC also collects survey data from landside operators (such as taxis, buses and off</w:t>
      </w:r>
      <w:r>
        <w:noBreakHyphen/>
        <w:t>airport parking operators), which was commenced in 2013</w:t>
      </w:r>
      <w:r>
        <w:noBreakHyphen/>
        <w:t>14. The ACCC considers survey information along with the objective indicators of quality of service collected from the airport operators. The ACCC assesses indicators of quality of service for passenger</w:t>
      </w:r>
      <w:r>
        <w:noBreakHyphen/>
        <w:t>related services and facilities for each airport’s common</w:t>
      </w:r>
      <w:r>
        <w:noBreakHyphen/>
        <w:t>user terminals, which excludes terminals operated under Domestic Terminal Leases.</w:t>
      </w:r>
      <w:r>
        <w:rPr>
          <w:rStyle w:val="FootnoteReference"/>
        </w:rPr>
        <w:footnoteReference w:id="8"/>
      </w:r>
    </w:p>
    <w:p w:rsidR="00883552" w:rsidRDefault="00883552" w:rsidP="00883552">
      <w:pPr>
        <w:keepNext/>
      </w:pPr>
      <w:r>
        <w:t>The ACCC aggregates the data from all sources of information on quality of service (excluding landside operator surveys) to provide an overall view of the quality of service provided by each airport operator.</w:t>
      </w:r>
      <w:r>
        <w:rPr>
          <w:rStyle w:val="FootnoteReference"/>
        </w:rPr>
        <w:footnoteReference w:id="9"/>
      </w:r>
    </w:p>
    <w:p w:rsidR="00883552" w:rsidRDefault="00883552" w:rsidP="00883552">
      <w:pPr>
        <w:pStyle w:val="Numberedheading3"/>
        <w:tabs>
          <w:tab w:val="clear" w:pos="1384"/>
          <w:tab w:val="num" w:pos="993"/>
        </w:tabs>
        <w:ind w:left="993" w:hanging="993"/>
      </w:pPr>
      <w:r>
        <w:t>Overall average rating of the airports’ quality of service</w:t>
      </w:r>
    </w:p>
    <w:p w:rsidR="00883552" w:rsidRDefault="00883552" w:rsidP="00883552">
      <w:pPr>
        <w:keepNext/>
      </w:pPr>
      <w:r>
        <w:t xml:space="preserve">The ACCC calculates an overall rating for quality of services for each monitored airport. These overall ratings are derived from airline and passenger surveys and also objective measures. </w:t>
      </w:r>
      <w:r w:rsidRPr="00767465">
        <w:lastRenderedPageBreak/>
        <w:t xml:space="preserve">Passenger and airline survey templates ask respondents to rate their level of satisfaction with services and facilities on a scale of 1 to 5. The ACCC aggregates the survey results and produces average ratings for each indicator, as well as overall average ratings. </w:t>
      </w:r>
      <w:r>
        <w:t xml:space="preserve"> </w:t>
      </w:r>
    </w:p>
    <w:p w:rsidR="00883552" w:rsidRDefault="00883552" w:rsidP="00883552">
      <w:pPr>
        <w:keepNext/>
      </w:pPr>
      <w:r>
        <w:t xml:space="preserve">Chart 1.3.1 presents the overall average quality of service ratings for the four monitored reports. Brisbane Airport’s overall rating remained unchanged at ‘good’ during 2014-15 and the airport remained as the highest rated monitored airport. Perth Airport also slightly improved its overall rating and it was the only other airport to be rated as ‘good’. </w:t>
      </w:r>
    </w:p>
    <w:p w:rsidR="00883552" w:rsidRDefault="00883552" w:rsidP="00883552">
      <w:pPr>
        <w:keepNext/>
      </w:pPr>
      <w:r>
        <w:t>Both Melbourne and Sydney airports’ average overall ratings were equally lowest rated of the monitored airports at ‘satisfactory’. While Melbourne Airport’s rating was unchanged, Sydney Airline had a slight decline during 2014-15. Over the period, average overall quality of service ratings for all monitored airports have not shown any significant improvements.</w:t>
      </w:r>
    </w:p>
    <w:p w:rsidR="00883552" w:rsidRPr="00FF70ED" w:rsidRDefault="00883552" w:rsidP="00883552">
      <w:pPr>
        <w:keepNext/>
        <w:spacing w:before="240" w:after="200" w:line="276" w:lineRule="auto"/>
        <w:ind w:left="1440" w:hanging="1440"/>
        <w:outlineLvl w:val="3"/>
        <w:rPr>
          <w:b/>
          <w:color w:val="51626F"/>
        </w:rPr>
      </w:pPr>
      <w:r w:rsidRPr="00FF70ED">
        <w:rPr>
          <w:b/>
          <w:color w:val="51626F"/>
        </w:rPr>
        <w:t>Chart 1.3.1:</w:t>
      </w:r>
      <w:r w:rsidRPr="00FF70ED">
        <w:rPr>
          <w:b/>
          <w:color w:val="51626F"/>
        </w:rPr>
        <w:tab/>
        <w:t>Overall average ratings of quality of service: 200</w:t>
      </w:r>
      <w:r>
        <w:rPr>
          <w:b/>
          <w:color w:val="51626F"/>
        </w:rPr>
        <w:t>4</w:t>
      </w:r>
      <w:r w:rsidRPr="00FF70ED">
        <w:rPr>
          <w:b/>
          <w:color w:val="51626F"/>
        </w:rPr>
        <w:noBreakHyphen/>
        <w:t>0</w:t>
      </w:r>
      <w:r>
        <w:rPr>
          <w:b/>
          <w:color w:val="51626F"/>
        </w:rPr>
        <w:t>5</w:t>
      </w:r>
      <w:r w:rsidRPr="00FF70ED">
        <w:rPr>
          <w:b/>
          <w:color w:val="51626F"/>
        </w:rPr>
        <w:t xml:space="preserve"> to 201</w:t>
      </w:r>
      <w:r>
        <w:rPr>
          <w:b/>
          <w:color w:val="51626F"/>
        </w:rPr>
        <w:t>4</w:t>
      </w:r>
      <w:r w:rsidRPr="00FF70ED">
        <w:rPr>
          <w:b/>
          <w:color w:val="51626F"/>
        </w:rPr>
        <w:noBreakHyphen/>
        <w:t>1</w:t>
      </w:r>
      <w:r>
        <w:rPr>
          <w:b/>
          <w:color w:val="51626F"/>
        </w:rPr>
        <w:t>5</w:t>
      </w:r>
    </w:p>
    <w:p w:rsidR="00883552" w:rsidRDefault="00883552" w:rsidP="00883552">
      <w:pPr>
        <w:keepNext/>
      </w:pPr>
      <w:r w:rsidRPr="00543DA7">
        <w:rPr>
          <w:noProof/>
          <w:lang w:eastAsia="en-AU"/>
        </w:rPr>
        <w:drawing>
          <wp:inline distT="0" distB="0" distL="0" distR="0" wp14:anchorId="48A978D0" wp14:editId="288CAF76">
            <wp:extent cx="5364480" cy="2904329"/>
            <wp:effectExtent l="0" t="0" r="762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4480" cy="2904329"/>
                    </a:xfrm>
                    <a:prstGeom prst="rect">
                      <a:avLst/>
                    </a:prstGeom>
                    <a:noFill/>
                    <a:ln>
                      <a:noFill/>
                    </a:ln>
                  </pic:spPr>
                </pic:pic>
              </a:graphicData>
            </a:graphic>
          </wp:inline>
        </w:drawing>
      </w:r>
    </w:p>
    <w:p w:rsidR="00883552" w:rsidRDefault="00883552" w:rsidP="00883552">
      <w:pPr>
        <w:keepNext/>
        <w:ind w:left="720" w:hanging="720"/>
        <w:rPr>
          <w:sz w:val="16"/>
          <w:szCs w:val="16"/>
        </w:rPr>
      </w:pPr>
      <w:r w:rsidRPr="006A52B8">
        <w:rPr>
          <w:sz w:val="16"/>
          <w:szCs w:val="16"/>
        </w:rPr>
        <w:t>Source:</w:t>
      </w:r>
      <w:r w:rsidRPr="006A52B8">
        <w:rPr>
          <w:sz w:val="16"/>
          <w:szCs w:val="16"/>
        </w:rPr>
        <w:tab/>
        <w:t>Airline surveys, passenger surveys, and objective indicators obtained from the monitored airports through the ACCC’s monitoring process</w:t>
      </w:r>
    </w:p>
    <w:p w:rsidR="00883552" w:rsidRPr="00E70F7D" w:rsidRDefault="00883552" w:rsidP="00883552">
      <w:pPr>
        <w:pStyle w:val="Numberedheading3"/>
        <w:tabs>
          <w:tab w:val="clear" w:pos="1384"/>
          <w:tab w:val="num" w:pos="993"/>
        </w:tabs>
        <w:ind w:left="993" w:hanging="993"/>
      </w:pPr>
      <w:r w:rsidRPr="00E70F7D">
        <w:t>Passengers’ ratings of the airports’ quality of service</w:t>
      </w:r>
    </w:p>
    <w:p w:rsidR="00883552" w:rsidRDefault="00883552" w:rsidP="00883552">
      <w:pPr>
        <w:keepNext/>
      </w:pPr>
      <w:r>
        <w:t>Passenger surveys are a key element of the ACCC’s quality of service monitoring program and provide a crucial perspective on the quality of various services offered by the monitored airports. Further, they are the only cohort that is able to provide feedback on the overall passenger experience.</w:t>
      </w:r>
    </w:p>
    <w:p w:rsidR="00883552" w:rsidRDefault="00883552" w:rsidP="00883552">
      <w:pPr>
        <w:keepNext/>
      </w:pPr>
      <w:r>
        <w:t>However, while passengers’ perceptions are critical, they may be affected by service providers other than the actual airport itself. These can include the airlines they use, ground handling services provided by third parties, airport security and border force personnel for example. While these third parties may bias some passenger responses, the ACCC considers that passengers’ perceptions provide an important outlook on quality of service at airports.</w:t>
      </w:r>
    </w:p>
    <w:p w:rsidR="00883552" w:rsidRDefault="00883552" w:rsidP="00883552">
      <w:pPr>
        <w:keepNext/>
      </w:pPr>
      <w:r>
        <w:t xml:space="preserve">Chart 1.3.2 presents the average ratings from passengers for each monitored airport from 2010-11 to 2014-15. </w:t>
      </w:r>
      <w:r w:rsidRPr="00A771C9">
        <w:t xml:space="preserve">All monitored airports were rated as ‘good’ by passengers during 2014-15. Brisbane Airport continued to be rated highest of the monitored airports and has since 2009-10. </w:t>
      </w:r>
      <w:r>
        <w:t>B</w:t>
      </w:r>
      <w:r w:rsidRPr="00A771C9">
        <w:t>oth Brisbane and Perth airports had slight improvements within the ‘good’ range while Melbourne Airport had a slight decline and Sydney Airport remained unchanged.</w:t>
      </w:r>
    </w:p>
    <w:p w:rsidR="00883552" w:rsidRPr="000077A0" w:rsidRDefault="00883552" w:rsidP="00883552">
      <w:pPr>
        <w:keepNext/>
        <w:spacing w:before="240" w:after="200" w:line="276" w:lineRule="auto"/>
        <w:ind w:left="1440" w:hanging="1440"/>
        <w:outlineLvl w:val="3"/>
        <w:rPr>
          <w:b/>
          <w:color w:val="51626F"/>
        </w:rPr>
      </w:pPr>
      <w:r w:rsidRPr="000077A0">
        <w:rPr>
          <w:b/>
          <w:color w:val="51626F"/>
        </w:rPr>
        <w:lastRenderedPageBreak/>
        <w:t>Chart 1.3.2:</w:t>
      </w:r>
      <w:r w:rsidRPr="000077A0">
        <w:rPr>
          <w:b/>
          <w:color w:val="51626F"/>
        </w:rPr>
        <w:tab/>
        <w:t>Average passenger ratings of quality of service: 20</w:t>
      </w:r>
      <w:r>
        <w:rPr>
          <w:b/>
          <w:color w:val="51626F"/>
        </w:rPr>
        <w:t>10</w:t>
      </w:r>
      <w:r w:rsidRPr="000077A0">
        <w:rPr>
          <w:b/>
          <w:color w:val="51626F"/>
        </w:rPr>
        <w:t>-1</w:t>
      </w:r>
      <w:r>
        <w:rPr>
          <w:b/>
          <w:color w:val="51626F"/>
        </w:rPr>
        <w:t>1</w:t>
      </w:r>
      <w:r w:rsidRPr="000077A0">
        <w:rPr>
          <w:b/>
          <w:color w:val="51626F"/>
        </w:rPr>
        <w:t xml:space="preserve"> to 201</w:t>
      </w:r>
      <w:r>
        <w:rPr>
          <w:b/>
          <w:color w:val="51626F"/>
        </w:rPr>
        <w:t>4</w:t>
      </w:r>
      <w:r w:rsidRPr="000077A0">
        <w:rPr>
          <w:b/>
          <w:color w:val="51626F"/>
        </w:rPr>
        <w:noBreakHyphen/>
        <w:t>1</w:t>
      </w:r>
      <w:r>
        <w:rPr>
          <w:b/>
          <w:color w:val="51626F"/>
        </w:rPr>
        <w:t>5</w:t>
      </w:r>
    </w:p>
    <w:p w:rsidR="00883552" w:rsidRDefault="00883552" w:rsidP="00883552">
      <w:pPr>
        <w:keepNext/>
      </w:pPr>
      <w:r w:rsidRPr="00543DA7">
        <w:rPr>
          <w:noProof/>
          <w:lang w:eastAsia="en-AU"/>
        </w:rPr>
        <w:drawing>
          <wp:inline distT="0" distB="0" distL="0" distR="0" wp14:anchorId="38340AEC" wp14:editId="3F93DD65">
            <wp:extent cx="5364480" cy="2907991"/>
            <wp:effectExtent l="0" t="0" r="762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4480" cy="2907991"/>
                    </a:xfrm>
                    <a:prstGeom prst="rect">
                      <a:avLst/>
                    </a:prstGeom>
                    <a:noFill/>
                    <a:ln>
                      <a:noFill/>
                    </a:ln>
                  </pic:spPr>
                </pic:pic>
              </a:graphicData>
            </a:graphic>
          </wp:inline>
        </w:drawing>
      </w:r>
    </w:p>
    <w:p w:rsidR="00883552" w:rsidRDefault="00883552" w:rsidP="00861426">
      <w:pPr>
        <w:pStyle w:val="Sourceandnotes"/>
      </w:pPr>
      <w:r>
        <w:t>Source:</w:t>
      </w:r>
      <w:r>
        <w:tab/>
        <w:t xml:space="preserve">Passenger surveys </w:t>
      </w:r>
    </w:p>
    <w:tbl>
      <w:tblPr>
        <w:tblStyle w:val="ACCCTable1"/>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shd w:val="clear" w:color="auto" w:fill="DEE9EE"/>
        <w:tblLook w:val="04A0" w:firstRow="1" w:lastRow="0" w:firstColumn="1" w:lastColumn="0" w:noHBand="0" w:noVBand="1"/>
      </w:tblPr>
      <w:tblGrid>
        <w:gridCol w:w="8664"/>
      </w:tblGrid>
      <w:tr w:rsidR="00883552" w:rsidRPr="00D83612" w:rsidTr="00883552">
        <w:tc>
          <w:tcPr>
            <w:tcW w:w="5000" w:type="pct"/>
            <w:shd w:val="clear" w:color="auto" w:fill="DEE9EE"/>
          </w:tcPr>
          <w:p w:rsidR="00883552" w:rsidRDefault="00883552" w:rsidP="00883552">
            <w:pPr>
              <w:keepNext/>
              <w:spacing w:before="60"/>
              <w:rPr>
                <w:b/>
                <w:i/>
                <w:color w:val="17365D" w:themeColor="text2" w:themeShade="BF"/>
                <w:sz w:val="24"/>
                <w:szCs w:val="24"/>
              </w:rPr>
            </w:pPr>
            <w:r>
              <w:rPr>
                <w:b/>
                <w:i/>
                <w:color w:val="17365D" w:themeColor="text2" w:themeShade="BF"/>
                <w:sz w:val="24"/>
                <w:szCs w:val="24"/>
              </w:rPr>
              <w:t>The impact of A</w:t>
            </w:r>
            <w:r w:rsidRPr="00987488">
              <w:rPr>
                <w:b/>
                <w:i/>
                <w:color w:val="17365D" w:themeColor="text2" w:themeShade="BF"/>
                <w:sz w:val="24"/>
                <w:szCs w:val="24"/>
              </w:rPr>
              <w:t xml:space="preserve">ustralian </w:t>
            </w:r>
            <w:r>
              <w:rPr>
                <w:b/>
                <w:i/>
                <w:color w:val="17365D" w:themeColor="text2" w:themeShade="BF"/>
                <w:sz w:val="24"/>
                <w:szCs w:val="24"/>
              </w:rPr>
              <w:t xml:space="preserve">Border Force </w:t>
            </w:r>
            <w:r w:rsidRPr="00987488">
              <w:rPr>
                <w:b/>
                <w:i/>
                <w:color w:val="17365D" w:themeColor="text2" w:themeShade="BF"/>
                <w:sz w:val="24"/>
                <w:szCs w:val="24"/>
              </w:rPr>
              <w:t xml:space="preserve">operations </w:t>
            </w:r>
            <w:r>
              <w:rPr>
                <w:b/>
                <w:i/>
                <w:color w:val="17365D" w:themeColor="text2" w:themeShade="BF"/>
                <w:sz w:val="24"/>
                <w:szCs w:val="24"/>
              </w:rPr>
              <w:t>on monitored airports</w:t>
            </w:r>
          </w:p>
          <w:p w:rsidR="00883552" w:rsidRPr="00987488" w:rsidRDefault="00883552" w:rsidP="00883552">
            <w:pPr>
              <w:keepNext/>
              <w:rPr>
                <w:color w:val="17365D" w:themeColor="text2" w:themeShade="BF"/>
              </w:rPr>
            </w:pPr>
            <w:r w:rsidRPr="00987488">
              <w:rPr>
                <w:color w:val="17365D" w:themeColor="text2" w:themeShade="BF"/>
              </w:rPr>
              <w:t xml:space="preserve">The efficient processing of passengers by </w:t>
            </w:r>
            <w:r>
              <w:rPr>
                <w:color w:val="17365D" w:themeColor="text2" w:themeShade="BF"/>
              </w:rPr>
              <w:t>government border agency</w:t>
            </w:r>
            <w:r w:rsidRPr="00987488">
              <w:rPr>
                <w:color w:val="17365D" w:themeColor="text2" w:themeShade="BF"/>
              </w:rPr>
              <w:t xml:space="preserve"> staff is a critical component of facilitating passenger movements</w:t>
            </w:r>
            <w:r>
              <w:rPr>
                <w:color w:val="17365D" w:themeColor="text2" w:themeShade="BF"/>
              </w:rPr>
              <w:t xml:space="preserve"> </w:t>
            </w:r>
            <w:r w:rsidRPr="00987488">
              <w:rPr>
                <w:color w:val="17365D" w:themeColor="text2" w:themeShade="BF"/>
              </w:rPr>
              <w:t>through an airport.</w:t>
            </w:r>
            <w:r>
              <w:rPr>
                <w:color w:val="17365D" w:themeColor="text2" w:themeShade="BF"/>
              </w:rPr>
              <w:t xml:space="preserve"> </w:t>
            </w:r>
            <w:r w:rsidRPr="00987488">
              <w:rPr>
                <w:color w:val="17365D" w:themeColor="text2" w:themeShade="BF"/>
              </w:rPr>
              <w:t xml:space="preserve">Over the past two years, monitored airports have raised </w:t>
            </w:r>
            <w:r>
              <w:rPr>
                <w:color w:val="17365D" w:themeColor="text2" w:themeShade="BF"/>
              </w:rPr>
              <w:t xml:space="preserve">concerns </w:t>
            </w:r>
            <w:r w:rsidRPr="00987488">
              <w:rPr>
                <w:color w:val="17365D" w:themeColor="text2" w:themeShade="BF"/>
              </w:rPr>
              <w:t>with the ACCC around the efficient facilitation of international passengers</w:t>
            </w:r>
            <w:r>
              <w:rPr>
                <w:color w:val="17365D" w:themeColor="text2" w:themeShade="BF"/>
              </w:rPr>
              <w:t xml:space="preserve"> through customs, immigration and quarantine processing points</w:t>
            </w:r>
            <w:r w:rsidRPr="00987488">
              <w:rPr>
                <w:color w:val="17365D" w:themeColor="text2" w:themeShade="BF"/>
              </w:rPr>
              <w:t xml:space="preserve">. Monitored airports have generally stated that </w:t>
            </w:r>
            <w:r>
              <w:rPr>
                <w:color w:val="17365D" w:themeColor="text2" w:themeShade="BF"/>
              </w:rPr>
              <w:t>b</w:t>
            </w:r>
            <w:r w:rsidRPr="00987488">
              <w:rPr>
                <w:color w:val="17365D" w:themeColor="text2" w:themeShade="BF"/>
              </w:rPr>
              <w:t>order agencies have not been resourc</w:t>
            </w:r>
            <w:r>
              <w:rPr>
                <w:color w:val="17365D" w:themeColor="text2" w:themeShade="BF"/>
              </w:rPr>
              <w:t xml:space="preserve">ed </w:t>
            </w:r>
            <w:r w:rsidRPr="00987488">
              <w:rPr>
                <w:color w:val="17365D" w:themeColor="text2" w:themeShade="BF"/>
              </w:rPr>
              <w:t xml:space="preserve">adequately to cover peak passenger periods and subsequently caused delays to both arriving and departing passengers and delays to some flights.     </w:t>
            </w:r>
          </w:p>
          <w:p w:rsidR="00883552" w:rsidRPr="00987488" w:rsidRDefault="00883552" w:rsidP="00883552">
            <w:pPr>
              <w:keepNext/>
              <w:rPr>
                <w:color w:val="17365D" w:themeColor="text2" w:themeShade="BF"/>
              </w:rPr>
            </w:pPr>
            <w:r>
              <w:rPr>
                <w:color w:val="17365D" w:themeColor="text2" w:themeShade="BF"/>
              </w:rPr>
              <w:t xml:space="preserve">The </w:t>
            </w:r>
            <w:r w:rsidRPr="00987488">
              <w:rPr>
                <w:color w:val="17365D" w:themeColor="text2" w:themeShade="BF"/>
              </w:rPr>
              <w:t>airports</w:t>
            </w:r>
            <w:r>
              <w:rPr>
                <w:color w:val="17365D" w:themeColor="text2" w:themeShade="BF"/>
              </w:rPr>
              <w:t xml:space="preserve"> have expressed concern that</w:t>
            </w:r>
            <w:r w:rsidRPr="00987488">
              <w:rPr>
                <w:color w:val="17365D" w:themeColor="text2" w:themeShade="BF"/>
              </w:rPr>
              <w:t xml:space="preserve"> passengers </w:t>
            </w:r>
            <w:r>
              <w:rPr>
                <w:color w:val="17365D" w:themeColor="text2" w:themeShade="BF"/>
              </w:rPr>
              <w:t xml:space="preserve">who are subject to processing </w:t>
            </w:r>
            <w:r w:rsidRPr="00987488">
              <w:rPr>
                <w:color w:val="17365D" w:themeColor="text2" w:themeShade="BF"/>
              </w:rPr>
              <w:t>delays</w:t>
            </w:r>
            <w:r>
              <w:rPr>
                <w:color w:val="17365D" w:themeColor="text2" w:themeShade="BF"/>
              </w:rPr>
              <w:t xml:space="preserve"> will develop a negative perception of service they received at</w:t>
            </w:r>
            <w:r w:rsidRPr="00987488">
              <w:rPr>
                <w:color w:val="17365D" w:themeColor="text2" w:themeShade="BF"/>
              </w:rPr>
              <w:t xml:space="preserve"> the airport and this </w:t>
            </w:r>
            <w:r>
              <w:rPr>
                <w:color w:val="17365D" w:themeColor="text2" w:themeShade="BF"/>
              </w:rPr>
              <w:t>dissatisfaction will be reflected in the</w:t>
            </w:r>
            <w:r w:rsidRPr="00987488">
              <w:rPr>
                <w:color w:val="17365D" w:themeColor="text2" w:themeShade="BF"/>
              </w:rPr>
              <w:t xml:space="preserve"> quality of service results</w:t>
            </w:r>
            <w:r>
              <w:rPr>
                <w:color w:val="17365D" w:themeColor="text2" w:themeShade="BF"/>
              </w:rPr>
              <w:t xml:space="preserve"> in the ACCC’s monitoring report</w:t>
            </w:r>
            <w:r w:rsidRPr="00987488">
              <w:rPr>
                <w:color w:val="17365D" w:themeColor="text2" w:themeShade="BF"/>
              </w:rPr>
              <w:t>.</w:t>
            </w:r>
          </w:p>
          <w:p w:rsidR="00883552" w:rsidRPr="00987488" w:rsidRDefault="00883552" w:rsidP="00883552">
            <w:pPr>
              <w:keepNext/>
              <w:rPr>
                <w:i/>
                <w:color w:val="17365D" w:themeColor="text2" w:themeShade="BF"/>
              </w:rPr>
            </w:pPr>
            <w:r w:rsidRPr="00987488">
              <w:rPr>
                <w:i/>
                <w:color w:val="17365D" w:themeColor="text2" w:themeShade="BF"/>
              </w:rPr>
              <w:t xml:space="preserve">Background to Australian Border Force operations at monitored airports </w:t>
            </w:r>
          </w:p>
          <w:p w:rsidR="00883552" w:rsidRPr="00AF0D95" w:rsidRDefault="00883552" w:rsidP="00883552">
            <w:pPr>
              <w:keepNext/>
              <w:rPr>
                <w:color w:val="17365D" w:themeColor="text2" w:themeShade="BF"/>
              </w:rPr>
            </w:pPr>
            <w:r w:rsidRPr="00987488">
              <w:rPr>
                <w:color w:val="17365D" w:themeColor="text2" w:themeShade="BF"/>
              </w:rPr>
              <w:t xml:space="preserve">Australian </w:t>
            </w:r>
            <w:r>
              <w:rPr>
                <w:color w:val="17365D" w:themeColor="text2" w:themeShade="BF"/>
              </w:rPr>
              <w:t>government b</w:t>
            </w:r>
            <w:r w:rsidRPr="00987488">
              <w:rPr>
                <w:color w:val="17365D" w:themeColor="text2" w:themeShade="BF"/>
              </w:rPr>
              <w:t>order operations at all monitored airports are a critical component of the processing and facilitation of international passengers. Immigration and customs</w:t>
            </w:r>
            <w:r>
              <w:rPr>
                <w:color w:val="17365D" w:themeColor="text2" w:themeShade="BF"/>
              </w:rPr>
              <w:t xml:space="preserve"> clearance activities have, until recently, been undertaken by officers from the (former) Department of Immigration and Border Protection, and the (former) Australian Customs </w:t>
            </w:r>
            <w:r w:rsidRPr="00987488">
              <w:rPr>
                <w:color w:val="17365D" w:themeColor="text2" w:themeShade="BF"/>
              </w:rPr>
              <w:t>and Border Protection</w:t>
            </w:r>
            <w:r>
              <w:rPr>
                <w:color w:val="17365D" w:themeColor="text2" w:themeShade="BF"/>
              </w:rPr>
              <w:t xml:space="preserve"> Service</w:t>
            </w:r>
            <w:r w:rsidRPr="00987488">
              <w:rPr>
                <w:color w:val="17365D" w:themeColor="text2" w:themeShade="BF"/>
              </w:rPr>
              <w:t>)</w:t>
            </w:r>
            <w:r>
              <w:rPr>
                <w:color w:val="17365D" w:themeColor="text2" w:themeShade="BF"/>
              </w:rPr>
              <w:t>, respectively. However, commencing on 1 July 2015, these activities have been managed by the Australian Border Force (ABF)</w:t>
            </w:r>
            <w:r>
              <w:rPr>
                <w:rStyle w:val="FootnoteReference"/>
                <w:color w:val="17365D" w:themeColor="text2" w:themeShade="BF"/>
              </w:rPr>
              <w:footnoteReference w:id="10"/>
            </w:r>
            <w:r>
              <w:rPr>
                <w:color w:val="17365D" w:themeColor="text2" w:themeShade="BF"/>
              </w:rPr>
              <w:t>. Q</w:t>
            </w:r>
            <w:r w:rsidRPr="00987488">
              <w:rPr>
                <w:color w:val="17365D" w:themeColor="text2" w:themeShade="BF"/>
              </w:rPr>
              <w:t>uarantine services are conducted by the Department of Agriculture</w:t>
            </w:r>
            <w:r>
              <w:rPr>
                <w:color w:val="17365D" w:themeColor="text2" w:themeShade="BF"/>
              </w:rPr>
              <w:t xml:space="preserve"> and Water Resources (DAWR)</w:t>
            </w:r>
            <w:r w:rsidRPr="00987488">
              <w:rPr>
                <w:color w:val="17365D" w:themeColor="text2" w:themeShade="BF"/>
              </w:rPr>
              <w:t>.</w:t>
            </w:r>
            <w:r>
              <w:rPr>
                <w:color w:val="17365D" w:themeColor="text2" w:themeShade="BF"/>
              </w:rPr>
              <w:t xml:space="preserve"> </w:t>
            </w:r>
            <w:r w:rsidRPr="00AF0D95">
              <w:rPr>
                <w:color w:val="17365D" w:themeColor="text2" w:themeShade="BF"/>
              </w:rPr>
              <w:t xml:space="preserve">Airport operators have statutory obligations to provide </w:t>
            </w:r>
            <w:r>
              <w:rPr>
                <w:color w:val="17365D" w:themeColor="text2" w:themeShade="BF"/>
              </w:rPr>
              <w:t>appropriate</w:t>
            </w:r>
            <w:r w:rsidRPr="00AF0D95">
              <w:rPr>
                <w:color w:val="17365D" w:themeColor="text2" w:themeShade="BF"/>
              </w:rPr>
              <w:t xml:space="preserve"> services and facilities to border agencies</w:t>
            </w:r>
            <w:r>
              <w:rPr>
                <w:color w:val="17365D" w:themeColor="text2" w:themeShade="BF"/>
              </w:rPr>
              <w:t xml:space="preserve"> to allow them to perform their regulatory functions</w:t>
            </w:r>
            <w:r w:rsidRPr="00AF0D95">
              <w:rPr>
                <w:color w:val="17365D" w:themeColor="text2" w:themeShade="BF"/>
              </w:rPr>
              <w:t xml:space="preserve">. These obligations mean that border agencies have recourse to their statutory rights to influence the level of services and facilities they receive at an airport. </w:t>
            </w:r>
          </w:p>
          <w:p w:rsidR="00883552" w:rsidRPr="00987488" w:rsidRDefault="00883552" w:rsidP="00883552">
            <w:pPr>
              <w:keepNext/>
              <w:rPr>
                <w:color w:val="17365D" w:themeColor="text2" w:themeShade="BF"/>
              </w:rPr>
            </w:pPr>
            <w:r>
              <w:rPr>
                <w:color w:val="17365D" w:themeColor="text2" w:themeShade="BF"/>
              </w:rPr>
              <w:t xml:space="preserve">The </w:t>
            </w:r>
            <w:r w:rsidRPr="00987488">
              <w:rPr>
                <w:color w:val="17365D" w:themeColor="text2" w:themeShade="BF"/>
              </w:rPr>
              <w:t>allocation</w:t>
            </w:r>
            <w:r>
              <w:rPr>
                <w:color w:val="17365D" w:themeColor="text2" w:themeShade="BF"/>
              </w:rPr>
              <w:t xml:space="preserve"> and deployment of staffing </w:t>
            </w:r>
            <w:r w:rsidRPr="00987488">
              <w:rPr>
                <w:color w:val="17365D" w:themeColor="text2" w:themeShade="BF"/>
              </w:rPr>
              <w:t xml:space="preserve">by </w:t>
            </w:r>
            <w:r>
              <w:rPr>
                <w:color w:val="17365D" w:themeColor="text2" w:themeShade="BF"/>
              </w:rPr>
              <w:t>b</w:t>
            </w:r>
            <w:r w:rsidRPr="00987488">
              <w:rPr>
                <w:color w:val="17365D" w:themeColor="text2" w:themeShade="BF"/>
              </w:rPr>
              <w:t xml:space="preserve">order agencies </w:t>
            </w:r>
            <w:r>
              <w:rPr>
                <w:color w:val="17365D" w:themeColor="text2" w:themeShade="BF"/>
              </w:rPr>
              <w:t xml:space="preserve">at international airports is driven by both the volumes of arriving and departing travellers, and the risk those travellers present to Australia’s border security. Airport operators support border agencies, through the provision of </w:t>
            </w:r>
            <w:r>
              <w:rPr>
                <w:color w:val="17365D" w:themeColor="text2" w:themeShade="BF"/>
              </w:rPr>
              <w:lastRenderedPageBreak/>
              <w:t>appropriate</w:t>
            </w:r>
            <w:r w:rsidRPr="00987488">
              <w:rPr>
                <w:color w:val="17365D" w:themeColor="text2" w:themeShade="BF"/>
              </w:rPr>
              <w:t xml:space="preserve"> infrastructure to </w:t>
            </w:r>
            <w:r>
              <w:rPr>
                <w:color w:val="17365D" w:themeColor="text2" w:themeShade="BF"/>
              </w:rPr>
              <w:t xml:space="preserve">undertake these activities.  </w:t>
            </w:r>
            <w:r w:rsidRPr="00987488">
              <w:rPr>
                <w:color w:val="17365D" w:themeColor="text2" w:themeShade="BF"/>
              </w:rPr>
              <w:t>Overall staffing and allocation</w:t>
            </w:r>
            <w:r>
              <w:rPr>
                <w:color w:val="17365D" w:themeColor="text2" w:themeShade="BF"/>
              </w:rPr>
              <w:t xml:space="preserve"> </w:t>
            </w:r>
            <w:r w:rsidRPr="00987488">
              <w:rPr>
                <w:color w:val="17365D" w:themeColor="text2" w:themeShade="BF"/>
              </w:rPr>
              <w:t xml:space="preserve">by </w:t>
            </w:r>
            <w:r>
              <w:rPr>
                <w:color w:val="17365D" w:themeColor="text2" w:themeShade="BF"/>
              </w:rPr>
              <w:t>b</w:t>
            </w:r>
            <w:r w:rsidRPr="00987488">
              <w:rPr>
                <w:color w:val="17365D" w:themeColor="text2" w:themeShade="BF"/>
              </w:rPr>
              <w:t xml:space="preserve">order agencies has traditionally been done in consultation with airport operators and has generally taken into account the infrastructure provided to carry out these services. However, a number of airports have commented in the past few years that this consultation had decreased and in some instances </w:t>
            </w:r>
            <w:r>
              <w:rPr>
                <w:color w:val="17365D" w:themeColor="text2" w:themeShade="BF"/>
              </w:rPr>
              <w:t>the ABF</w:t>
            </w:r>
            <w:r w:rsidRPr="00987488">
              <w:rPr>
                <w:color w:val="17365D" w:themeColor="text2" w:themeShade="BF"/>
              </w:rPr>
              <w:t xml:space="preserve"> had been making staffing decisions independently of the airport operators.</w:t>
            </w:r>
          </w:p>
          <w:p w:rsidR="00883552" w:rsidRPr="00987488" w:rsidRDefault="00883552" w:rsidP="00883552">
            <w:pPr>
              <w:keepNext/>
              <w:rPr>
                <w:color w:val="17365D" w:themeColor="text2" w:themeShade="BF"/>
              </w:rPr>
            </w:pPr>
            <w:r>
              <w:rPr>
                <w:color w:val="17365D" w:themeColor="text2" w:themeShade="BF"/>
              </w:rPr>
              <w:t>B</w:t>
            </w:r>
            <w:r w:rsidRPr="00987488">
              <w:rPr>
                <w:color w:val="17365D" w:themeColor="text2" w:themeShade="BF"/>
              </w:rPr>
              <w:t xml:space="preserve">order agencies </w:t>
            </w:r>
            <w:r>
              <w:rPr>
                <w:color w:val="17365D" w:themeColor="text2" w:themeShade="BF"/>
              </w:rPr>
              <w:t>were</w:t>
            </w:r>
            <w:r w:rsidRPr="00987488">
              <w:rPr>
                <w:color w:val="17365D" w:themeColor="text2" w:themeShade="BF"/>
              </w:rPr>
              <w:t xml:space="preserve"> impacted by staff reductions in the 2014</w:t>
            </w:r>
            <w:r>
              <w:rPr>
                <w:color w:val="17365D" w:themeColor="text2" w:themeShade="BF"/>
              </w:rPr>
              <w:noBreakHyphen/>
            </w:r>
            <w:r w:rsidRPr="00987488">
              <w:rPr>
                <w:color w:val="17365D" w:themeColor="text2" w:themeShade="BF"/>
              </w:rPr>
              <w:t xml:space="preserve">15 and 2015-16 Federal government budgets. At the same time, international passenger growth has been significant across the monitored airports with annualised growth of </w:t>
            </w:r>
            <w:r>
              <w:rPr>
                <w:color w:val="17365D" w:themeColor="text2" w:themeShade="BF"/>
              </w:rPr>
              <w:t>5.0</w:t>
            </w:r>
            <w:r w:rsidRPr="00987488">
              <w:rPr>
                <w:color w:val="17365D" w:themeColor="text2" w:themeShade="BF"/>
              </w:rPr>
              <w:t xml:space="preserve"> per cent since 20</w:t>
            </w:r>
            <w:r>
              <w:rPr>
                <w:color w:val="17365D" w:themeColor="text2" w:themeShade="BF"/>
              </w:rPr>
              <w:t>12-13. This has been occurring at a time when the risk level to Australia’s borders is considered high</w:t>
            </w:r>
            <w:r w:rsidRPr="00987488">
              <w:rPr>
                <w:color w:val="17365D" w:themeColor="text2" w:themeShade="BF"/>
              </w:rPr>
              <w:t xml:space="preserve">.  </w:t>
            </w:r>
          </w:p>
          <w:p w:rsidR="00883552" w:rsidRPr="00987488" w:rsidRDefault="00883552" w:rsidP="00883552">
            <w:pPr>
              <w:keepNext/>
              <w:rPr>
                <w:i/>
                <w:color w:val="17365D" w:themeColor="text2" w:themeShade="BF"/>
              </w:rPr>
            </w:pPr>
            <w:r w:rsidRPr="00987488">
              <w:rPr>
                <w:i/>
                <w:color w:val="17365D" w:themeColor="text2" w:themeShade="BF"/>
              </w:rPr>
              <w:t xml:space="preserve">Monitored airports’ concerns with </w:t>
            </w:r>
            <w:r>
              <w:rPr>
                <w:i/>
                <w:color w:val="17365D" w:themeColor="text2" w:themeShade="BF"/>
              </w:rPr>
              <w:t>b</w:t>
            </w:r>
            <w:r w:rsidRPr="00987488">
              <w:rPr>
                <w:i/>
                <w:color w:val="17365D" w:themeColor="text2" w:themeShade="BF"/>
              </w:rPr>
              <w:t>order agency operations</w:t>
            </w:r>
          </w:p>
          <w:p w:rsidR="00883552" w:rsidRDefault="00883552" w:rsidP="00883552">
            <w:pPr>
              <w:keepNext/>
              <w:rPr>
                <w:color w:val="17365D" w:themeColor="text2" w:themeShade="BF"/>
              </w:rPr>
            </w:pPr>
            <w:r w:rsidRPr="00987488">
              <w:rPr>
                <w:color w:val="17365D" w:themeColor="text2" w:themeShade="BF"/>
              </w:rPr>
              <w:t>The majority of issues raised by the monitored airports have been around what they consider to be appropriate resourcing by</w:t>
            </w:r>
            <w:r>
              <w:rPr>
                <w:color w:val="17365D" w:themeColor="text2" w:themeShade="BF"/>
              </w:rPr>
              <w:t xml:space="preserve"> the ABF</w:t>
            </w:r>
            <w:r w:rsidRPr="00987488">
              <w:rPr>
                <w:color w:val="17365D" w:themeColor="text2" w:themeShade="BF"/>
              </w:rPr>
              <w:t xml:space="preserve"> for processing passengers and the allocation of those staff. Airports have advised that this has led to excessive queuing and waiting times</w:t>
            </w:r>
            <w:r>
              <w:rPr>
                <w:color w:val="17365D" w:themeColor="text2" w:themeShade="BF"/>
              </w:rPr>
              <w:t>,</w:t>
            </w:r>
            <w:r w:rsidRPr="00987488">
              <w:rPr>
                <w:color w:val="17365D" w:themeColor="text2" w:themeShade="BF"/>
              </w:rPr>
              <w:t xml:space="preserve"> </w:t>
            </w:r>
            <w:r>
              <w:rPr>
                <w:color w:val="17365D" w:themeColor="text2" w:themeShade="BF"/>
              </w:rPr>
              <w:t xml:space="preserve">particularly </w:t>
            </w:r>
            <w:r w:rsidRPr="00987488">
              <w:rPr>
                <w:color w:val="17365D" w:themeColor="text2" w:themeShade="BF"/>
              </w:rPr>
              <w:t>for arriving passengers.</w:t>
            </w:r>
            <w:r>
              <w:rPr>
                <w:color w:val="17365D" w:themeColor="text2" w:themeShade="BF"/>
              </w:rPr>
              <w:t xml:space="preserve"> Some noted further delays at arrival secondary examination points.</w:t>
            </w:r>
            <w:r w:rsidRPr="00987488">
              <w:rPr>
                <w:color w:val="17365D" w:themeColor="text2" w:themeShade="BF"/>
              </w:rPr>
              <w:t xml:space="preserve"> </w:t>
            </w:r>
            <w:r>
              <w:rPr>
                <w:color w:val="17365D" w:themeColor="text2" w:themeShade="BF"/>
              </w:rPr>
              <w:t>As noted, t</w:t>
            </w:r>
            <w:r w:rsidRPr="00987488">
              <w:rPr>
                <w:color w:val="17365D" w:themeColor="text2" w:themeShade="BF"/>
              </w:rPr>
              <w:t>he monitored airports</w:t>
            </w:r>
            <w:r>
              <w:rPr>
                <w:color w:val="17365D" w:themeColor="text2" w:themeShade="BF"/>
              </w:rPr>
              <w:t>’</w:t>
            </w:r>
            <w:r w:rsidRPr="00987488">
              <w:rPr>
                <w:color w:val="17365D" w:themeColor="text2" w:themeShade="BF"/>
              </w:rPr>
              <w:t xml:space="preserve"> main concern is th</w:t>
            </w:r>
            <w:r>
              <w:rPr>
                <w:color w:val="17365D" w:themeColor="text2" w:themeShade="BF"/>
              </w:rPr>
              <w:t>e</w:t>
            </w:r>
            <w:r w:rsidRPr="00987488">
              <w:rPr>
                <w:color w:val="17365D" w:themeColor="text2" w:themeShade="BF"/>
              </w:rPr>
              <w:t xml:space="preserve"> impact on the overall passenger experience </w:t>
            </w:r>
            <w:r>
              <w:rPr>
                <w:color w:val="17365D" w:themeColor="text2" w:themeShade="BF"/>
              </w:rPr>
              <w:t>which</w:t>
            </w:r>
            <w:r w:rsidRPr="00987488">
              <w:rPr>
                <w:color w:val="17365D" w:themeColor="text2" w:themeShade="BF"/>
              </w:rPr>
              <w:t xml:space="preserve"> may bias overall quality of service results. </w:t>
            </w:r>
          </w:p>
          <w:p w:rsidR="00883552" w:rsidRDefault="00883552" w:rsidP="00883552">
            <w:pPr>
              <w:keepNext/>
              <w:rPr>
                <w:color w:val="17365D" w:themeColor="text2" w:themeShade="BF"/>
              </w:rPr>
            </w:pPr>
            <w:r w:rsidRPr="00987488">
              <w:rPr>
                <w:color w:val="17365D" w:themeColor="text2" w:themeShade="BF"/>
              </w:rPr>
              <w:t xml:space="preserve">Specific issues raised </w:t>
            </w:r>
            <w:r>
              <w:rPr>
                <w:color w:val="17365D" w:themeColor="text2" w:themeShade="BF"/>
              </w:rPr>
              <w:t xml:space="preserve">by the monitored airports included new </w:t>
            </w:r>
            <w:r w:rsidRPr="00987488">
              <w:rPr>
                <w:color w:val="17365D" w:themeColor="text2" w:themeShade="BF"/>
              </w:rPr>
              <w:t xml:space="preserve">desk processing facilities built by the airport to facilitate faster processing of passengers had not been utilised by </w:t>
            </w:r>
            <w:r>
              <w:rPr>
                <w:color w:val="17365D" w:themeColor="text2" w:themeShade="BF"/>
              </w:rPr>
              <w:t>the ABF</w:t>
            </w:r>
            <w:r w:rsidRPr="00987488">
              <w:rPr>
                <w:color w:val="17365D" w:themeColor="text2" w:themeShade="BF"/>
              </w:rPr>
              <w:t xml:space="preserve">. The same airport also noted that only about half of these processing desks have </w:t>
            </w:r>
            <w:r>
              <w:rPr>
                <w:color w:val="17365D" w:themeColor="text2" w:themeShade="BF"/>
              </w:rPr>
              <w:t>ABF</w:t>
            </w:r>
            <w:r w:rsidRPr="00987488">
              <w:rPr>
                <w:color w:val="17365D" w:themeColor="text2" w:themeShade="BF"/>
              </w:rPr>
              <w:t xml:space="preserve"> staff allocated for the processing of departing passengers. One monitored airport noted that waiting times in the non</w:t>
            </w:r>
            <w:r>
              <w:rPr>
                <w:color w:val="17365D" w:themeColor="text2" w:themeShade="BF"/>
              </w:rPr>
              <w:noBreakHyphen/>
            </w:r>
            <w:r w:rsidRPr="00987488">
              <w:rPr>
                <w:color w:val="17365D" w:themeColor="text2" w:themeShade="BF"/>
              </w:rPr>
              <w:t>SmartGate queues averaged one hour during morning peak periods.</w:t>
            </w:r>
            <w:r>
              <w:rPr>
                <w:color w:val="17365D" w:themeColor="text2" w:themeShade="BF"/>
              </w:rPr>
              <w:t xml:space="preserve"> </w:t>
            </w:r>
            <w:r w:rsidRPr="00987488">
              <w:rPr>
                <w:color w:val="17365D" w:themeColor="text2" w:themeShade="BF"/>
              </w:rPr>
              <w:t xml:space="preserve">The airport believed these delays provided a poor first impression for international passengers and often resulted in passengers </w:t>
            </w:r>
            <w:r>
              <w:rPr>
                <w:color w:val="17365D" w:themeColor="text2" w:themeShade="BF"/>
              </w:rPr>
              <w:t xml:space="preserve">missing their </w:t>
            </w:r>
            <w:r w:rsidRPr="00987488">
              <w:rPr>
                <w:color w:val="17365D" w:themeColor="text2" w:themeShade="BF"/>
              </w:rPr>
              <w:t xml:space="preserve">connecting domestic flights. </w:t>
            </w:r>
            <w:r>
              <w:rPr>
                <w:color w:val="17365D" w:themeColor="text2" w:themeShade="BF"/>
              </w:rPr>
              <w:t xml:space="preserve"> </w:t>
            </w:r>
            <w:r w:rsidRPr="00987488">
              <w:rPr>
                <w:color w:val="17365D" w:themeColor="text2" w:themeShade="BF"/>
              </w:rPr>
              <w:t xml:space="preserve"> </w:t>
            </w:r>
          </w:p>
          <w:p w:rsidR="00883552" w:rsidRPr="00987488" w:rsidRDefault="00883552" w:rsidP="00883552">
            <w:pPr>
              <w:keepNext/>
              <w:rPr>
                <w:color w:val="17365D" w:themeColor="text2" w:themeShade="BF"/>
              </w:rPr>
            </w:pPr>
            <w:r>
              <w:rPr>
                <w:color w:val="17365D" w:themeColor="text2" w:themeShade="BF"/>
              </w:rPr>
              <w:t>Other comments related to the introduction of automated SmartGates.</w:t>
            </w:r>
            <w:r>
              <w:rPr>
                <w:rStyle w:val="FootnoteReference"/>
                <w:color w:val="17365D" w:themeColor="text2" w:themeShade="BF"/>
              </w:rPr>
              <w:footnoteReference w:id="11"/>
            </w:r>
            <w:r>
              <w:rPr>
                <w:color w:val="17365D" w:themeColor="text2" w:themeShade="BF"/>
              </w:rPr>
              <w:t xml:space="preserve"> One monitored airport </w:t>
            </w:r>
            <w:r w:rsidRPr="00987488">
              <w:rPr>
                <w:color w:val="17365D" w:themeColor="text2" w:themeShade="BF"/>
              </w:rPr>
              <w:t xml:space="preserve">noted that new installed </w:t>
            </w:r>
            <w:r>
              <w:rPr>
                <w:color w:val="17365D" w:themeColor="text2" w:themeShade="BF"/>
              </w:rPr>
              <w:t>S</w:t>
            </w:r>
            <w:r w:rsidRPr="00987488">
              <w:rPr>
                <w:color w:val="17365D" w:themeColor="text2" w:themeShade="BF"/>
              </w:rPr>
              <w:t xml:space="preserve">martGates have not been used due to a lack of </w:t>
            </w:r>
            <w:r>
              <w:rPr>
                <w:color w:val="17365D" w:themeColor="text2" w:themeShade="BF"/>
              </w:rPr>
              <w:t>ABF</w:t>
            </w:r>
            <w:r w:rsidRPr="00987488">
              <w:rPr>
                <w:color w:val="17365D" w:themeColor="text2" w:themeShade="BF"/>
              </w:rPr>
              <w:t xml:space="preserve"> staff and had resulted in significant queuing and delays.</w:t>
            </w:r>
            <w:r>
              <w:rPr>
                <w:color w:val="17365D" w:themeColor="text2" w:themeShade="BF"/>
              </w:rPr>
              <w:t xml:space="preserve"> </w:t>
            </w:r>
            <w:r w:rsidRPr="00987488">
              <w:rPr>
                <w:color w:val="17365D" w:themeColor="text2" w:themeShade="BF"/>
              </w:rPr>
              <w:t xml:space="preserve">One monitored airport noted that failures </w:t>
            </w:r>
            <w:r>
              <w:rPr>
                <w:color w:val="17365D" w:themeColor="text2" w:themeShade="BF"/>
              </w:rPr>
              <w:t xml:space="preserve">by the system </w:t>
            </w:r>
            <w:r w:rsidRPr="00987488">
              <w:rPr>
                <w:color w:val="17365D" w:themeColor="text2" w:themeShade="BF"/>
              </w:rPr>
              <w:t xml:space="preserve">that supported the SmartGates were a further reason for passenger delays. </w:t>
            </w:r>
          </w:p>
          <w:p w:rsidR="00883552" w:rsidRDefault="00883552" w:rsidP="00883552">
            <w:pPr>
              <w:keepNext/>
              <w:rPr>
                <w:i/>
                <w:color w:val="17365D" w:themeColor="text2" w:themeShade="BF"/>
              </w:rPr>
            </w:pPr>
            <w:r>
              <w:rPr>
                <w:i/>
                <w:color w:val="17365D" w:themeColor="text2" w:themeShade="BF"/>
              </w:rPr>
              <w:t xml:space="preserve">Australian Border Force perspective </w:t>
            </w:r>
          </w:p>
          <w:p w:rsidR="00883552" w:rsidRDefault="00883552" w:rsidP="00883552">
            <w:pPr>
              <w:keepNext/>
              <w:rPr>
                <w:color w:val="17365D" w:themeColor="text2" w:themeShade="BF"/>
              </w:rPr>
            </w:pPr>
            <w:r>
              <w:rPr>
                <w:color w:val="17365D" w:themeColor="text2" w:themeShade="BF"/>
              </w:rPr>
              <w:t xml:space="preserve">The ABF acknowledged to the ACCC that it had experienced staffing reductions in the past and the consultation and engagement at some airports had not been at levels that they would have preferred. </w:t>
            </w:r>
          </w:p>
          <w:p w:rsidR="00883552" w:rsidRPr="00AF0D95" w:rsidRDefault="00883552" w:rsidP="00883552">
            <w:pPr>
              <w:keepNext/>
              <w:rPr>
                <w:color w:val="17365D" w:themeColor="text2" w:themeShade="BF"/>
              </w:rPr>
            </w:pPr>
            <w:r>
              <w:rPr>
                <w:color w:val="17365D" w:themeColor="text2" w:themeShade="BF"/>
              </w:rPr>
              <w:t xml:space="preserve">However, according to the ABF the efficient processing of passengers is the shared responsibility of border agencies and industry partners, particularly airport operators and airlines. The ABF also emphasised that congestion at aviation security screening points, flight congestion (including flights arriving outside of scheduled times), and increasing traveller volumes arriving/departing on larger aircraft (such as A380s) are all having an impact on border control operations. The placement of duty free shops, airport design constraints, appropriate way-finding signage and overall airport staffing can also affect the efficient processing of passengers. The ABF noted a number of challenges with the current policing regime at border control, and that national security threats had resulted in an increased focus on departing passengers. The initial introduction of SmartGates had also involved a transitional period with passenger education, system issues and border agency personnel training. </w:t>
            </w:r>
          </w:p>
          <w:p w:rsidR="00883552" w:rsidRPr="00987488" w:rsidRDefault="00883552" w:rsidP="00883552">
            <w:pPr>
              <w:keepNext/>
              <w:rPr>
                <w:i/>
                <w:color w:val="17365D" w:themeColor="text2" w:themeShade="BF"/>
              </w:rPr>
            </w:pPr>
            <w:r>
              <w:rPr>
                <w:i/>
                <w:color w:val="17365D" w:themeColor="text2" w:themeShade="BF"/>
              </w:rPr>
              <w:t>Recent improvements driven by the ABF, SmartGate rollout and greater collaboration with airports</w:t>
            </w:r>
          </w:p>
          <w:p w:rsidR="00883552" w:rsidRDefault="00883552" w:rsidP="00883552">
            <w:pPr>
              <w:keepNext/>
              <w:rPr>
                <w:color w:val="17365D" w:themeColor="text2" w:themeShade="BF"/>
              </w:rPr>
            </w:pPr>
            <w:r w:rsidRPr="00987488">
              <w:rPr>
                <w:color w:val="17365D" w:themeColor="text2" w:themeShade="BF"/>
              </w:rPr>
              <w:lastRenderedPageBreak/>
              <w:t xml:space="preserve">It does appear that changes in approaches to staffing by Border Protection and </w:t>
            </w:r>
            <w:r>
              <w:rPr>
                <w:color w:val="17365D" w:themeColor="text2" w:themeShade="BF"/>
              </w:rPr>
              <w:t xml:space="preserve">teething problems with </w:t>
            </w:r>
            <w:r w:rsidRPr="00987488">
              <w:rPr>
                <w:color w:val="17365D" w:themeColor="text2" w:themeShade="BF"/>
              </w:rPr>
              <w:t>the introduction of automated SmartGates had impacted on the efficient processing of international passengers and caused delays at monitored airports over the past two years. However, three of the monitored airports have commented on recent improvements</w:t>
            </w:r>
            <w:r>
              <w:rPr>
                <w:color w:val="17365D" w:themeColor="text2" w:themeShade="BF"/>
              </w:rPr>
              <w:t xml:space="preserve"> including increased staffing and engagement by the ABF with airport operators</w:t>
            </w:r>
            <w:r w:rsidRPr="00987488">
              <w:rPr>
                <w:color w:val="17365D" w:themeColor="text2" w:themeShade="BF"/>
              </w:rPr>
              <w:t xml:space="preserve">. </w:t>
            </w:r>
          </w:p>
          <w:p w:rsidR="00883552" w:rsidRDefault="00883552" w:rsidP="00883552">
            <w:pPr>
              <w:keepNext/>
              <w:rPr>
                <w:color w:val="17365D" w:themeColor="text2" w:themeShade="BF"/>
              </w:rPr>
            </w:pPr>
            <w:r w:rsidRPr="00987488">
              <w:rPr>
                <w:color w:val="17365D" w:themeColor="text2" w:themeShade="BF"/>
              </w:rPr>
              <w:t>The rollout of more SmartGate</w:t>
            </w:r>
            <w:r>
              <w:rPr>
                <w:color w:val="17365D" w:themeColor="text2" w:themeShade="BF"/>
              </w:rPr>
              <w:t>s</w:t>
            </w:r>
            <w:r w:rsidRPr="00987488">
              <w:rPr>
                <w:color w:val="17365D" w:themeColor="text2" w:themeShade="BF"/>
              </w:rPr>
              <w:t xml:space="preserve">, particularly for departing passengers, has at some airports, significantly improved the processing of passengers and allowed for the redeployment of </w:t>
            </w:r>
            <w:r>
              <w:rPr>
                <w:color w:val="17365D" w:themeColor="text2" w:themeShade="BF"/>
              </w:rPr>
              <w:t xml:space="preserve">ABF </w:t>
            </w:r>
            <w:r w:rsidRPr="00987488">
              <w:rPr>
                <w:color w:val="17365D" w:themeColor="text2" w:themeShade="BF"/>
              </w:rPr>
              <w:t>staff to other critical areas.</w:t>
            </w:r>
            <w:r>
              <w:rPr>
                <w:rStyle w:val="FootnoteReference"/>
                <w:color w:val="17365D" w:themeColor="text2" w:themeShade="BF"/>
              </w:rPr>
              <w:footnoteReference w:id="12"/>
            </w:r>
            <w:r>
              <w:rPr>
                <w:color w:val="17365D" w:themeColor="text2" w:themeShade="BF"/>
              </w:rPr>
              <w:t xml:space="preserve"> The efficiency of SmartGates will also increase as passengers become more familiar with the technology. Other efficiencies will occur as more countries are permitted to allow their citizens to use the technology. </w:t>
            </w:r>
            <w:r w:rsidRPr="00987488">
              <w:rPr>
                <w:color w:val="17365D" w:themeColor="text2" w:themeShade="BF"/>
              </w:rPr>
              <w:t>SmartGates are expected to have a processing rate that is 40 to 50 per cent quicker than the traditional desk approach.</w:t>
            </w:r>
            <w:r>
              <w:rPr>
                <w:color w:val="17365D" w:themeColor="text2" w:themeShade="BF"/>
              </w:rPr>
              <w:t xml:space="preserve"> The increased ABF staff numbers at monitored airports will also allow for increased passenger processing rates. </w:t>
            </w:r>
          </w:p>
          <w:p w:rsidR="00883552" w:rsidRDefault="00883552" w:rsidP="00883552">
            <w:pPr>
              <w:keepNext/>
              <w:rPr>
                <w:color w:val="17365D" w:themeColor="text2" w:themeShade="BF"/>
              </w:rPr>
            </w:pPr>
            <w:r>
              <w:rPr>
                <w:color w:val="17365D" w:themeColor="text2" w:themeShade="BF"/>
              </w:rPr>
              <w:t xml:space="preserve">The ACCC notes that commercial considerations by airport operators including the previous noted placement of duty free shops (so as to maximise sales rather than the efficient transfer of passengers from aircraft to border agencies) can affect passenger flows. Further to this, appropriate staff resourcing and signage by airport operators are also critical components of the efficient processing of international passengers. </w:t>
            </w:r>
            <w:r w:rsidRPr="00930AD9">
              <w:rPr>
                <w:color w:val="17365D" w:themeColor="text2" w:themeShade="BF"/>
              </w:rPr>
              <w:t xml:space="preserve">The ACCC considers that ongoing close coordination by all parties involved in the processing of passengers is vital in ensuring optimal outcomes for passengers.    </w:t>
            </w:r>
          </w:p>
          <w:p w:rsidR="00883552" w:rsidRDefault="00883552" w:rsidP="00883552">
            <w:pPr>
              <w:keepNext/>
              <w:rPr>
                <w:color w:val="17365D" w:themeColor="text2" w:themeShade="BF"/>
              </w:rPr>
            </w:pPr>
            <w:r>
              <w:rPr>
                <w:color w:val="17365D" w:themeColor="text2" w:themeShade="BF"/>
              </w:rPr>
              <w:t xml:space="preserve">In an environment of national security threats combined with increased passenger numbers, heavier peak periods and constraints on the physical environment of airports, there will continue to be challenges for the efficient processing of international passengers. </w:t>
            </w:r>
          </w:p>
          <w:p w:rsidR="00883552" w:rsidRPr="006F25FA" w:rsidRDefault="00883552" w:rsidP="00883552">
            <w:pPr>
              <w:keepNext/>
              <w:rPr>
                <w:i/>
                <w:color w:val="17365D" w:themeColor="text2" w:themeShade="BF"/>
              </w:rPr>
            </w:pPr>
            <w:r>
              <w:rPr>
                <w:i/>
                <w:color w:val="17365D" w:themeColor="text2" w:themeShade="BF"/>
              </w:rPr>
              <w:t>Whether delays at Australian Border Force operations have biased ratings for the airports</w:t>
            </w:r>
          </w:p>
          <w:p w:rsidR="00883552" w:rsidRPr="00D83612" w:rsidRDefault="00883552" w:rsidP="00883552">
            <w:pPr>
              <w:keepNext/>
              <w:rPr>
                <w:rFonts w:eastAsia="Calibri" w:cs="Times New Roman"/>
              </w:rPr>
            </w:pPr>
            <w:r>
              <w:rPr>
                <w:color w:val="17365D" w:themeColor="text2" w:themeShade="BF"/>
              </w:rPr>
              <w:t xml:space="preserve">Whether wider average quality of service outcomes have been affected by the issues outlined by the monitored airports is unknown. </w:t>
            </w:r>
            <w:r w:rsidRPr="00AF0D95">
              <w:rPr>
                <w:color w:val="17365D" w:themeColor="text2" w:themeShade="BF"/>
              </w:rPr>
              <w:t xml:space="preserve">The ACCC </w:t>
            </w:r>
            <w:r>
              <w:rPr>
                <w:color w:val="17365D" w:themeColor="text2" w:themeShade="BF"/>
              </w:rPr>
              <w:t xml:space="preserve">does </w:t>
            </w:r>
            <w:r w:rsidRPr="00AF0D95">
              <w:rPr>
                <w:color w:val="17365D" w:themeColor="text2" w:themeShade="BF"/>
              </w:rPr>
              <w:t xml:space="preserve">collect data on passengers’ perceptions of waiting times </w:t>
            </w:r>
            <w:r>
              <w:rPr>
                <w:color w:val="17365D" w:themeColor="text2" w:themeShade="BF"/>
              </w:rPr>
              <w:t xml:space="preserve">for </w:t>
            </w:r>
            <w:r w:rsidRPr="00AF0D95">
              <w:rPr>
                <w:color w:val="17365D" w:themeColor="text2" w:themeShade="BF"/>
              </w:rPr>
              <w:t>in</w:t>
            </w:r>
            <w:r>
              <w:rPr>
                <w:color w:val="17365D" w:themeColor="text2" w:themeShade="BF"/>
              </w:rPr>
              <w:t xml:space="preserve"> and out</w:t>
            </w:r>
            <w:r w:rsidRPr="00AF0D95">
              <w:rPr>
                <w:color w:val="17365D" w:themeColor="text2" w:themeShade="BF"/>
              </w:rPr>
              <w:t xml:space="preserve">bound immigration and baggage inspection. </w:t>
            </w:r>
            <w:r>
              <w:rPr>
                <w:color w:val="17365D" w:themeColor="text2" w:themeShade="BF"/>
              </w:rPr>
              <w:t>While this data is not used to determine quality of service ratings for the airports, it is possible that a negative experience during immigration could increase the likelihood that a passenger would report dissatisfaction with the broader airport facilities. In any event, o</w:t>
            </w:r>
            <w:r w:rsidRPr="00AF0D95">
              <w:rPr>
                <w:color w:val="17365D" w:themeColor="text2" w:themeShade="BF"/>
              </w:rPr>
              <w:t>ve</w:t>
            </w:r>
            <w:r>
              <w:rPr>
                <w:color w:val="17365D" w:themeColor="text2" w:themeShade="BF"/>
              </w:rPr>
              <w:t>r</w:t>
            </w:r>
            <w:r w:rsidRPr="00AF0D95">
              <w:rPr>
                <w:color w:val="17365D" w:themeColor="text2" w:themeShade="BF"/>
              </w:rPr>
              <w:t xml:space="preserve"> the past </w:t>
            </w:r>
            <w:r>
              <w:rPr>
                <w:color w:val="17365D" w:themeColor="text2" w:themeShade="BF"/>
              </w:rPr>
              <w:t>three</w:t>
            </w:r>
            <w:r w:rsidRPr="00AF0D95">
              <w:rPr>
                <w:color w:val="17365D" w:themeColor="text2" w:themeShade="BF"/>
              </w:rPr>
              <w:t xml:space="preserve"> years, the responses have been relatively stable with no noticeable declines over any period. Passengers have consistently rated these services as </w:t>
            </w:r>
            <w:r>
              <w:rPr>
                <w:color w:val="17365D" w:themeColor="text2" w:themeShade="BF"/>
              </w:rPr>
              <w:t>‘</w:t>
            </w:r>
            <w:r w:rsidRPr="00AF0D95">
              <w:rPr>
                <w:color w:val="17365D" w:themeColor="text2" w:themeShade="BF"/>
              </w:rPr>
              <w:t>good</w:t>
            </w:r>
            <w:r>
              <w:rPr>
                <w:color w:val="17365D" w:themeColor="text2" w:themeShade="BF"/>
              </w:rPr>
              <w:t>’</w:t>
            </w:r>
            <w:r w:rsidRPr="00AF0D95">
              <w:rPr>
                <w:color w:val="17365D" w:themeColor="text2" w:themeShade="BF"/>
              </w:rPr>
              <w:t xml:space="preserve"> or </w:t>
            </w:r>
            <w:r>
              <w:rPr>
                <w:color w:val="17365D" w:themeColor="text2" w:themeShade="BF"/>
              </w:rPr>
              <w:t>‘</w:t>
            </w:r>
            <w:r w:rsidRPr="00AF0D95">
              <w:rPr>
                <w:color w:val="17365D" w:themeColor="text2" w:themeShade="BF"/>
              </w:rPr>
              <w:t>excellent</w:t>
            </w:r>
            <w:r>
              <w:rPr>
                <w:color w:val="17365D" w:themeColor="text2" w:themeShade="BF"/>
              </w:rPr>
              <w:t>’</w:t>
            </w:r>
            <w:r w:rsidRPr="00AF0D95">
              <w:rPr>
                <w:color w:val="17365D" w:themeColor="text2" w:themeShade="BF"/>
              </w:rPr>
              <w:t xml:space="preserve"> across the four monitored airports.</w:t>
            </w:r>
            <w:r>
              <w:rPr>
                <w:rStyle w:val="FootnoteReference"/>
                <w:color w:val="17365D" w:themeColor="text2" w:themeShade="BF"/>
              </w:rPr>
              <w:footnoteReference w:id="13"/>
            </w:r>
          </w:p>
        </w:tc>
      </w:tr>
    </w:tbl>
    <w:p w:rsidR="00883552" w:rsidRDefault="00883552" w:rsidP="00883552">
      <w:pPr>
        <w:pStyle w:val="Numberedheading3"/>
        <w:numPr>
          <w:ilvl w:val="0"/>
          <w:numId w:val="0"/>
        </w:numPr>
        <w:rPr>
          <w:rFonts w:eastAsia="Calibri"/>
        </w:rPr>
      </w:pPr>
      <w:r w:rsidRPr="006A52B8" w:rsidDel="009106AD">
        <w:rPr>
          <w:rFonts w:eastAsia="Calibri"/>
        </w:rPr>
        <w:lastRenderedPageBreak/>
        <w:t xml:space="preserve"> </w:t>
      </w:r>
    </w:p>
    <w:p w:rsidR="00883552" w:rsidRDefault="00883552" w:rsidP="00883552">
      <w:pPr>
        <w:pStyle w:val="Numberedheading3"/>
        <w:tabs>
          <w:tab w:val="clear" w:pos="1384"/>
          <w:tab w:val="num" w:pos="993"/>
        </w:tabs>
        <w:ind w:left="993" w:hanging="993"/>
      </w:pPr>
      <w:r>
        <w:t>Airlines’ ratings of the airports’ quality of service</w:t>
      </w:r>
    </w:p>
    <w:p w:rsidR="00883552" w:rsidRDefault="00883552" w:rsidP="00883552">
      <w:pPr>
        <w:keepNext/>
      </w:pPr>
      <w:r>
        <w:t xml:space="preserve">Airlines are direct users of airport services and facilities and arguably they are in a stronger position than passengers to provide an informed view of the quality of the airports’ aeronautical infrastructure such as, runways, taxiways and associated terminal infrastructure. Although passengers’ perceptions provide a critical picture of airport services, they may be infrequent visitors to airports. Airlines however are usually regular users of airport services and therefore may be in a better position to provide assessments of airport services and facilities. </w:t>
      </w:r>
    </w:p>
    <w:p w:rsidR="00883552" w:rsidRDefault="00883552" w:rsidP="00883552">
      <w:pPr>
        <w:keepNext/>
      </w:pPr>
      <w:r>
        <w:lastRenderedPageBreak/>
        <w:t>However, the ACCC is aware that airlines, as customers of airports and primary users of their facilities, may be commercially motivated to rate down quality of service at individual airports. Typically, airline ratings have been much more volatile (and generally lower) than passenger ratings.</w:t>
      </w:r>
      <w:r>
        <w:rPr>
          <w:rStyle w:val="FootnoteReference"/>
        </w:rPr>
        <w:footnoteReference w:id="14"/>
      </w:r>
      <w:r>
        <w:t xml:space="preserve"> </w:t>
      </w:r>
    </w:p>
    <w:p w:rsidR="00883552" w:rsidRPr="00054C62" w:rsidRDefault="00883552" w:rsidP="00883552">
      <w:pPr>
        <w:keepNext/>
      </w:pPr>
      <w:r>
        <w:t>Chart 1.3.3 presents the average airline ratings for each monitored airport. During 2014-15, Brisbane Airport was the only airport to be rated as ‘good’ by the airlines. Apart from 2012-13, Brisbane Airport has been rated as ‘good’ for the past 5 years. All other monitored airports were rated as ‘satisfactory’ during 2014-15. Sydney Airport was the lowest rated monitored airport by airlines during 2014-15.</w:t>
      </w:r>
    </w:p>
    <w:p w:rsidR="00883552" w:rsidRPr="000077A0" w:rsidRDefault="00883552" w:rsidP="00883552">
      <w:pPr>
        <w:keepNext/>
        <w:spacing w:before="240" w:after="200" w:line="276" w:lineRule="auto"/>
        <w:ind w:left="1440" w:hanging="1440"/>
        <w:outlineLvl w:val="3"/>
        <w:rPr>
          <w:b/>
          <w:color w:val="51626F"/>
        </w:rPr>
      </w:pPr>
      <w:r w:rsidRPr="000077A0">
        <w:rPr>
          <w:b/>
          <w:color w:val="51626F"/>
        </w:rPr>
        <w:t>Chart 1.3.3:</w:t>
      </w:r>
      <w:r w:rsidRPr="000077A0">
        <w:rPr>
          <w:b/>
          <w:color w:val="51626F"/>
        </w:rPr>
        <w:tab/>
        <w:t>Average airline ratings of quality of service: 20</w:t>
      </w:r>
      <w:r>
        <w:rPr>
          <w:b/>
          <w:color w:val="51626F"/>
        </w:rPr>
        <w:t>10</w:t>
      </w:r>
      <w:r w:rsidRPr="000077A0">
        <w:rPr>
          <w:b/>
          <w:color w:val="51626F"/>
        </w:rPr>
        <w:noBreakHyphen/>
        <w:t>1</w:t>
      </w:r>
      <w:r>
        <w:rPr>
          <w:b/>
          <w:color w:val="51626F"/>
        </w:rPr>
        <w:t>1</w:t>
      </w:r>
      <w:r w:rsidRPr="000077A0">
        <w:rPr>
          <w:b/>
          <w:color w:val="51626F"/>
        </w:rPr>
        <w:t xml:space="preserve"> to 201</w:t>
      </w:r>
      <w:r>
        <w:rPr>
          <w:b/>
          <w:color w:val="51626F"/>
        </w:rPr>
        <w:t>4</w:t>
      </w:r>
      <w:r w:rsidRPr="000077A0">
        <w:rPr>
          <w:b/>
          <w:color w:val="51626F"/>
        </w:rPr>
        <w:noBreakHyphen/>
        <w:t>1</w:t>
      </w:r>
      <w:r>
        <w:rPr>
          <w:b/>
          <w:color w:val="51626F"/>
        </w:rPr>
        <w:t>5</w:t>
      </w:r>
    </w:p>
    <w:p w:rsidR="00883552" w:rsidRDefault="00883552" w:rsidP="00883552">
      <w:pPr>
        <w:keepNext/>
      </w:pPr>
      <w:r w:rsidRPr="00543DA7">
        <w:rPr>
          <w:noProof/>
          <w:lang w:eastAsia="en-AU"/>
        </w:rPr>
        <w:drawing>
          <wp:inline distT="0" distB="0" distL="0" distR="0" wp14:anchorId="26A1477B" wp14:editId="144000B8">
            <wp:extent cx="5364480" cy="2904329"/>
            <wp:effectExtent l="0" t="0" r="762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4480" cy="2904329"/>
                    </a:xfrm>
                    <a:prstGeom prst="rect">
                      <a:avLst/>
                    </a:prstGeom>
                    <a:noFill/>
                    <a:ln>
                      <a:noFill/>
                    </a:ln>
                  </pic:spPr>
                </pic:pic>
              </a:graphicData>
            </a:graphic>
          </wp:inline>
        </w:drawing>
      </w:r>
    </w:p>
    <w:p w:rsidR="00883552" w:rsidRDefault="00883552" w:rsidP="00883552">
      <w:pPr>
        <w:keepNext/>
        <w:spacing w:before="120"/>
        <w:ind w:left="720" w:hanging="720"/>
        <w:contextualSpacing/>
        <w:rPr>
          <w:sz w:val="16"/>
          <w:szCs w:val="16"/>
        </w:rPr>
      </w:pPr>
      <w:r w:rsidRPr="00054C62">
        <w:rPr>
          <w:sz w:val="16"/>
          <w:szCs w:val="16"/>
        </w:rPr>
        <w:t>Source:</w:t>
      </w:r>
      <w:r w:rsidRPr="00054C62">
        <w:rPr>
          <w:sz w:val="16"/>
          <w:szCs w:val="16"/>
        </w:rPr>
        <w:tab/>
        <w:t>Airline surveys</w:t>
      </w:r>
    </w:p>
    <w:p w:rsidR="00883552" w:rsidRDefault="00883552" w:rsidP="00883552">
      <w:pPr>
        <w:keepNext/>
        <w:spacing w:before="120"/>
        <w:ind w:left="720" w:hanging="720"/>
        <w:contextualSpacing/>
        <w:rPr>
          <w:sz w:val="16"/>
          <w:szCs w:val="16"/>
        </w:rPr>
      </w:pPr>
    </w:p>
    <w:tbl>
      <w:tblPr>
        <w:tblStyle w:val="TableGrid"/>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shd w:val="clear" w:color="auto" w:fill="DEE9EE"/>
        <w:tblLook w:val="04A0" w:firstRow="1" w:lastRow="0" w:firstColumn="1" w:lastColumn="0" w:noHBand="0" w:noVBand="1"/>
      </w:tblPr>
      <w:tblGrid>
        <w:gridCol w:w="8664"/>
      </w:tblGrid>
      <w:tr w:rsidR="00883552" w:rsidTr="00883552">
        <w:tc>
          <w:tcPr>
            <w:tcW w:w="9242" w:type="dxa"/>
            <w:shd w:val="clear" w:color="auto" w:fill="DEE9EE"/>
          </w:tcPr>
          <w:p w:rsidR="00883552" w:rsidRPr="006A52B8" w:rsidRDefault="00883552" w:rsidP="00883552">
            <w:pPr>
              <w:keepNext/>
              <w:spacing w:before="60"/>
              <w:jc w:val="center"/>
              <w:rPr>
                <w:b/>
                <w:i/>
                <w:color w:val="17365D" w:themeColor="text2" w:themeShade="BF"/>
                <w:sz w:val="24"/>
                <w:szCs w:val="24"/>
              </w:rPr>
            </w:pPr>
            <w:r w:rsidRPr="006A52B8">
              <w:rPr>
                <w:b/>
                <w:i/>
                <w:color w:val="17365D" w:themeColor="text2" w:themeShade="BF"/>
                <w:sz w:val="24"/>
                <w:szCs w:val="24"/>
              </w:rPr>
              <w:t>Commercial negotiations between airports and airlines</w:t>
            </w:r>
          </w:p>
          <w:p w:rsidR="00883552" w:rsidRPr="002F3ECF" w:rsidRDefault="00883552" w:rsidP="00883552">
            <w:pPr>
              <w:keepNext/>
              <w:rPr>
                <w:b/>
                <w:color w:val="17365D" w:themeColor="text2" w:themeShade="BF"/>
              </w:rPr>
            </w:pPr>
            <w:r w:rsidRPr="002F3ECF">
              <w:rPr>
                <w:color w:val="17365D" w:themeColor="text2" w:themeShade="BF"/>
              </w:rPr>
              <w:t>The 2013</w:t>
            </w:r>
            <w:r w:rsidRPr="002F3ECF">
              <w:rPr>
                <w:color w:val="17365D" w:themeColor="text2" w:themeShade="BF"/>
              </w:rPr>
              <w:noBreakHyphen/>
              <w:t>14 Airport Monitoring Report explored commercial negotiations between airports and airlines.</w:t>
            </w:r>
            <w:r w:rsidRPr="0078669E">
              <w:rPr>
                <w:color w:val="17365D" w:themeColor="text2" w:themeShade="BF"/>
                <w:vertAlign w:val="superscript"/>
              </w:rPr>
              <w:footnoteReference w:id="15"/>
            </w:r>
            <w:r w:rsidRPr="002F3ECF">
              <w:rPr>
                <w:color w:val="17365D" w:themeColor="text2" w:themeShade="BF"/>
              </w:rPr>
              <w:t xml:space="preserve"> The ACCC observed that there appears to be an unbalanced negotiating environment between airports and airlines and </w:t>
            </w:r>
            <w:r>
              <w:rPr>
                <w:color w:val="17365D" w:themeColor="text2" w:themeShade="BF"/>
              </w:rPr>
              <w:t xml:space="preserve">that </w:t>
            </w:r>
            <w:r w:rsidRPr="002F3ECF">
              <w:rPr>
                <w:color w:val="17365D" w:themeColor="text2" w:themeShade="BF"/>
              </w:rPr>
              <w:t>airlines do not possess any countervailing power and cannot fully negate the exercise of market power by airports.</w:t>
            </w:r>
          </w:p>
          <w:p w:rsidR="00883552" w:rsidRPr="0078669E" w:rsidRDefault="00883552" w:rsidP="00883552">
            <w:pPr>
              <w:keepNext/>
              <w:rPr>
                <w:b/>
                <w:color w:val="17365D" w:themeColor="text2" w:themeShade="BF"/>
              </w:rPr>
            </w:pPr>
            <w:r w:rsidRPr="002F3ECF">
              <w:rPr>
                <w:color w:val="17365D" w:themeColor="text2" w:themeShade="BF"/>
              </w:rPr>
              <w:t xml:space="preserve">The ACCC also stated that airlines may be able to limit the airports’ market power through their ability to initiate an application to the National Competition Council (NCC) for an airport to be declared under Part IIIA of the CCA. However, the ACCC highlighted that due to the significant time and uncertainty involved, few applications have been submitted to the NCC. </w:t>
            </w:r>
            <w:r>
              <w:rPr>
                <w:color w:val="17365D" w:themeColor="text2" w:themeShade="BF"/>
              </w:rPr>
              <w:t>One possible solution would be</w:t>
            </w:r>
            <w:r w:rsidRPr="002F3ECF">
              <w:rPr>
                <w:color w:val="17365D" w:themeColor="text2" w:themeShade="BF"/>
              </w:rPr>
              <w:t xml:space="preserve"> deemed declaration, which would require amendment of the </w:t>
            </w:r>
            <w:r w:rsidRPr="00C70ABE">
              <w:rPr>
                <w:i/>
                <w:color w:val="17365D" w:themeColor="text2" w:themeShade="BF"/>
              </w:rPr>
              <w:t>Airports Act 1996</w:t>
            </w:r>
            <w:r w:rsidRPr="002F3ECF">
              <w:rPr>
                <w:color w:val="17365D" w:themeColor="text2" w:themeShade="BF"/>
              </w:rPr>
              <w:t xml:space="preserve"> to deem aeronautical services provided at the monitored airports to be declared for the purposes of Part IIIA.</w:t>
            </w:r>
            <w:r>
              <w:rPr>
                <w:color w:val="17365D" w:themeColor="text2" w:themeShade="BF"/>
              </w:rPr>
              <w:t xml:space="preserve"> </w:t>
            </w:r>
            <w:r w:rsidRPr="0078669E">
              <w:rPr>
                <w:color w:val="17365D" w:themeColor="text2" w:themeShade="BF"/>
              </w:rPr>
              <w:t>If commercial negotiations broke down, then there would be a role for formal arbitration (</w:t>
            </w:r>
            <w:r>
              <w:rPr>
                <w:color w:val="17365D" w:themeColor="text2" w:themeShade="BF"/>
              </w:rPr>
              <w:t xml:space="preserve">this is </w:t>
            </w:r>
            <w:r w:rsidRPr="0078669E">
              <w:rPr>
                <w:color w:val="17365D" w:themeColor="text2" w:themeShade="BF"/>
              </w:rPr>
              <w:t xml:space="preserve">similar to </w:t>
            </w:r>
            <w:proofErr w:type="gramStart"/>
            <w:r w:rsidRPr="0078669E">
              <w:rPr>
                <w:color w:val="17365D" w:themeColor="text2" w:themeShade="BF"/>
              </w:rPr>
              <w:t>a negotiate</w:t>
            </w:r>
            <w:proofErr w:type="gramEnd"/>
            <w:r w:rsidRPr="0078669E">
              <w:rPr>
                <w:color w:val="17365D" w:themeColor="text2" w:themeShade="BF"/>
              </w:rPr>
              <w:t xml:space="preserve">-arbitrate model).  </w:t>
            </w:r>
          </w:p>
          <w:p w:rsidR="00883552" w:rsidRPr="002F3ECF" w:rsidRDefault="00883552" w:rsidP="00883552">
            <w:pPr>
              <w:keepNext/>
              <w:rPr>
                <w:b/>
                <w:color w:val="17365D" w:themeColor="text2" w:themeShade="BF"/>
              </w:rPr>
            </w:pPr>
            <w:r w:rsidRPr="00A261BD">
              <w:rPr>
                <w:color w:val="17365D" w:themeColor="text2" w:themeShade="BF"/>
              </w:rPr>
              <w:t xml:space="preserve">The threat of third party intervention in commercial negotiations could limit the incentive for the airports to exercise market power. Further, it could facilitate the development of more effective commercial relationships as airlines could credibly threaten the airports with ACCC arbitration </w:t>
            </w:r>
            <w:r w:rsidRPr="00A261BD">
              <w:rPr>
                <w:color w:val="17365D" w:themeColor="text2" w:themeShade="BF"/>
              </w:rPr>
              <w:lastRenderedPageBreak/>
              <w:t>when negotiations are unsuccessful.</w:t>
            </w:r>
          </w:p>
          <w:p w:rsidR="00883552" w:rsidRPr="00E75149" w:rsidRDefault="00883552" w:rsidP="00883552">
            <w:pPr>
              <w:keepNext/>
              <w:rPr>
                <w:b/>
                <w:i/>
                <w:color w:val="17365D" w:themeColor="text2" w:themeShade="BF"/>
              </w:rPr>
            </w:pPr>
            <w:r w:rsidRPr="002F3ECF">
              <w:rPr>
                <w:i/>
                <w:color w:val="17365D" w:themeColor="text2" w:themeShade="BF"/>
              </w:rPr>
              <w:t>Price monitoring</w:t>
            </w:r>
            <w:r w:rsidRPr="00E75149">
              <w:rPr>
                <w:i/>
                <w:color w:val="17365D" w:themeColor="text2" w:themeShade="BF"/>
              </w:rPr>
              <w:t xml:space="preserve"> </w:t>
            </w:r>
            <w:r>
              <w:rPr>
                <w:i/>
                <w:color w:val="17365D" w:themeColor="text2" w:themeShade="BF"/>
              </w:rPr>
              <w:t>limitations</w:t>
            </w:r>
          </w:p>
          <w:p w:rsidR="00883552" w:rsidRDefault="00883552" w:rsidP="00883552">
            <w:pPr>
              <w:keepNext/>
              <w:rPr>
                <w:b/>
                <w:color w:val="17365D" w:themeColor="text2" w:themeShade="BF"/>
              </w:rPr>
            </w:pPr>
            <w:r>
              <w:rPr>
                <w:color w:val="17365D" w:themeColor="text2" w:themeShade="BF"/>
              </w:rPr>
              <w:t xml:space="preserve">Price monitoring does not directly restrict airports from increasing prices and/or lowering service quality. Further, it does not provide the ACCC with a general power to intervene in the airports’ setting of terms and conditions of access to the airports’ infrastructure. Price monitoring is not a substitute for economic regulation nor does it present an effective constraint on the airports’ ability to exercise market power in negotiations with airlines.  </w:t>
            </w:r>
          </w:p>
          <w:p w:rsidR="00883552" w:rsidRDefault="00883552" w:rsidP="00883552">
            <w:pPr>
              <w:keepNext/>
              <w:rPr>
                <w:b/>
                <w:color w:val="17365D" w:themeColor="text2" w:themeShade="BF"/>
              </w:rPr>
            </w:pPr>
            <w:r w:rsidRPr="002F3ECF">
              <w:rPr>
                <w:color w:val="17365D" w:themeColor="text2" w:themeShade="BF"/>
              </w:rPr>
              <w:t>The ACCC notes that while price monitoring can be an appropriate tool with some value</w:t>
            </w:r>
            <w:r>
              <w:rPr>
                <w:rStyle w:val="FootnoteReference"/>
                <w:color w:val="17365D" w:themeColor="text2" w:themeShade="BF"/>
              </w:rPr>
              <w:footnoteReference w:id="16"/>
            </w:r>
            <w:r w:rsidRPr="002F3ECF">
              <w:rPr>
                <w:color w:val="17365D" w:themeColor="text2" w:themeShade="BF"/>
              </w:rPr>
              <w:t>, it will have little or no longer term impact on the conduct of the infrastructure owner in circumstances of natural or legislated monopoly</w:t>
            </w:r>
            <w:r>
              <w:rPr>
                <w:color w:val="17365D" w:themeColor="text2" w:themeShade="BF"/>
              </w:rPr>
              <w:t xml:space="preserve"> such as the major airports</w:t>
            </w:r>
            <w:r w:rsidRPr="002F3ECF">
              <w:rPr>
                <w:color w:val="17365D" w:themeColor="text2" w:themeShade="BF"/>
              </w:rPr>
              <w:t>. Further,</w:t>
            </w:r>
            <w:r>
              <w:rPr>
                <w:color w:val="17365D" w:themeColor="text2" w:themeShade="BF"/>
              </w:rPr>
              <w:t xml:space="preserve"> the ACCC sees </w:t>
            </w:r>
            <w:proofErr w:type="gramStart"/>
            <w:r w:rsidRPr="002F3ECF">
              <w:rPr>
                <w:color w:val="17365D" w:themeColor="text2" w:themeShade="BF"/>
              </w:rPr>
              <w:t>a</w:t>
            </w:r>
            <w:r>
              <w:rPr>
                <w:color w:val="17365D" w:themeColor="text2" w:themeShade="BF"/>
              </w:rPr>
              <w:t xml:space="preserve"> </w:t>
            </w:r>
            <w:r w:rsidRPr="002F3ECF">
              <w:rPr>
                <w:color w:val="17365D" w:themeColor="text2" w:themeShade="BF"/>
              </w:rPr>
              <w:t>negotiate</w:t>
            </w:r>
            <w:proofErr w:type="gramEnd"/>
            <w:r w:rsidRPr="002F3ECF">
              <w:rPr>
                <w:color w:val="17365D" w:themeColor="text2" w:themeShade="BF"/>
              </w:rPr>
              <w:t xml:space="preserve">-arbitrate framework </w:t>
            </w:r>
            <w:r>
              <w:rPr>
                <w:color w:val="17365D" w:themeColor="text2" w:themeShade="BF"/>
              </w:rPr>
              <w:t xml:space="preserve">as </w:t>
            </w:r>
            <w:r w:rsidRPr="002F3ECF">
              <w:rPr>
                <w:color w:val="17365D" w:themeColor="text2" w:themeShade="BF"/>
              </w:rPr>
              <w:t>true light</w:t>
            </w:r>
            <w:r w:rsidRPr="002F3ECF">
              <w:rPr>
                <w:color w:val="17365D" w:themeColor="text2" w:themeShade="BF"/>
              </w:rPr>
              <w:noBreakHyphen/>
              <w:t xml:space="preserve">handed regulation and would allow </w:t>
            </w:r>
            <w:r>
              <w:rPr>
                <w:color w:val="17365D" w:themeColor="text2" w:themeShade="BF"/>
              </w:rPr>
              <w:t>for</w:t>
            </w:r>
            <w:r w:rsidRPr="002F3ECF">
              <w:rPr>
                <w:color w:val="17365D" w:themeColor="text2" w:themeShade="BF"/>
              </w:rPr>
              <w:t xml:space="preserve"> commercial negotiation, where both parties have some negotiating leverage</w:t>
            </w:r>
            <w:r>
              <w:rPr>
                <w:color w:val="17365D" w:themeColor="text2" w:themeShade="BF"/>
              </w:rPr>
              <w:t xml:space="preserve">. As noted in the 2013-14 monitoring report, the ACCC believes that airlines do not possess any countervailing power and cannot fully negate the exercise of market power by airports. </w:t>
            </w:r>
          </w:p>
          <w:p w:rsidR="00883552" w:rsidRPr="002F3ECF" w:rsidRDefault="00883552" w:rsidP="00883552">
            <w:pPr>
              <w:keepNext/>
              <w:rPr>
                <w:b/>
                <w:i/>
                <w:color w:val="17365D" w:themeColor="text2" w:themeShade="BF"/>
              </w:rPr>
            </w:pPr>
            <w:r w:rsidRPr="002F3ECF">
              <w:rPr>
                <w:i/>
                <w:color w:val="17365D" w:themeColor="text2" w:themeShade="BF"/>
              </w:rPr>
              <w:t>Post Competition Policy Review commentary</w:t>
            </w:r>
          </w:p>
          <w:p w:rsidR="00883552" w:rsidRPr="00E75149" w:rsidRDefault="00883552" w:rsidP="00883552">
            <w:pPr>
              <w:keepNext/>
              <w:rPr>
                <w:b/>
                <w:color w:val="17365D" w:themeColor="text2" w:themeShade="BF"/>
                <w:vertAlign w:val="superscript"/>
              </w:rPr>
            </w:pPr>
            <w:r>
              <w:rPr>
                <w:color w:val="17365D" w:themeColor="text2" w:themeShade="BF"/>
              </w:rPr>
              <w:t xml:space="preserve">The regulatory regime was considered as part of the government’s Competition Policy Review. </w:t>
            </w:r>
            <w:r w:rsidRPr="00CC5644">
              <w:rPr>
                <w:color w:val="17365D" w:themeColor="text2" w:themeShade="BF"/>
              </w:rPr>
              <w:t xml:space="preserve">The </w:t>
            </w:r>
            <w:r>
              <w:rPr>
                <w:color w:val="17365D" w:themeColor="text2" w:themeShade="BF"/>
              </w:rPr>
              <w:t>March 2015</w:t>
            </w:r>
            <w:r w:rsidRPr="00CC5644">
              <w:rPr>
                <w:color w:val="17365D" w:themeColor="text2" w:themeShade="BF"/>
              </w:rPr>
              <w:t xml:space="preserve"> report of the </w:t>
            </w:r>
            <w:r>
              <w:rPr>
                <w:color w:val="17365D" w:themeColor="text2" w:themeShade="BF"/>
              </w:rPr>
              <w:t>r</w:t>
            </w:r>
            <w:r w:rsidRPr="00CC5644">
              <w:rPr>
                <w:color w:val="17365D" w:themeColor="text2" w:themeShade="BF"/>
              </w:rPr>
              <w:t>eview stated that the price monitoring and light-handed regulatory approach in aviation appeared to be working well overall. However, it also stated that if prices continue to increase as fast as they have been, it would raise concerns and may warrant a move away from light-handed regulation for individual airports.</w:t>
            </w:r>
            <w:r>
              <w:rPr>
                <w:rStyle w:val="FootnoteReference"/>
                <w:color w:val="17365D" w:themeColor="text2" w:themeShade="BF"/>
              </w:rPr>
              <w:footnoteReference w:id="17"/>
            </w:r>
            <w:r w:rsidRPr="00CC5644">
              <w:rPr>
                <w:color w:val="17365D" w:themeColor="text2" w:themeShade="BF"/>
              </w:rPr>
              <w:t xml:space="preserve"> </w:t>
            </w:r>
            <w:r>
              <w:rPr>
                <w:color w:val="17365D" w:themeColor="text2" w:themeShade="BF"/>
              </w:rPr>
              <w:t xml:space="preserve">The Qantas Group, Virgin Australia and Sydney Airport provided submissions to Treasury’s consultation on the final report. The airline submissions repeated previous support for deemed declaration or </w:t>
            </w:r>
            <w:proofErr w:type="gramStart"/>
            <w:r>
              <w:rPr>
                <w:color w:val="17365D" w:themeColor="text2" w:themeShade="BF"/>
              </w:rPr>
              <w:t>a negotiate</w:t>
            </w:r>
            <w:proofErr w:type="gramEnd"/>
            <w:r>
              <w:rPr>
                <w:color w:val="17365D" w:themeColor="text2" w:themeShade="BF"/>
              </w:rPr>
              <w:t xml:space="preserve">-arbitrate access model for airports. </w:t>
            </w:r>
          </w:p>
          <w:p w:rsidR="00883552" w:rsidRPr="0078669E" w:rsidRDefault="00883552" w:rsidP="00883552">
            <w:pPr>
              <w:keepNext/>
              <w:rPr>
                <w:b/>
                <w:color w:val="17365D" w:themeColor="text2" w:themeShade="BF"/>
              </w:rPr>
            </w:pPr>
            <w:r w:rsidRPr="0078669E">
              <w:rPr>
                <w:color w:val="17365D" w:themeColor="text2" w:themeShade="BF"/>
              </w:rPr>
              <w:t>The Qantas Group suggested that a 'fundamental change in the current regulatory regime is necessary to protect airport users from monopolistic behaviour and bring about constructive commercial engagement between airports and airport users'. Qantas also stated that commercial negotiations have tended to be difficult and protracted, despite the existence of Part IIIA and the monitoring regime. Qantas proposed that airports be deemed declared, as Part IIIA is an inappropriate solution and is 'a cripplingly time consuming and burdensome process'.</w:t>
            </w:r>
            <w:r w:rsidRPr="00914B22">
              <w:rPr>
                <w:vertAlign w:val="superscript"/>
              </w:rPr>
              <w:footnoteReference w:id="18"/>
            </w:r>
            <w:r w:rsidRPr="00914B22">
              <w:rPr>
                <w:color w:val="17365D" w:themeColor="text2" w:themeShade="BF"/>
                <w:vertAlign w:val="superscript"/>
              </w:rPr>
              <w:t xml:space="preserve">  </w:t>
            </w:r>
          </w:p>
          <w:p w:rsidR="00883552" w:rsidRDefault="00883552" w:rsidP="00883552">
            <w:pPr>
              <w:keepNext/>
              <w:rPr>
                <w:b/>
                <w:color w:val="17365D" w:themeColor="text2" w:themeShade="BF"/>
              </w:rPr>
            </w:pPr>
            <w:r w:rsidRPr="0078669E">
              <w:rPr>
                <w:color w:val="17365D" w:themeColor="text2" w:themeShade="BF"/>
              </w:rPr>
              <w:t>Virgin Australia also stated that Part IIIA applications involve significant cost, time and uncertainty. Virgin</w:t>
            </w:r>
            <w:r>
              <w:rPr>
                <w:color w:val="17365D" w:themeColor="text2" w:themeShade="BF"/>
              </w:rPr>
              <w:t xml:space="preserve"> said</w:t>
            </w:r>
            <w:r w:rsidRPr="0078669E">
              <w:rPr>
                <w:color w:val="17365D" w:themeColor="text2" w:themeShade="BF"/>
              </w:rPr>
              <w:t xml:space="preserve"> that ‘the current regulatory regime is not effective in guaranteeing the efficient operation of the Australian aviation industry or in providing incentives for airports to efficiently price services while addressing the imbalance in negotiating power between airports and airlines’. Virgin advocated for the adoption of </w:t>
            </w:r>
            <w:proofErr w:type="gramStart"/>
            <w:r w:rsidRPr="0078669E">
              <w:rPr>
                <w:color w:val="17365D" w:themeColor="text2" w:themeShade="BF"/>
              </w:rPr>
              <w:t>a negotiate</w:t>
            </w:r>
            <w:proofErr w:type="gramEnd"/>
            <w:r w:rsidRPr="0078669E">
              <w:rPr>
                <w:color w:val="17365D" w:themeColor="text2" w:themeShade="BF"/>
              </w:rPr>
              <w:t>-arbitrate access model for airports, with declaration under Part IIIA remaining as a safeguard until such a model is implemented.</w:t>
            </w:r>
            <w:r w:rsidRPr="0078669E">
              <w:rPr>
                <w:vertAlign w:val="superscript"/>
              </w:rPr>
              <w:footnoteReference w:id="19"/>
            </w:r>
            <w:r>
              <w:rPr>
                <w:color w:val="17365D" w:themeColor="text2" w:themeShade="BF"/>
              </w:rPr>
              <w:t xml:space="preserve"> </w:t>
            </w:r>
          </w:p>
          <w:p w:rsidR="00883552" w:rsidRDefault="00883552" w:rsidP="00883552">
            <w:pPr>
              <w:keepNext/>
              <w:rPr>
                <w:b/>
                <w:color w:val="17365D" w:themeColor="text2" w:themeShade="BF"/>
              </w:rPr>
            </w:pPr>
            <w:r>
              <w:rPr>
                <w:color w:val="17365D" w:themeColor="text2" w:themeShade="BF"/>
              </w:rPr>
              <w:t xml:space="preserve">In contrast to Qantas and Virgin, Sydney Airport stated that the price monitoring regime and </w:t>
            </w:r>
            <w:r>
              <w:rPr>
                <w:color w:val="17365D" w:themeColor="text2" w:themeShade="BF"/>
              </w:rPr>
              <w:lastRenderedPageBreak/>
              <w:t>light-handed regulation appeared to be working well. Further, it stated that the light-handed approach had facilitated the development of commercial relationships and commercial agreements with airlines over time.</w:t>
            </w:r>
            <w:r>
              <w:rPr>
                <w:rStyle w:val="FootnoteReference"/>
                <w:color w:val="17365D" w:themeColor="text2" w:themeShade="BF"/>
              </w:rPr>
              <w:footnoteReference w:id="20"/>
            </w:r>
            <w:r>
              <w:rPr>
                <w:color w:val="17365D" w:themeColor="text2" w:themeShade="BF"/>
              </w:rPr>
              <w:t xml:space="preserve"> </w:t>
            </w:r>
          </w:p>
          <w:p w:rsidR="00883552" w:rsidRPr="0078669E" w:rsidRDefault="00883552" w:rsidP="00883552">
            <w:pPr>
              <w:keepNext/>
              <w:rPr>
                <w:b/>
                <w:color w:val="17365D" w:themeColor="text2" w:themeShade="BF"/>
              </w:rPr>
            </w:pPr>
            <w:r>
              <w:rPr>
                <w:color w:val="17365D" w:themeColor="text2" w:themeShade="BF"/>
              </w:rPr>
              <w:t xml:space="preserve">In response to the Competition Policy Review report and further consultation, the government chose to slightly modify the criteria for the declaration of services under Part IIIA of the </w:t>
            </w:r>
            <w:r w:rsidRPr="00930AD9">
              <w:rPr>
                <w:i/>
                <w:color w:val="17365D" w:themeColor="text2" w:themeShade="BF"/>
              </w:rPr>
              <w:t>Competition and Consumer Act (2010)</w:t>
            </w:r>
            <w:r>
              <w:rPr>
                <w:color w:val="17365D" w:themeColor="text2" w:themeShade="BF"/>
              </w:rPr>
              <w:t>. Criterion (f) will now require declaration to be in the public interest, rather than not contrary to the public interest.</w:t>
            </w:r>
            <w:r>
              <w:rPr>
                <w:rStyle w:val="FootnoteReference"/>
                <w:color w:val="17365D" w:themeColor="text2" w:themeShade="BF"/>
              </w:rPr>
              <w:footnoteReference w:id="21"/>
            </w:r>
            <w:r>
              <w:rPr>
                <w:color w:val="17365D" w:themeColor="text2" w:themeShade="BF"/>
              </w:rPr>
              <w:t xml:space="preserve"> Reshaping the criterion as a positive test has the effect of raising the threshold for when a service can be declared. This would weaken the bargaining power of airlines in their negotiations with the airports. </w:t>
            </w:r>
          </w:p>
          <w:p w:rsidR="00883552" w:rsidRPr="002F3ECF" w:rsidRDefault="00883552" w:rsidP="00883552">
            <w:pPr>
              <w:keepNext/>
              <w:rPr>
                <w:b/>
                <w:i/>
                <w:color w:val="17365D" w:themeColor="text2" w:themeShade="BF"/>
              </w:rPr>
            </w:pPr>
            <w:r w:rsidRPr="002F3ECF">
              <w:rPr>
                <w:i/>
                <w:color w:val="17365D" w:themeColor="text2" w:themeShade="BF"/>
              </w:rPr>
              <w:t xml:space="preserve">Recent commercial negotiations between airports and airlines </w:t>
            </w:r>
          </w:p>
          <w:p w:rsidR="00883552" w:rsidRPr="002F3ECF" w:rsidRDefault="00883552" w:rsidP="003C2E68">
            <w:pPr>
              <w:keepNext/>
              <w:rPr>
                <w:b/>
              </w:rPr>
            </w:pPr>
            <w:r w:rsidRPr="006A52B8">
              <w:rPr>
                <w:color w:val="17365D" w:themeColor="text2" w:themeShade="BF"/>
              </w:rPr>
              <w:t xml:space="preserve">During 2014-15, Sydney Airport concluded its negotiations with </w:t>
            </w:r>
            <w:r w:rsidRPr="00196F9E">
              <w:rPr>
                <w:color w:val="17365D" w:themeColor="text2" w:themeShade="BF"/>
              </w:rPr>
              <w:t>the Board of Airline Representatives of Australia (BARA)</w:t>
            </w:r>
            <w:r>
              <w:rPr>
                <w:color w:val="17365D" w:themeColor="text2" w:themeShade="BF"/>
              </w:rPr>
              <w:t xml:space="preserve"> and </w:t>
            </w:r>
            <w:r w:rsidRPr="006A52B8">
              <w:rPr>
                <w:color w:val="17365D" w:themeColor="text2" w:themeShade="BF"/>
              </w:rPr>
              <w:t xml:space="preserve">a range of international airlines on the pricing of airport services for a five-year period. </w:t>
            </w:r>
            <w:r>
              <w:rPr>
                <w:color w:val="17365D" w:themeColor="text2" w:themeShade="BF"/>
              </w:rPr>
              <w:t>Prior to these negotiations, BARA had stated that the government should be ready to take a more interventionist approach if an individual airport was not acting in line with the intent of the light</w:t>
            </w:r>
            <w:r>
              <w:rPr>
                <w:color w:val="17365D" w:themeColor="text2" w:themeShade="BF"/>
              </w:rPr>
              <w:noBreakHyphen/>
              <w:t>handed regulation.</w:t>
            </w:r>
            <w:r>
              <w:rPr>
                <w:rStyle w:val="FootnoteReference"/>
                <w:color w:val="17365D" w:themeColor="text2" w:themeShade="BF"/>
              </w:rPr>
              <w:footnoteReference w:id="22"/>
            </w:r>
            <w:r w:rsidRPr="008C5EE2">
              <w:rPr>
                <w:color w:val="17365D" w:themeColor="text2" w:themeShade="BF"/>
              </w:rPr>
              <w:t xml:space="preserve"> </w:t>
            </w:r>
            <w:r>
              <w:rPr>
                <w:color w:val="17365D" w:themeColor="text2" w:themeShade="BF"/>
              </w:rPr>
              <w:t>However, t</w:t>
            </w:r>
            <w:r w:rsidRPr="008C5EE2">
              <w:rPr>
                <w:color w:val="17365D" w:themeColor="text2" w:themeShade="BF"/>
              </w:rPr>
              <w:t>he parties agreed to a price path</w:t>
            </w:r>
            <w:r>
              <w:rPr>
                <w:color w:val="17365D" w:themeColor="text2" w:themeShade="BF"/>
              </w:rPr>
              <w:t xml:space="preserve"> in June 2015</w:t>
            </w:r>
            <w:r w:rsidRPr="008C5EE2">
              <w:rPr>
                <w:color w:val="17365D" w:themeColor="text2" w:themeShade="BF"/>
              </w:rPr>
              <w:t xml:space="preserve"> that included a decrease in per passenger charges during the first year of the agreement.</w:t>
            </w:r>
            <w:r>
              <w:rPr>
                <w:color w:val="17365D" w:themeColor="text2" w:themeShade="BF"/>
              </w:rPr>
              <w:t xml:space="preserve"> </w:t>
            </w:r>
            <w:r w:rsidRPr="006A52B8">
              <w:rPr>
                <w:color w:val="17365D" w:themeColor="text2" w:themeShade="BF"/>
              </w:rPr>
              <w:t xml:space="preserve">Of particular interest is that the agreement included a service level framework for the first time. The service level agreement provides for the measurement of airport performance against various </w:t>
            </w:r>
            <w:proofErr w:type="gramStart"/>
            <w:r w:rsidRPr="006A52B8">
              <w:rPr>
                <w:color w:val="17365D" w:themeColor="text2" w:themeShade="BF"/>
              </w:rPr>
              <w:t>quality</w:t>
            </w:r>
            <w:proofErr w:type="gramEnd"/>
            <w:r w:rsidRPr="006A52B8">
              <w:rPr>
                <w:color w:val="17365D" w:themeColor="text2" w:themeShade="BF"/>
              </w:rPr>
              <w:t xml:space="preserve"> of service indicators for airlines and passengers. BARA </w:t>
            </w:r>
            <w:r>
              <w:rPr>
                <w:color w:val="17365D" w:themeColor="text2" w:themeShade="BF"/>
              </w:rPr>
              <w:t>advised the ACCC that the framework</w:t>
            </w:r>
            <w:r w:rsidRPr="006A52B8">
              <w:rPr>
                <w:color w:val="17365D" w:themeColor="text2" w:themeShade="BF"/>
              </w:rPr>
              <w:t xml:space="preserve"> represents a significant step towards </w:t>
            </w:r>
            <w:r>
              <w:rPr>
                <w:color w:val="17365D" w:themeColor="text2" w:themeShade="BF"/>
              </w:rPr>
              <w:t xml:space="preserve">enabling </w:t>
            </w:r>
            <w:r w:rsidRPr="006A52B8">
              <w:rPr>
                <w:color w:val="17365D" w:themeColor="text2" w:themeShade="BF"/>
              </w:rPr>
              <w:t>improved service quality outcomes</w:t>
            </w:r>
            <w:r>
              <w:rPr>
                <w:color w:val="17365D" w:themeColor="text2" w:themeShade="BF"/>
              </w:rPr>
              <w:t>,</w:t>
            </w:r>
            <w:r w:rsidRPr="006A52B8">
              <w:rPr>
                <w:color w:val="17365D" w:themeColor="text2" w:themeShade="BF"/>
              </w:rPr>
              <w:t xml:space="preserve"> and hopes that other airports can adopt a similar formalised framework</w:t>
            </w:r>
            <w:r>
              <w:rPr>
                <w:color w:val="17365D" w:themeColor="text2" w:themeShade="BF"/>
              </w:rPr>
              <w:t xml:space="preserve"> where no framework exists or to enhance the existing framework</w:t>
            </w:r>
            <w:r w:rsidRPr="006A52B8">
              <w:rPr>
                <w:color w:val="17365D" w:themeColor="text2" w:themeShade="BF"/>
              </w:rPr>
              <w:t>.</w:t>
            </w:r>
            <w:r>
              <w:rPr>
                <w:color w:val="17365D" w:themeColor="text2" w:themeShade="BF"/>
              </w:rPr>
              <w:t xml:space="preserve"> </w:t>
            </w:r>
            <w:r w:rsidRPr="008C5EE2">
              <w:rPr>
                <w:color w:val="17365D" w:themeColor="text2" w:themeShade="BF"/>
              </w:rPr>
              <w:t xml:space="preserve">Sydney Airport stated that it </w:t>
            </w:r>
            <w:r>
              <w:rPr>
                <w:color w:val="17365D" w:themeColor="text2" w:themeShade="BF"/>
              </w:rPr>
              <w:t xml:space="preserve">had finalised commercial </w:t>
            </w:r>
            <w:r w:rsidRPr="008C5EE2">
              <w:rPr>
                <w:color w:val="17365D" w:themeColor="text2" w:themeShade="BF"/>
              </w:rPr>
              <w:t>negotiations w</w:t>
            </w:r>
            <w:r>
              <w:rPr>
                <w:color w:val="17365D" w:themeColor="text2" w:themeShade="BF"/>
              </w:rPr>
              <w:t>ith Qantas and Virgin Australia in August 201</w:t>
            </w:r>
            <w:r w:rsidR="003C2E68">
              <w:rPr>
                <w:color w:val="17365D" w:themeColor="text2" w:themeShade="BF"/>
              </w:rPr>
              <w:t>5</w:t>
            </w:r>
            <w:r w:rsidRPr="008C5EE2">
              <w:rPr>
                <w:color w:val="17365D" w:themeColor="text2" w:themeShade="BF"/>
              </w:rPr>
              <w:t>.</w:t>
            </w:r>
            <w:r>
              <w:rPr>
                <w:rStyle w:val="FootnoteReference"/>
                <w:color w:val="17365D" w:themeColor="text2" w:themeShade="BF"/>
              </w:rPr>
              <w:footnoteReference w:id="23"/>
            </w:r>
            <w:r w:rsidRPr="006A52B8">
              <w:rPr>
                <w:color w:val="17365D" w:themeColor="text2" w:themeShade="BF"/>
              </w:rPr>
              <w:t xml:space="preserve">  </w:t>
            </w:r>
          </w:p>
        </w:tc>
      </w:tr>
    </w:tbl>
    <w:p w:rsidR="00883552" w:rsidRDefault="00883552" w:rsidP="00883552">
      <w:pPr>
        <w:keepNext/>
      </w:pPr>
    </w:p>
    <w:p w:rsidR="00883552" w:rsidRPr="00BC03FA" w:rsidRDefault="00883552" w:rsidP="00883552">
      <w:pPr>
        <w:pStyle w:val="Numberedheading3"/>
        <w:tabs>
          <w:tab w:val="clear" w:pos="1384"/>
          <w:tab w:val="num" w:pos="993"/>
        </w:tabs>
        <w:ind w:left="993" w:hanging="993"/>
      </w:pPr>
      <w:r>
        <w:t>Landside operators’ ratings of the airports’ quality of service</w:t>
      </w:r>
    </w:p>
    <w:p w:rsidR="00883552" w:rsidRDefault="00883552" w:rsidP="00883552">
      <w:pPr>
        <w:keepNext/>
      </w:pPr>
      <w:r>
        <w:t xml:space="preserve">The ACCC introduced quality of service monitoring provided by airports to companies seeking landside access in the 2013-14 monitoring report. These companies include taxis, public and private buses and off-airport car park operators. </w:t>
      </w:r>
    </w:p>
    <w:p w:rsidR="00883552" w:rsidRDefault="00883552" w:rsidP="00883552">
      <w:pPr>
        <w:keepNext/>
      </w:pPr>
      <w:r>
        <w:t>T</w:t>
      </w:r>
      <w:r w:rsidRPr="0055566F">
        <w:t>he landside area of monitored airports is a bottleneck area essential in the supply</w:t>
      </w:r>
      <w:r>
        <w:t xml:space="preserve"> of</w:t>
      </w:r>
      <w:r w:rsidRPr="0055566F">
        <w:t xml:space="preserve"> services to passengers and companies seeking access. Passengers, off</w:t>
      </w:r>
      <w:r w:rsidRPr="0055566F">
        <w:noBreakHyphen/>
        <w:t>airport car parking operators, taxis, buses and private cars all require access to landside areas for the pick-up and drop</w:t>
      </w:r>
      <w:r w:rsidRPr="0055566F">
        <w:noBreakHyphen/>
        <w:t xml:space="preserve">off of passengers. Airport operators have the </w:t>
      </w:r>
      <w:r>
        <w:t>incentive</w:t>
      </w:r>
      <w:r w:rsidRPr="0055566F">
        <w:t xml:space="preserve"> to restrict access and impede competition from alternatives to on</w:t>
      </w:r>
      <w:r w:rsidRPr="0055566F">
        <w:noBreakHyphen/>
        <w:t xml:space="preserve">airport parking by imposing excessive charges or restrictive terms and conditions. </w:t>
      </w:r>
    </w:p>
    <w:p w:rsidR="00883552" w:rsidRDefault="00883552" w:rsidP="00883552">
      <w:pPr>
        <w:keepNext/>
      </w:pPr>
      <w:r>
        <w:lastRenderedPageBreak/>
        <w:t>Table 1.3.1 presents the landside ratings for each airport for 2014-15. The 2014</w:t>
      </w:r>
      <w:r>
        <w:noBreakHyphen/>
        <w:t>15 average ratings were derived from a smaller representation of landside users than 2013-14.</w:t>
      </w:r>
      <w:r>
        <w:rPr>
          <w:rStyle w:val="FootnoteReference"/>
        </w:rPr>
        <w:footnoteReference w:id="24"/>
      </w:r>
      <w:r>
        <w:t xml:space="preserve">  </w:t>
      </w:r>
    </w:p>
    <w:p w:rsidR="00883552" w:rsidRPr="000B3C64" w:rsidRDefault="00883552" w:rsidP="00883552">
      <w:pPr>
        <w:keepNext/>
        <w:rPr>
          <w:i/>
          <w:color w:val="FF0000"/>
        </w:rPr>
      </w:pPr>
      <w:r>
        <w:t xml:space="preserve">Both Melbourne and Sydney airports’ average landside ratings improved during 2014-15 while Perth Airport dropped from ‘satisfactory’ to ‘poor’. Users at Perth Airport commented that construction work at the T1/T2 precinct had impacted on the quality and availability of pick-up and drop-off areas. A common complaint at three of the airports was around the location and signage for off-airport car park operators which was either inconveniently located or was a significant distance from terminals. </w:t>
      </w:r>
    </w:p>
    <w:p w:rsidR="00883552" w:rsidRPr="00B23482" w:rsidRDefault="00883552" w:rsidP="00883552">
      <w:pPr>
        <w:keepNext/>
        <w:ind w:left="1440" w:hanging="1440"/>
        <w:rPr>
          <w:b/>
          <w:color w:val="51626F"/>
        </w:rPr>
      </w:pPr>
      <w:r w:rsidRPr="00B23482">
        <w:rPr>
          <w:b/>
          <w:color w:val="51626F"/>
        </w:rPr>
        <w:t>Table 1.</w:t>
      </w:r>
      <w:r>
        <w:rPr>
          <w:b/>
          <w:color w:val="51626F"/>
        </w:rPr>
        <w:t>3.1</w:t>
      </w:r>
      <w:r w:rsidRPr="00B23482">
        <w:rPr>
          <w:b/>
          <w:color w:val="51626F"/>
        </w:rPr>
        <w:tab/>
      </w:r>
      <w:r>
        <w:rPr>
          <w:b/>
          <w:color w:val="51626F"/>
        </w:rPr>
        <w:t>Landside operator’s average ratings of airports’ landside areas for 2014</w:t>
      </w:r>
      <w:r>
        <w:rPr>
          <w:b/>
          <w:color w:val="51626F"/>
        </w:rPr>
        <w:noBreakHyphen/>
        <w:t>15</w:t>
      </w:r>
    </w:p>
    <w:tbl>
      <w:tblPr>
        <w:tblStyle w:val="TableGrid"/>
        <w:tblW w:w="5000" w:type="pct"/>
        <w:tblLook w:val="04A0" w:firstRow="1" w:lastRow="0" w:firstColumn="1" w:lastColumn="0" w:noHBand="0" w:noVBand="1"/>
      </w:tblPr>
      <w:tblGrid>
        <w:gridCol w:w="3444"/>
        <w:gridCol w:w="2610"/>
        <w:gridCol w:w="2610"/>
      </w:tblGrid>
      <w:tr w:rsidR="00883552" w:rsidRPr="00B23482" w:rsidTr="00883552">
        <w:tc>
          <w:tcPr>
            <w:tcW w:w="1988" w:type="pct"/>
            <w:tcBorders>
              <w:top w:val="single" w:sz="4" w:space="0" w:color="auto"/>
              <w:left w:val="nil"/>
              <w:bottom w:val="single" w:sz="4" w:space="0" w:color="auto"/>
              <w:right w:val="nil"/>
            </w:tcBorders>
            <w:shd w:val="clear" w:color="auto" w:fill="DFE0DC"/>
          </w:tcPr>
          <w:p w:rsidR="00883552" w:rsidRPr="00B23482" w:rsidRDefault="00883552" w:rsidP="00883552">
            <w:pPr>
              <w:keepNext/>
              <w:spacing w:before="40" w:after="40"/>
              <w:jc w:val="center"/>
              <w:rPr>
                <w:sz w:val="18"/>
              </w:rPr>
            </w:pPr>
            <w:r w:rsidRPr="000B3C64">
              <w:rPr>
                <w:b/>
                <w:color w:val="000000" w:themeColor="text1"/>
                <w:sz w:val="18"/>
              </w:rPr>
              <w:t>Airport</w:t>
            </w:r>
          </w:p>
        </w:tc>
        <w:tc>
          <w:tcPr>
            <w:tcW w:w="1506" w:type="pct"/>
            <w:tcBorders>
              <w:top w:val="single" w:sz="4" w:space="0" w:color="auto"/>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Pr>
                <w:b/>
                <w:color w:val="000000" w:themeColor="text1"/>
                <w:sz w:val="18"/>
              </w:rPr>
              <w:t>Rating category 2014-15</w:t>
            </w:r>
          </w:p>
        </w:tc>
        <w:tc>
          <w:tcPr>
            <w:tcW w:w="1506" w:type="pct"/>
            <w:tcBorders>
              <w:top w:val="single" w:sz="4" w:space="0" w:color="auto"/>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Pr>
                <w:b/>
                <w:color w:val="000000" w:themeColor="text1"/>
                <w:sz w:val="18"/>
              </w:rPr>
              <w:t>1-year change</w:t>
            </w:r>
          </w:p>
        </w:tc>
      </w:tr>
      <w:tr w:rsidR="00883552" w:rsidRPr="00B23482" w:rsidTr="00883552">
        <w:tc>
          <w:tcPr>
            <w:tcW w:w="1988" w:type="pct"/>
            <w:tcBorders>
              <w:left w:val="nil"/>
              <w:bottom w:val="nil"/>
              <w:right w:val="nil"/>
            </w:tcBorders>
          </w:tcPr>
          <w:p w:rsidR="00883552" w:rsidRPr="00B23482" w:rsidRDefault="00883552" w:rsidP="00883552">
            <w:pPr>
              <w:keepNext/>
              <w:spacing w:before="40" w:after="40"/>
              <w:rPr>
                <w:sz w:val="18"/>
              </w:rPr>
            </w:pPr>
            <w:r>
              <w:rPr>
                <w:sz w:val="18"/>
              </w:rPr>
              <w:t>Brisbane Airport</w:t>
            </w:r>
          </w:p>
        </w:tc>
        <w:tc>
          <w:tcPr>
            <w:tcW w:w="1506" w:type="pct"/>
            <w:tcBorders>
              <w:left w:val="nil"/>
              <w:bottom w:val="nil"/>
              <w:right w:val="nil"/>
            </w:tcBorders>
          </w:tcPr>
          <w:p w:rsidR="00883552" w:rsidRPr="00B23482" w:rsidRDefault="00883552" w:rsidP="00883552">
            <w:pPr>
              <w:keepNext/>
              <w:spacing w:before="40" w:after="40"/>
              <w:jc w:val="right"/>
              <w:rPr>
                <w:sz w:val="18"/>
              </w:rPr>
            </w:pPr>
            <w:r>
              <w:rPr>
                <w:sz w:val="18"/>
              </w:rPr>
              <w:t>Satisfactory</w:t>
            </w:r>
          </w:p>
        </w:tc>
        <w:tc>
          <w:tcPr>
            <w:tcW w:w="1506" w:type="pct"/>
            <w:tcBorders>
              <w:left w:val="nil"/>
              <w:bottom w:val="nil"/>
              <w:right w:val="nil"/>
            </w:tcBorders>
          </w:tcPr>
          <w:p w:rsidR="00883552" w:rsidRPr="00B23482" w:rsidRDefault="00883552" w:rsidP="00883552">
            <w:pPr>
              <w:keepNext/>
              <w:spacing w:before="40" w:after="40"/>
              <w:jc w:val="right"/>
              <w:rPr>
                <w:sz w:val="18"/>
              </w:rPr>
            </w:pPr>
            <w:r w:rsidRPr="0001639B">
              <w:rPr>
                <w:rFonts w:cs="Arial"/>
                <w:color w:val="4BACC6"/>
                <w:sz w:val="16"/>
                <w:szCs w:val="16"/>
              </w:rPr>
              <w:t>▬</w:t>
            </w:r>
          </w:p>
        </w:tc>
      </w:tr>
      <w:tr w:rsidR="00883552" w:rsidRPr="00835B27" w:rsidTr="00883552">
        <w:tc>
          <w:tcPr>
            <w:tcW w:w="1988" w:type="pct"/>
            <w:tcBorders>
              <w:top w:val="nil"/>
              <w:left w:val="nil"/>
              <w:bottom w:val="nil"/>
              <w:right w:val="nil"/>
            </w:tcBorders>
          </w:tcPr>
          <w:p w:rsidR="00883552" w:rsidRPr="00B23482" w:rsidRDefault="00883552" w:rsidP="00883552">
            <w:pPr>
              <w:keepNext/>
              <w:spacing w:before="40" w:after="40"/>
              <w:rPr>
                <w:sz w:val="18"/>
              </w:rPr>
            </w:pPr>
            <w:r>
              <w:rPr>
                <w:sz w:val="18"/>
              </w:rPr>
              <w:t>Melbourne Airport</w:t>
            </w:r>
          </w:p>
        </w:tc>
        <w:tc>
          <w:tcPr>
            <w:tcW w:w="1506" w:type="pct"/>
            <w:tcBorders>
              <w:top w:val="nil"/>
              <w:left w:val="nil"/>
              <w:bottom w:val="nil"/>
              <w:right w:val="nil"/>
            </w:tcBorders>
          </w:tcPr>
          <w:p w:rsidR="00883552" w:rsidRPr="000B3C64" w:rsidRDefault="00883552" w:rsidP="00883552">
            <w:pPr>
              <w:keepNext/>
              <w:spacing w:before="40" w:after="40"/>
              <w:jc w:val="right"/>
              <w:rPr>
                <w:sz w:val="18"/>
              </w:rPr>
            </w:pPr>
            <w:r>
              <w:rPr>
                <w:sz w:val="18"/>
              </w:rPr>
              <w:t>Satisfactory</w:t>
            </w:r>
          </w:p>
        </w:tc>
        <w:tc>
          <w:tcPr>
            <w:tcW w:w="1506" w:type="pct"/>
            <w:tcBorders>
              <w:top w:val="nil"/>
              <w:left w:val="nil"/>
              <w:bottom w:val="nil"/>
              <w:right w:val="nil"/>
            </w:tcBorders>
          </w:tcPr>
          <w:p w:rsidR="00883552" w:rsidRPr="000F5CC5" w:rsidRDefault="00883552" w:rsidP="00883552">
            <w:pPr>
              <w:keepNext/>
              <w:spacing w:before="40" w:after="40"/>
              <w:jc w:val="right"/>
              <w:rPr>
                <w:color w:val="FF0000"/>
                <w:sz w:val="18"/>
              </w:rPr>
            </w:pPr>
            <w:r w:rsidRPr="0001639B">
              <w:rPr>
                <w:rFonts w:eastAsia="Times New Roman" w:cs="Times New Roman"/>
                <w:color w:val="943634"/>
                <w:sz w:val="16"/>
                <w:szCs w:val="24"/>
                <w:lang w:eastAsia="en-AU"/>
              </w:rPr>
              <w:t>▲</w:t>
            </w:r>
            <w:r w:rsidRPr="000F5CC5">
              <w:rPr>
                <w:rFonts w:eastAsia="Times New Roman" w:cs="Times New Roman"/>
                <w:sz w:val="16"/>
                <w:szCs w:val="24"/>
                <w:lang w:eastAsia="en-AU"/>
              </w:rPr>
              <w:t>*</w:t>
            </w:r>
          </w:p>
        </w:tc>
      </w:tr>
      <w:tr w:rsidR="00883552" w:rsidRPr="00835B27" w:rsidTr="00883552">
        <w:tc>
          <w:tcPr>
            <w:tcW w:w="1988" w:type="pct"/>
            <w:tcBorders>
              <w:top w:val="nil"/>
              <w:left w:val="nil"/>
              <w:bottom w:val="nil"/>
              <w:right w:val="nil"/>
            </w:tcBorders>
          </w:tcPr>
          <w:p w:rsidR="00883552" w:rsidRPr="000B3C64" w:rsidRDefault="00883552" w:rsidP="00883552">
            <w:pPr>
              <w:keepNext/>
              <w:spacing w:before="40" w:after="40"/>
              <w:rPr>
                <w:color w:val="000000" w:themeColor="text1"/>
                <w:sz w:val="18"/>
              </w:rPr>
            </w:pPr>
            <w:r w:rsidRPr="000B3C64">
              <w:rPr>
                <w:color w:val="000000" w:themeColor="text1"/>
                <w:sz w:val="18"/>
              </w:rPr>
              <w:t xml:space="preserve">Perth Airport </w:t>
            </w:r>
          </w:p>
        </w:tc>
        <w:tc>
          <w:tcPr>
            <w:tcW w:w="1506" w:type="pct"/>
            <w:tcBorders>
              <w:top w:val="nil"/>
              <w:left w:val="nil"/>
              <w:bottom w:val="nil"/>
              <w:right w:val="nil"/>
            </w:tcBorders>
          </w:tcPr>
          <w:p w:rsidR="00883552" w:rsidRPr="000F5CC5" w:rsidRDefault="00883552" w:rsidP="00883552">
            <w:pPr>
              <w:keepNext/>
              <w:spacing w:before="40" w:after="40"/>
              <w:jc w:val="right"/>
              <w:rPr>
                <w:b/>
                <w:sz w:val="18"/>
              </w:rPr>
            </w:pPr>
            <w:r w:rsidRPr="000F5CC5">
              <w:rPr>
                <w:sz w:val="18"/>
              </w:rPr>
              <w:t>Poor</w:t>
            </w:r>
          </w:p>
        </w:tc>
        <w:tc>
          <w:tcPr>
            <w:tcW w:w="1506" w:type="pct"/>
            <w:tcBorders>
              <w:top w:val="nil"/>
              <w:left w:val="nil"/>
              <w:bottom w:val="nil"/>
              <w:right w:val="nil"/>
            </w:tcBorders>
          </w:tcPr>
          <w:p w:rsidR="00883552" w:rsidRPr="000F5CC5" w:rsidRDefault="00883552" w:rsidP="00883552">
            <w:pPr>
              <w:keepNext/>
              <w:spacing w:before="40" w:after="40"/>
              <w:jc w:val="right"/>
              <w:rPr>
                <w:b/>
                <w:sz w:val="18"/>
              </w:rPr>
            </w:pPr>
            <w:r w:rsidRPr="0001639B">
              <w:rPr>
                <w:rFonts w:eastAsia="Times New Roman" w:cs="Times New Roman"/>
                <w:color w:val="F79646"/>
                <w:sz w:val="16"/>
                <w:szCs w:val="24"/>
                <w:lang w:eastAsia="en-AU"/>
              </w:rPr>
              <w:t>▼</w:t>
            </w:r>
            <w:r w:rsidRPr="000F5CC5">
              <w:rPr>
                <w:rFonts w:eastAsia="Times New Roman" w:cs="Times New Roman"/>
                <w:sz w:val="16"/>
                <w:szCs w:val="24"/>
                <w:lang w:eastAsia="en-AU"/>
              </w:rPr>
              <w:t>*</w:t>
            </w:r>
          </w:p>
        </w:tc>
      </w:tr>
      <w:tr w:rsidR="00883552" w:rsidRPr="00835B27" w:rsidTr="00883552">
        <w:tc>
          <w:tcPr>
            <w:tcW w:w="1988" w:type="pct"/>
            <w:tcBorders>
              <w:top w:val="nil"/>
              <w:left w:val="nil"/>
              <w:bottom w:val="single" w:sz="4" w:space="0" w:color="auto"/>
              <w:right w:val="nil"/>
            </w:tcBorders>
          </w:tcPr>
          <w:p w:rsidR="00883552" w:rsidRPr="000B3C64" w:rsidRDefault="00883552" w:rsidP="00883552">
            <w:pPr>
              <w:keepNext/>
              <w:spacing w:before="40" w:after="40"/>
              <w:rPr>
                <w:color w:val="000000" w:themeColor="text1"/>
                <w:sz w:val="18"/>
              </w:rPr>
            </w:pPr>
            <w:r w:rsidRPr="000B3C64">
              <w:rPr>
                <w:color w:val="000000" w:themeColor="text1"/>
                <w:sz w:val="18"/>
              </w:rPr>
              <w:t>Sydney Airport</w:t>
            </w:r>
          </w:p>
        </w:tc>
        <w:tc>
          <w:tcPr>
            <w:tcW w:w="1506" w:type="pct"/>
            <w:tcBorders>
              <w:top w:val="nil"/>
              <w:left w:val="nil"/>
              <w:bottom w:val="single" w:sz="4" w:space="0" w:color="auto"/>
              <w:right w:val="nil"/>
            </w:tcBorders>
            <w:vAlign w:val="center"/>
          </w:tcPr>
          <w:p w:rsidR="00883552" w:rsidRPr="000B3C64" w:rsidRDefault="00883552" w:rsidP="00883552">
            <w:pPr>
              <w:keepNext/>
              <w:spacing w:before="40" w:after="40"/>
              <w:jc w:val="right"/>
              <w:rPr>
                <w:sz w:val="18"/>
              </w:rPr>
            </w:pPr>
            <w:r w:rsidRPr="000B3C64">
              <w:rPr>
                <w:sz w:val="18"/>
              </w:rPr>
              <w:t xml:space="preserve">Good </w:t>
            </w:r>
          </w:p>
        </w:tc>
        <w:tc>
          <w:tcPr>
            <w:tcW w:w="1506" w:type="pct"/>
            <w:tcBorders>
              <w:top w:val="nil"/>
              <w:left w:val="nil"/>
              <w:bottom w:val="single" w:sz="4" w:space="0" w:color="auto"/>
              <w:right w:val="nil"/>
            </w:tcBorders>
            <w:vAlign w:val="center"/>
          </w:tcPr>
          <w:p w:rsidR="00883552" w:rsidRPr="000F5CC5" w:rsidRDefault="00883552" w:rsidP="00883552">
            <w:pPr>
              <w:keepNext/>
              <w:spacing w:before="40" w:after="40"/>
              <w:jc w:val="right"/>
              <w:rPr>
                <w:b/>
                <w:color w:val="FF0000"/>
                <w:sz w:val="18"/>
              </w:rPr>
            </w:pPr>
            <w:r w:rsidRPr="0001639B">
              <w:rPr>
                <w:rFonts w:eastAsia="Times New Roman" w:cs="Times New Roman"/>
                <w:color w:val="943634"/>
                <w:sz w:val="16"/>
                <w:szCs w:val="24"/>
                <w:lang w:eastAsia="en-AU"/>
              </w:rPr>
              <w:t>▲</w:t>
            </w:r>
            <w:r w:rsidRPr="000F5CC5">
              <w:rPr>
                <w:rFonts w:eastAsia="Times New Roman" w:cs="Times New Roman"/>
                <w:sz w:val="16"/>
                <w:szCs w:val="24"/>
                <w:lang w:eastAsia="en-AU"/>
              </w:rPr>
              <w:t>*</w:t>
            </w:r>
          </w:p>
        </w:tc>
      </w:tr>
    </w:tbl>
    <w:p w:rsidR="00883552" w:rsidRPr="0001639B" w:rsidRDefault="00883552" w:rsidP="00861426">
      <w:pPr>
        <w:pStyle w:val="Sourceandnotes"/>
      </w:pPr>
      <w:r w:rsidRPr="0001639B">
        <w:t>Source:</w:t>
      </w:r>
      <w:r w:rsidRPr="0001639B">
        <w:tab/>
        <w:t>Passenger surveys</w:t>
      </w:r>
    </w:p>
    <w:p w:rsidR="00883552" w:rsidRPr="0001639B" w:rsidRDefault="00883552" w:rsidP="00883552">
      <w:pPr>
        <w:keepNext/>
        <w:spacing w:before="120"/>
        <w:ind w:left="720" w:hanging="720"/>
        <w:contextualSpacing/>
      </w:pPr>
      <w:r w:rsidRPr="0001639B">
        <w:rPr>
          <w:sz w:val="16"/>
          <w:szCs w:val="16"/>
        </w:rPr>
        <w:t>Note:</w:t>
      </w:r>
      <w:r w:rsidRPr="0001639B">
        <w:rPr>
          <w:sz w:val="16"/>
          <w:szCs w:val="16"/>
        </w:rPr>
        <w:tab/>
        <w:t>The rating categories are: very poor, poor, satisfactory, good, and excellent.</w:t>
      </w:r>
      <w:r w:rsidRPr="0001639B">
        <w:rPr>
          <w:sz w:val="16"/>
          <w:szCs w:val="16"/>
        </w:rPr>
        <w:br/>
        <w:t xml:space="preserve">For each indicator for the period specified: </w:t>
      </w:r>
      <w:r w:rsidRPr="0001639B">
        <w:rPr>
          <w:rFonts w:eastAsia="Times New Roman" w:cs="Times New Roman"/>
          <w:color w:val="943634"/>
          <w:sz w:val="16"/>
          <w:szCs w:val="24"/>
          <w:lang w:eastAsia="en-AU"/>
        </w:rPr>
        <w:t>▲</w:t>
      </w:r>
      <w:r w:rsidRPr="0001639B">
        <w:rPr>
          <w:rFonts w:eastAsia="Times New Roman" w:cs="Times New Roman"/>
          <w:color w:val="943634"/>
          <w:sz w:val="18"/>
          <w:szCs w:val="24"/>
          <w:lang w:eastAsia="en-AU"/>
        </w:rPr>
        <w:t xml:space="preserve"> </w:t>
      </w:r>
      <w:r w:rsidRPr="0001639B">
        <w:rPr>
          <w:sz w:val="16"/>
          <w:szCs w:val="16"/>
        </w:rPr>
        <w:t>indicates an improvement;</w:t>
      </w:r>
      <w:r w:rsidRPr="0001639B">
        <w:rPr>
          <w:rFonts w:eastAsia="Times New Roman" w:cs="Times New Roman"/>
          <w:color w:val="943634"/>
          <w:sz w:val="18"/>
          <w:szCs w:val="24"/>
          <w:lang w:eastAsia="en-AU"/>
        </w:rPr>
        <w:t xml:space="preserve"> </w:t>
      </w:r>
      <w:r w:rsidRPr="0001639B">
        <w:rPr>
          <w:rFonts w:eastAsia="Times New Roman" w:cs="Times New Roman"/>
          <w:color w:val="F79646"/>
          <w:sz w:val="16"/>
          <w:szCs w:val="24"/>
          <w:lang w:eastAsia="en-AU"/>
        </w:rPr>
        <w:t xml:space="preserve">▼ </w:t>
      </w:r>
      <w:r w:rsidRPr="0001639B">
        <w:rPr>
          <w:sz w:val="16"/>
          <w:szCs w:val="16"/>
        </w:rPr>
        <w:t>indicates a decline;</w:t>
      </w:r>
      <w:r w:rsidRPr="0001639B">
        <w:rPr>
          <w:rFonts w:eastAsia="Times New Roman" w:cs="Times New Roman"/>
          <w:color w:val="F79646"/>
          <w:sz w:val="16"/>
          <w:szCs w:val="24"/>
          <w:lang w:eastAsia="en-AU"/>
        </w:rPr>
        <w:t xml:space="preserve"> </w:t>
      </w:r>
      <w:r w:rsidRPr="0001639B">
        <w:rPr>
          <w:rFonts w:cs="Arial"/>
          <w:color w:val="4BACC6"/>
          <w:sz w:val="16"/>
          <w:szCs w:val="16"/>
        </w:rPr>
        <w:t>▬</w:t>
      </w:r>
      <w:r w:rsidRPr="0001639B">
        <w:rPr>
          <w:sz w:val="16"/>
          <w:szCs w:val="16"/>
        </w:rPr>
        <w:t xml:space="preserve"> indicates no change. *Rating changed by a category over the period.</w:t>
      </w:r>
    </w:p>
    <w:p w:rsidR="00883552" w:rsidRDefault="00883552" w:rsidP="00114E05">
      <w:pPr>
        <w:pStyle w:val="Numberedheading2"/>
      </w:pPr>
      <w:r>
        <w:t>Key activity results for aeronautical services</w:t>
      </w:r>
    </w:p>
    <w:p w:rsidR="00883552" w:rsidRDefault="00883552" w:rsidP="00883552">
      <w:pPr>
        <w:keepNext/>
      </w:pPr>
      <w:r>
        <w:t>This section presents data on passenger volumes (section 1.4.1) and aircraft movements (section 1.4.2).</w:t>
      </w:r>
    </w:p>
    <w:p w:rsidR="00883552" w:rsidRDefault="00883552" w:rsidP="00883552">
      <w:pPr>
        <w:pStyle w:val="Numberedheading3"/>
        <w:tabs>
          <w:tab w:val="clear" w:pos="1384"/>
          <w:tab w:val="num" w:pos="993"/>
        </w:tabs>
        <w:ind w:left="993" w:hanging="993"/>
      </w:pPr>
      <w:r>
        <w:t>Passenger volumes</w:t>
      </w:r>
    </w:p>
    <w:p w:rsidR="00883552" w:rsidRDefault="00883552" w:rsidP="00883552">
      <w:pPr>
        <w:keepNext/>
      </w:pPr>
      <w:r>
        <w:t>Total passenger numbers increased by 1.5 per cent across the monitored airports and totalled 108.6 million passengers during 2014-15. Domestic passenger growth was subdued at 0.7 per cent while international passenger growth was 3.7 per cent and was the driver of the overall passenger aggregate growth for 2014-15.</w:t>
      </w:r>
    </w:p>
    <w:p w:rsidR="00883552" w:rsidRDefault="00883552" w:rsidP="00883552">
      <w:pPr>
        <w:keepNext/>
      </w:pPr>
      <w:r>
        <w:t>Chart 1.4.1 presents total passenger numbers for each airport since 2004-05. Perth Airport was the only airport to report an overall decrease in passenger numbers in 2014-15, declining by 1.0 per cent. This is the first overall decrease in passenger counts for Perth Airport since 2001</w:t>
      </w:r>
      <w:r>
        <w:noBreakHyphen/>
        <w:t xml:space="preserve">02. </w:t>
      </w:r>
    </w:p>
    <w:p w:rsidR="00883552" w:rsidRDefault="00883552" w:rsidP="00883552">
      <w:pPr>
        <w:keepNext/>
      </w:pPr>
      <w:r>
        <w:t xml:space="preserve">For the second year in a row, Melbourne airport reported the largest increase in passengers with a rise of 3.6 per cent to 32.3 million passengers during 2014-15. Growth in international passengers of 7.7 per cent was the driver for Melbourne Airport’s passenger increase.  </w:t>
      </w:r>
    </w:p>
    <w:p w:rsidR="00883552" w:rsidRDefault="00883552" w:rsidP="00883552">
      <w:pPr>
        <w:keepNext/>
      </w:pPr>
      <w:r>
        <w:t>Although Sydney Airport continues to report the largest numbers of passengers with 39.2 million during 2014-15, its dominance as a passenger destination is diminishing. In 2004</w:t>
      </w:r>
      <w:r>
        <w:noBreakHyphen/>
        <w:t>05, Sydney Airport’s total passenger count was 38.9 per cent greater than Melbourne Airport which reported the second highest count. However, this percentage difference had dropped to 21.3 per cent by 2014-15.</w:t>
      </w:r>
    </w:p>
    <w:p w:rsidR="00883552" w:rsidRDefault="00883552" w:rsidP="00883552">
      <w:pPr>
        <w:pStyle w:val="Numberedcharttitle"/>
      </w:pPr>
    </w:p>
    <w:p w:rsidR="00883552" w:rsidRDefault="00883552" w:rsidP="00883552">
      <w:pPr>
        <w:pStyle w:val="Numberedcharttitle"/>
      </w:pPr>
      <w:r>
        <w:lastRenderedPageBreak/>
        <w:t>Chart 1.4.1:</w:t>
      </w:r>
      <w:r>
        <w:tab/>
        <w:t>Volume of passengers: 2004</w:t>
      </w:r>
      <w:r>
        <w:noBreakHyphen/>
        <w:t>05 to 2014</w:t>
      </w:r>
      <w:r>
        <w:noBreakHyphen/>
        <w:t>15</w:t>
      </w:r>
    </w:p>
    <w:p w:rsidR="00883552" w:rsidRDefault="00883552" w:rsidP="00883552">
      <w:pPr>
        <w:keepNext/>
      </w:pPr>
      <w:r w:rsidRPr="00341574">
        <w:rPr>
          <w:noProof/>
          <w:lang w:eastAsia="en-AU"/>
        </w:rPr>
        <w:drawing>
          <wp:inline distT="0" distB="0" distL="0" distR="0" wp14:anchorId="76684DCF" wp14:editId="1A7DFC88">
            <wp:extent cx="5367130" cy="2949934"/>
            <wp:effectExtent l="0" t="0" r="5080" b="31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4480" cy="2948477"/>
                    </a:xfrm>
                    <a:prstGeom prst="rect">
                      <a:avLst/>
                    </a:prstGeom>
                    <a:noFill/>
                    <a:ln>
                      <a:noFill/>
                    </a:ln>
                  </pic:spPr>
                </pic:pic>
              </a:graphicData>
            </a:graphic>
          </wp:inline>
        </w:drawing>
      </w:r>
    </w:p>
    <w:p w:rsidR="00883552" w:rsidRDefault="00883552" w:rsidP="00883552">
      <w:pPr>
        <w:pStyle w:val="Numberedheading3"/>
        <w:tabs>
          <w:tab w:val="clear" w:pos="1384"/>
          <w:tab w:val="num" w:pos="993"/>
        </w:tabs>
        <w:ind w:left="993" w:hanging="993"/>
      </w:pPr>
      <w:r>
        <w:t xml:space="preserve">Aircraft movements </w:t>
      </w:r>
    </w:p>
    <w:p w:rsidR="00883552" w:rsidRDefault="00883552" w:rsidP="00883552">
      <w:pPr>
        <w:keepNext/>
      </w:pPr>
      <w:r>
        <w:t>Aircraft movements across the monitored airports decreased by 0.4 per cent to 925 022 in 2014-15. The main driver for this decrease was the drop in general aviation</w:t>
      </w:r>
      <w:r>
        <w:rPr>
          <w:rStyle w:val="FootnoteReference"/>
        </w:rPr>
        <w:footnoteReference w:id="25"/>
      </w:r>
      <w:r>
        <w:t xml:space="preserve"> aircraft movements by 5.8 per cent. Total domestic and international aircraft movements had slight increases of 0.2 per cent each.   </w:t>
      </w:r>
    </w:p>
    <w:p w:rsidR="00883552" w:rsidRDefault="00883552" w:rsidP="00883552">
      <w:pPr>
        <w:keepNext/>
      </w:pPr>
      <w:r>
        <w:t xml:space="preserve">Brisbane and Perth Airports both reported decreases in domestic aircraft movements of 1.0 and 0.7 per cent respectively. Melbourne Airport reported strong growth in international aircraft movements of 5.4 per cent while Perth and Sydney Airports had decreases of 5.4 and 1.5 per cent respectively. The overall decrease in general aviation aircraft movements was driven by Perth and Brisbane airports with reported falls of 18.7 and 5.3 per cent respectively. </w:t>
      </w:r>
    </w:p>
    <w:p w:rsidR="00883552" w:rsidRDefault="00883552" w:rsidP="00883552">
      <w:pPr>
        <w:keepNext/>
      </w:pPr>
      <w:r>
        <w:t>Aircraft movement data should be interpreted with caution when used as an indicator of an airport’s size, capacity and growth. Changes in aircraft size and configuration over time have resulted in greater numbers of passengers per flight. Further, the increasing number of low-cost carriers is another factor as they generally carry a higher number of passengers per flight.</w:t>
      </w:r>
    </w:p>
    <w:tbl>
      <w:tblPr>
        <w:tblStyle w:val="TableGrid"/>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shd w:val="clear" w:color="auto" w:fill="DEE9EE"/>
        <w:tblLook w:val="04A0" w:firstRow="1" w:lastRow="0" w:firstColumn="1" w:lastColumn="0" w:noHBand="0" w:noVBand="1"/>
      </w:tblPr>
      <w:tblGrid>
        <w:gridCol w:w="8664"/>
      </w:tblGrid>
      <w:tr w:rsidR="00883552" w:rsidTr="00883552">
        <w:tc>
          <w:tcPr>
            <w:tcW w:w="8664" w:type="dxa"/>
            <w:shd w:val="clear" w:color="auto" w:fill="DEE9EE"/>
          </w:tcPr>
          <w:p w:rsidR="00883552" w:rsidRPr="004B76F1" w:rsidRDefault="00883552" w:rsidP="00883552">
            <w:pPr>
              <w:keepNext/>
              <w:tabs>
                <w:tab w:val="left" w:pos="1037"/>
              </w:tabs>
              <w:spacing w:before="60"/>
              <w:jc w:val="center"/>
              <w:rPr>
                <w:b/>
                <w:bCs/>
                <w:i/>
                <w:color w:val="17365D" w:themeColor="text2" w:themeShade="BF"/>
                <w:sz w:val="22"/>
              </w:rPr>
            </w:pPr>
            <w:r w:rsidRPr="004B76F1">
              <w:rPr>
                <w:b/>
                <w:bCs/>
                <w:i/>
                <w:color w:val="17365D" w:themeColor="text2" w:themeShade="BF"/>
                <w:sz w:val="22"/>
              </w:rPr>
              <w:t>Aeronautical investments and congestion</w:t>
            </w:r>
          </w:p>
          <w:p w:rsidR="00883552" w:rsidRPr="006A52B8" w:rsidRDefault="00883552" w:rsidP="00883552">
            <w:pPr>
              <w:keepNext/>
              <w:tabs>
                <w:tab w:val="left" w:pos="1037"/>
              </w:tabs>
              <w:spacing w:before="60"/>
              <w:rPr>
                <w:color w:val="17365D" w:themeColor="text2" w:themeShade="BF"/>
              </w:rPr>
            </w:pPr>
            <w:r w:rsidRPr="006A52B8">
              <w:rPr>
                <w:color w:val="17365D" w:themeColor="text2" w:themeShade="BF"/>
              </w:rPr>
              <w:t xml:space="preserve">The ACCC has outlined in prior airport </w:t>
            </w:r>
            <w:r w:rsidRPr="006A52B8">
              <w:rPr>
                <w:bCs/>
                <w:color w:val="17365D" w:themeColor="text2" w:themeShade="BF"/>
              </w:rPr>
              <w:t>monitoring</w:t>
            </w:r>
            <w:r w:rsidRPr="006A52B8">
              <w:rPr>
                <w:color w:val="17365D" w:themeColor="text2" w:themeShade="BF"/>
              </w:rPr>
              <w:t xml:space="preserve"> reports that it was not clear that airports had invested in a way that added sufficient capacity to avoid congestion or accommodate forecast growth.</w:t>
            </w:r>
            <w:r w:rsidRPr="006A52B8">
              <w:rPr>
                <w:color w:val="17365D" w:themeColor="text2" w:themeShade="BF"/>
                <w:vertAlign w:val="superscript"/>
              </w:rPr>
              <w:footnoteReference w:id="26"/>
            </w:r>
            <w:r w:rsidRPr="006A52B8">
              <w:rPr>
                <w:color w:val="17365D" w:themeColor="text2" w:themeShade="BF"/>
              </w:rPr>
              <w:t xml:space="preserve"> Continued growth in passengers and aircraft movements had appeared to place pressure on existing aeronautical assets at a number of monitored airports. One example of this pressure was the degradation of domestic airline on</w:t>
            </w:r>
            <w:r w:rsidRPr="006A52B8">
              <w:rPr>
                <w:color w:val="17365D" w:themeColor="text2" w:themeShade="BF"/>
              </w:rPr>
              <w:noBreakHyphen/>
              <w:t>time performance across the airports.</w:t>
            </w:r>
            <w:r w:rsidRPr="006A52B8">
              <w:rPr>
                <w:color w:val="17365D" w:themeColor="text2" w:themeShade="BF"/>
                <w:vertAlign w:val="superscript"/>
              </w:rPr>
              <w:footnoteReference w:id="27"/>
            </w:r>
            <w:r w:rsidRPr="006A52B8">
              <w:rPr>
                <w:color w:val="17365D" w:themeColor="text2" w:themeShade="BF"/>
              </w:rPr>
              <w:t xml:space="preserve"> </w:t>
            </w:r>
          </w:p>
          <w:p w:rsidR="00883552" w:rsidRDefault="00883552" w:rsidP="00883552">
            <w:pPr>
              <w:keepNext/>
              <w:tabs>
                <w:tab w:val="left" w:pos="1037"/>
              </w:tabs>
              <w:spacing w:before="60"/>
              <w:rPr>
                <w:color w:val="17365D" w:themeColor="text2" w:themeShade="BF"/>
              </w:rPr>
            </w:pPr>
            <w:r w:rsidRPr="006A52B8">
              <w:rPr>
                <w:color w:val="17365D" w:themeColor="text2" w:themeShade="BF"/>
              </w:rPr>
              <w:t>However, there have been improvements in domestic airline on</w:t>
            </w:r>
            <w:r w:rsidRPr="006A52B8">
              <w:rPr>
                <w:color w:val="17365D" w:themeColor="text2" w:themeShade="BF"/>
              </w:rPr>
              <w:noBreakHyphen/>
              <w:t xml:space="preserve">time performance over the past </w:t>
            </w:r>
            <w:r w:rsidRPr="006A52B8">
              <w:rPr>
                <w:color w:val="17365D" w:themeColor="text2" w:themeShade="BF"/>
              </w:rPr>
              <w:lastRenderedPageBreak/>
              <w:t>two years. In particular, the average proportion of arrivals and departures that were on-time in 2014</w:t>
            </w:r>
            <w:r w:rsidRPr="006A52B8">
              <w:rPr>
                <w:color w:val="17365D" w:themeColor="text2" w:themeShade="BF"/>
              </w:rPr>
              <w:noBreakHyphen/>
              <w:t>15 was the highest since 2006</w:t>
            </w:r>
            <w:r w:rsidRPr="006A52B8">
              <w:rPr>
                <w:color w:val="17365D" w:themeColor="text2" w:themeShade="BF"/>
              </w:rPr>
              <w:noBreakHyphen/>
              <w:t>07.</w:t>
            </w:r>
            <w:r>
              <w:rPr>
                <w:color w:val="17365D" w:themeColor="text2" w:themeShade="BF"/>
              </w:rPr>
              <w:t xml:space="preserve"> Chart 1 presents data on domestic the number of flight arrivals and those arrival flights that were on-time for the period June 2005 till June 2015.</w:t>
            </w:r>
          </w:p>
          <w:p w:rsidR="00883552" w:rsidRPr="00080FD2" w:rsidRDefault="00883552" w:rsidP="00883552">
            <w:pPr>
              <w:keepNext/>
              <w:tabs>
                <w:tab w:val="left" w:pos="1327"/>
              </w:tabs>
              <w:spacing w:after="0" w:line="276" w:lineRule="auto"/>
              <w:ind w:left="1134" w:hanging="1134"/>
              <w:rPr>
                <w:b/>
                <w:color w:val="17365D" w:themeColor="text2" w:themeShade="BF"/>
              </w:rPr>
            </w:pPr>
            <w:r w:rsidRPr="00080FD2">
              <w:rPr>
                <w:b/>
                <w:color w:val="17365D" w:themeColor="text2" w:themeShade="BF"/>
              </w:rPr>
              <w:t xml:space="preserve">Chart </w:t>
            </w:r>
            <w:r>
              <w:rPr>
                <w:b/>
                <w:color w:val="17365D" w:themeColor="text2" w:themeShade="BF"/>
              </w:rPr>
              <w:t>1</w:t>
            </w:r>
            <w:r w:rsidRPr="00080FD2">
              <w:rPr>
                <w:b/>
                <w:color w:val="17365D" w:themeColor="text2" w:themeShade="BF"/>
              </w:rPr>
              <w:t>:</w:t>
            </w:r>
            <w:r w:rsidRPr="00080FD2">
              <w:rPr>
                <w:b/>
                <w:color w:val="17365D" w:themeColor="text2" w:themeShade="BF"/>
              </w:rPr>
              <w:tab/>
              <w:t>Monitored airports—number of domestic flights and the proportion of flights                                                                               on</w:t>
            </w:r>
            <w:r w:rsidRPr="00080FD2">
              <w:rPr>
                <w:b/>
                <w:color w:val="17365D" w:themeColor="text2" w:themeShade="BF"/>
              </w:rPr>
              <w:noBreakHyphen/>
              <w:t>time, June 2005 to June 2015</w:t>
            </w:r>
          </w:p>
          <w:p w:rsidR="00883552" w:rsidRDefault="00883552" w:rsidP="00883552">
            <w:pPr>
              <w:keepNext/>
              <w:tabs>
                <w:tab w:val="left" w:pos="1037"/>
              </w:tabs>
              <w:spacing w:before="60"/>
              <w:rPr>
                <w:color w:val="17365D" w:themeColor="text2" w:themeShade="BF"/>
              </w:rPr>
            </w:pPr>
            <w:r>
              <w:rPr>
                <w:noProof/>
                <w:color w:val="17365D" w:themeColor="text2" w:themeShade="BF"/>
                <w:lang w:eastAsia="en-AU"/>
              </w:rPr>
              <w:drawing>
                <wp:inline distT="0" distB="0" distL="0" distR="0" wp14:anchorId="6E4DAA52" wp14:editId="348BFF7B">
                  <wp:extent cx="5359400" cy="3482975"/>
                  <wp:effectExtent l="0" t="0" r="0" b="317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9400" cy="3482975"/>
                          </a:xfrm>
                          <a:prstGeom prst="rect">
                            <a:avLst/>
                          </a:prstGeom>
                          <a:noFill/>
                          <a:ln>
                            <a:noFill/>
                          </a:ln>
                        </pic:spPr>
                      </pic:pic>
                    </a:graphicData>
                  </a:graphic>
                </wp:inline>
              </w:drawing>
            </w:r>
          </w:p>
          <w:p w:rsidR="00883552" w:rsidRPr="00080FD2" w:rsidRDefault="00883552" w:rsidP="00883552">
            <w:pPr>
              <w:keepNext/>
              <w:tabs>
                <w:tab w:val="left" w:pos="1037"/>
              </w:tabs>
              <w:spacing w:before="60"/>
              <w:ind w:left="993" w:hanging="993"/>
              <w:rPr>
                <w:color w:val="17365D" w:themeColor="text2" w:themeShade="BF"/>
                <w:sz w:val="16"/>
                <w:szCs w:val="16"/>
                <w:highlight w:val="yellow"/>
              </w:rPr>
            </w:pPr>
            <w:r w:rsidRPr="00080FD2">
              <w:rPr>
                <w:color w:val="17365D" w:themeColor="text2" w:themeShade="BF"/>
                <w:sz w:val="16"/>
                <w:szCs w:val="16"/>
              </w:rPr>
              <w:t>Source:</w:t>
            </w:r>
            <w:r w:rsidRPr="00080FD2">
              <w:rPr>
                <w:color w:val="17365D" w:themeColor="text2" w:themeShade="BF"/>
                <w:sz w:val="16"/>
                <w:szCs w:val="16"/>
              </w:rPr>
              <w:tab/>
              <w:t>Bureau of Infrastructure, Transport and Regional Economics, Domestic airline on time performance monthly reports, June 2015</w:t>
            </w:r>
          </w:p>
          <w:p w:rsidR="00883552" w:rsidRPr="006A52B8" w:rsidRDefault="00883552" w:rsidP="00883552">
            <w:pPr>
              <w:keepNext/>
              <w:rPr>
                <w:color w:val="17365D" w:themeColor="text2" w:themeShade="BF"/>
              </w:rPr>
            </w:pPr>
            <w:r w:rsidRPr="006A52B8">
              <w:rPr>
                <w:color w:val="17365D" w:themeColor="text2" w:themeShade="BF"/>
              </w:rPr>
              <w:t>There may be a number of reasons for the improvement in airline on-time performance</w:t>
            </w:r>
            <w:r>
              <w:rPr>
                <w:color w:val="17365D" w:themeColor="text2" w:themeShade="BF"/>
              </w:rPr>
              <w:t>, with airport congestion, airlines performance, weather and passengers themselves all playing a role</w:t>
            </w:r>
            <w:r w:rsidRPr="006A52B8">
              <w:rPr>
                <w:color w:val="17365D" w:themeColor="text2" w:themeShade="BF"/>
              </w:rPr>
              <w:t>. Lower growth in the number of flights may have helped with aircraft on-time performance. Total domestic aircraft movements had a relatively small increase in 2013-14 of 1.3 per cent and just 0.2 percent in 2014-15. However, total general aviation movements showed decreases of 5.2</w:t>
            </w:r>
            <w:r>
              <w:rPr>
                <w:color w:val="17365D" w:themeColor="text2" w:themeShade="BF"/>
              </w:rPr>
              <w:t> </w:t>
            </w:r>
            <w:r w:rsidRPr="006A52B8">
              <w:rPr>
                <w:color w:val="17365D" w:themeColor="text2" w:themeShade="BF"/>
              </w:rPr>
              <w:t>per cent in 2013-14 and 5.8 per cent in 2014-15.</w:t>
            </w:r>
            <w:r w:rsidRPr="006A52B8">
              <w:rPr>
                <w:color w:val="17365D" w:themeColor="text2" w:themeShade="BF"/>
                <w:vertAlign w:val="superscript"/>
              </w:rPr>
              <w:footnoteReference w:id="28"/>
            </w:r>
            <w:r w:rsidRPr="006A52B8">
              <w:rPr>
                <w:color w:val="17365D" w:themeColor="text2" w:themeShade="BF"/>
              </w:rPr>
              <w:t xml:space="preserve"> </w:t>
            </w:r>
          </w:p>
          <w:p w:rsidR="00883552" w:rsidRPr="006A52B8" w:rsidRDefault="00883552" w:rsidP="00883552">
            <w:pPr>
              <w:keepNext/>
              <w:rPr>
                <w:color w:val="17365D" w:themeColor="text2" w:themeShade="BF"/>
              </w:rPr>
            </w:pPr>
            <w:r w:rsidRPr="006A52B8">
              <w:rPr>
                <w:color w:val="17365D" w:themeColor="text2" w:themeShade="BF"/>
              </w:rPr>
              <w:t>The airports have also been undertaking significant capital expansion with aeronautical assets, which may also partly explain the recent improvements in domestic airline on</w:t>
            </w:r>
            <w:r w:rsidRPr="006A52B8">
              <w:rPr>
                <w:color w:val="17365D" w:themeColor="text2" w:themeShade="BF"/>
              </w:rPr>
              <w:noBreakHyphen/>
              <w:t>time performance. In particular, three of the four monitored airports reported their largest annual additions to aeronautical assets in real terms since privatisation during 2014</w:t>
            </w:r>
            <w:r w:rsidRPr="006A52B8">
              <w:rPr>
                <w:color w:val="17365D" w:themeColor="text2" w:themeShade="BF"/>
              </w:rPr>
              <w:noBreakHyphen/>
              <w:t>15. The total additions to aeronautical assets across the monitored airports totalled almost $1.2 billion for 2014</w:t>
            </w:r>
            <w:r w:rsidRPr="006A52B8">
              <w:rPr>
                <w:color w:val="17365D" w:themeColor="text2" w:themeShade="BF"/>
              </w:rPr>
              <w:noBreakHyphen/>
              <w:t xml:space="preserve">15. Further, total additions to aeronautical assets were around $907 million in 2013-14. This represents the largest additions since 2004-05. </w:t>
            </w:r>
          </w:p>
          <w:p w:rsidR="00883552" w:rsidRPr="006A52B8" w:rsidRDefault="00883552" w:rsidP="00883552">
            <w:pPr>
              <w:keepNext/>
              <w:spacing w:before="60"/>
              <w:outlineLvl w:val="3"/>
              <w:rPr>
                <w:rFonts w:cstheme="majorBidi"/>
                <w:bCs/>
                <w:color w:val="17365D" w:themeColor="text2" w:themeShade="BF"/>
                <w:szCs w:val="20"/>
              </w:rPr>
            </w:pPr>
            <w:r w:rsidRPr="006A52B8">
              <w:rPr>
                <w:rFonts w:cstheme="majorBidi"/>
                <w:bCs/>
                <w:color w:val="17365D" w:themeColor="text2" w:themeShade="BF"/>
                <w:szCs w:val="20"/>
              </w:rPr>
              <w:t xml:space="preserve">The major projects contributing to these capital additions include the new runway at Brisbane Airport, the new domestic terminal T4 at Melbourne Airport and Perth Airport’s Terminal 1 International and Domestic Pier, which provides a domestic passenger facility with direct </w:t>
            </w:r>
            <w:r w:rsidRPr="006A52B8">
              <w:rPr>
                <w:rFonts w:cstheme="majorBidi"/>
                <w:bCs/>
                <w:color w:val="17365D" w:themeColor="text2" w:themeShade="BF"/>
                <w:szCs w:val="20"/>
              </w:rPr>
              <w:lastRenderedPageBreak/>
              <w:t>connections to the international terminal. Other work completed at monitored airports including improvements to domestic terminals, improved taxiways, aprons and aircraft parking may also have contributed to the domestic on-time performance.</w:t>
            </w:r>
          </w:p>
          <w:p w:rsidR="00883552" w:rsidRDefault="00883552" w:rsidP="00883552">
            <w:pPr>
              <w:keepNext/>
            </w:pPr>
            <w:r w:rsidRPr="006A52B8">
              <w:rPr>
                <w:color w:val="17365D" w:themeColor="text2" w:themeShade="BF"/>
              </w:rPr>
              <w:t>Other initiatives such as the Airport Capacity Enhancement program that was commissioned by Airservices Australia in collaboration with airlines and airports to identify opportunities to improve efficiency and increase utilisation of existing aeronautical facilities may have also contributed to the improvement in domestic on-time performance.</w:t>
            </w:r>
            <w:r w:rsidRPr="006A52B8">
              <w:rPr>
                <w:color w:val="17365D" w:themeColor="text2" w:themeShade="BF"/>
                <w:vertAlign w:val="superscript"/>
              </w:rPr>
              <w:footnoteReference w:id="29"/>
            </w:r>
            <w:r w:rsidRPr="006A52B8">
              <w:rPr>
                <w:color w:val="17365D" w:themeColor="text2" w:themeShade="BF"/>
              </w:rPr>
              <w:t xml:space="preserve"> Since the commencement of this program, further initiatives agreed to with Brisbane, Melbourne, Perth and Sydney Airports have been implemented.</w:t>
            </w:r>
          </w:p>
        </w:tc>
      </w:tr>
    </w:tbl>
    <w:p w:rsidR="00883552" w:rsidRPr="005C1E30" w:rsidRDefault="00883552" w:rsidP="00114E05">
      <w:pPr>
        <w:pStyle w:val="Numberedheading2"/>
      </w:pPr>
      <w:r>
        <w:lastRenderedPageBreak/>
        <w:t>Airport</w:t>
      </w:r>
      <w:r w:rsidRPr="005C1E30">
        <w:t xml:space="preserve"> revenues, prices, costs, profits, assets and investments</w:t>
      </w:r>
    </w:p>
    <w:p w:rsidR="00883552" w:rsidRDefault="00883552" w:rsidP="00883552">
      <w:pPr>
        <w:keepNext/>
      </w:pPr>
      <w:r w:rsidRPr="00666B2F">
        <w:t xml:space="preserve">This section </w:t>
      </w:r>
      <w:r>
        <w:t>presents the r</w:t>
      </w:r>
      <w:r w:rsidRPr="00666B2F">
        <w:t xml:space="preserve">esults of the ACCC’s </w:t>
      </w:r>
      <w:r>
        <w:t xml:space="preserve">price monitoring and financial reporting results. </w:t>
      </w:r>
      <w:r w:rsidRPr="003C2E0A">
        <w:t xml:space="preserve">These results are categorised into </w:t>
      </w:r>
      <w:r>
        <w:t>revenue</w:t>
      </w:r>
      <w:r w:rsidRPr="003C2E0A">
        <w:t xml:space="preserve"> (</w:t>
      </w:r>
      <w:r>
        <w:t>S</w:t>
      </w:r>
      <w:r w:rsidRPr="003C2E0A">
        <w:t xml:space="preserve">ection </w:t>
      </w:r>
      <w:r>
        <w:t>1.5.1</w:t>
      </w:r>
      <w:r w:rsidRPr="003C2E0A">
        <w:t xml:space="preserve">), </w:t>
      </w:r>
      <w:r>
        <w:t>operating expenses</w:t>
      </w:r>
      <w:r w:rsidRPr="003C2E0A">
        <w:t xml:space="preserve"> (</w:t>
      </w:r>
      <w:r>
        <w:t>S</w:t>
      </w:r>
      <w:r w:rsidRPr="003C2E0A">
        <w:t xml:space="preserve">ection </w:t>
      </w:r>
      <w:r>
        <w:t>1.5.2</w:t>
      </w:r>
      <w:r w:rsidRPr="003C2E0A">
        <w:t xml:space="preserve">), </w:t>
      </w:r>
      <w:r>
        <w:t>operating margins</w:t>
      </w:r>
      <w:r w:rsidRPr="003C2E0A">
        <w:t xml:space="preserve"> (</w:t>
      </w:r>
      <w:r>
        <w:t>S</w:t>
      </w:r>
      <w:r w:rsidRPr="003C2E0A">
        <w:t xml:space="preserve">ection </w:t>
      </w:r>
      <w:r>
        <w:t>1.5.3</w:t>
      </w:r>
      <w:r w:rsidRPr="003C2E0A">
        <w:t xml:space="preserve">), </w:t>
      </w:r>
      <w:r>
        <w:t xml:space="preserve">return on sales (Section 1.5.4), aeronautical assets </w:t>
      </w:r>
      <w:r w:rsidRPr="003C2E0A">
        <w:t>(</w:t>
      </w:r>
      <w:r>
        <w:t>S</w:t>
      </w:r>
      <w:r w:rsidRPr="003C2E0A">
        <w:t xml:space="preserve">ection </w:t>
      </w:r>
      <w:r>
        <w:t>1.5.5</w:t>
      </w:r>
      <w:r w:rsidRPr="003C2E0A">
        <w:t>)</w:t>
      </w:r>
      <w:r>
        <w:t xml:space="preserve">, </w:t>
      </w:r>
      <w:r w:rsidRPr="003C2E0A">
        <w:t>return</w:t>
      </w:r>
      <w:r>
        <w:t xml:space="preserve"> on assets (Section 1.5.6) and aeronautical investments (Section 1.5.7)</w:t>
      </w:r>
      <w:r w:rsidRPr="003C2E0A">
        <w:t>.</w:t>
      </w:r>
      <w:r>
        <w:t xml:space="preserve"> </w:t>
      </w:r>
    </w:p>
    <w:p w:rsidR="00883552" w:rsidRPr="00C21217" w:rsidRDefault="00883552" w:rsidP="00883552">
      <w:pPr>
        <w:pStyle w:val="Numberedheading3"/>
        <w:tabs>
          <w:tab w:val="clear" w:pos="1384"/>
          <w:tab w:val="num" w:pos="993"/>
        </w:tabs>
        <w:ind w:left="993" w:hanging="993"/>
      </w:pPr>
      <w:r>
        <w:t>Revenue</w:t>
      </w:r>
    </w:p>
    <w:p w:rsidR="00883552" w:rsidRDefault="00883552" w:rsidP="00883552">
      <w:pPr>
        <w:pStyle w:val="Numberedheading4"/>
        <w:keepNext/>
      </w:pPr>
      <w:r w:rsidRPr="004C76DF">
        <w:t xml:space="preserve">Aeronautical </w:t>
      </w:r>
      <w:r>
        <w:t>revenue</w:t>
      </w:r>
    </w:p>
    <w:p w:rsidR="00883552" w:rsidRDefault="00883552" w:rsidP="00883552">
      <w:pPr>
        <w:keepNext/>
      </w:pPr>
      <w:r>
        <w:t>Airports generally earn most aeronautical income from charges to airlines accessing airport services such as runways, taxiways and parking bays. These charges are mostly applied on a per passenger basis and are often bundled together.</w:t>
      </w:r>
    </w:p>
    <w:p w:rsidR="00883552" w:rsidRDefault="00883552" w:rsidP="00883552">
      <w:pPr>
        <w:keepNext/>
      </w:pPr>
      <w:proofErr w:type="gramStart"/>
      <w:r>
        <w:t>Total aeronautical income for all monitored airports increased by 4.3 per cent in real terms to $1.44 billion during 2014-15.</w:t>
      </w:r>
      <w:proofErr w:type="gramEnd"/>
      <w:r>
        <w:t xml:space="preserve"> The monitored airports have reported increases in aggregate aeronautical income for each year since they were privatised.   </w:t>
      </w:r>
    </w:p>
    <w:p w:rsidR="00883552" w:rsidRDefault="00883552" w:rsidP="00883552">
      <w:pPr>
        <w:keepNext/>
      </w:pPr>
      <w:r>
        <w:t>All airports apart from Perth Airport reported real increases in aeronautical revenue during 2014-15. In contrast to last year when Perth Airport’s aeronautical income grew 12.9 per cent and was the largest increase of the monitored airports, during 2014-15 it decreased by 1.4 per cent in real terms to $186.6 million. This is the first time since 2001-02 that Perth Airport’s aeronautical income has decreased in real terms.  However, since 2004-05, Perth Airport has had the largest average annual yearly increase of 10.9 per cent of the monitored airports.</w:t>
      </w:r>
    </w:p>
    <w:p w:rsidR="00883552" w:rsidRDefault="00883552" w:rsidP="00883552">
      <w:pPr>
        <w:keepNext/>
      </w:pPr>
      <w:r>
        <w:t xml:space="preserve">Brisbane Airport had the largest increase in aeronautical revenue during 2014-15 with growth of 10.7 per cent in real terms to $272.2 million. This is in contrast to the three years prior where income increases were less than 5 per cent per year. Melbourne Airport’s aeronautical income grew by 7.7 per cent in real terms while Sydney Airport reported growth of 1.8 per cent in real terms. </w:t>
      </w:r>
    </w:p>
    <w:p w:rsidR="00883552" w:rsidRDefault="00883552" w:rsidP="00883552">
      <w:pPr>
        <w:pStyle w:val="Numberedheading4"/>
        <w:keepNext/>
      </w:pPr>
      <w:r>
        <w:t>Aeronautical average prices</w:t>
      </w:r>
    </w:p>
    <w:p w:rsidR="00883552" w:rsidRDefault="00883552" w:rsidP="00883552">
      <w:pPr>
        <w:keepNext/>
        <w:spacing w:before="240" w:after="200" w:line="276" w:lineRule="auto"/>
        <w:outlineLvl w:val="3"/>
      </w:pPr>
      <w:r>
        <w:t xml:space="preserve">The monitored airports all provide similar services and charges. However, the analysis of comparing charges across airports is complicated by the various types of charge bundling done and the basis by which they are applied. Due to these differences, the ACCC prefers to use aeronautical revenue per passenger as a proxy for an airport’s average price levels and their changes over time.  </w:t>
      </w:r>
    </w:p>
    <w:p w:rsidR="00883552" w:rsidRPr="002A2294" w:rsidRDefault="00883552" w:rsidP="00883552">
      <w:pPr>
        <w:keepNext/>
        <w:spacing w:before="240" w:after="200" w:line="276" w:lineRule="auto"/>
        <w:outlineLvl w:val="3"/>
        <w:rPr>
          <w:b/>
          <w:color w:val="51626F"/>
        </w:rPr>
      </w:pPr>
      <w:r w:rsidRPr="002A2294">
        <w:rPr>
          <w:b/>
          <w:color w:val="51626F"/>
        </w:rPr>
        <w:lastRenderedPageBreak/>
        <w:t>Chart 1.</w:t>
      </w:r>
      <w:r>
        <w:rPr>
          <w:b/>
          <w:color w:val="51626F"/>
        </w:rPr>
        <w:t>5.1</w:t>
      </w:r>
      <w:r w:rsidRPr="002A2294">
        <w:rPr>
          <w:b/>
          <w:color w:val="51626F"/>
        </w:rPr>
        <w:t>:</w:t>
      </w:r>
      <w:r w:rsidRPr="002A2294">
        <w:rPr>
          <w:b/>
          <w:color w:val="51626F"/>
        </w:rPr>
        <w:tab/>
        <w:t>Aeronautical revenue per passenger in real terms: 200</w:t>
      </w:r>
      <w:r>
        <w:rPr>
          <w:b/>
          <w:color w:val="51626F"/>
        </w:rPr>
        <w:t>4</w:t>
      </w:r>
      <w:r w:rsidRPr="002A2294">
        <w:rPr>
          <w:b/>
          <w:color w:val="51626F"/>
        </w:rPr>
        <w:t>-0</w:t>
      </w:r>
      <w:r>
        <w:rPr>
          <w:b/>
          <w:color w:val="51626F"/>
        </w:rPr>
        <w:t>5</w:t>
      </w:r>
      <w:r w:rsidRPr="002A2294">
        <w:rPr>
          <w:b/>
          <w:color w:val="51626F"/>
        </w:rPr>
        <w:t xml:space="preserve"> to 201</w:t>
      </w:r>
      <w:r>
        <w:rPr>
          <w:b/>
          <w:color w:val="51626F"/>
        </w:rPr>
        <w:t>4</w:t>
      </w:r>
      <w:r w:rsidRPr="002A2294">
        <w:rPr>
          <w:b/>
          <w:color w:val="51626F"/>
        </w:rPr>
        <w:t>-1</w:t>
      </w:r>
      <w:r>
        <w:rPr>
          <w:b/>
          <w:color w:val="51626F"/>
        </w:rPr>
        <w:t>5</w:t>
      </w:r>
    </w:p>
    <w:p w:rsidR="00883552" w:rsidRDefault="00883552" w:rsidP="00883552">
      <w:pPr>
        <w:keepNext/>
      </w:pPr>
      <w:r w:rsidRPr="002A2294">
        <w:rPr>
          <w:noProof/>
          <w:lang w:eastAsia="en-AU"/>
        </w:rPr>
        <w:drawing>
          <wp:inline distT="0" distB="0" distL="0" distR="0" wp14:anchorId="79D4D68A" wp14:editId="7537698F">
            <wp:extent cx="5364480" cy="2916387"/>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64480" cy="2916387"/>
                    </a:xfrm>
                    <a:prstGeom prst="rect">
                      <a:avLst/>
                    </a:prstGeom>
                    <a:noFill/>
                    <a:ln>
                      <a:noFill/>
                    </a:ln>
                  </pic:spPr>
                </pic:pic>
              </a:graphicData>
            </a:graphic>
          </wp:inline>
        </w:drawing>
      </w:r>
    </w:p>
    <w:p w:rsidR="00883552" w:rsidRDefault="00883552" w:rsidP="00883552">
      <w:pPr>
        <w:pStyle w:val="FootnoteText"/>
        <w:keepNext/>
      </w:pPr>
      <w:r>
        <w:t>Note:</w:t>
      </w:r>
      <w:r>
        <w:tab/>
        <w:t xml:space="preserve">Real values in 2014-15 dollars </w:t>
      </w:r>
    </w:p>
    <w:p w:rsidR="00883552" w:rsidRDefault="00883552" w:rsidP="00883552">
      <w:pPr>
        <w:keepNext/>
      </w:pPr>
      <w:r>
        <w:t xml:space="preserve">Chart 1.5.1 shows that all airports except Perth Airport reported increases in aeronautical revenue per passenger in real terms during 2014-15. Brisbane Airport reported the largest increase with 9.8 per cent in real terms to $12.22. Brisbane Airport increased a number of aeronautical charges during 2014-15 which saw its aggregate aeronautical revenue jump by 10.7 per cent in real terms while overall passenger numbers had a small increase of 0.8 per cent. </w:t>
      </w:r>
    </w:p>
    <w:p w:rsidR="00883552" w:rsidRDefault="00883552" w:rsidP="00883552">
      <w:pPr>
        <w:keepNext/>
      </w:pPr>
      <w:r w:rsidRPr="00E47732">
        <w:t>Perth Airport was the only airport to report a reduction in aeronautical revenue per passenger with a decrease of 0.4 per cent in real terms to $12.64. Although Sydney Airport reported modest increases of 0.6 per cent in real terms to $16.40, it has continued to be the most expensive airport to fly into per passenger for the entire time series.</w:t>
      </w:r>
    </w:p>
    <w:p w:rsidR="00883552" w:rsidRDefault="00883552" w:rsidP="00883552">
      <w:pPr>
        <w:pStyle w:val="Numberedheading4"/>
        <w:keepNext/>
      </w:pPr>
      <w:r>
        <w:t>Total airport revenue</w:t>
      </w:r>
    </w:p>
    <w:p w:rsidR="00883552" w:rsidRDefault="00883552" w:rsidP="00883552">
      <w:pPr>
        <w:keepNext/>
      </w:pPr>
      <w:r>
        <w:t>All airports reported increases in total airport revenue.</w:t>
      </w:r>
      <w:r>
        <w:rPr>
          <w:rStyle w:val="FootnoteReference"/>
        </w:rPr>
        <w:footnoteReference w:id="30"/>
      </w:r>
      <w:r>
        <w:t xml:space="preserve"> In contrast to the decline in Perth Airport’s aeronautical revenue in real terms during 2014-15, its total airport revenue had the largest increase of all airports with a jump of 10.6 per cent to $429.3 million. Sydney Airport reported the smallest overall airport revenue increase with a rise of 2.1 per cent in real terms to $1190.0 million. </w:t>
      </w:r>
    </w:p>
    <w:p w:rsidR="00883552" w:rsidRDefault="00883552" w:rsidP="00883552">
      <w:pPr>
        <w:keepNext/>
      </w:pPr>
      <w:r>
        <w:t xml:space="preserve">Table 1.5.1 presents both aeronautical and total airport revenues for the years 2004-05 and 2014-15. It further provides the ratio of aeronautical income to total airport income. </w:t>
      </w:r>
    </w:p>
    <w:p w:rsidR="00883552" w:rsidRDefault="00883552" w:rsidP="00883552">
      <w:pPr>
        <w:keepNext/>
        <w:spacing w:before="240" w:after="200" w:line="276" w:lineRule="auto"/>
        <w:ind w:left="1440" w:hanging="1440"/>
        <w:outlineLvl w:val="3"/>
        <w:rPr>
          <w:b/>
          <w:color w:val="51626F"/>
        </w:rPr>
      </w:pPr>
    </w:p>
    <w:p w:rsidR="00883552" w:rsidRDefault="00883552" w:rsidP="00883552">
      <w:pPr>
        <w:keepNext/>
        <w:spacing w:before="240" w:after="200" w:line="276" w:lineRule="auto"/>
        <w:ind w:left="1440" w:hanging="1440"/>
        <w:outlineLvl w:val="3"/>
        <w:rPr>
          <w:b/>
          <w:color w:val="51626F"/>
        </w:rPr>
      </w:pPr>
    </w:p>
    <w:p w:rsidR="00883552" w:rsidRDefault="00883552" w:rsidP="00883552">
      <w:pPr>
        <w:keepNext/>
        <w:spacing w:before="240" w:after="200" w:line="276" w:lineRule="auto"/>
        <w:ind w:left="1440" w:hanging="1440"/>
        <w:outlineLvl w:val="3"/>
        <w:rPr>
          <w:b/>
          <w:color w:val="51626F"/>
        </w:rPr>
      </w:pPr>
    </w:p>
    <w:p w:rsidR="00883552" w:rsidRDefault="00883552" w:rsidP="00883552">
      <w:pPr>
        <w:keepNext/>
        <w:spacing w:before="240" w:after="200" w:line="276" w:lineRule="auto"/>
        <w:ind w:left="1440" w:hanging="1440"/>
        <w:outlineLvl w:val="3"/>
        <w:rPr>
          <w:b/>
          <w:color w:val="51626F"/>
        </w:rPr>
      </w:pPr>
    </w:p>
    <w:p w:rsidR="00883552" w:rsidRPr="00B23482" w:rsidRDefault="00883552" w:rsidP="00883552">
      <w:pPr>
        <w:keepNext/>
        <w:spacing w:before="240" w:after="200" w:line="276" w:lineRule="auto"/>
        <w:ind w:left="1440" w:hanging="1440"/>
        <w:outlineLvl w:val="3"/>
        <w:rPr>
          <w:b/>
          <w:color w:val="51626F"/>
        </w:rPr>
      </w:pPr>
      <w:r w:rsidRPr="00B23482">
        <w:rPr>
          <w:b/>
          <w:color w:val="51626F"/>
        </w:rPr>
        <w:lastRenderedPageBreak/>
        <w:t>Table 1.5.1:</w:t>
      </w:r>
      <w:r w:rsidRPr="00B23482">
        <w:rPr>
          <w:b/>
          <w:color w:val="51626F"/>
        </w:rPr>
        <w:tab/>
        <w:t>Aeronautical and total airport revenue in real terms: 200</w:t>
      </w:r>
      <w:r>
        <w:rPr>
          <w:b/>
          <w:color w:val="51626F"/>
        </w:rPr>
        <w:t>4</w:t>
      </w:r>
      <w:r w:rsidRPr="00B23482">
        <w:rPr>
          <w:b/>
          <w:color w:val="51626F"/>
        </w:rPr>
        <w:noBreakHyphen/>
        <w:t>0</w:t>
      </w:r>
      <w:r>
        <w:rPr>
          <w:b/>
          <w:color w:val="51626F"/>
        </w:rPr>
        <w:t>5</w:t>
      </w:r>
      <w:r w:rsidRPr="00B23482">
        <w:rPr>
          <w:b/>
          <w:color w:val="51626F"/>
        </w:rPr>
        <w:t xml:space="preserve"> to 201</w:t>
      </w:r>
      <w:r>
        <w:rPr>
          <w:b/>
          <w:color w:val="51626F"/>
        </w:rPr>
        <w:t>4</w:t>
      </w:r>
      <w:r w:rsidRPr="00B23482">
        <w:rPr>
          <w:b/>
          <w:color w:val="51626F"/>
        </w:rPr>
        <w:noBreakHyphen/>
        <w:t>1</w:t>
      </w:r>
      <w:r>
        <w:rPr>
          <w:b/>
          <w:color w:val="51626F"/>
        </w:rPr>
        <w:t>5</w:t>
      </w:r>
    </w:p>
    <w:tbl>
      <w:tblPr>
        <w:tblStyle w:val="TableGrid"/>
        <w:tblW w:w="0" w:type="auto"/>
        <w:tblLook w:val="04A0" w:firstRow="1" w:lastRow="0" w:firstColumn="1" w:lastColumn="0" w:noHBand="0" w:noVBand="1"/>
      </w:tblPr>
      <w:tblGrid>
        <w:gridCol w:w="1809"/>
        <w:gridCol w:w="1371"/>
        <w:gridCol w:w="1371"/>
        <w:gridCol w:w="1371"/>
        <w:gridCol w:w="1371"/>
        <w:gridCol w:w="1371"/>
      </w:tblGrid>
      <w:tr w:rsidR="00883552" w:rsidRPr="00B23482" w:rsidTr="00883552">
        <w:tc>
          <w:tcPr>
            <w:tcW w:w="8664" w:type="dxa"/>
            <w:gridSpan w:val="6"/>
            <w:tcBorders>
              <w:left w:val="nil"/>
              <w:bottom w:val="nil"/>
              <w:right w:val="nil"/>
            </w:tcBorders>
            <w:shd w:val="clear" w:color="auto" w:fill="DFE0DC"/>
          </w:tcPr>
          <w:p w:rsidR="00883552" w:rsidRPr="00B23482" w:rsidRDefault="00883552" w:rsidP="00883552">
            <w:pPr>
              <w:keepNext/>
              <w:spacing w:before="40" w:after="40"/>
              <w:jc w:val="center"/>
              <w:rPr>
                <w:b/>
                <w:color w:val="000000" w:themeColor="text1"/>
                <w:sz w:val="18"/>
              </w:rPr>
            </w:pPr>
            <w:r w:rsidRPr="00B23482">
              <w:rPr>
                <w:b/>
                <w:color w:val="000000" w:themeColor="text1"/>
                <w:sz w:val="18"/>
              </w:rPr>
              <w:t>Revenue in 200</w:t>
            </w:r>
            <w:r>
              <w:rPr>
                <w:b/>
                <w:color w:val="000000" w:themeColor="text1"/>
                <w:sz w:val="18"/>
              </w:rPr>
              <w:t>4</w:t>
            </w:r>
            <w:r w:rsidRPr="00B23482">
              <w:rPr>
                <w:b/>
                <w:color w:val="000000" w:themeColor="text1"/>
                <w:sz w:val="18"/>
              </w:rPr>
              <w:t>-0</w:t>
            </w:r>
            <w:r>
              <w:rPr>
                <w:b/>
                <w:color w:val="000000" w:themeColor="text1"/>
                <w:sz w:val="18"/>
              </w:rPr>
              <w:t xml:space="preserve">5 </w:t>
            </w:r>
            <w:r w:rsidRPr="00B23482">
              <w:rPr>
                <w:b/>
                <w:color w:val="000000" w:themeColor="text1"/>
                <w:sz w:val="18"/>
              </w:rPr>
              <w:t xml:space="preserve">($million) </w:t>
            </w:r>
          </w:p>
        </w:tc>
      </w:tr>
      <w:tr w:rsidR="00883552" w:rsidRPr="00B23482" w:rsidTr="00883552">
        <w:tc>
          <w:tcPr>
            <w:tcW w:w="1809" w:type="dxa"/>
            <w:tcBorders>
              <w:top w:val="nil"/>
              <w:left w:val="nil"/>
              <w:bottom w:val="single" w:sz="4" w:space="0" w:color="auto"/>
              <w:right w:val="nil"/>
            </w:tcBorders>
            <w:shd w:val="clear" w:color="auto" w:fill="DFE0DC"/>
          </w:tcPr>
          <w:p w:rsidR="00883552" w:rsidRPr="00B23482" w:rsidRDefault="00883552" w:rsidP="00883552">
            <w:pPr>
              <w:keepNext/>
              <w:spacing w:before="40" w:after="40"/>
              <w:rPr>
                <w:sz w:val="18"/>
              </w:rPr>
            </w:pP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Brisbane</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Melbourne</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Perth</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Sydney</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Total</w:t>
            </w:r>
          </w:p>
        </w:tc>
      </w:tr>
      <w:tr w:rsidR="00883552" w:rsidRPr="00B23482" w:rsidTr="00883552">
        <w:tc>
          <w:tcPr>
            <w:tcW w:w="1809" w:type="dxa"/>
            <w:tcBorders>
              <w:left w:val="nil"/>
              <w:bottom w:val="nil"/>
              <w:right w:val="nil"/>
            </w:tcBorders>
          </w:tcPr>
          <w:p w:rsidR="00883552" w:rsidRPr="00B23482" w:rsidRDefault="00883552" w:rsidP="00883552">
            <w:pPr>
              <w:keepNext/>
              <w:spacing w:before="40" w:after="40"/>
              <w:rPr>
                <w:sz w:val="18"/>
              </w:rPr>
            </w:pPr>
            <w:r w:rsidRPr="00B23482">
              <w:rPr>
                <w:sz w:val="18"/>
              </w:rPr>
              <w:t>Aeronautical</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112.7</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179.1</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66.6</w:t>
            </w:r>
          </w:p>
        </w:tc>
        <w:tc>
          <w:tcPr>
            <w:tcW w:w="1371" w:type="dxa"/>
            <w:tcBorders>
              <w:left w:val="nil"/>
              <w:bottom w:val="nil"/>
              <w:right w:val="nil"/>
            </w:tcBorders>
          </w:tcPr>
          <w:p w:rsidR="00883552" w:rsidRPr="00835B27" w:rsidRDefault="00883552" w:rsidP="00883552">
            <w:pPr>
              <w:keepNext/>
              <w:spacing w:before="40" w:after="40"/>
              <w:jc w:val="right"/>
              <w:rPr>
                <w:sz w:val="18"/>
              </w:rPr>
            </w:pPr>
            <w:r w:rsidRPr="00835B27">
              <w:rPr>
                <w:sz w:val="18"/>
              </w:rPr>
              <w:t>409.6</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768.0</w:t>
            </w:r>
          </w:p>
        </w:tc>
      </w:tr>
      <w:tr w:rsidR="00883552" w:rsidRPr="00835B27" w:rsidTr="00883552">
        <w:tc>
          <w:tcPr>
            <w:tcW w:w="1809" w:type="dxa"/>
            <w:tcBorders>
              <w:top w:val="nil"/>
              <w:left w:val="nil"/>
              <w:bottom w:val="nil"/>
              <w:right w:val="nil"/>
            </w:tcBorders>
          </w:tcPr>
          <w:p w:rsidR="00883552" w:rsidRPr="00B23482" w:rsidRDefault="00883552" w:rsidP="00883552">
            <w:pPr>
              <w:keepNext/>
              <w:spacing w:before="40" w:after="40"/>
              <w:rPr>
                <w:sz w:val="18"/>
              </w:rPr>
            </w:pPr>
            <w:r w:rsidRPr="00B23482">
              <w:rPr>
                <w:sz w:val="18"/>
              </w:rPr>
              <w:t>Total airport</w:t>
            </w:r>
          </w:p>
        </w:tc>
        <w:tc>
          <w:tcPr>
            <w:tcW w:w="1371" w:type="dxa"/>
            <w:tcBorders>
              <w:top w:val="nil"/>
              <w:left w:val="nil"/>
              <w:bottom w:val="nil"/>
              <w:right w:val="nil"/>
            </w:tcBorders>
          </w:tcPr>
          <w:p w:rsidR="00883552" w:rsidRPr="000B3C64" w:rsidRDefault="00883552" w:rsidP="00883552">
            <w:pPr>
              <w:keepNext/>
              <w:spacing w:before="40" w:after="40"/>
              <w:jc w:val="right"/>
              <w:rPr>
                <w:color w:val="FF0000"/>
                <w:sz w:val="18"/>
              </w:rPr>
            </w:pPr>
            <w:r w:rsidRPr="000B3C64">
              <w:rPr>
                <w:sz w:val="18"/>
              </w:rPr>
              <w:t>320.1</w:t>
            </w:r>
          </w:p>
        </w:tc>
        <w:tc>
          <w:tcPr>
            <w:tcW w:w="1371" w:type="dxa"/>
            <w:tcBorders>
              <w:top w:val="nil"/>
              <w:left w:val="nil"/>
              <w:bottom w:val="nil"/>
              <w:right w:val="nil"/>
            </w:tcBorders>
          </w:tcPr>
          <w:p w:rsidR="00883552" w:rsidRPr="000B3C64" w:rsidRDefault="00883552" w:rsidP="00883552">
            <w:pPr>
              <w:keepNext/>
              <w:spacing w:before="40" w:after="40"/>
              <w:jc w:val="right"/>
              <w:rPr>
                <w:color w:val="FF0000"/>
                <w:sz w:val="18"/>
              </w:rPr>
            </w:pPr>
            <w:r w:rsidRPr="000B3C64">
              <w:rPr>
                <w:sz w:val="18"/>
              </w:rPr>
              <w:t>411.6</w:t>
            </w:r>
          </w:p>
        </w:tc>
        <w:tc>
          <w:tcPr>
            <w:tcW w:w="1371" w:type="dxa"/>
            <w:tcBorders>
              <w:top w:val="nil"/>
              <w:left w:val="nil"/>
              <w:bottom w:val="nil"/>
              <w:right w:val="nil"/>
            </w:tcBorders>
          </w:tcPr>
          <w:p w:rsidR="00883552" w:rsidRPr="00835B27" w:rsidRDefault="00883552" w:rsidP="00883552">
            <w:pPr>
              <w:keepNext/>
              <w:spacing w:before="40" w:after="40"/>
              <w:jc w:val="right"/>
              <w:rPr>
                <w:sz w:val="18"/>
              </w:rPr>
            </w:pPr>
            <w:r w:rsidRPr="000B3C64">
              <w:rPr>
                <w:sz w:val="18"/>
              </w:rPr>
              <w:t>184.0</w:t>
            </w:r>
          </w:p>
        </w:tc>
        <w:tc>
          <w:tcPr>
            <w:tcW w:w="1371" w:type="dxa"/>
            <w:tcBorders>
              <w:top w:val="nil"/>
              <w:left w:val="nil"/>
              <w:bottom w:val="nil"/>
              <w:right w:val="nil"/>
            </w:tcBorders>
          </w:tcPr>
          <w:p w:rsidR="00883552" w:rsidRPr="00835B27" w:rsidRDefault="00883552" w:rsidP="00883552">
            <w:pPr>
              <w:keepNext/>
              <w:spacing w:before="40" w:after="40"/>
              <w:jc w:val="right"/>
              <w:rPr>
                <w:sz w:val="18"/>
              </w:rPr>
            </w:pPr>
            <w:r w:rsidRPr="000B3C64">
              <w:rPr>
                <w:sz w:val="18"/>
              </w:rPr>
              <w:t>833.0</w:t>
            </w:r>
          </w:p>
        </w:tc>
        <w:tc>
          <w:tcPr>
            <w:tcW w:w="1371" w:type="dxa"/>
            <w:tcBorders>
              <w:top w:val="nil"/>
              <w:left w:val="nil"/>
              <w:bottom w:val="nil"/>
              <w:right w:val="nil"/>
            </w:tcBorders>
          </w:tcPr>
          <w:p w:rsidR="00883552" w:rsidRPr="00835B27" w:rsidRDefault="00883552" w:rsidP="00883552">
            <w:pPr>
              <w:keepNext/>
              <w:spacing w:before="40" w:after="40"/>
              <w:jc w:val="right"/>
              <w:rPr>
                <w:sz w:val="18"/>
              </w:rPr>
            </w:pPr>
            <w:r w:rsidRPr="00835B27">
              <w:rPr>
                <w:sz w:val="18"/>
              </w:rPr>
              <w:t xml:space="preserve">1 </w:t>
            </w:r>
            <w:r w:rsidRPr="000B3C64">
              <w:rPr>
                <w:sz w:val="18"/>
              </w:rPr>
              <w:t>748.7</w:t>
            </w:r>
          </w:p>
        </w:tc>
      </w:tr>
      <w:tr w:rsidR="00883552" w:rsidRPr="00835B27" w:rsidTr="00883552">
        <w:tc>
          <w:tcPr>
            <w:tcW w:w="1809" w:type="dxa"/>
            <w:tcBorders>
              <w:top w:val="nil"/>
              <w:left w:val="nil"/>
              <w:bottom w:val="single" w:sz="4" w:space="0" w:color="auto"/>
              <w:right w:val="nil"/>
            </w:tcBorders>
          </w:tcPr>
          <w:p w:rsidR="00883552" w:rsidRPr="00B23482" w:rsidRDefault="00883552" w:rsidP="00883552">
            <w:pPr>
              <w:keepNext/>
              <w:spacing w:before="40" w:after="40"/>
              <w:rPr>
                <w:b/>
                <w:color w:val="000000" w:themeColor="text1"/>
                <w:sz w:val="18"/>
              </w:rPr>
            </w:pPr>
            <w:r w:rsidRPr="00B23482">
              <w:rPr>
                <w:b/>
                <w:color w:val="000000" w:themeColor="text1"/>
                <w:sz w:val="18"/>
              </w:rPr>
              <w:t>Aeronautical as a % of total airport</w:t>
            </w:r>
          </w:p>
        </w:tc>
        <w:tc>
          <w:tcPr>
            <w:tcW w:w="1371" w:type="dxa"/>
            <w:tcBorders>
              <w:top w:val="nil"/>
              <w:left w:val="nil"/>
              <w:bottom w:val="single" w:sz="4" w:space="0" w:color="auto"/>
              <w:right w:val="nil"/>
            </w:tcBorders>
            <w:vAlign w:val="center"/>
          </w:tcPr>
          <w:p w:rsidR="00883552" w:rsidRPr="000B3C64" w:rsidRDefault="00883552" w:rsidP="00883552">
            <w:pPr>
              <w:keepNext/>
              <w:spacing w:before="40" w:after="40"/>
              <w:jc w:val="right"/>
              <w:rPr>
                <w:b/>
                <w:color w:val="FF0000"/>
                <w:sz w:val="18"/>
              </w:rPr>
            </w:pPr>
            <w:r w:rsidRPr="000B3C64">
              <w:rPr>
                <w:b/>
                <w:sz w:val="18"/>
              </w:rPr>
              <w:t>35.2</w:t>
            </w:r>
            <w:r w:rsidRPr="00515655">
              <w:rPr>
                <w:b/>
                <w:sz w:val="18"/>
              </w:rPr>
              <w:t>%</w:t>
            </w:r>
          </w:p>
        </w:tc>
        <w:tc>
          <w:tcPr>
            <w:tcW w:w="1371" w:type="dxa"/>
            <w:tcBorders>
              <w:top w:val="nil"/>
              <w:left w:val="nil"/>
              <w:bottom w:val="single" w:sz="4" w:space="0" w:color="auto"/>
              <w:right w:val="nil"/>
            </w:tcBorders>
            <w:vAlign w:val="center"/>
          </w:tcPr>
          <w:p w:rsidR="00883552" w:rsidRPr="000B3C64" w:rsidRDefault="00883552" w:rsidP="00883552">
            <w:pPr>
              <w:keepNext/>
              <w:spacing w:before="40" w:after="40"/>
              <w:jc w:val="right"/>
              <w:rPr>
                <w:b/>
                <w:color w:val="FF0000"/>
                <w:sz w:val="18"/>
              </w:rPr>
            </w:pPr>
            <w:r w:rsidRPr="000B3C64">
              <w:rPr>
                <w:b/>
                <w:sz w:val="18"/>
              </w:rPr>
              <w:t>43.5%</w:t>
            </w:r>
          </w:p>
        </w:tc>
        <w:tc>
          <w:tcPr>
            <w:tcW w:w="1371" w:type="dxa"/>
            <w:tcBorders>
              <w:top w:val="nil"/>
              <w:left w:val="nil"/>
              <w:bottom w:val="single" w:sz="4" w:space="0" w:color="auto"/>
              <w:right w:val="nil"/>
            </w:tcBorders>
            <w:vAlign w:val="center"/>
          </w:tcPr>
          <w:p w:rsidR="00883552" w:rsidRPr="00835B27" w:rsidRDefault="00883552" w:rsidP="00883552">
            <w:pPr>
              <w:keepNext/>
              <w:spacing w:before="40" w:after="40"/>
              <w:jc w:val="right"/>
              <w:rPr>
                <w:b/>
                <w:sz w:val="18"/>
              </w:rPr>
            </w:pPr>
            <w:r w:rsidRPr="000B3C64">
              <w:rPr>
                <w:b/>
                <w:sz w:val="18"/>
              </w:rPr>
              <w:t>36.2</w:t>
            </w:r>
            <w:r w:rsidRPr="00835B27">
              <w:rPr>
                <w:b/>
                <w:sz w:val="18"/>
              </w:rPr>
              <w:t>%</w:t>
            </w:r>
          </w:p>
        </w:tc>
        <w:tc>
          <w:tcPr>
            <w:tcW w:w="1371" w:type="dxa"/>
            <w:tcBorders>
              <w:top w:val="nil"/>
              <w:left w:val="nil"/>
              <w:bottom w:val="single" w:sz="4" w:space="0" w:color="auto"/>
              <w:right w:val="nil"/>
            </w:tcBorders>
            <w:vAlign w:val="center"/>
          </w:tcPr>
          <w:p w:rsidR="00883552" w:rsidRPr="00835B27" w:rsidRDefault="00883552" w:rsidP="00883552">
            <w:pPr>
              <w:keepNext/>
              <w:spacing w:before="40" w:after="40"/>
              <w:jc w:val="right"/>
              <w:rPr>
                <w:b/>
                <w:sz w:val="18"/>
              </w:rPr>
            </w:pPr>
            <w:r w:rsidRPr="000B3C64">
              <w:rPr>
                <w:b/>
                <w:sz w:val="18"/>
              </w:rPr>
              <w:t>49.2</w:t>
            </w:r>
            <w:r w:rsidRPr="00835B27">
              <w:rPr>
                <w:b/>
                <w:sz w:val="18"/>
              </w:rPr>
              <w:t>%</w:t>
            </w:r>
          </w:p>
        </w:tc>
        <w:tc>
          <w:tcPr>
            <w:tcW w:w="1371" w:type="dxa"/>
            <w:tcBorders>
              <w:top w:val="nil"/>
              <w:left w:val="nil"/>
              <w:bottom w:val="single" w:sz="4" w:space="0" w:color="auto"/>
              <w:right w:val="nil"/>
            </w:tcBorders>
            <w:vAlign w:val="center"/>
          </w:tcPr>
          <w:p w:rsidR="00883552" w:rsidRPr="00835B27" w:rsidRDefault="00883552" w:rsidP="00883552">
            <w:pPr>
              <w:keepNext/>
              <w:spacing w:before="40" w:after="40"/>
              <w:jc w:val="right"/>
              <w:rPr>
                <w:b/>
                <w:sz w:val="18"/>
              </w:rPr>
            </w:pPr>
            <w:r w:rsidRPr="00835B27">
              <w:rPr>
                <w:b/>
                <w:sz w:val="18"/>
              </w:rPr>
              <w:t>4</w:t>
            </w:r>
            <w:r w:rsidRPr="000B3C64">
              <w:rPr>
                <w:b/>
                <w:sz w:val="18"/>
              </w:rPr>
              <w:t>3.9</w:t>
            </w:r>
            <w:r w:rsidRPr="00835B27">
              <w:rPr>
                <w:b/>
                <w:sz w:val="18"/>
              </w:rPr>
              <w:t>%</w:t>
            </w:r>
          </w:p>
        </w:tc>
      </w:tr>
      <w:tr w:rsidR="00883552" w:rsidRPr="00B23482" w:rsidTr="00883552">
        <w:tc>
          <w:tcPr>
            <w:tcW w:w="8664" w:type="dxa"/>
            <w:gridSpan w:val="6"/>
            <w:tcBorders>
              <w:left w:val="nil"/>
              <w:bottom w:val="nil"/>
              <w:right w:val="nil"/>
            </w:tcBorders>
            <w:shd w:val="clear" w:color="auto" w:fill="DFE0DC"/>
          </w:tcPr>
          <w:p w:rsidR="00883552" w:rsidRPr="00B23482" w:rsidRDefault="00883552" w:rsidP="00883552">
            <w:pPr>
              <w:keepNext/>
              <w:spacing w:before="40" w:after="40"/>
              <w:jc w:val="center"/>
              <w:rPr>
                <w:b/>
                <w:color w:val="000000" w:themeColor="text1"/>
                <w:sz w:val="18"/>
              </w:rPr>
            </w:pPr>
            <w:r w:rsidRPr="00B23482">
              <w:rPr>
                <w:b/>
                <w:color w:val="000000" w:themeColor="text1"/>
                <w:sz w:val="18"/>
              </w:rPr>
              <w:t>Revenue in 201</w:t>
            </w:r>
            <w:r>
              <w:rPr>
                <w:b/>
                <w:color w:val="000000" w:themeColor="text1"/>
                <w:sz w:val="18"/>
              </w:rPr>
              <w:t>4</w:t>
            </w:r>
            <w:r w:rsidRPr="00B23482">
              <w:rPr>
                <w:b/>
                <w:color w:val="000000" w:themeColor="text1"/>
                <w:sz w:val="18"/>
              </w:rPr>
              <w:t>-1</w:t>
            </w:r>
            <w:r>
              <w:rPr>
                <w:b/>
                <w:color w:val="000000" w:themeColor="text1"/>
                <w:sz w:val="18"/>
              </w:rPr>
              <w:t>5</w:t>
            </w:r>
            <w:r w:rsidRPr="00B23482">
              <w:rPr>
                <w:b/>
                <w:color w:val="000000" w:themeColor="text1"/>
                <w:sz w:val="18"/>
              </w:rPr>
              <w:t xml:space="preserve"> ($million)</w:t>
            </w:r>
          </w:p>
        </w:tc>
      </w:tr>
      <w:tr w:rsidR="00883552" w:rsidRPr="00B23482" w:rsidTr="00883552">
        <w:tc>
          <w:tcPr>
            <w:tcW w:w="1809" w:type="dxa"/>
            <w:tcBorders>
              <w:top w:val="nil"/>
              <w:left w:val="nil"/>
              <w:bottom w:val="single" w:sz="4" w:space="0" w:color="auto"/>
              <w:right w:val="nil"/>
            </w:tcBorders>
            <w:shd w:val="clear" w:color="auto" w:fill="DFE0DC"/>
          </w:tcPr>
          <w:p w:rsidR="00883552" w:rsidRPr="00B23482" w:rsidRDefault="00883552" w:rsidP="00883552">
            <w:pPr>
              <w:keepNext/>
              <w:spacing w:before="40" w:after="40"/>
              <w:rPr>
                <w:sz w:val="18"/>
              </w:rPr>
            </w:pP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Brisbane</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Melbourne</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Perth</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Sydney</w:t>
            </w:r>
          </w:p>
        </w:tc>
        <w:tc>
          <w:tcPr>
            <w:tcW w:w="1371" w:type="dxa"/>
            <w:tcBorders>
              <w:top w:val="nil"/>
              <w:left w:val="nil"/>
              <w:bottom w:val="single" w:sz="4" w:space="0" w:color="auto"/>
              <w:right w:val="nil"/>
            </w:tcBorders>
            <w:shd w:val="clear" w:color="auto" w:fill="DFE0DC"/>
          </w:tcPr>
          <w:p w:rsidR="00883552" w:rsidRPr="00B23482" w:rsidRDefault="00883552" w:rsidP="00883552">
            <w:pPr>
              <w:keepNext/>
              <w:spacing w:before="40" w:after="40"/>
              <w:jc w:val="right"/>
              <w:rPr>
                <w:b/>
                <w:color w:val="000000" w:themeColor="text1"/>
                <w:sz w:val="18"/>
              </w:rPr>
            </w:pPr>
            <w:r w:rsidRPr="00B23482">
              <w:rPr>
                <w:b/>
                <w:color w:val="000000" w:themeColor="text1"/>
                <w:sz w:val="18"/>
              </w:rPr>
              <w:t>Total</w:t>
            </w:r>
          </w:p>
        </w:tc>
      </w:tr>
      <w:tr w:rsidR="00883552" w:rsidRPr="00B23482" w:rsidTr="00883552">
        <w:tc>
          <w:tcPr>
            <w:tcW w:w="1809" w:type="dxa"/>
            <w:tcBorders>
              <w:left w:val="nil"/>
              <w:bottom w:val="nil"/>
              <w:right w:val="nil"/>
            </w:tcBorders>
          </w:tcPr>
          <w:p w:rsidR="00883552" w:rsidRPr="00B23482" w:rsidRDefault="00883552" w:rsidP="00883552">
            <w:pPr>
              <w:keepNext/>
              <w:spacing w:before="40" w:after="40"/>
              <w:rPr>
                <w:sz w:val="18"/>
              </w:rPr>
            </w:pPr>
            <w:r w:rsidRPr="00B23482">
              <w:rPr>
                <w:sz w:val="18"/>
              </w:rPr>
              <w:t>Aeronautical</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272.2</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338.2</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186.6</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643.0</w:t>
            </w:r>
          </w:p>
        </w:tc>
        <w:tc>
          <w:tcPr>
            <w:tcW w:w="1371" w:type="dxa"/>
            <w:tcBorders>
              <w:left w:val="nil"/>
              <w:bottom w:val="nil"/>
              <w:right w:val="nil"/>
            </w:tcBorders>
          </w:tcPr>
          <w:p w:rsidR="00883552" w:rsidRPr="00B23482" w:rsidRDefault="00883552" w:rsidP="00883552">
            <w:pPr>
              <w:keepNext/>
              <w:spacing w:before="40" w:after="40"/>
              <w:jc w:val="right"/>
              <w:rPr>
                <w:sz w:val="18"/>
              </w:rPr>
            </w:pPr>
            <w:r>
              <w:rPr>
                <w:sz w:val="18"/>
              </w:rPr>
              <w:t>1 440.0</w:t>
            </w:r>
          </w:p>
        </w:tc>
      </w:tr>
      <w:tr w:rsidR="00883552" w:rsidRPr="00B23482" w:rsidTr="00883552">
        <w:tc>
          <w:tcPr>
            <w:tcW w:w="1809" w:type="dxa"/>
            <w:tcBorders>
              <w:top w:val="nil"/>
              <w:left w:val="nil"/>
              <w:bottom w:val="nil"/>
              <w:right w:val="nil"/>
            </w:tcBorders>
          </w:tcPr>
          <w:p w:rsidR="00883552" w:rsidRPr="00B23482" w:rsidRDefault="00883552" w:rsidP="00883552">
            <w:pPr>
              <w:keepNext/>
              <w:spacing w:before="40" w:after="40"/>
              <w:rPr>
                <w:sz w:val="18"/>
              </w:rPr>
            </w:pPr>
            <w:r w:rsidRPr="00B23482">
              <w:rPr>
                <w:sz w:val="18"/>
              </w:rPr>
              <w:t>Total airport</w:t>
            </w:r>
          </w:p>
        </w:tc>
        <w:tc>
          <w:tcPr>
            <w:tcW w:w="1371" w:type="dxa"/>
            <w:tcBorders>
              <w:top w:val="nil"/>
              <w:left w:val="nil"/>
              <w:bottom w:val="nil"/>
              <w:right w:val="nil"/>
            </w:tcBorders>
          </w:tcPr>
          <w:p w:rsidR="00883552" w:rsidRPr="000B3C64" w:rsidRDefault="00883552" w:rsidP="00883552">
            <w:pPr>
              <w:keepNext/>
              <w:spacing w:before="40" w:after="40"/>
              <w:jc w:val="right"/>
              <w:rPr>
                <w:color w:val="FF0000"/>
                <w:sz w:val="18"/>
              </w:rPr>
            </w:pPr>
            <w:r w:rsidRPr="000B3C64">
              <w:rPr>
                <w:sz w:val="18"/>
              </w:rPr>
              <w:t>610.7</w:t>
            </w:r>
          </w:p>
        </w:tc>
        <w:tc>
          <w:tcPr>
            <w:tcW w:w="1371" w:type="dxa"/>
            <w:tcBorders>
              <w:top w:val="nil"/>
              <w:left w:val="nil"/>
              <w:bottom w:val="nil"/>
              <w:right w:val="nil"/>
            </w:tcBorders>
          </w:tcPr>
          <w:p w:rsidR="00883552" w:rsidRPr="000B3C64" w:rsidRDefault="00883552" w:rsidP="00883552">
            <w:pPr>
              <w:keepNext/>
              <w:spacing w:before="40" w:after="40"/>
              <w:jc w:val="right"/>
              <w:rPr>
                <w:color w:val="FF0000"/>
                <w:sz w:val="18"/>
              </w:rPr>
            </w:pPr>
            <w:r w:rsidRPr="000B3C64">
              <w:rPr>
                <w:sz w:val="18"/>
              </w:rPr>
              <w:t>753.1</w:t>
            </w:r>
          </w:p>
        </w:tc>
        <w:tc>
          <w:tcPr>
            <w:tcW w:w="1371" w:type="dxa"/>
            <w:tcBorders>
              <w:top w:val="nil"/>
              <w:left w:val="nil"/>
              <w:bottom w:val="nil"/>
              <w:right w:val="nil"/>
            </w:tcBorders>
          </w:tcPr>
          <w:p w:rsidR="00883552" w:rsidRPr="00835B27" w:rsidRDefault="00883552" w:rsidP="00883552">
            <w:pPr>
              <w:keepNext/>
              <w:spacing w:before="40" w:after="40"/>
              <w:jc w:val="right"/>
              <w:rPr>
                <w:sz w:val="18"/>
              </w:rPr>
            </w:pPr>
            <w:r w:rsidRPr="000B3C64">
              <w:rPr>
                <w:sz w:val="18"/>
              </w:rPr>
              <w:t>429.3</w:t>
            </w:r>
          </w:p>
        </w:tc>
        <w:tc>
          <w:tcPr>
            <w:tcW w:w="1371" w:type="dxa"/>
            <w:tcBorders>
              <w:top w:val="nil"/>
              <w:left w:val="nil"/>
              <w:bottom w:val="nil"/>
              <w:right w:val="nil"/>
            </w:tcBorders>
          </w:tcPr>
          <w:p w:rsidR="00883552" w:rsidRPr="00835B27" w:rsidRDefault="00883552" w:rsidP="00883552">
            <w:pPr>
              <w:keepNext/>
              <w:spacing w:before="40" w:after="40"/>
              <w:jc w:val="right"/>
              <w:rPr>
                <w:sz w:val="18"/>
              </w:rPr>
            </w:pPr>
            <w:r w:rsidRPr="00835B27">
              <w:rPr>
                <w:sz w:val="18"/>
              </w:rPr>
              <w:t>1 1</w:t>
            </w:r>
            <w:r w:rsidRPr="000B3C64">
              <w:rPr>
                <w:sz w:val="18"/>
              </w:rPr>
              <w:t>90.0</w:t>
            </w:r>
          </w:p>
        </w:tc>
        <w:tc>
          <w:tcPr>
            <w:tcW w:w="1371" w:type="dxa"/>
            <w:tcBorders>
              <w:top w:val="nil"/>
              <w:left w:val="nil"/>
              <w:bottom w:val="nil"/>
              <w:right w:val="nil"/>
            </w:tcBorders>
          </w:tcPr>
          <w:p w:rsidR="00883552" w:rsidRPr="000B3C64" w:rsidRDefault="00883552" w:rsidP="00883552">
            <w:pPr>
              <w:keepNext/>
              <w:spacing w:before="40" w:after="40"/>
              <w:jc w:val="right"/>
              <w:rPr>
                <w:color w:val="FF0000"/>
                <w:sz w:val="18"/>
              </w:rPr>
            </w:pPr>
            <w:r w:rsidRPr="00DA1EFD">
              <w:rPr>
                <w:sz w:val="18"/>
              </w:rPr>
              <w:t xml:space="preserve">2 </w:t>
            </w:r>
            <w:r w:rsidRPr="000B3C64">
              <w:rPr>
                <w:sz w:val="18"/>
              </w:rPr>
              <w:t>983.1</w:t>
            </w:r>
          </w:p>
        </w:tc>
      </w:tr>
      <w:tr w:rsidR="00883552" w:rsidRPr="00B23482" w:rsidTr="00883552">
        <w:tc>
          <w:tcPr>
            <w:tcW w:w="1809" w:type="dxa"/>
            <w:tcBorders>
              <w:top w:val="nil"/>
              <w:left w:val="nil"/>
              <w:right w:val="nil"/>
            </w:tcBorders>
          </w:tcPr>
          <w:p w:rsidR="00883552" w:rsidRPr="00B23482" w:rsidRDefault="00883552" w:rsidP="00883552">
            <w:pPr>
              <w:keepNext/>
              <w:spacing w:before="40" w:after="40"/>
              <w:rPr>
                <w:b/>
                <w:color w:val="000000" w:themeColor="text1"/>
                <w:sz w:val="18"/>
              </w:rPr>
            </w:pPr>
            <w:r w:rsidRPr="00B23482">
              <w:rPr>
                <w:b/>
                <w:color w:val="000000" w:themeColor="text1"/>
                <w:sz w:val="18"/>
              </w:rPr>
              <w:t>Aeronautical as a % of total airport</w:t>
            </w:r>
          </w:p>
        </w:tc>
        <w:tc>
          <w:tcPr>
            <w:tcW w:w="1371" w:type="dxa"/>
            <w:tcBorders>
              <w:top w:val="nil"/>
              <w:left w:val="nil"/>
              <w:right w:val="nil"/>
            </w:tcBorders>
            <w:vAlign w:val="center"/>
          </w:tcPr>
          <w:p w:rsidR="00883552" w:rsidRPr="000B3C64" w:rsidRDefault="00883552" w:rsidP="00883552">
            <w:pPr>
              <w:keepNext/>
              <w:spacing w:before="40" w:after="40"/>
              <w:jc w:val="right"/>
              <w:rPr>
                <w:b/>
                <w:color w:val="FF0000"/>
                <w:sz w:val="18"/>
              </w:rPr>
            </w:pPr>
            <w:r w:rsidRPr="000B3C64">
              <w:rPr>
                <w:b/>
                <w:sz w:val="18"/>
              </w:rPr>
              <w:t>44.6%</w:t>
            </w:r>
          </w:p>
        </w:tc>
        <w:tc>
          <w:tcPr>
            <w:tcW w:w="1371" w:type="dxa"/>
            <w:tcBorders>
              <w:top w:val="nil"/>
              <w:left w:val="nil"/>
              <w:right w:val="nil"/>
            </w:tcBorders>
            <w:vAlign w:val="center"/>
          </w:tcPr>
          <w:p w:rsidR="00883552" w:rsidRPr="000B3C64" w:rsidRDefault="00883552" w:rsidP="00883552">
            <w:pPr>
              <w:keepNext/>
              <w:spacing w:before="40" w:after="40"/>
              <w:jc w:val="right"/>
              <w:rPr>
                <w:b/>
                <w:color w:val="FF0000"/>
                <w:sz w:val="18"/>
              </w:rPr>
            </w:pPr>
            <w:r w:rsidRPr="00515655">
              <w:rPr>
                <w:b/>
                <w:sz w:val="18"/>
              </w:rPr>
              <w:t>44.</w:t>
            </w:r>
            <w:r w:rsidRPr="000B3C64">
              <w:rPr>
                <w:b/>
                <w:sz w:val="18"/>
              </w:rPr>
              <w:t>9</w:t>
            </w:r>
            <w:r w:rsidRPr="00515655">
              <w:rPr>
                <w:b/>
                <w:sz w:val="18"/>
              </w:rPr>
              <w:t>%</w:t>
            </w:r>
          </w:p>
        </w:tc>
        <w:tc>
          <w:tcPr>
            <w:tcW w:w="1371" w:type="dxa"/>
            <w:tcBorders>
              <w:top w:val="nil"/>
              <w:left w:val="nil"/>
              <w:right w:val="nil"/>
            </w:tcBorders>
            <w:vAlign w:val="center"/>
          </w:tcPr>
          <w:p w:rsidR="00883552" w:rsidRPr="00835B27" w:rsidRDefault="00883552" w:rsidP="00883552">
            <w:pPr>
              <w:keepNext/>
              <w:spacing w:before="40" w:after="40"/>
              <w:jc w:val="right"/>
              <w:rPr>
                <w:b/>
                <w:sz w:val="18"/>
              </w:rPr>
            </w:pPr>
            <w:r w:rsidRPr="000B3C64">
              <w:rPr>
                <w:b/>
                <w:sz w:val="18"/>
              </w:rPr>
              <w:t>43.5%</w:t>
            </w:r>
          </w:p>
        </w:tc>
        <w:tc>
          <w:tcPr>
            <w:tcW w:w="1371" w:type="dxa"/>
            <w:tcBorders>
              <w:top w:val="nil"/>
              <w:left w:val="nil"/>
              <w:right w:val="nil"/>
            </w:tcBorders>
            <w:vAlign w:val="center"/>
          </w:tcPr>
          <w:p w:rsidR="00883552" w:rsidRPr="00835B27" w:rsidRDefault="00883552" w:rsidP="00883552">
            <w:pPr>
              <w:keepNext/>
              <w:spacing w:before="40" w:after="40"/>
              <w:jc w:val="right"/>
              <w:rPr>
                <w:b/>
                <w:sz w:val="18"/>
              </w:rPr>
            </w:pPr>
            <w:r w:rsidRPr="00835B27">
              <w:rPr>
                <w:b/>
                <w:sz w:val="18"/>
              </w:rPr>
              <w:t>54.</w:t>
            </w:r>
            <w:r w:rsidRPr="000B3C64">
              <w:rPr>
                <w:b/>
                <w:sz w:val="18"/>
              </w:rPr>
              <w:t>0</w:t>
            </w:r>
            <w:r w:rsidRPr="00835B27">
              <w:rPr>
                <w:b/>
                <w:sz w:val="18"/>
              </w:rPr>
              <w:t>%</w:t>
            </w:r>
          </w:p>
        </w:tc>
        <w:tc>
          <w:tcPr>
            <w:tcW w:w="1371" w:type="dxa"/>
            <w:tcBorders>
              <w:top w:val="nil"/>
              <w:left w:val="nil"/>
              <w:right w:val="nil"/>
            </w:tcBorders>
            <w:vAlign w:val="center"/>
          </w:tcPr>
          <w:p w:rsidR="00883552" w:rsidRPr="000B3C64" w:rsidRDefault="00883552" w:rsidP="00883552">
            <w:pPr>
              <w:keepNext/>
              <w:spacing w:before="40" w:after="40"/>
              <w:jc w:val="right"/>
              <w:rPr>
                <w:b/>
                <w:color w:val="FF0000"/>
                <w:sz w:val="18"/>
              </w:rPr>
            </w:pPr>
            <w:r w:rsidRPr="00DA1EFD">
              <w:rPr>
                <w:b/>
                <w:sz w:val="18"/>
              </w:rPr>
              <w:t>48.</w:t>
            </w:r>
            <w:r w:rsidRPr="000B3C64">
              <w:rPr>
                <w:b/>
                <w:sz w:val="18"/>
              </w:rPr>
              <w:t>3</w:t>
            </w:r>
            <w:r w:rsidRPr="00DA1EFD">
              <w:rPr>
                <w:b/>
                <w:sz w:val="18"/>
              </w:rPr>
              <w:t>%</w:t>
            </w:r>
          </w:p>
        </w:tc>
      </w:tr>
    </w:tbl>
    <w:p w:rsidR="00883552" w:rsidRDefault="00883552" w:rsidP="00883552">
      <w:pPr>
        <w:keepNext/>
        <w:spacing w:before="120"/>
        <w:ind w:left="720" w:hanging="720"/>
        <w:contextualSpacing/>
      </w:pPr>
      <w:r w:rsidRPr="00B23482">
        <w:rPr>
          <w:sz w:val="16"/>
          <w:szCs w:val="16"/>
        </w:rPr>
        <w:t>Note:</w:t>
      </w:r>
      <w:r w:rsidRPr="00B23482">
        <w:rPr>
          <w:sz w:val="16"/>
          <w:szCs w:val="16"/>
        </w:rPr>
        <w:tab/>
        <w:t>Real values in 201</w:t>
      </w:r>
      <w:r>
        <w:rPr>
          <w:sz w:val="16"/>
          <w:szCs w:val="16"/>
        </w:rPr>
        <w:t>4</w:t>
      </w:r>
      <w:r w:rsidRPr="00B23482">
        <w:rPr>
          <w:sz w:val="16"/>
          <w:szCs w:val="16"/>
        </w:rPr>
        <w:noBreakHyphen/>
        <w:t>1</w:t>
      </w:r>
      <w:r>
        <w:rPr>
          <w:sz w:val="16"/>
          <w:szCs w:val="16"/>
        </w:rPr>
        <w:t>5</w:t>
      </w:r>
      <w:r w:rsidRPr="00B23482">
        <w:rPr>
          <w:sz w:val="16"/>
          <w:szCs w:val="16"/>
        </w:rPr>
        <w:t xml:space="preserve"> dollars</w:t>
      </w:r>
    </w:p>
    <w:p w:rsidR="00883552" w:rsidRDefault="00883552" w:rsidP="00883552">
      <w:pPr>
        <w:keepNext/>
      </w:pPr>
    </w:p>
    <w:p w:rsidR="00883552" w:rsidRDefault="00883552" w:rsidP="00883552">
      <w:pPr>
        <w:pStyle w:val="Numberedheading3"/>
        <w:tabs>
          <w:tab w:val="clear" w:pos="1384"/>
          <w:tab w:val="num" w:pos="993"/>
        </w:tabs>
        <w:ind w:left="993" w:hanging="993"/>
      </w:pPr>
      <w:r>
        <w:t>Operating expenses</w:t>
      </w:r>
    </w:p>
    <w:p w:rsidR="00883552" w:rsidRDefault="00883552" w:rsidP="00883552">
      <w:pPr>
        <w:pStyle w:val="Numberedheading4"/>
        <w:keepNext/>
      </w:pPr>
      <w:r w:rsidRPr="004C76DF">
        <w:t xml:space="preserve">Aeronautical </w:t>
      </w:r>
      <w:r>
        <w:t>operating expenses</w:t>
      </w:r>
    </w:p>
    <w:p w:rsidR="00883552" w:rsidRDefault="00883552" w:rsidP="00883552">
      <w:pPr>
        <w:keepNext/>
      </w:pPr>
      <w:r>
        <w:t xml:space="preserve">Significant aeronautical expenses incurred by monitored airports include depreciation, services and utilities, amortisation and salaries and wages. During 2014-15, the combined aeronautical expenses for all airports increased by 5.6 per cent in real terms. This is around 1.3 percentage points above the aeronautical revenue increase for 2014-15. </w:t>
      </w:r>
    </w:p>
    <w:p w:rsidR="00883552" w:rsidRDefault="00883552" w:rsidP="00883552">
      <w:pPr>
        <w:keepNext/>
      </w:pPr>
      <w:r>
        <w:t xml:space="preserve">Melbourne Airport reported the largest rise in aeronautical expenses with an increase of 11.2 per cent in real terms to $191.3 million. Expenses driving this increase included amortisation and general administrative expenses which increased by 14.7 and 47.8 per cent in real terms respectively.  </w:t>
      </w:r>
    </w:p>
    <w:p w:rsidR="00883552" w:rsidRDefault="00883552" w:rsidP="00883552">
      <w:pPr>
        <w:keepNext/>
      </w:pPr>
      <w:r>
        <w:t>Sydney Airport recorded the lowest increase in aeronautical operating expenses with a rise of 1.3 per cent in real terms to $320.8 million. This small increase was achieved by savings in services and utilities and salaries and wages which reduced by 31.2 and 6.6 per cent in real terms respectively.</w:t>
      </w:r>
    </w:p>
    <w:p w:rsidR="00883552" w:rsidRDefault="00883552" w:rsidP="00883552">
      <w:pPr>
        <w:pStyle w:val="Numberedheading4"/>
        <w:keepNext/>
      </w:pPr>
      <w:r>
        <w:t>Total airport operating expenses</w:t>
      </w:r>
    </w:p>
    <w:p w:rsidR="00883552" w:rsidRDefault="00883552" w:rsidP="00883552">
      <w:pPr>
        <w:keepNext/>
      </w:pPr>
      <w:r>
        <w:t>Total operating expenses increased in real terms at all airports during 2014-15. Individual monitored airports’ total operating expenses changes were similar to what occurred with their aeronautical operating expenses.</w:t>
      </w:r>
    </w:p>
    <w:p w:rsidR="00883552" w:rsidRDefault="00883552" w:rsidP="00883552">
      <w:pPr>
        <w:keepNext/>
      </w:pPr>
      <w:proofErr w:type="gramStart"/>
      <w:r>
        <w:t>Melbourne Airport’s total operating expenses increased by 12.5 per cent in real terms to $298.0 million during 2014-15, representing the largest increase of the monitored airports.</w:t>
      </w:r>
      <w:proofErr w:type="gramEnd"/>
      <w:r>
        <w:t xml:space="preserve"> Sydney Airport recorded the lowest increase in total airport operating expenses with a rise of 2.9 per cent in real terms in 2014-15. </w:t>
      </w:r>
    </w:p>
    <w:p w:rsidR="00883552" w:rsidRDefault="00883552" w:rsidP="00883552">
      <w:pPr>
        <w:pStyle w:val="Numberedheading3"/>
        <w:tabs>
          <w:tab w:val="clear" w:pos="1384"/>
          <w:tab w:val="num" w:pos="993"/>
        </w:tabs>
        <w:ind w:left="993" w:hanging="993"/>
      </w:pPr>
      <w:r>
        <w:t>Operating margin</w:t>
      </w:r>
    </w:p>
    <w:p w:rsidR="00883552" w:rsidRDefault="00883552" w:rsidP="00883552">
      <w:pPr>
        <w:keepNext/>
      </w:pPr>
      <w:r w:rsidRPr="0056115A">
        <w:t>The ACCC</w:t>
      </w:r>
      <w:r>
        <w:t>’s</w:t>
      </w:r>
      <w:r w:rsidRPr="0056115A">
        <w:t xml:space="preserve"> main measure of profitability or </w:t>
      </w:r>
      <w:r>
        <w:t xml:space="preserve">aggregate </w:t>
      </w:r>
      <w:r w:rsidRPr="0056115A">
        <w:t>margin is earnings before interest, tax and amortisation (EBITA). The ACCC uses EBITA because it is not affected by differing capital structures or tax rates utilised by Australian companies.</w:t>
      </w:r>
      <w:r>
        <w:t xml:space="preserve"> However, this measure does not enable an accurate assessment of whether an airport’s prices are generating revenues consistent with the efficient long-run costs of providing aeronautical services. </w:t>
      </w:r>
    </w:p>
    <w:p w:rsidR="00883552" w:rsidRDefault="00883552" w:rsidP="00883552">
      <w:pPr>
        <w:pStyle w:val="Numberedheading4"/>
        <w:keepNext/>
      </w:pPr>
    </w:p>
    <w:p w:rsidR="00883552" w:rsidRDefault="00883552" w:rsidP="00883552">
      <w:pPr>
        <w:pStyle w:val="Numberedheading4"/>
        <w:keepNext/>
      </w:pPr>
      <w:r w:rsidRPr="00694FD8">
        <w:lastRenderedPageBreak/>
        <w:t xml:space="preserve">Aeronautical </w:t>
      </w:r>
      <w:r>
        <w:t>aggregate margin</w:t>
      </w:r>
    </w:p>
    <w:p w:rsidR="00883552" w:rsidRDefault="00883552" w:rsidP="00883552">
      <w:pPr>
        <w:keepNext/>
      </w:pPr>
      <w:proofErr w:type="gramStart"/>
      <w:r>
        <w:t>The combined aeronautical aggregate margin for all monitored airports increased by 2.7 per cent in real terms during 2014-15 to $662.7 million.</w:t>
      </w:r>
      <w:proofErr w:type="gramEnd"/>
      <w:r>
        <w:t xml:space="preserve"> All airports except Perth Airport reported increases. Chart 1.5.2 presents aeronautical aggregate margin for each airport in real terms for the period 2004-05 to 2014-15. </w:t>
      </w:r>
    </w:p>
    <w:p w:rsidR="00883552" w:rsidRPr="002A2294" w:rsidRDefault="00883552" w:rsidP="00883552">
      <w:pPr>
        <w:keepNext/>
        <w:spacing w:before="240" w:after="200" w:line="276" w:lineRule="auto"/>
        <w:ind w:left="1440" w:hanging="1440"/>
        <w:outlineLvl w:val="3"/>
        <w:rPr>
          <w:b/>
          <w:color w:val="51626F"/>
        </w:rPr>
      </w:pPr>
      <w:r w:rsidRPr="002A2294">
        <w:rPr>
          <w:b/>
          <w:color w:val="51626F"/>
        </w:rPr>
        <w:t>Chart 1.</w:t>
      </w:r>
      <w:r>
        <w:rPr>
          <w:b/>
          <w:color w:val="51626F"/>
        </w:rPr>
        <w:t>5.2</w:t>
      </w:r>
      <w:r w:rsidRPr="002A2294">
        <w:rPr>
          <w:b/>
          <w:color w:val="51626F"/>
        </w:rPr>
        <w:t>:</w:t>
      </w:r>
      <w:r w:rsidRPr="002A2294">
        <w:rPr>
          <w:b/>
          <w:color w:val="51626F"/>
        </w:rPr>
        <w:tab/>
        <w:t xml:space="preserve">Aeronautical </w:t>
      </w:r>
      <w:r>
        <w:rPr>
          <w:b/>
          <w:color w:val="51626F"/>
        </w:rPr>
        <w:t xml:space="preserve">aggregate margin </w:t>
      </w:r>
      <w:r w:rsidRPr="002A2294">
        <w:rPr>
          <w:b/>
          <w:color w:val="51626F"/>
        </w:rPr>
        <w:t>in real terms: 200</w:t>
      </w:r>
      <w:r>
        <w:rPr>
          <w:b/>
          <w:color w:val="51626F"/>
        </w:rPr>
        <w:t>4</w:t>
      </w:r>
      <w:r w:rsidRPr="002A2294">
        <w:rPr>
          <w:b/>
          <w:color w:val="51626F"/>
        </w:rPr>
        <w:t>-0</w:t>
      </w:r>
      <w:r>
        <w:rPr>
          <w:b/>
          <w:color w:val="51626F"/>
        </w:rPr>
        <w:t>5</w:t>
      </w:r>
      <w:r w:rsidRPr="002A2294">
        <w:rPr>
          <w:b/>
          <w:color w:val="51626F"/>
        </w:rPr>
        <w:t xml:space="preserve"> to 201</w:t>
      </w:r>
      <w:r>
        <w:rPr>
          <w:b/>
          <w:color w:val="51626F"/>
        </w:rPr>
        <w:t>4</w:t>
      </w:r>
      <w:r w:rsidRPr="002A2294">
        <w:rPr>
          <w:b/>
          <w:color w:val="51626F"/>
        </w:rPr>
        <w:t>-1</w:t>
      </w:r>
      <w:r>
        <w:rPr>
          <w:b/>
          <w:color w:val="51626F"/>
        </w:rPr>
        <w:t>5</w:t>
      </w:r>
    </w:p>
    <w:p w:rsidR="00883552" w:rsidRDefault="00883552" w:rsidP="00883552">
      <w:pPr>
        <w:keepNext/>
      </w:pPr>
      <w:r w:rsidRPr="0098596A">
        <w:rPr>
          <w:noProof/>
          <w:lang w:eastAsia="en-AU"/>
        </w:rPr>
        <w:drawing>
          <wp:inline distT="0" distB="0" distL="0" distR="0" wp14:anchorId="69D995B2" wp14:editId="5B50CC84">
            <wp:extent cx="5364480" cy="2921287"/>
            <wp:effectExtent l="0" t="0" r="762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4480" cy="2921287"/>
                    </a:xfrm>
                    <a:prstGeom prst="rect">
                      <a:avLst/>
                    </a:prstGeom>
                    <a:noFill/>
                    <a:ln>
                      <a:noFill/>
                    </a:ln>
                  </pic:spPr>
                </pic:pic>
              </a:graphicData>
            </a:graphic>
          </wp:inline>
        </w:drawing>
      </w:r>
    </w:p>
    <w:p w:rsidR="00883552" w:rsidRDefault="00883552" w:rsidP="00883552">
      <w:pPr>
        <w:pStyle w:val="FootnoteText"/>
        <w:keepNext/>
      </w:pPr>
      <w:r>
        <w:t>Note:</w:t>
      </w:r>
      <w:r>
        <w:tab/>
        <w:t xml:space="preserve">Real values in 2014-15 dollars </w:t>
      </w:r>
    </w:p>
    <w:p w:rsidR="00883552" w:rsidRDefault="00883552" w:rsidP="00883552">
      <w:pPr>
        <w:keepNext/>
      </w:pPr>
      <w:r>
        <w:t>Brisbane Airport reported the largest increase during 2014-15 with a rise of 12.9 per cent in real terms to $118.6 million, its largest increase since 2010-11. Further to this, since 2004-05 Brisbane Airport has reported the largest average yearly increase of 16.8 per cent in real terms for aeronautical aggregate margin of the monitored airports. This means it has almost quadrupled from a low base of $25.1 million in 2004-05.</w:t>
      </w:r>
    </w:p>
    <w:p w:rsidR="00883552" w:rsidRDefault="00883552" w:rsidP="00883552">
      <w:pPr>
        <w:keepNext/>
      </w:pPr>
      <w:r>
        <w:t>Both Melbourne and Sydney Airports reported relatively flat increases in aeronautical aggregate margin with rises of 3.4 and 2.3 per cent in real terms respectively. Sydney Airport’s total aeronautical aggregate margin of $322.2 million was more than double that of Melbourne Airport (second highest with $146.8 million). Both Melbourne and Sydney airports have reported similar average annual increases of 5.9 and 5.1 per cent in real terms respectively.</w:t>
      </w:r>
    </w:p>
    <w:p w:rsidR="00883552" w:rsidRDefault="00883552" w:rsidP="00883552">
      <w:pPr>
        <w:keepNext/>
        <w:spacing w:before="120"/>
      </w:pPr>
      <w:r>
        <w:t xml:space="preserve">Perth Airport reported a drop in aeronautical aggregate margin of 9.6 per cent in real terms to $75.0 million. This contrasts with </w:t>
      </w:r>
      <w:r w:rsidRPr="0024186B">
        <w:t xml:space="preserve">an </w:t>
      </w:r>
      <w:r>
        <w:t xml:space="preserve">annual </w:t>
      </w:r>
      <w:r w:rsidRPr="0024186B">
        <w:t>average</w:t>
      </w:r>
      <w:r>
        <w:t xml:space="preserve"> increase</w:t>
      </w:r>
      <w:r w:rsidRPr="0024186B">
        <w:t xml:space="preserve"> of 1</w:t>
      </w:r>
      <w:r>
        <w:t>2.0</w:t>
      </w:r>
      <w:r w:rsidRPr="0024186B">
        <w:t> per cent per year in real terms</w:t>
      </w:r>
      <w:r>
        <w:t xml:space="preserve"> over the period</w:t>
      </w:r>
      <w:r w:rsidRPr="0024186B">
        <w:t>.</w:t>
      </w:r>
    </w:p>
    <w:p w:rsidR="00883552" w:rsidRDefault="00883552" w:rsidP="00883552">
      <w:pPr>
        <w:pStyle w:val="Numberedheading4"/>
        <w:keepNext/>
      </w:pPr>
      <w:r>
        <w:t>Aeronautical operating margin per passenger</w:t>
      </w:r>
    </w:p>
    <w:p w:rsidR="00883552" w:rsidRDefault="00883552" w:rsidP="00883552">
      <w:pPr>
        <w:keepNext/>
      </w:pPr>
      <w:r>
        <w:t xml:space="preserve">Aeronautical aggregate margin is used by the ACCC because it is a useful measure when assessing earnings gained per passenger by the monitored airports. Chart 1.5.3 presents aeronautical aggregate margin per passenger in real terms for the period 2004-05 to 2014-15. </w:t>
      </w:r>
    </w:p>
    <w:p w:rsidR="00883552" w:rsidRDefault="00883552" w:rsidP="00883552">
      <w:pPr>
        <w:keepNext/>
      </w:pPr>
      <w:r>
        <w:t xml:space="preserve">Only Brisbane and Sydney airports reported increases in aeronautical aggregate margins per passenger during 2014-15. Brisbane Airport’s had the largest increase with a gain of 12.0 per cent in real terms to $5.33. This represents the largest increase for this measure at Brisbane Airport since 2007-08. Brisbane Airport also had the highest annual average increase over the past decade with 12.9 per cent. </w:t>
      </w:r>
    </w:p>
    <w:p w:rsidR="00883552" w:rsidRDefault="00883552" w:rsidP="00883552">
      <w:pPr>
        <w:keepNext/>
      </w:pPr>
      <w:r>
        <w:lastRenderedPageBreak/>
        <w:t xml:space="preserve">Perth Airport’s aeronautical aggregate margin per passenger dropped 8.7 per cent in real terms to $5.08 during 2014-15. Melbourne Airport reported a small decrease of 0.2 per cent to $4.54. </w:t>
      </w:r>
    </w:p>
    <w:p w:rsidR="00883552" w:rsidRDefault="00883552" w:rsidP="00883552">
      <w:pPr>
        <w:keepNext/>
        <w:spacing w:before="240" w:after="200" w:line="276" w:lineRule="auto"/>
        <w:ind w:left="1440" w:hanging="1440"/>
        <w:outlineLvl w:val="3"/>
      </w:pPr>
      <w:r w:rsidRPr="002A2294">
        <w:rPr>
          <w:b/>
          <w:color w:val="51626F"/>
        </w:rPr>
        <w:t>Chart 1.</w:t>
      </w:r>
      <w:r>
        <w:rPr>
          <w:b/>
          <w:color w:val="51626F"/>
        </w:rPr>
        <w:t>5.3</w:t>
      </w:r>
      <w:r w:rsidRPr="002A2294">
        <w:rPr>
          <w:b/>
          <w:color w:val="51626F"/>
        </w:rPr>
        <w:t>:</w:t>
      </w:r>
      <w:r w:rsidRPr="002A2294">
        <w:rPr>
          <w:b/>
          <w:color w:val="51626F"/>
        </w:rPr>
        <w:tab/>
        <w:t xml:space="preserve">Aeronautical </w:t>
      </w:r>
      <w:r>
        <w:rPr>
          <w:b/>
          <w:color w:val="51626F"/>
        </w:rPr>
        <w:t xml:space="preserve">margin </w:t>
      </w:r>
      <w:r w:rsidRPr="002A2294">
        <w:rPr>
          <w:b/>
          <w:color w:val="51626F"/>
        </w:rPr>
        <w:t>per passenger in real terms: 200</w:t>
      </w:r>
      <w:r>
        <w:rPr>
          <w:b/>
          <w:color w:val="51626F"/>
        </w:rPr>
        <w:t>4</w:t>
      </w:r>
      <w:r w:rsidRPr="002A2294">
        <w:rPr>
          <w:b/>
          <w:color w:val="51626F"/>
        </w:rPr>
        <w:t>-0</w:t>
      </w:r>
      <w:r>
        <w:rPr>
          <w:b/>
          <w:color w:val="51626F"/>
        </w:rPr>
        <w:t>5</w:t>
      </w:r>
      <w:r w:rsidRPr="002A2294">
        <w:rPr>
          <w:b/>
          <w:color w:val="51626F"/>
        </w:rPr>
        <w:t xml:space="preserve"> to 201</w:t>
      </w:r>
      <w:r>
        <w:rPr>
          <w:b/>
          <w:color w:val="51626F"/>
        </w:rPr>
        <w:t>4</w:t>
      </w:r>
      <w:r w:rsidRPr="002A2294">
        <w:rPr>
          <w:b/>
          <w:color w:val="51626F"/>
        </w:rPr>
        <w:t>-1</w:t>
      </w:r>
      <w:r>
        <w:rPr>
          <w:b/>
          <w:color w:val="51626F"/>
        </w:rPr>
        <w:t>5</w:t>
      </w:r>
    </w:p>
    <w:p w:rsidR="00883552" w:rsidRDefault="00883552" w:rsidP="00883552">
      <w:pPr>
        <w:keepNext/>
      </w:pPr>
      <w:r w:rsidRPr="000E68A0">
        <w:rPr>
          <w:noProof/>
          <w:lang w:eastAsia="en-AU"/>
        </w:rPr>
        <w:drawing>
          <wp:inline distT="0" distB="0" distL="0" distR="0" wp14:anchorId="45C2D1A6" wp14:editId="5DF1A425">
            <wp:extent cx="5364480" cy="2916387"/>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4480" cy="2916387"/>
                    </a:xfrm>
                    <a:prstGeom prst="rect">
                      <a:avLst/>
                    </a:prstGeom>
                    <a:noFill/>
                    <a:ln>
                      <a:noFill/>
                    </a:ln>
                  </pic:spPr>
                </pic:pic>
              </a:graphicData>
            </a:graphic>
          </wp:inline>
        </w:drawing>
      </w:r>
    </w:p>
    <w:p w:rsidR="00883552" w:rsidRDefault="00883552" w:rsidP="00883552">
      <w:pPr>
        <w:pStyle w:val="FootnoteText"/>
        <w:keepNext/>
      </w:pPr>
      <w:r>
        <w:t>Note:</w:t>
      </w:r>
      <w:r>
        <w:tab/>
        <w:t xml:space="preserve">Real values in 2014-15 dollars </w:t>
      </w:r>
    </w:p>
    <w:p w:rsidR="00883552" w:rsidRDefault="00883552" w:rsidP="00883552">
      <w:pPr>
        <w:keepNext/>
      </w:pPr>
      <w:r w:rsidRPr="000B73A2">
        <w:t xml:space="preserve">Sydney Airport continues to earn the highest </w:t>
      </w:r>
      <w:r>
        <w:t xml:space="preserve">aggregate </w:t>
      </w:r>
      <w:r w:rsidRPr="000B73A2">
        <w:t xml:space="preserve">margins per passenger of the monitored airports. During 2014-15 it earned $8.22 per passenger and this result was </w:t>
      </w:r>
      <w:r>
        <w:t>54.3</w:t>
      </w:r>
      <w:r w:rsidRPr="000B73A2">
        <w:t xml:space="preserve"> per cent higher than the next highest (</w:t>
      </w:r>
      <w:r>
        <w:t>Brisbane</w:t>
      </w:r>
      <w:r w:rsidRPr="000B73A2">
        <w:t xml:space="preserve"> Airport). Since 20</w:t>
      </w:r>
      <w:r>
        <w:t>0</w:t>
      </w:r>
      <w:r w:rsidRPr="000B73A2">
        <w:t xml:space="preserve">4-05, this difference has been as high as 116.7 </w:t>
      </w:r>
      <w:r>
        <w:t xml:space="preserve">per cent </w:t>
      </w:r>
      <w:r w:rsidRPr="000B73A2">
        <w:t>which occurred in 2011-12</w:t>
      </w:r>
      <w:r>
        <w:t xml:space="preserve"> (with Brisbane Airport)</w:t>
      </w:r>
      <w:r w:rsidRPr="000B73A2">
        <w:t>.</w:t>
      </w:r>
    </w:p>
    <w:p w:rsidR="00883552" w:rsidRDefault="00883552" w:rsidP="00883552">
      <w:pPr>
        <w:pStyle w:val="Numberedheading4"/>
        <w:keepNext/>
      </w:pPr>
      <w:r>
        <w:t>Total airport aggregate margin</w:t>
      </w:r>
    </w:p>
    <w:p w:rsidR="00883552" w:rsidRDefault="00883552" w:rsidP="00883552">
      <w:pPr>
        <w:keepNext/>
      </w:pPr>
      <w:r>
        <w:t>All monitored airports reported increases in total airport aggregate margin during 2014-15.</w:t>
      </w:r>
      <w:r w:rsidRPr="00443BF7">
        <w:t xml:space="preserve"> </w:t>
      </w:r>
      <w:proofErr w:type="gramStart"/>
      <w:r>
        <w:t>The combined total aggregate margin for all monitored airports increased by 4.5 per cent in real terms to $1788.1 million.</w:t>
      </w:r>
      <w:proofErr w:type="gramEnd"/>
      <w:r>
        <w:t xml:space="preserve"> </w:t>
      </w:r>
    </w:p>
    <w:p w:rsidR="00883552" w:rsidRDefault="00883552" w:rsidP="00883552">
      <w:pPr>
        <w:keepNext/>
      </w:pPr>
      <w:r>
        <w:t xml:space="preserve">In contrast to their decline in aeronautical aggregate margin during 2014-15, Perth Airport’s total airport aggregate margin increased by 16.3 per cent in real terms to $225.8 million. This was the largest increase of the monitored airports. </w:t>
      </w:r>
    </w:p>
    <w:p w:rsidR="00883552" w:rsidRDefault="00883552" w:rsidP="00883552">
      <w:pPr>
        <w:keepNext/>
      </w:pPr>
      <w:r>
        <w:t xml:space="preserve">Sydney Airport reported the lowest increase in total airport aggregate margin with a rise of 1.7 per cent in real terms to $755.1 million. Although Sydney Airport’s total airport aggregate margin is 66 per cent higher than Melbourne Airport ($455.1 million), this ratio is the lowest it has been since 2009-10 when it was 61.8 per cent.  </w:t>
      </w:r>
    </w:p>
    <w:p w:rsidR="00883552" w:rsidRDefault="00883552" w:rsidP="00883552">
      <w:pPr>
        <w:pStyle w:val="Numberedheading3"/>
        <w:tabs>
          <w:tab w:val="clear" w:pos="1384"/>
          <w:tab w:val="num" w:pos="993"/>
        </w:tabs>
        <w:ind w:left="993" w:hanging="993"/>
      </w:pPr>
      <w:r>
        <w:t>Return on sales</w:t>
      </w:r>
    </w:p>
    <w:p w:rsidR="00883552" w:rsidRDefault="00883552" w:rsidP="00883552">
      <w:pPr>
        <w:pStyle w:val="Numberedheading4"/>
        <w:keepNext/>
      </w:pPr>
      <w:r>
        <w:t>Aeronautical return on sales</w:t>
      </w:r>
    </w:p>
    <w:p w:rsidR="00883552" w:rsidRDefault="00883552" w:rsidP="00883552">
      <w:pPr>
        <w:keepNext/>
      </w:pPr>
      <w:r>
        <w:t>Return on sales is generally used as one of the measures of a firm’s profitability and represents the extent to how much profit is earned from each dollar of revenue generated.</w:t>
      </w:r>
      <w:r>
        <w:rPr>
          <w:rStyle w:val="FootnoteReference"/>
        </w:rPr>
        <w:footnoteReference w:id="31"/>
      </w:r>
    </w:p>
    <w:p w:rsidR="00883552" w:rsidRDefault="00883552" w:rsidP="00883552">
      <w:pPr>
        <w:keepNext/>
      </w:pPr>
      <w:r>
        <w:lastRenderedPageBreak/>
        <w:t>Chart 1.5.4 presents aeronautical return on sales for the period 2004-05 to 2014-15. Return on sales for aeronautical activities ranged from a high of 50.1 per cent for Sydney Airport to a low of 40.2 per cent for Perth Airport during 2014-15. Sydney Airport has recorded the largest return on sales for all monitored airports for the past five years. Further, Sydney Airport’s 2014</w:t>
      </w:r>
      <w:r>
        <w:noBreakHyphen/>
        <w:t xml:space="preserve">15 return on sales of 50.1 per cent is the highest achieved by any monitored airport over the time series. </w:t>
      </w:r>
    </w:p>
    <w:p w:rsidR="00883552" w:rsidRDefault="00883552" w:rsidP="00883552">
      <w:pPr>
        <w:keepNext/>
        <w:spacing w:before="240" w:after="200" w:line="276" w:lineRule="auto"/>
        <w:ind w:left="1440" w:hanging="1440"/>
        <w:outlineLvl w:val="3"/>
      </w:pPr>
      <w:r w:rsidRPr="002A2294">
        <w:rPr>
          <w:b/>
          <w:color w:val="51626F"/>
        </w:rPr>
        <w:t>Chart 1.</w:t>
      </w:r>
      <w:r>
        <w:rPr>
          <w:b/>
          <w:color w:val="51626F"/>
        </w:rPr>
        <w:t>5.4</w:t>
      </w:r>
      <w:r w:rsidRPr="002A2294">
        <w:rPr>
          <w:b/>
          <w:color w:val="51626F"/>
        </w:rPr>
        <w:t>:</w:t>
      </w:r>
      <w:r w:rsidRPr="002A2294">
        <w:rPr>
          <w:b/>
          <w:color w:val="51626F"/>
        </w:rPr>
        <w:tab/>
        <w:t xml:space="preserve">Aeronautical </w:t>
      </w:r>
      <w:r>
        <w:rPr>
          <w:b/>
          <w:color w:val="51626F"/>
        </w:rPr>
        <w:t>return on sales</w:t>
      </w:r>
      <w:r w:rsidRPr="002A2294">
        <w:rPr>
          <w:b/>
          <w:color w:val="51626F"/>
        </w:rPr>
        <w:t>: 200</w:t>
      </w:r>
      <w:r>
        <w:rPr>
          <w:b/>
          <w:color w:val="51626F"/>
        </w:rPr>
        <w:t>4</w:t>
      </w:r>
      <w:r w:rsidRPr="002A2294">
        <w:rPr>
          <w:b/>
          <w:color w:val="51626F"/>
        </w:rPr>
        <w:t>-0</w:t>
      </w:r>
      <w:r>
        <w:rPr>
          <w:b/>
          <w:color w:val="51626F"/>
        </w:rPr>
        <w:t>5</w:t>
      </w:r>
      <w:r w:rsidRPr="002A2294">
        <w:rPr>
          <w:b/>
          <w:color w:val="51626F"/>
        </w:rPr>
        <w:t xml:space="preserve"> to 201</w:t>
      </w:r>
      <w:r>
        <w:rPr>
          <w:b/>
          <w:color w:val="51626F"/>
        </w:rPr>
        <w:t>4</w:t>
      </w:r>
      <w:r w:rsidRPr="002A2294">
        <w:rPr>
          <w:b/>
          <w:color w:val="51626F"/>
        </w:rPr>
        <w:t>-1</w:t>
      </w:r>
      <w:r>
        <w:rPr>
          <w:b/>
          <w:color w:val="51626F"/>
        </w:rPr>
        <w:t>5</w:t>
      </w:r>
    </w:p>
    <w:p w:rsidR="00883552" w:rsidRDefault="00883552" w:rsidP="00883552">
      <w:pPr>
        <w:keepNext/>
      </w:pPr>
      <w:r w:rsidRPr="007F33DF">
        <w:rPr>
          <w:noProof/>
          <w:lang w:eastAsia="en-AU"/>
        </w:rPr>
        <w:drawing>
          <wp:inline distT="0" distB="0" distL="0" distR="0" wp14:anchorId="1A330D4A" wp14:editId="33918E4D">
            <wp:extent cx="5364480" cy="3035206"/>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64480" cy="3035206"/>
                    </a:xfrm>
                    <a:prstGeom prst="rect">
                      <a:avLst/>
                    </a:prstGeom>
                    <a:noFill/>
                    <a:ln>
                      <a:noFill/>
                    </a:ln>
                  </pic:spPr>
                </pic:pic>
              </a:graphicData>
            </a:graphic>
          </wp:inline>
        </w:drawing>
      </w:r>
    </w:p>
    <w:p w:rsidR="00883552" w:rsidRDefault="00883552" w:rsidP="00883552">
      <w:pPr>
        <w:pStyle w:val="Numberedheading4"/>
        <w:keepNext/>
      </w:pPr>
      <w:r>
        <w:t>Total airport return on sales</w:t>
      </w:r>
    </w:p>
    <w:p w:rsidR="00883552" w:rsidRDefault="00883552" w:rsidP="00883552">
      <w:pPr>
        <w:keepNext/>
      </w:pPr>
      <w:r>
        <w:t xml:space="preserve">Return on sales for total airport activities ranged from a high of 63.5 per cent for Sydney Airport to a low of 52.6 per cent for Perth Airport during 2014-15. Brisbane Airport reported 57.6 per cent and Melbourne 60.4 per cent. </w:t>
      </w:r>
    </w:p>
    <w:p w:rsidR="00883552" w:rsidRDefault="00883552" w:rsidP="00883552">
      <w:pPr>
        <w:pStyle w:val="Numberedheading3"/>
        <w:tabs>
          <w:tab w:val="clear" w:pos="1384"/>
          <w:tab w:val="num" w:pos="993"/>
        </w:tabs>
        <w:ind w:left="993" w:hanging="993"/>
      </w:pPr>
      <w:r>
        <w:t>Aeronautical assets</w:t>
      </w:r>
    </w:p>
    <w:p w:rsidR="00883552" w:rsidRDefault="00883552" w:rsidP="00883552">
      <w:pPr>
        <w:keepNext/>
      </w:pPr>
      <w:r>
        <w:t xml:space="preserve">Aeronautical assets are normally those airport assets that are directly used for the supply of aeronautical services and include for example runways, aprons, </w:t>
      </w:r>
      <w:proofErr w:type="gramStart"/>
      <w:r>
        <w:t>aircraft</w:t>
      </w:r>
      <w:proofErr w:type="gramEnd"/>
      <w:r>
        <w:t xml:space="preserve"> parking bays, aerobridges and terminals. </w:t>
      </w:r>
    </w:p>
    <w:p w:rsidR="00883552" w:rsidRDefault="00883552" w:rsidP="00883552">
      <w:pPr>
        <w:keepNext/>
      </w:pPr>
      <w:r>
        <w:t xml:space="preserve">Aeronautical tangible non-current assets for the four monitored airports for 2014-15 were valued at $7.3 billion, up 11.5 per cent in real terms since 2013-14. Melbourne Airport accounted for around 52 per cent of the real dollar increase in the monitored airports’ combined aeronautical asset base. </w:t>
      </w:r>
    </w:p>
    <w:p w:rsidR="00883552" w:rsidRDefault="00883552" w:rsidP="00883552">
      <w:pPr>
        <w:keepNext/>
      </w:pPr>
      <w:r>
        <w:t xml:space="preserve">During 2014-15, all airports apart from Sydney Airport reported increases in the total real value of aeronautical tangible non-current assets. Melbourne Airport reported an increase of 28.1 per cent in real terms while Brisbane and Perth airports had increases of 16.8 and 19.8 per cent in real terms respectively. </w:t>
      </w:r>
      <w:proofErr w:type="gramStart"/>
      <w:r>
        <w:t>Sydney Airport’s aeronautical tangible non-current assets decreased by 3.2 per cent in real terms to $2.6 billion.</w:t>
      </w:r>
      <w:proofErr w:type="gramEnd"/>
      <w:r>
        <w:t xml:space="preserve"> </w:t>
      </w:r>
    </w:p>
    <w:p w:rsidR="00883552" w:rsidRDefault="00883552" w:rsidP="00883552">
      <w:pPr>
        <w:keepNext/>
      </w:pPr>
    </w:p>
    <w:p w:rsidR="00883552" w:rsidRDefault="00883552" w:rsidP="00883552">
      <w:pPr>
        <w:keepNext/>
      </w:pPr>
    </w:p>
    <w:p w:rsidR="00883552" w:rsidRDefault="00883552" w:rsidP="00883552">
      <w:pPr>
        <w:keepNext/>
      </w:pPr>
    </w:p>
    <w:p w:rsidR="00883552" w:rsidRDefault="00883552" w:rsidP="00883552">
      <w:pPr>
        <w:pStyle w:val="Numberedheading3"/>
        <w:tabs>
          <w:tab w:val="clear" w:pos="1384"/>
          <w:tab w:val="num" w:pos="993"/>
        </w:tabs>
        <w:ind w:left="993" w:hanging="993"/>
      </w:pPr>
      <w:r>
        <w:lastRenderedPageBreak/>
        <w:t>Return on assets</w:t>
      </w:r>
    </w:p>
    <w:p w:rsidR="00883552" w:rsidRDefault="00883552" w:rsidP="00883552">
      <w:pPr>
        <w:keepNext/>
      </w:pPr>
      <w:r>
        <w:t xml:space="preserve">Return on assets is calculated as EBITA on average tangible non-current assets. This measure provides a measure of the efficiency with which an entity uses its assets to produce an operating profit. </w:t>
      </w:r>
      <w:r>
        <w:rPr>
          <w:rStyle w:val="FootnoteReference"/>
        </w:rPr>
        <w:footnoteReference w:id="32"/>
      </w:r>
    </w:p>
    <w:p w:rsidR="00883552" w:rsidRDefault="00883552" w:rsidP="00883552">
      <w:pPr>
        <w:pStyle w:val="Numberedheading4"/>
        <w:keepNext/>
      </w:pPr>
      <w:r>
        <w:t>Return on a</w:t>
      </w:r>
      <w:r w:rsidRPr="00694FD8">
        <w:t xml:space="preserve">eronautical </w:t>
      </w:r>
      <w:r>
        <w:t>assets</w:t>
      </w:r>
    </w:p>
    <w:p w:rsidR="00883552" w:rsidRDefault="00883552" w:rsidP="00883552">
      <w:pPr>
        <w:keepNext/>
      </w:pPr>
      <w:r>
        <w:t>Chart 1.5.3 presents the return on assets for aeronautical services from 2004-05 to 2014-15.</w:t>
      </w:r>
    </w:p>
    <w:p w:rsidR="00883552" w:rsidRDefault="00883552" w:rsidP="00883552">
      <w:pPr>
        <w:keepNext/>
        <w:spacing w:before="240" w:after="200" w:line="276" w:lineRule="auto"/>
        <w:ind w:left="1440" w:hanging="1440"/>
        <w:outlineLvl w:val="3"/>
      </w:pPr>
      <w:r w:rsidRPr="002A2294">
        <w:rPr>
          <w:b/>
          <w:color w:val="51626F"/>
        </w:rPr>
        <w:t>Chart 1.</w:t>
      </w:r>
      <w:r>
        <w:rPr>
          <w:b/>
          <w:color w:val="51626F"/>
        </w:rPr>
        <w:t>5.3:</w:t>
      </w:r>
      <w:r>
        <w:rPr>
          <w:b/>
          <w:color w:val="51626F"/>
        </w:rPr>
        <w:tab/>
        <w:t>Return on assets for aeronautical services</w:t>
      </w:r>
      <w:r w:rsidRPr="002A2294">
        <w:rPr>
          <w:b/>
          <w:color w:val="51626F"/>
        </w:rPr>
        <w:t>: 200</w:t>
      </w:r>
      <w:r>
        <w:rPr>
          <w:b/>
          <w:color w:val="51626F"/>
        </w:rPr>
        <w:t>4</w:t>
      </w:r>
      <w:r w:rsidRPr="002A2294">
        <w:rPr>
          <w:b/>
          <w:color w:val="51626F"/>
        </w:rPr>
        <w:t>-0</w:t>
      </w:r>
      <w:r>
        <w:rPr>
          <w:b/>
          <w:color w:val="51626F"/>
        </w:rPr>
        <w:t>5</w:t>
      </w:r>
      <w:r w:rsidRPr="002A2294">
        <w:rPr>
          <w:b/>
          <w:color w:val="51626F"/>
        </w:rPr>
        <w:t xml:space="preserve"> to 201</w:t>
      </w:r>
      <w:r>
        <w:rPr>
          <w:b/>
          <w:color w:val="51626F"/>
        </w:rPr>
        <w:t>4</w:t>
      </w:r>
      <w:r w:rsidRPr="002A2294">
        <w:rPr>
          <w:b/>
          <w:color w:val="51626F"/>
        </w:rPr>
        <w:t>-1</w:t>
      </w:r>
      <w:r>
        <w:rPr>
          <w:b/>
          <w:color w:val="51626F"/>
        </w:rPr>
        <w:t>5</w:t>
      </w:r>
    </w:p>
    <w:p w:rsidR="00883552" w:rsidRDefault="00883552" w:rsidP="00883552">
      <w:pPr>
        <w:keepNext/>
      </w:pPr>
      <w:r w:rsidRPr="005F66D3">
        <w:rPr>
          <w:noProof/>
          <w:lang w:eastAsia="en-AU"/>
        </w:rPr>
        <w:drawing>
          <wp:inline distT="0" distB="0" distL="0" distR="0" wp14:anchorId="720CDF36" wp14:editId="72DC0024">
            <wp:extent cx="5366736" cy="2838616"/>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4480" cy="2837423"/>
                    </a:xfrm>
                    <a:prstGeom prst="rect">
                      <a:avLst/>
                    </a:prstGeom>
                    <a:noFill/>
                    <a:ln>
                      <a:noFill/>
                    </a:ln>
                  </pic:spPr>
                </pic:pic>
              </a:graphicData>
            </a:graphic>
          </wp:inline>
        </w:drawing>
      </w:r>
    </w:p>
    <w:p w:rsidR="00883552" w:rsidRDefault="00883552" w:rsidP="00883552">
      <w:pPr>
        <w:keepNext/>
      </w:pPr>
      <w:r>
        <w:t>Sydney Airport was the only monitored airport to report an increase in return on aeronautical assets for 2014-15, with a rise of 0.4 percentage points to 12.4 per cent. This is the sixth consecutive year that Sydney Airport’s return on aeronautical assets has increased.</w:t>
      </w:r>
    </w:p>
    <w:p w:rsidR="00883552" w:rsidRDefault="00883552" w:rsidP="00883552">
      <w:pPr>
        <w:keepNext/>
      </w:pPr>
      <w:r>
        <w:t xml:space="preserve">Sydney Airports return on aeronautical assets was also the highest rate of all the monitored airports during 2014-15. </w:t>
      </w:r>
    </w:p>
    <w:p w:rsidR="00883552" w:rsidRDefault="00883552" w:rsidP="00883552">
      <w:pPr>
        <w:keepNext/>
      </w:pPr>
      <w:r>
        <w:t>Both Melbourne (down 1.9 percentage points to 9.2 per cent) and Perth Airports (down 3.3 percentage points to 9.3 per cent) reported drops in their return on aeronautical assets. Brisbane Airport remained unchanged at 6.2 per cent for their return on aeronautical assets. Brisbane Airport earnt around half of what Sydney Airport is earning for every dollar invested during 2014-15.</w:t>
      </w:r>
    </w:p>
    <w:p w:rsidR="00883552" w:rsidRDefault="00883552" w:rsidP="00883552">
      <w:pPr>
        <w:pStyle w:val="Numberedheading4"/>
        <w:keepNext/>
      </w:pPr>
      <w:r>
        <w:t>Return on a</w:t>
      </w:r>
      <w:r w:rsidRPr="00694FD8">
        <w:t xml:space="preserve">eronautical </w:t>
      </w:r>
      <w:r>
        <w:t>assets using the line in the sand approach</w:t>
      </w:r>
    </w:p>
    <w:p w:rsidR="00883552" w:rsidRDefault="00883552" w:rsidP="00883552">
      <w:pPr>
        <w:keepNext/>
      </w:pPr>
      <w:r>
        <w:t>The 2006 Productivity Commission’s (PC) inquiry into the economic regulation of airports services said that some airports were revaluing aeronautical assets for a range of non-price reasons.</w:t>
      </w:r>
      <w:r>
        <w:rPr>
          <w:rStyle w:val="FootnoteReference"/>
        </w:rPr>
        <w:footnoteReference w:id="33"/>
      </w:r>
      <w:r>
        <w:t xml:space="preserve"> Further, the PC said that the intent of these revaluations may be to provide a justification for higher charges at some stage in the future. </w:t>
      </w:r>
    </w:p>
    <w:p w:rsidR="00883552" w:rsidRDefault="00883552" w:rsidP="00883552">
      <w:pPr>
        <w:keepNext/>
      </w:pPr>
      <w:r>
        <w:lastRenderedPageBreak/>
        <w:t xml:space="preserve">The ACCC has reported </w:t>
      </w:r>
      <w:proofErr w:type="gramStart"/>
      <w:r>
        <w:t>on a ‘line in the sand’ (LIS) approach for airports’ aeronautical asset valuations</w:t>
      </w:r>
      <w:proofErr w:type="gramEnd"/>
      <w:r>
        <w:t xml:space="preserve"> since 2007-08. Under the LIS approach, the value of an airport’s aeronautical asset base for monitoring purposes is the value of tangible non</w:t>
      </w:r>
      <w:r>
        <w:noBreakHyphen/>
        <w:t>current aeronautical assets reported to the ACCC as at 30 June 2005, plus new investments, less depreciation and disposals.</w:t>
      </w:r>
      <w:r>
        <w:rPr>
          <w:rStyle w:val="FootnoteReference"/>
        </w:rPr>
        <w:footnoteReference w:id="34"/>
      </w:r>
      <w:r>
        <w:t xml:space="preserve"> </w:t>
      </w:r>
    </w:p>
    <w:p w:rsidR="00883552" w:rsidRDefault="00883552" w:rsidP="00883552">
      <w:pPr>
        <w:keepNext/>
      </w:pPr>
      <w:r>
        <w:t>Brisbane and Sydney airports are the only two airports impacted by the LIS approach, as Melbourne and Perth airports have not revalued their aeronautical assets for monitoring purposes since 30 June 2005.</w:t>
      </w:r>
    </w:p>
    <w:p w:rsidR="00883552" w:rsidRDefault="00883552" w:rsidP="00883552">
      <w:pPr>
        <w:keepNext/>
      </w:pPr>
      <w:r>
        <w:t>Brisbane Airport’s return on aeronautical assets under the LIS approach was 7.9 per cent which is 1.6 percentage points higher than the non</w:t>
      </w:r>
      <w:r>
        <w:noBreakHyphen/>
        <w:t>LIS figure. This is due to Brisbane Airport’s earnings being higher under the LIS methodology, while its aeronautical asset base is lower in value under the LIS methodology.</w:t>
      </w:r>
      <w:r>
        <w:rPr>
          <w:rStyle w:val="FootnoteReference"/>
        </w:rPr>
        <w:footnoteReference w:id="35"/>
      </w:r>
    </w:p>
    <w:p w:rsidR="00883552" w:rsidRDefault="00883552" w:rsidP="00883552">
      <w:pPr>
        <w:keepNext/>
      </w:pPr>
      <w:r>
        <w:t>Under the LIS approach, Sydney Airport’s return on aeronautical assets was 12.0 per cent.</w:t>
      </w:r>
      <w:r>
        <w:rPr>
          <w:rStyle w:val="FootnoteReference"/>
        </w:rPr>
        <w:footnoteReference w:id="36"/>
      </w:r>
      <w:r>
        <w:t xml:space="preserve"> This is 0.4 percentage points lower than the non</w:t>
      </w:r>
      <w:r>
        <w:noBreakHyphen/>
        <w:t>LIS value.</w:t>
      </w:r>
    </w:p>
    <w:p w:rsidR="00883552" w:rsidRDefault="00883552" w:rsidP="00883552">
      <w:pPr>
        <w:pStyle w:val="Numberedheading4"/>
        <w:keepNext/>
      </w:pPr>
      <w:r>
        <w:t>Return on total airport assets</w:t>
      </w:r>
    </w:p>
    <w:p w:rsidR="00883552" w:rsidRDefault="00883552" w:rsidP="00883552">
      <w:pPr>
        <w:keepNext/>
      </w:pPr>
      <w:r>
        <w:t xml:space="preserve">Brisbane, Melbourne and Sydney airports reported declining return on total airport assets while Perth Airport remained unchanged during 2014-15. </w:t>
      </w:r>
    </w:p>
    <w:p w:rsidR="00883552" w:rsidRDefault="00883552" w:rsidP="00883552">
      <w:pPr>
        <w:keepNext/>
      </w:pPr>
      <w:r>
        <w:t xml:space="preserve">Sydney Airport’s return on total airport assets was 17.9 per cent during 2014-15, representing a drop of 1.2 percentage points from the previous year. This return on total airport assets is substantially above the other monitored airports. </w:t>
      </w:r>
    </w:p>
    <w:p w:rsidR="00883552" w:rsidRDefault="00883552" w:rsidP="00883552">
      <w:pPr>
        <w:keepNext/>
      </w:pPr>
      <w:r>
        <w:t xml:space="preserve">Melbourne Airport recorded the largest drop of 2.2 percentage points for return on total assets with 12.9 per cent during 2014-15. Perth Airport remained unchanged at 9.8 per cent while Brisbane Airport reported 9.0 per cent. </w:t>
      </w:r>
    </w:p>
    <w:p w:rsidR="00883552" w:rsidRDefault="00883552" w:rsidP="00883552">
      <w:pPr>
        <w:pStyle w:val="Numberedheading3"/>
        <w:tabs>
          <w:tab w:val="clear" w:pos="1384"/>
          <w:tab w:val="num" w:pos="993"/>
        </w:tabs>
        <w:ind w:left="993" w:hanging="993"/>
      </w:pPr>
      <w:r>
        <w:t>Aeronautical investments</w:t>
      </w:r>
    </w:p>
    <w:p w:rsidR="00883552" w:rsidRDefault="00883552" w:rsidP="00883552">
      <w:pPr>
        <w:keepNext/>
      </w:pPr>
      <w:r>
        <w:t>An important indicator for airport performance is the extent to which it is undertaking efficient investment in aeronautical infrastructure to meet current and future needs of the users of airports. The nature, scale and timing of investments will have a material impact on services provided to airlines and passengers.</w:t>
      </w:r>
    </w:p>
    <w:p w:rsidR="00883552" w:rsidRPr="00276C3B" w:rsidRDefault="00883552" w:rsidP="00883552">
      <w:pPr>
        <w:keepNext/>
      </w:pPr>
      <w:r>
        <w:t>Aeronautical assets such as runways, terminals, taxiways and aprons are generally long</w:t>
      </w:r>
      <w:r>
        <w:noBreakHyphen/>
        <w:t>lived assets, and investment projects also require long lead times in the planning and implementation stages. For these reasons, different airports are likely to be at different phases of their investment cycles at any given time. However, an airport’s investment profile over time should provide a useful context for assessing changes in the standard of service levels.</w:t>
      </w:r>
    </w:p>
    <w:p w:rsidR="00883552" w:rsidRDefault="00883552" w:rsidP="00883552">
      <w:pPr>
        <w:pStyle w:val="Numberedheading4"/>
        <w:keepNext/>
      </w:pPr>
      <w:r>
        <w:t>Additions as a percentage of aeronautical assets</w:t>
      </w:r>
    </w:p>
    <w:p w:rsidR="00883552" w:rsidRDefault="00883552" w:rsidP="00883552">
      <w:pPr>
        <w:keepNext/>
      </w:pPr>
      <w:r>
        <w:t xml:space="preserve">Additions to aeronautical assets are used by the ACCC to measure aeronautical investment (or capital expenditure) relative to the size of the airport. Further, it is used to measure the extent to which an airport expands its aeronautical asset base on a yearly basis. Brisbane, Melbourne </w:t>
      </w:r>
      <w:r>
        <w:lastRenderedPageBreak/>
        <w:t xml:space="preserve">and Perth airports have all reported substantial additions to aeronautical investments over the last decade while Sydney Airport has reported quite lower additions. </w:t>
      </w:r>
    </w:p>
    <w:p w:rsidR="00883552" w:rsidRDefault="00883552" w:rsidP="00883552">
      <w:pPr>
        <w:keepNext/>
      </w:pPr>
      <w:r>
        <w:t>Chart 1.5.4 presents additions as a percentage of aeronautical assets for all monitored airports from 2004-05 to present. Perth Airport reported the highest additions to aeronautical assets of the monitored airports during 2014-15 with 28.7 per cent, up 0.4 percentage points from 2013</w:t>
      </w:r>
      <w:r>
        <w:noBreakHyphen/>
        <w:t xml:space="preserve">14. This is the second highest addition to Perth Airport’s aeronautical assets since privatisation. The major aeronautical projects completed during 2014-15 at Perth Airport include the expansion and refurbishment works in T3, which increased the departure lounge area and an upgrade of the baggage handling system. </w:t>
      </w:r>
    </w:p>
    <w:p w:rsidR="00883552" w:rsidRDefault="00883552" w:rsidP="00883552">
      <w:pPr>
        <w:pStyle w:val="Numberedcharttitle"/>
      </w:pPr>
      <w:r>
        <w:t>Chart 1.5.4:</w:t>
      </w:r>
      <w:r>
        <w:tab/>
        <w:t>Additions as a percentage of tangible non</w:t>
      </w:r>
      <w:r>
        <w:noBreakHyphen/>
        <w:t>current assets for aeronautical services: 2004</w:t>
      </w:r>
      <w:r>
        <w:noBreakHyphen/>
        <w:t>05 to 2014</w:t>
      </w:r>
      <w:r>
        <w:noBreakHyphen/>
        <w:t>15</w:t>
      </w:r>
    </w:p>
    <w:p w:rsidR="00883552" w:rsidRDefault="00883552" w:rsidP="00883552">
      <w:pPr>
        <w:keepNext/>
      </w:pPr>
      <w:r w:rsidRPr="00CF26DE">
        <w:rPr>
          <w:noProof/>
          <w:lang w:eastAsia="en-AU"/>
        </w:rPr>
        <w:drawing>
          <wp:inline distT="0" distB="0" distL="0" distR="0" wp14:anchorId="7CFE6A13" wp14:editId="473844A0">
            <wp:extent cx="5364480" cy="3118123"/>
            <wp:effectExtent l="0" t="0" r="762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4480" cy="3118123"/>
                    </a:xfrm>
                    <a:prstGeom prst="rect">
                      <a:avLst/>
                    </a:prstGeom>
                    <a:noFill/>
                    <a:ln>
                      <a:noFill/>
                    </a:ln>
                  </pic:spPr>
                </pic:pic>
              </a:graphicData>
            </a:graphic>
          </wp:inline>
        </w:drawing>
      </w:r>
    </w:p>
    <w:p w:rsidR="00883552" w:rsidRDefault="00883552" w:rsidP="00883552">
      <w:pPr>
        <w:keepNext/>
      </w:pPr>
      <w:r>
        <w:t>The most significant aeronautical project underway during 2014-15 was the T1 International and Domestic Pier project with a value of $330 million. The new T1 Domestic Pier opened during November 2015.</w:t>
      </w:r>
    </w:p>
    <w:p w:rsidR="00883552" w:rsidRDefault="00883552" w:rsidP="00883552">
      <w:pPr>
        <w:keepNext/>
      </w:pPr>
      <w:r>
        <w:t>Melbourne Airport’s additions to aeronautical assets were 27.0 per cent during 2014-15 representing the largest aeronautical capital spend since privatisation. Major projects include the construction of the new Terminal 4 and the international terminal bussing, premium lounge and transfer screening facilities project.</w:t>
      </w:r>
    </w:p>
    <w:p w:rsidR="00883552" w:rsidRDefault="00883552" w:rsidP="00883552">
      <w:pPr>
        <w:keepNext/>
      </w:pPr>
      <w:r w:rsidRPr="004A0081">
        <w:t>Over the period from 2004-05 to 2014-15, Melbourne Airport’s additions have totalled $1.9</w:t>
      </w:r>
      <w:r>
        <w:t> </w:t>
      </w:r>
      <w:r w:rsidRPr="004A0081">
        <w:t>billion in real terms and this is the largest of the monitored airports. Both Brisbane and Sydney airports overall additions over the same period time series w</w:t>
      </w:r>
      <w:r>
        <w:t>ere</w:t>
      </w:r>
      <w:r w:rsidRPr="004A0081">
        <w:t xml:space="preserve"> around $1.8 billion in real terms.</w:t>
      </w:r>
    </w:p>
    <w:p w:rsidR="00883552" w:rsidRDefault="00883552" w:rsidP="00114E05">
      <w:pPr>
        <w:pStyle w:val="Numberedheading2"/>
      </w:pPr>
      <w:r>
        <w:t>Comparing aeronautical price with quality outcomes</w:t>
      </w:r>
    </w:p>
    <w:p w:rsidR="00883552" w:rsidRDefault="00883552" w:rsidP="001734F5">
      <w:pPr>
        <w:keepNext/>
      </w:pPr>
      <w:r>
        <w:t xml:space="preserve">An unregulated monopolist has the ability to earn excess profits by charging higher fees for their service or product and by reducing quality / standards or by not passing on reductions in costs. The latter can result in lower standards of service or quality of product. This section </w:t>
      </w:r>
      <w:r>
        <w:lastRenderedPageBreak/>
        <w:t xml:space="preserve">compares the overall aeronautical quality of service ratings with the average aeronautical prices charged per passenger for each monitored airport. </w:t>
      </w:r>
    </w:p>
    <w:p w:rsidR="00883552" w:rsidRDefault="00883552" w:rsidP="00883552">
      <w:pPr>
        <w:keepNext/>
      </w:pPr>
      <w:r>
        <w:t>Chart 1.6.1 provides a graphical representation of the combination of these two indicators for each airport for the period 2004-05 to 2014-15. The most favourable combinations of quality of service ratings and average prices would be located in the lower right quadrant which would represent lower prices and higher quality. Alternatively, the upper left quadrant representing lower quality and higher prices would be the least favourable combination.</w:t>
      </w:r>
    </w:p>
    <w:p w:rsidR="00883552" w:rsidRDefault="00883552" w:rsidP="00883552">
      <w:pPr>
        <w:keepNext/>
      </w:pPr>
      <w:r>
        <w:t>During 2014-15, there were no monitored airports in the most favourable quadrant of low average prices and high quality outcomes. Although Melbourne Airport reported the lowest average aeronautical price of the monitored airports, it also had the equal lowest overall aeronautical quality rating. Sydney Airport reported the largest average aeronautical price and the equal lowest overall aeronautical quality rating. It was the only airport to be located in the high price / low quality quadrant during 2014</w:t>
      </w:r>
      <w:r>
        <w:noBreakHyphen/>
        <w:t xml:space="preserve">15.  </w:t>
      </w:r>
    </w:p>
    <w:p w:rsidR="00883552" w:rsidRDefault="00883552" w:rsidP="00883552">
      <w:pPr>
        <w:pStyle w:val="Numberedcharttitle"/>
      </w:pPr>
      <w:r>
        <w:t xml:space="preserve"> </w:t>
      </w:r>
      <w:r w:rsidRPr="006F025C">
        <w:rPr>
          <w:noProof/>
          <w:lang w:eastAsia="en-AU"/>
        </w:rPr>
        <mc:AlternateContent>
          <mc:Choice Requires="wpg">
            <w:drawing>
              <wp:anchor distT="0" distB="0" distL="114300" distR="114300" simplePos="0" relativeHeight="251679232" behindDoc="0" locked="0" layoutInCell="1" allowOverlap="1" wp14:anchorId="54AD935A" wp14:editId="21FACCBF">
                <wp:simplePos x="0" y="0"/>
                <wp:positionH relativeFrom="column">
                  <wp:posOffset>514985</wp:posOffset>
                </wp:positionH>
                <wp:positionV relativeFrom="paragraph">
                  <wp:posOffset>318770</wp:posOffset>
                </wp:positionV>
                <wp:extent cx="1450340" cy="520700"/>
                <wp:effectExtent l="19050" t="19050" r="16510" b="317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520700"/>
                          <a:chOff x="4700" y="2824"/>
                          <a:chExt cx="2284" cy="820"/>
                        </a:xfrm>
                      </wpg:grpSpPr>
                      <wps:wsp>
                        <wps:cNvPr id="24" name="AutoShape 3"/>
                        <wps:cNvSpPr>
                          <a:spLocks noChangeArrowheads="1"/>
                        </wps:cNvSpPr>
                        <wps:spPr bwMode="auto">
                          <a:xfrm rot="5400000">
                            <a:off x="5432" y="2092"/>
                            <a:ext cx="820" cy="2284"/>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4"/>
                        <wps:cNvSpPr txBox="1">
                          <a:spLocks noChangeArrowheads="1"/>
                        </wps:cNvSpPr>
                        <wps:spPr bwMode="auto">
                          <a:xfrm>
                            <a:off x="5031" y="3044"/>
                            <a:ext cx="195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21329A" w:rsidRDefault="007A2C42" w:rsidP="00883552">
                              <w:pPr>
                                <w:jc w:val="both"/>
                                <w:rPr>
                                  <w:b/>
                                  <w:sz w:val="18"/>
                                </w:rPr>
                              </w:pPr>
                              <w:r>
                                <w:rPr>
                                  <w:b/>
                                  <w:sz w:val="18"/>
                                </w:rPr>
                                <w:t>LOWER</w:t>
                              </w:r>
                              <w:r w:rsidRPr="0021329A">
                                <w:rPr>
                                  <w:b/>
                                  <w:sz w:val="18"/>
                                </w:rPr>
                                <w:t xml:space="preserve"> 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4" style="position:absolute;left:0;text-align:left;margin-left:40.55pt;margin-top:25.1pt;width:114.2pt;height:41pt;z-index:251679232" coordorigin="4700,2824" coordsize="22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">
                <v:shape id="AutoShape 3" o:spid="_x0000_s1045" type="#_x0000_t67" style="position:absolute;left:5432;top:2092;width:820;height:2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KKsUA&#10;AADbAAAADwAAAGRycy9kb3ducmV2LnhtbESPzWrDMBCE74W+g9hCbo2cH0pxo4TYUJJDEohbCr0t&#10;1tYWtVbGUhPl7aNAoMdhZr5hFqtoO3GiwRvHCibjDARx7bThRsHnx/vzKwgfkDV2jknBhTyslo8P&#10;C8y1O/ORTlVoRIKwz1FBG0KfS+nrliz6seuJk/fjBoshyaGResBzgttOTrPsRVo0nBZa7Klsqf6t&#10;/qyCg9maWOw29D2bl19hbfaTWGilRk9x/QYiUAz/4Xt7qxVM53D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AoqxQAAANsAAAAPAAAAAAAAAAAAAAAAAJgCAABkcnMv&#10;ZG93bnJldi54bWxQSwUGAAAAAAQABAD1AAAAigMAAAAA&#10;"/>
                <v:shape id="Text Box 4" o:spid="_x0000_s1046" type="#_x0000_t202" style="position:absolute;left:5031;top:3044;width:195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A2C42" w:rsidRPr="0021329A" w:rsidRDefault="007A2C42" w:rsidP="00883552">
                        <w:pPr>
                          <w:jc w:val="both"/>
                          <w:rPr>
                            <w:b/>
                            <w:sz w:val="18"/>
                          </w:rPr>
                        </w:pPr>
                        <w:r>
                          <w:rPr>
                            <w:b/>
                            <w:sz w:val="18"/>
                          </w:rPr>
                          <w:t>LOWER</w:t>
                        </w:r>
                        <w:r w:rsidRPr="0021329A">
                          <w:rPr>
                            <w:b/>
                            <w:sz w:val="18"/>
                          </w:rPr>
                          <w:t xml:space="preserve"> QUALITY</w:t>
                        </w:r>
                      </w:p>
                    </w:txbxContent>
                  </v:textbox>
                </v:shape>
              </v:group>
            </w:pict>
          </mc:Fallback>
        </mc:AlternateContent>
      </w:r>
      <w:r w:rsidRPr="001E5A26">
        <w:t>Chart 1.6.1:</w:t>
      </w:r>
      <w:r w:rsidRPr="001E5A26">
        <w:tab/>
        <w:t>Aeronautical revenue per passenger (in real terms) and aeronautical quality of service ratings: 200</w:t>
      </w:r>
      <w:r>
        <w:t>4</w:t>
      </w:r>
      <w:r w:rsidRPr="001E5A26">
        <w:noBreakHyphen/>
        <w:t>0</w:t>
      </w:r>
      <w:r>
        <w:t>5</w:t>
      </w:r>
      <w:r w:rsidRPr="001E5A26">
        <w:t xml:space="preserve"> to 2013</w:t>
      </w:r>
      <w:r w:rsidRPr="001E5A26">
        <w:noBreakHyphen/>
        <w:t>14</w:t>
      </w:r>
      <w:r w:rsidRPr="001E5A26">
        <w:rPr>
          <w:vertAlign w:val="superscript"/>
        </w:rPr>
        <w:footnoteReference w:id="37"/>
      </w:r>
    </w:p>
    <w:p w:rsidR="00883552" w:rsidRDefault="00883552" w:rsidP="00883552">
      <w:pPr>
        <w:keepNext/>
      </w:pPr>
      <w:r w:rsidRPr="006F025C">
        <w:rPr>
          <w:noProof/>
          <w:lang w:eastAsia="en-AU"/>
        </w:rPr>
        <mc:AlternateContent>
          <mc:Choice Requires="wpg">
            <w:drawing>
              <wp:anchor distT="0" distB="0" distL="114300" distR="114300" simplePos="0" relativeHeight="251681280" behindDoc="0" locked="0" layoutInCell="1" allowOverlap="1" wp14:anchorId="2D8D8831" wp14:editId="29AE7A3F">
                <wp:simplePos x="0" y="0"/>
                <wp:positionH relativeFrom="column">
                  <wp:posOffset>3391065</wp:posOffset>
                </wp:positionH>
                <wp:positionV relativeFrom="paragraph">
                  <wp:posOffset>3778736</wp:posOffset>
                </wp:positionV>
                <wp:extent cx="1450340" cy="520700"/>
                <wp:effectExtent l="0" t="19050" r="35560" b="31750"/>
                <wp:wrapNone/>
                <wp:docPr id="312" name="Group 312"/>
                <wp:cNvGraphicFramePr/>
                <a:graphic xmlns:a="http://schemas.openxmlformats.org/drawingml/2006/main">
                  <a:graphicData uri="http://schemas.microsoft.com/office/word/2010/wordprocessingGroup">
                    <wpg:wgp>
                      <wpg:cNvGrpSpPr/>
                      <wpg:grpSpPr>
                        <a:xfrm>
                          <a:off x="0" y="0"/>
                          <a:ext cx="1450340" cy="520700"/>
                          <a:chOff x="0" y="0"/>
                          <a:chExt cx="1450340" cy="520700"/>
                        </a:xfrm>
                      </wpg:grpSpPr>
                      <wps:wsp>
                        <wps:cNvPr id="309" name="AutoShape 30"/>
                        <wps:cNvSpPr>
                          <a:spLocks noChangeArrowheads="1"/>
                        </wps:cNvSpPr>
                        <wps:spPr bwMode="auto">
                          <a:xfrm rot="16200000">
                            <a:off x="464820" y="-464820"/>
                            <a:ext cx="520700" cy="1450340"/>
                          </a:xfrm>
                          <a:prstGeom prst="downArrow">
                            <a:avLst>
                              <a:gd name="adj1" fmla="val 50000"/>
                              <a:gd name="adj2" fmla="val 69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Text Box 31"/>
                        <wps:cNvSpPr txBox="1">
                          <a:spLocks noChangeArrowheads="1"/>
                        </wps:cNvSpPr>
                        <wps:spPr bwMode="auto">
                          <a:xfrm>
                            <a:off x="1683" y="140821"/>
                            <a:ext cx="12401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21329A" w:rsidRDefault="007A2C42" w:rsidP="00883552">
                              <w:pPr>
                                <w:rPr>
                                  <w:b/>
                                  <w:sz w:val="18"/>
                                </w:rPr>
                              </w:pPr>
                              <w:r w:rsidRPr="0021329A">
                                <w:rPr>
                                  <w:b/>
                                  <w:sz w:val="18"/>
                                </w:rPr>
                                <w:t>HIGHER QUALITY</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2" o:spid="_x0000_s1047" style="position:absolute;margin-left:267pt;margin-top:297.55pt;width:114.2pt;height:41pt;z-index:251681280;mso-width-relative:margin;mso-height-relative:margin" coordsize="14503,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">
                <v:shape id="AutoShape 30" o:spid="_x0000_s1048" type="#_x0000_t67" style="position:absolute;left:4648;top:-4648;width:5207;height:145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MFsYA&#10;AADcAAAADwAAAGRycy9kb3ducmV2LnhtbESPUUvDMBSF3wX/Q7gDX8Qm6hiuLhvqEDZQxmp/wKW5&#10;tp3NTUniWv/9Mhj4eDjnfIezWI22E0fyoXWs4T5TIIgrZ1quNZRf73dPIEJENtg5Jg1/FGC1vL5a&#10;YG7cwHs6FrEWCcIhRw1NjH0uZagashgy1xMn79t5izFJX0vjcUhw28kHpWbSYstpocGe3hqqfopf&#10;q0Fth/26qD7ntx+H1/VsWvrdrvBa30zGl2cQkcb4H760N0bDo5rD+Uw6An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MFsYAAADcAAAADwAAAAAAAAAAAAAAAACYAgAAZHJz&#10;L2Rvd25yZXYueG1sUEsFBgAAAAAEAAQA9QAAAIsDAAAAAA==&#10;"/>
                <v:shape id="Text Box 31" o:spid="_x0000_s1049" type="#_x0000_t202" style="position:absolute;left:16;top:1408;width:1240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A2C42" w:rsidRPr="0021329A" w:rsidRDefault="007A2C42" w:rsidP="00883552">
                        <w:pPr>
                          <w:rPr>
                            <w:b/>
                            <w:sz w:val="18"/>
                          </w:rPr>
                        </w:pPr>
                        <w:r w:rsidRPr="0021329A">
                          <w:rPr>
                            <w:b/>
                            <w:sz w:val="18"/>
                          </w:rPr>
                          <w:t>HIGHER QUALITY</w:t>
                        </w:r>
                      </w:p>
                    </w:txbxContent>
                  </v:textbox>
                </v:shape>
              </v:group>
            </w:pict>
          </mc:Fallback>
        </mc:AlternateContent>
      </w:r>
      <w:r w:rsidRPr="006F025C">
        <w:rPr>
          <w:noProof/>
          <w:lang w:eastAsia="en-AU"/>
        </w:rPr>
        <mc:AlternateContent>
          <mc:Choice Requires="wpg">
            <w:drawing>
              <wp:anchor distT="0" distB="0" distL="114300" distR="114300" simplePos="0" relativeHeight="251680256" behindDoc="0" locked="0" layoutInCell="1" allowOverlap="1" wp14:anchorId="25949070" wp14:editId="4F75F273">
                <wp:simplePos x="0" y="0"/>
                <wp:positionH relativeFrom="column">
                  <wp:posOffset>4427087</wp:posOffset>
                </wp:positionH>
                <wp:positionV relativeFrom="paragraph">
                  <wp:posOffset>2532380</wp:posOffset>
                </wp:positionV>
                <wp:extent cx="1139190" cy="939800"/>
                <wp:effectExtent l="19050" t="0" r="0" b="31750"/>
                <wp:wrapNone/>
                <wp:docPr id="311" name="Group 311"/>
                <wp:cNvGraphicFramePr/>
                <a:graphic xmlns:a="http://schemas.openxmlformats.org/drawingml/2006/main">
                  <a:graphicData uri="http://schemas.microsoft.com/office/word/2010/wordprocessingGroup">
                    <wpg:wgp>
                      <wpg:cNvGrpSpPr/>
                      <wpg:grpSpPr>
                        <a:xfrm>
                          <a:off x="0" y="0"/>
                          <a:ext cx="1139190" cy="939800"/>
                          <a:chOff x="0" y="0"/>
                          <a:chExt cx="1139660" cy="939800"/>
                        </a:xfrm>
                      </wpg:grpSpPr>
                      <wps:wsp>
                        <wps:cNvPr id="299" name="AutoShape 6"/>
                        <wps:cNvSpPr>
                          <a:spLocks noChangeArrowheads="1"/>
                        </wps:cNvSpPr>
                        <wps:spPr bwMode="auto">
                          <a:xfrm>
                            <a:off x="0" y="0"/>
                            <a:ext cx="566420" cy="939800"/>
                          </a:xfrm>
                          <a:prstGeom prst="downArrow">
                            <a:avLst>
                              <a:gd name="adj1" fmla="val 50000"/>
                              <a:gd name="adj2" fmla="val 477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Text Box 7"/>
                        <wps:cNvSpPr txBox="1">
                          <a:spLocks noChangeArrowheads="1"/>
                        </wps:cNvSpPr>
                        <wps:spPr bwMode="auto">
                          <a:xfrm>
                            <a:off x="368135" y="83127"/>
                            <a:ext cx="77152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21329A" w:rsidRDefault="007A2C42" w:rsidP="00883552">
                              <w:pPr>
                                <w:jc w:val="center"/>
                                <w:rPr>
                                  <w:b/>
                                  <w:sz w:val="18"/>
                                </w:rPr>
                              </w:pPr>
                              <w:r w:rsidRPr="0021329A">
                                <w:rPr>
                                  <w:b/>
                                  <w:sz w:val="18"/>
                                </w:rPr>
                                <w:t>LOWER UNIT REVENUE</w:t>
                              </w:r>
                            </w:p>
                          </w:txbxContent>
                        </wps:txbx>
                        <wps:bodyPr rot="0" vert="horz" wrap="square" lIns="91440" tIns="45720" rIns="91440" bIns="45720" anchor="t" anchorCtr="0" upright="1">
                          <a:noAutofit/>
                        </wps:bodyPr>
                      </wps:wsp>
                    </wpg:wgp>
                  </a:graphicData>
                </a:graphic>
              </wp:anchor>
            </w:drawing>
          </mc:Choice>
          <mc:Fallback>
            <w:pict>
              <v:group id="Group 311" o:spid="_x0000_s1050" style="position:absolute;margin-left:348.6pt;margin-top:199.4pt;width:89.7pt;height:74pt;z-index:251680256" coordsize="1139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">
                <v:shape id="AutoShape 6" o:spid="_x0000_s1051" type="#_x0000_t67" style="position:absolute;width:5664;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AO8QA&#10;AADcAAAADwAAAGRycy9kb3ducmV2LnhtbESP0YrCMBRE3xf8h3AFXxZNV0G0GsUVZPdBFq1+wLW5&#10;tsXmpjTRtn9vhAUfh5k5wyzXrSnFg2pXWFbwNYpAEKdWF5wpOJ92wxkI55E1lpZJQUcO1qvexxJj&#10;bRs+0iPxmQgQdjEqyL2vYildmpNBN7IVcfCutjbog6wzqWtsAtyUchxFU2mw4LCQY0XbnNJbcjcK&#10;vqddx4cZN5E52uRnf/m8ycmfUoN+u1mA8NT6d/i//asVjOdz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ADvEAAAA3AAAAA8AAAAAAAAAAAAAAAAAmAIAAGRycy9k&#10;b3ducmV2LnhtbFBLBQYAAAAABAAEAPUAAACJAwAAAAA=&#10;" adj="15383"/>
                <v:shape id="Text Box 7" o:spid="_x0000_s1052" type="#_x0000_t202" style="position:absolute;left:3681;top:831;width:7715;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7A2C42" w:rsidRPr="0021329A" w:rsidRDefault="007A2C42" w:rsidP="00883552">
                        <w:pPr>
                          <w:jc w:val="center"/>
                          <w:rPr>
                            <w:b/>
                            <w:sz w:val="18"/>
                          </w:rPr>
                        </w:pPr>
                        <w:r w:rsidRPr="0021329A">
                          <w:rPr>
                            <w:b/>
                            <w:sz w:val="18"/>
                          </w:rPr>
                          <w:t>LOWER UNIT REVENUE</w:t>
                        </w:r>
                      </w:p>
                    </w:txbxContent>
                  </v:textbox>
                </v:shape>
              </v:group>
            </w:pict>
          </mc:Fallback>
        </mc:AlternateContent>
      </w:r>
      <w:r>
        <w:rPr>
          <w:noProof/>
          <w:lang w:eastAsia="en-AU"/>
        </w:rPr>
        <mc:AlternateContent>
          <mc:Choice Requires="wpg">
            <w:drawing>
              <wp:anchor distT="0" distB="0" distL="114300" distR="114300" simplePos="0" relativeHeight="251678208" behindDoc="0" locked="0" layoutInCell="1" allowOverlap="1" wp14:anchorId="7AE316D7" wp14:editId="74F039FA">
                <wp:simplePos x="0" y="0"/>
                <wp:positionH relativeFrom="column">
                  <wp:posOffset>-271704</wp:posOffset>
                </wp:positionH>
                <wp:positionV relativeFrom="paragraph">
                  <wp:posOffset>464820</wp:posOffset>
                </wp:positionV>
                <wp:extent cx="1105468" cy="906448"/>
                <wp:effectExtent l="0" t="19050" r="38100" b="2730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468" cy="906448"/>
                          <a:chOff x="921" y="4196"/>
                          <a:chExt cx="2026" cy="1363"/>
                        </a:xfrm>
                      </wpg:grpSpPr>
                      <wps:wsp>
                        <wps:cNvPr id="27" name="AutoShape 3"/>
                        <wps:cNvSpPr>
                          <a:spLocks noChangeArrowheads="1"/>
                        </wps:cNvSpPr>
                        <wps:spPr bwMode="auto">
                          <a:xfrm rot="10800000">
                            <a:off x="2094" y="4196"/>
                            <a:ext cx="853" cy="1363"/>
                          </a:xfrm>
                          <a:prstGeom prst="downArrow">
                            <a:avLst>
                              <a:gd name="adj1" fmla="val 50000"/>
                              <a:gd name="adj2" fmla="val 6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4"/>
                        <wps:cNvSpPr txBox="1">
                          <a:spLocks noChangeArrowheads="1"/>
                        </wps:cNvSpPr>
                        <wps:spPr bwMode="auto">
                          <a:xfrm>
                            <a:off x="921" y="4614"/>
                            <a:ext cx="1356"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C42" w:rsidRPr="0021329A" w:rsidRDefault="007A2C42" w:rsidP="00883552">
                              <w:pPr>
                                <w:jc w:val="center"/>
                                <w:rPr>
                                  <w:b/>
                                  <w:sz w:val="18"/>
                                </w:rPr>
                              </w:pPr>
                              <w:r w:rsidRPr="0021329A">
                                <w:rPr>
                                  <w:b/>
                                  <w:sz w:val="18"/>
                                </w:rPr>
                                <w:t>HIGHER UNIT REVENUE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3" style="position:absolute;margin-left:-21.4pt;margin-top:36.6pt;width:87.05pt;height:71.35pt;z-index:251678208" coordorigin="921,4196" coordsize="2026,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">
                <v:shape id="AutoShape 3" o:spid="_x0000_s1054" type="#_x0000_t67" style="position:absolute;left:2094;top:4196;width:853;height:13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CiMUA&#10;AADbAAAADwAAAGRycy9kb3ducmV2LnhtbESPQWvCQBSE74L/YXmFXsRsmkMtqauIUKreaoOQ2yP7&#10;mizNvg3ZjYn/visIPQ4z8w2z3k62FVfqvXGs4CVJQRBXThuuFRTfH8s3ED4ga2wdk4Ibedhu5rM1&#10;5tqN/EXXc6hFhLDPUUETQpdL6auGLPrEdcTR+3G9xRBlX0vd4xjhtpVZmr5Ki4bjQoMd7Ruqfs+D&#10;VSDLYbc6nYr6c9EO5bE0t+PlYJR6fpp27yACTeE//GgftIJsBfc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wKIxQAAANsAAAAPAAAAAAAAAAAAAAAAAJgCAABkcnMv&#10;ZG93bnJldi54bWxQSwUGAAAAAAQABAD1AAAAigMAAAAA&#10;" adj="13227"/>
                <v:shape id="Text Box 4" o:spid="_x0000_s1055" type="#_x0000_t202" style="position:absolute;left:921;top:4614;width:1356;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A2C42" w:rsidRPr="0021329A" w:rsidRDefault="007A2C42" w:rsidP="00883552">
                        <w:pPr>
                          <w:jc w:val="center"/>
                          <w:rPr>
                            <w:b/>
                            <w:sz w:val="18"/>
                          </w:rPr>
                        </w:pPr>
                        <w:r w:rsidRPr="0021329A">
                          <w:rPr>
                            <w:b/>
                            <w:sz w:val="18"/>
                          </w:rPr>
                          <w:t>HIGHER UNIT REVENUE</w:t>
                        </w:r>
                      </w:p>
                    </w:txbxContent>
                  </v:textbox>
                </v:shape>
              </v:group>
            </w:pict>
          </mc:Fallback>
        </mc:AlternateContent>
      </w:r>
      <w:r w:rsidRPr="00831E73">
        <w:t xml:space="preserve"> </w:t>
      </w:r>
      <w:r w:rsidRPr="009A6A76">
        <w:t xml:space="preserve"> </w:t>
      </w:r>
      <w:r w:rsidRPr="00C25269">
        <w:rPr>
          <w:noProof/>
          <w:lang w:eastAsia="en-AU"/>
        </w:rPr>
        <w:drawing>
          <wp:inline distT="0" distB="0" distL="0" distR="0" wp14:anchorId="3EED2009" wp14:editId="29F2C89F">
            <wp:extent cx="5364480" cy="4437883"/>
            <wp:effectExtent l="0" t="0" r="7620"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4480" cy="4437883"/>
                    </a:xfrm>
                    <a:prstGeom prst="rect">
                      <a:avLst/>
                    </a:prstGeom>
                    <a:noFill/>
                    <a:ln>
                      <a:noFill/>
                    </a:ln>
                  </pic:spPr>
                </pic:pic>
              </a:graphicData>
            </a:graphic>
          </wp:inline>
        </w:drawing>
      </w:r>
    </w:p>
    <w:p w:rsidR="00883552" w:rsidRDefault="00883552" w:rsidP="00F05093">
      <w:pPr>
        <w:keepNext/>
      </w:pPr>
      <w:r>
        <w:t xml:space="preserve">When assessed over the period 2004-05 to 2014-15, Chart 1.6.1 shows that all monitored airports have reported a worsening of their aeronautical average revenue and quality of service from a consumer perspective. However, Brisbane, Melbourne and Perth Airports all were located in the low price / high quality quadrant in 2004-05. As can clearly be seen in the chart, </w:t>
      </w:r>
      <w:r>
        <w:lastRenderedPageBreak/>
        <w:t>Brisbane Airport’s average aeronautical price had the largest increase of 72.2 per cent over the period from 2004</w:t>
      </w:r>
      <w:r>
        <w:noBreakHyphen/>
        <w:t xml:space="preserve">05 to 2014-15. </w:t>
      </w:r>
    </w:p>
    <w:p w:rsidR="00883552" w:rsidRDefault="00883552" w:rsidP="00F05093">
      <w:pPr>
        <w:keepNext/>
      </w:pPr>
      <w:r>
        <w:t xml:space="preserve">Sydney Airport has been located for the majority of years over the period 2004-05 to 2014-15 in the high price / low quality quadrant. However, Sydney Airport has reported the lowest increase in average aeronautical prices over the period with a rise of 15.5 per cent.  </w:t>
      </w:r>
    </w:p>
    <w:tbl>
      <w:tblPr>
        <w:tblStyle w:val="TableGrid"/>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shd w:val="clear" w:color="auto" w:fill="DEE9EE"/>
        <w:tblLook w:val="04A0" w:firstRow="1" w:lastRow="0" w:firstColumn="1" w:lastColumn="0" w:noHBand="0" w:noVBand="1"/>
      </w:tblPr>
      <w:tblGrid>
        <w:gridCol w:w="8664"/>
      </w:tblGrid>
      <w:tr w:rsidR="00883552" w:rsidTr="00883552">
        <w:tc>
          <w:tcPr>
            <w:tcW w:w="8664" w:type="dxa"/>
            <w:shd w:val="clear" w:color="auto" w:fill="DEE9EE"/>
          </w:tcPr>
          <w:p w:rsidR="00883552" w:rsidRPr="00E70F7D" w:rsidRDefault="00883552" w:rsidP="00F05093">
            <w:pPr>
              <w:keepNext/>
              <w:spacing w:before="60"/>
              <w:rPr>
                <w:b/>
                <w:sz w:val="22"/>
              </w:rPr>
            </w:pPr>
            <w:r>
              <w:rPr>
                <w:b/>
                <w:i/>
                <w:color w:val="17365D" w:themeColor="text2" w:themeShade="BF"/>
                <w:sz w:val="24"/>
                <w:szCs w:val="24"/>
              </w:rPr>
              <w:t>Lack of competition in the supply of jet fuel to airlines</w:t>
            </w:r>
          </w:p>
          <w:p w:rsidR="00883552" w:rsidRDefault="00883552" w:rsidP="00F05093">
            <w:pPr>
              <w:keepNext/>
              <w:rPr>
                <w:color w:val="17365D" w:themeColor="text2" w:themeShade="BF"/>
              </w:rPr>
            </w:pPr>
            <w:r>
              <w:rPr>
                <w:color w:val="17365D" w:themeColor="text2" w:themeShade="BF"/>
              </w:rPr>
              <w:t>Jet fuel is a considerable cost item for airlines, representing around a third of global airline operating costs.</w:t>
            </w:r>
            <w:r>
              <w:rPr>
                <w:rStyle w:val="FootnoteReference"/>
                <w:color w:val="17365D" w:themeColor="text2" w:themeShade="BF"/>
              </w:rPr>
              <w:footnoteReference w:id="38"/>
            </w:r>
            <w:r>
              <w:rPr>
                <w:color w:val="17365D" w:themeColor="text2" w:themeShade="BF"/>
              </w:rPr>
              <w:t xml:space="preserve"> From a competition perspective, the key part of the supply chain is the transport of jet fuel from the refinery or wharf to aircraft at the airport. Jet fuel is transported to on-site storage at the airport by pipeline and/or truck. The storage and distribution infrastructure at the airport is owned by multiple parties and operates under lease by the airport. Some airports including Sydney Airport also charge a fuel throughput levy on each litre of jet fuel. </w:t>
            </w:r>
          </w:p>
          <w:p w:rsidR="00883552" w:rsidRDefault="00883552" w:rsidP="00F05093">
            <w:pPr>
              <w:keepNext/>
              <w:rPr>
                <w:color w:val="17365D" w:themeColor="text2" w:themeShade="BF"/>
              </w:rPr>
            </w:pPr>
            <w:r>
              <w:rPr>
                <w:color w:val="17365D" w:themeColor="text2" w:themeShade="BF"/>
              </w:rPr>
              <w:t xml:space="preserve">The Board of Airline Representatives of Australia (BARA) has long been concerned about the lack of competition in the supply of jet fuel. In 2011 it applied for both the pipeline and the airport storage facilities in Sydney to be declared under Part IIIA of the National Access Regime in the </w:t>
            </w:r>
            <w:r w:rsidRPr="006A59D6">
              <w:rPr>
                <w:i/>
                <w:color w:val="17365D" w:themeColor="text2" w:themeShade="BF"/>
              </w:rPr>
              <w:t>Competition and Consumer Act 2010</w:t>
            </w:r>
            <w:r>
              <w:rPr>
                <w:color w:val="17365D" w:themeColor="text2" w:themeShade="BF"/>
              </w:rPr>
              <w:t xml:space="preserve">. The Minister accepted the recommendation by the National Competition Council and decided not to declare the services. </w:t>
            </w:r>
          </w:p>
          <w:p w:rsidR="00883552" w:rsidRDefault="00883552" w:rsidP="00F05093">
            <w:pPr>
              <w:keepNext/>
              <w:spacing w:after="120"/>
              <w:rPr>
                <w:color w:val="17365D" w:themeColor="text2" w:themeShade="BF"/>
              </w:rPr>
            </w:pPr>
            <w:r>
              <w:rPr>
                <w:color w:val="17365D" w:themeColor="text2" w:themeShade="BF"/>
              </w:rPr>
              <w:t>BARA submitted to the government’s Competition Policy Review that it was an opportune time to create the conditions necessary to allow the emergence of more competitive jet fuel markets.</w:t>
            </w:r>
            <w:r>
              <w:rPr>
                <w:rStyle w:val="FootnoteReference"/>
                <w:color w:val="17365D" w:themeColor="text2" w:themeShade="BF"/>
              </w:rPr>
              <w:footnoteReference w:id="39"/>
            </w:r>
            <w:r>
              <w:rPr>
                <w:color w:val="17365D" w:themeColor="text2" w:themeShade="BF"/>
              </w:rPr>
              <w:t xml:space="preserve"> It said that there were many globally recognised jet fuel suppliers that could enter and compete at Australia’s major international airports. It argued that in order to open up access to the jet fuel infrastructure supply chain:</w:t>
            </w:r>
          </w:p>
          <w:p w:rsidR="00883552" w:rsidRDefault="00883552" w:rsidP="00F26847">
            <w:pPr>
              <w:pStyle w:val="ListParagraph"/>
              <w:keepNext/>
              <w:numPr>
                <w:ilvl w:val="0"/>
                <w:numId w:val="15"/>
              </w:numPr>
              <w:spacing w:after="120"/>
              <w:ind w:left="567"/>
              <w:contextualSpacing w:val="0"/>
              <w:rPr>
                <w:color w:val="17365D" w:themeColor="text2" w:themeShade="BF"/>
              </w:rPr>
            </w:pPr>
            <w:r>
              <w:rPr>
                <w:color w:val="17365D" w:themeColor="text2" w:themeShade="BF"/>
              </w:rPr>
              <w:t>for the infrastructure located at airports, open access arrangements should be a mandatory condition for any lease renewals between the infrastructure owners and the airport and</w:t>
            </w:r>
          </w:p>
          <w:p w:rsidR="00883552" w:rsidRPr="002B3DC9" w:rsidRDefault="00883552" w:rsidP="00F26847">
            <w:pPr>
              <w:pStyle w:val="ListParagraph"/>
              <w:keepNext/>
              <w:numPr>
                <w:ilvl w:val="0"/>
                <w:numId w:val="15"/>
              </w:numPr>
              <w:ind w:left="567"/>
              <w:rPr>
                <w:color w:val="17365D" w:themeColor="text2" w:themeShade="BF"/>
              </w:rPr>
            </w:pPr>
            <w:proofErr w:type="gramStart"/>
            <w:r>
              <w:rPr>
                <w:color w:val="17365D" w:themeColor="text2" w:themeShade="BF"/>
              </w:rPr>
              <w:t>the</w:t>
            </w:r>
            <w:proofErr w:type="gramEnd"/>
            <w:r>
              <w:rPr>
                <w:color w:val="17365D" w:themeColor="text2" w:themeShade="BF"/>
              </w:rPr>
              <w:t xml:space="preserve"> pipelines that transfer the jet fuel to the airport should be deemed declared under Part IIIA.</w:t>
            </w:r>
            <w:r>
              <w:rPr>
                <w:rStyle w:val="FootnoteReference"/>
                <w:color w:val="17365D" w:themeColor="text2" w:themeShade="BF"/>
              </w:rPr>
              <w:footnoteReference w:id="40"/>
            </w:r>
            <w:r>
              <w:rPr>
                <w:color w:val="17365D" w:themeColor="text2" w:themeShade="BF"/>
              </w:rPr>
              <w:t xml:space="preserve"> </w:t>
            </w:r>
          </w:p>
          <w:p w:rsidR="00883552" w:rsidRPr="002B3DC9" w:rsidRDefault="00883552" w:rsidP="00F05093">
            <w:pPr>
              <w:keepNext/>
              <w:rPr>
                <w:color w:val="17365D" w:themeColor="text2" w:themeShade="BF"/>
              </w:rPr>
            </w:pPr>
            <w:r>
              <w:rPr>
                <w:color w:val="17365D" w:themeColor="text2" w:themeShade="BF"/>
              </w:rPr>
              <w:t>The government’s Competition Policy Review found in March 2015 that competition in jet fuel supply should be a focus of further reform efforts in the sector.</w:t>
            </w:r>
            <w:r>
              <w:rPr>
                <w:rStyle w:val="FootnoteReference"/>
                <w:color w:val="17365D" w:themeColor="text2" w:themeShade="BF"/>
              </w:rPr>
              <w:footnoteReference w:id="41"/>
            </w:r>
            <w:r>
              <w:rPr>
                <w:color w:val="17365D" w:themeColor="text2" w:themeShade="BF"/>
              </w:rPr>
              <w:t xml:space="preserve"> However, it did not provide direction as to how this reform may proceed. </w:t>
            </w:r>
          </w:p>
        </w:tc>
      </w:tr>
    </w:tbl>
    <w:p w:rsidR="00883552" w:rsidRDefault="00883552" w:rsidP="00114E05">
      <w:pPr>
        <w:pStyle w:val="Numberedheading2"/>
      </w:pPr>
      <w:r>
        <w:t>Airport car parking prices, revenues, costs and profits</w:t>
      </w:r>
    </w:p>
    <w:p w:rsidR="00883552" w:rsidRDefault="00883552" w:rsidP="00F05093">
      <w:pPr>
        <w:keepNext/>
      </w:pPr>
      <w:r w:rsidRPr="00C07B38">
        <w:t xml:space="preserve">This section presents the ACCC’s monitoring results of </w:t>
      </w:r>
      <w:r>
        <w:t xml:space="preserve">the </w:t>
      </w:r>
      <w:r w:rsidRPr="00C07B38">
        <w:t xml:space="preserve">prices, revenues, costs and profits relating to the supply of car parking services and facilities at the four monitored airports. Most airports provide a range of car parking options such as </w:t>
      </w:r>
      <w:r>
        <w:t>short-term</w:t>
      </w:r>
      <w:r w:rsidRPr="00C07B38">
        <w:t xml:space="preserve"> or long</w:t>
      </w:r>
      <w:r>
        <w:t>-</w:t>
      </w:r>
      <w:r w:rsidRPr="00C07B38">
        <w:t>term parking and covered or un</w:t>
      </w:r>
      <w:r w:rsidRPr="00C07B38">
        <w:noBreakHyphen/>
        <w:t>covered parking.</w:t>
      </w:r>
      <w:r>
        <w:t xml:space="preserve"> </w:t>
      </w:r>
      <w:r w:rsidRPr="003E46B6">
        <w:t xml:space="preserve">More detailed information on individual airport car parking facilities and its configurations is provided in </w:t>
      </w:r>
      <w:r>
        <w:t>C</w:t>
      </w:r>
      <w:r w:rsidRPr="003E46B6">
        <w:t>hapter</w:t>
      </w:r>
      <w:r>
        <w:t>s</w:t>
      </w:r>
      <w:r w:rsidRPr="003E46B6">
        <w:t xml:space="preserve"> </w:t>
      </w:r>
      <w:r>
        <w:t>2 to 5</w:t>
      </w:r>
      <w:r w:rsidRPr="003E46B6">
        <w:t>.</w:t>
      </w:r>
    </w:p>
    <w:p w:rsidR="00883552" w:rsidRDefault="00883552" w:rsidP="00F05093">
      <w:pPr>
        <w:keepNext/>
      </w:pPr>
      <w:r>
        <w:lastRenderedPageBreak/>
        <w:t>All airports have introduced online booking systems for car parking in addition to the drive-up rates. The online booking of car parking places is in most instances at a discount to the equivalent drive-up rate. For the 2014-15 monitored report, the ACCC has collected weighted online and drive-up price data and has calculated an average price for selected price durations</w:t>
      </w:r>
      <w:r w:rsidRPr="00C07B38">
        <w:t xml:space="preserve">.  </w:t>
      </w:r>
    </w:p>
    <w:p w:rsidR="00883552" w:rsidRDefault="00883552" w:rsidP="00F05093">
      <w:pPr>
        <w:keepNext/>
      </w:pPr>
      <w:r>
        <w:t xml:space="preserve">A </w:t>
      </w:r>
      <w:r w:rsidRPr="002943BE">
        <w:t>full list of car parking charges and the availability of car parking facilities over the past five years</w:t>
      </w:r>
      <w:r>
        <w:t xml:space="preserve"> can be found on the Airport Monitoring page of the ACCC’s website</w:t>
      </w:r>
      <w:r w:rsidRPr="002943BE">
        <w:t>.</w:t>
      </w:r>
      <w:r>
        <w:rPr>
          <w:rStyle w:val="FootnoteReference"/>
        </w:rPr>
        <w:footnoteReference w:id="42"/>
      </w:r>
    </w:p>
    <w:p w:rsidR="00883552" w:rsidRDefault="00883552" w:rsidP="00F05093">
      <w:pPr>
        <w:pStyle w:val="Numberedheading3"/>
        <w:tabs>
          <w:tab w:val="clear" w:pos="1384"/>
          <w:tab w:val="num" w:pos="993"/>
        </w:tabs>
        <w:ind w:left="993" w:hanging="993"/>
      </w:pPr>
      <w:r>
        <w:t>Supply of airport car parking spaces</w:t>
      </w:r>
    </w:p>
    <w:p w:rsidR="00883552" w:rsidRDefault="00883552" w:rsidP="00F05093">
      <w:pPr>
        <w:keepNext/>
      </w:pPr>
      <w:r w:rsidRPr="00C0747C">
        <w:t xml:space="preserve">Table 1.7.1 presents the number of car parking spaces at each monitored airport for 2014-15. </w:t>
      </w:r>
    </w:p>
    <w:p w:rsidR="00883552" w:rsidRDefault="00883552" w:rsidP="00F05093">
      <w:pPr>
        <w:keepNext/>
      </w:pPr>
      <w:r w:rsidRPr="00094AA2">
        <w:t xml:space="preserve">All monitored airports </w:t>
      </w:r>
      <w:r>
        <w:t>apart from</w:t>
      </w:r>
      <w:r w:rsidRPr="00094AA2">
        <w:t xml:space="preserve"> </w:t>
      </w:r>
      <w:r>
        <w:t>Perth</w:t>
      </w:r>
      <w:r w:rsidRPr="00094AA2">
        <w:t xml:space="preserve"> Airport </w:t>
      </w:r>
      <w:r>
        <w:t>de</w:t>
      </w:r>
      <w:r w:rsidRPr="00094AA2">
        <w:t>creased the number of car parking spaces during 20</w:t>
      </w:r>
      <w:r>
        <w:t>14</w:t>
      </w:r>
      <w:r w:rsidRPr="00094AA2">
        <w:t>-</w:t>
      </w:r>
      <w:r>
        <w:t xml:space="preserve">15.  </w:t>
      </w:r>
      <w:r w:rsidRPr="00094AA2">
        <w:t xml:space="preserve">Melbourne Airport reported the largest </w:t>
      </w:r>
      <w:r>
        <w:t>fall</w:t>
      </w:r>
      <w:r w:rsidRPr="00094AA2">
        <w:t xml:space="preserve"> in car parking space</w:t>
      </w:r>
      <w:r>
        <w:t xml:space="preserve">s from June 2014 with a decrease of 4.8 per cent. This drop at Melbourne Airport was due to car rental facilities being moved to the short-term car parking area and a reduction in long-term spaces due to the </w:t>
      </w:r>
      <w:r w:rsidRPr="00F717DD">
        <w:t xml:space="preserve">construction </w:t>
      </w:r>
      <w:r>
        <w:t xml:space="preserve">of an elevated road to access the new </w:t>
      </w:r>
      <w:r w:rsidRPr="00F717DD">
        <w:t>Terminal 4</w:t>
      </w:r>
      <w:r>
        <w:t xml:space="preserve">.  </w:t>
      </w:r>
    </w:p>
    <w:p w:rsidR="00883552" w:rsidRDefault="00883552" w:rsidP="00F05093">
      <w:pPr>
        <w:keepNext/>
      </w:pPr>
      <w:r w:rsidRPr="009E575F">
        <w:t>Perth Airport was the only airport to report an increase in car parking spaces during 2014-15</w:t>
      </w:r>
      <w:r>
        <w:t xml:space="preserve"> with a rise of 16.7 per cent to 22 166 car park spaces.</w:t>
      </w:r>
      <w:r w:rsidRPr="009E575F">
        <w:t xml:space="preserve"> This increase is largely attributed to the </w:t>
      </w:r>
      <w:r>
        <w:t>expansion of both the long and short-term car parks in the T1/T2 precinct</w:t>
      </w:r>
      <w:r w:rsidRPr="009E575F">
        <w:t xml:space="preserve">. </w:t>
      </w:r>
    </w:p>
    <w:p w:rsidR="00883552" w:rsidRDefault="00883552" w:rsidP="00F05093">
      <w:pPr>
        <w:pStyle w:val="Numberedcharttitle"/>
      </w:pPr>
      <w:r>
        <w:t>Table 1.7.1:</w:t>
      </w:r>
      <w:r>
        <w:tab/>
        <w:t>Total car parking spaces as at 30 June 2015, and percentage changes from 30 June 2005 and 30 June 2015</w:t>
      </w:r>
    </w:p>
    <w:tbl>
      <w:tblPr>
        <w:tblStyle w:val="TableGrid"/>
        <w:tblW w:w="0" w:type="auto"/>
        <w:tblLook w:val="04A0" w:firstRow="1" w:lastRow="0" w:firstColumn="1" w:lastColumn="0" w:noHBand="0" w:noVBand="1"/>
      </w:tblPr>
      <w:tblGrid>
        <w:gridCol w:w="1242"/>
        <w:gridCol w:w="1484"/>
        <w:gridCol w:w="1484"/>
        <w:gridCol w:w="1485"/>
        <w:gridCol w:w="1484"/>
        <w:gridCol w:w="1485"/>
      </w:tblGrid>
      <w:tr w:rsidR="00883552" w:rsidTr="00883552">
        <w:tc>
          <w:tcPr>
            <w:tcW w:w="1242" w:type="dxa"/>
            <w:tcBorders>
              <w:left w:val="nil"/>
              <w:bottom w:val="nil"/>
              <w:right w:val="nil"/>
            </w:tcBorders>
            <w:shd w:val="clear" w:color="auto" w:fill="DFE0DC"/>
          </w:tcPr>
          <w:p w:rsidR="00883552" w:rsidRDefault="00883552" w:rsidP="00F05093">
            <w:pPr>
              <w:pStyle w:val="Tabletextheading"/>
              <w:keepNext/>
            </w:pPr>
            <w:r>
              <w:t>Airport</w:t>
            </w:r>
          </w:p>
        </w:tc>
        <w:tc>
          <w:tcPr>
            <w:tcW w:w="4453" w:type="dxa"/>
            <w:gridSpan w:val="3"/>
            <w:tcBorders>
              <w:left w:val="nil"/>
              <w:bottom w:val="nil"/>
              <w:right w:val="single" w:sz="4" w:space="0" w:color="auto"/>
            </w:tcBorders>
            <w:shd w:val="clear" w:color="auto" w:fill="DFE0DC"/>
          </w:tcPr>
          <w:p w:rsidR="00883552" w:rsidRDefault="00883552" w:rsidP="00F05093">
            <w:pPr>
              <w:pStyle w:val="Tabletextheadingcentre"/>
            </w:pPr>
            <w:r>
              <w:t>Total car parking spaces</w:t>
            </w:r>
          </w:p>
        </w:tc>
        <w:tc>
          <w:tcPr>
            <w:tcW w:w="2969" w:type="dxa"/>
            <w:gridSpan w:val="2"/>
            <w:tcBorders>
              <w:left w:val="single" w:sz="4" w:space="0" w:color="auto"/>
              <w:bottom w:val="nil"/>
              <w:right w:val="nil"/>
            </w:tcBorders>
            <w:shd w:val="clear" w:color="auto" w:fill="DFE0DC"/>
          </w:tcPr>
          <w:p w:rsidR="00883552" w:rsidRDefault="00883552" w:rsidP="00F05093">
            <w:pPr>
              <w:pStyle w:val="Tabletextheadingcentre"/>
            </w:pPr>
            <w:r>
              <w:t>Change in total car parking spaces (per cent)</w:t>
            </w:r>
          </w:p>
        </w:tc>
      </w:tr>
      <w:tr w:rsidR="00883552" w:rsidTr="00883552">
        <w:tc>
          <w:tcPr>
            <w:tcW w:w="1242" w:type="dxa"/>
            <w:tcBorders>
              <w:top w:val="nil"/>
              <w:left w:val="nil"/>
              <w:bottom w:val="single" w:sz="4" w:space="0" w:color="auto"/>
              <w:right w:val="nil"/>
            </w:tcBorders>
            <w:shd w:val="clear" w:color="auto" w:fill="DFE0DC"/>
          </w:tcPr>
          <w:p w:rsidR="00883552" w:rsidRDefault="00883552" w:rsidP="00F05093">
            <w:pPr>
              <w:pStyle w:val="Tabletextleft"/>
              <w:keepNext/>
            </w:pPr>
          </w:p>
        </w:tc>
        <w:tc>
          <w:tcPr>
            <w:tcW w:w="1484" w:type="dxa"/>
            <w:tcBorders>
              <w:top w:val="nil"/>
              <w:left w:val="nil"/>
              <w:bottom w:val="single" w:sz="4" w:space="0" w:color="auto"/>
              <w:right w:val="nil"/>
            </w:tcBorders>
            <w:shd w:val="clear" w:color="auto" w:fill="DFE0DC"/>
          </w:tcPr>
          <w:p w:rsidR="00883552" w:rsidRDefault="00883552" w:rsidP="00F05093">
            <w:pPr>
              <w:pStyle w:val="Tabletextheadingright"/>
              <w:keepNext/>
            </w:pPr>
            <w:r>
              <w:t>30 June 2005</w:t>
            </w:r>
          </w:p>
        </w:tc>
        <w:tc>
          <w:tcPr>
            <w:tcW w:w="1484" w:type="dxa"/>
            <w:tcBorders>
              <w:top w:val="nil"/>
              <w:left w:val="nil"/>
              <w:bottom w:val="single" w:sz="4" w:space="0" w:color="auto"/>
              <w:right w:val="nil"/>
            </w:tcBorders>
            <w:shd w:val="clear" w:color="auto" w:fill="DFE0DC"/>
          </w:tcPr>
          <w:p w:rsidR="00883552" w:rsidRDefault="00883552" w:rsidP="00F05093">
            <w:pPr>
              <w:pStyle w:val="Tabletextheadingright"/>
              <w:keepNext/>
            </w:pPr>
            <w:r>
              <w:t>30 June 2014</w:t>
            </w:r>
          </w:p>
        </w:tc>
        <w:tc>
          <w:tcPr>
            <w:tcW w:w="1485" w:type="dxa"/>
            <w:tcBorders>
              <w:top w:val="nil"/>
              <w:left w:val="nil"/>
              <w:bottom w:val="single" w:sz="4" w:space="0" w:color="auto"/>
              <w:right w:val="single" w:sz="4" w:space="0" w:color="auto"/>
            </w:tcBorders>
            <w:shd w:val="clear" w:color="auto" w:fill="DFE0DC"/>
          </w:tcPr>
          <w:p w:rsidR="00883552" w:rsidRDefault="00883552" w:rsidP="00F05093">
            <w:pPr>
              <w:pStyle w:val="Tabletextheadingright"/>
              <w:keepNext/>
            </w:pPr>
            <w:r>
              <w:t>30 June 2015</w:t>
            </w:r>
          </w:p>
        </w:tc>
        <w:tc>
          <w:tcPr>
            <w:tcW w:w="1484" w:type="dxa"/>
            <w:tcBorders>
              <w:top w:val="nil"/>
              <w:left w:val="single" w:sz="4" w:space="0" w:color="auto"/>
              <w:bottom w:val="single" w:sz="4" w:space="0" w:color="auto"/>
              <w:right w:val="nil"/>
            </w:tcBorders>
            <w:shd w:val="clear" w:color="auto" w:fill="DFE0DC"/>
          </w:tcPr>
          <w:p w:rsidR="00883552" w:rsidRDefault="00883552" w:rsidP="00F05093">
            <w:pPr>
              <w:pStyle w:val="Tabletextheadingright"/>
              <w:keepNext/>
            </w:pPr>
            <w:r>
              <w:t>2005 to 2015</w:t>
            </w:r>
          </w:p>
        </w:tc>
        <w:tc>
          <w:tcPr>
            <w:tcW w:w="1485" w:type="dxa"/>
            <w:tcBorders>
              <w:top w:val="nil"/>
              <w:left w:val="nil"/>
              <w:bottom w:val="single" w:sz="4" w:space="0" w:color="auto"/>
              <w:right w:val="nil"/>
            </w:tcBorders>
            <w:shd w:val="clear" w:color="auto" w:fill="DFE0DC"/>
          </w:tcPr>
          <w:p w:rsidR="00883552" w:rsidRDefault="00883552" w:rsidP="00F05093">
            <w:pPr>
              <w:pStyle w:val="Tabletextheadingright"/>
              <w:keepNext/>
            </w:pPr>
            <w:r>
              <w:t>2014 to 2015</w:t>
            </w:r>
          </w:p>
        </w:tc>
      </w:tr>
      <w:tr w:rsidR="00883552" w:rsidTr="00883552">
        <w:tc>
          <w:tcPr>
            <w:tcW w:w="1242" w:type="dxa"/>
            <w:tcBorders>
              <w:left w:val="nil"/>
              <w:bottom w:val="nil"/>
              <w:right w:val="nil"/>
            </w:tcBorders>
          </w:tcPr>
          <w:p w:rsidR="00883552" w:rsidRDefault="00883552" w:rsidP="00F05093">
            <w:pPr>
              <w:pStyle w:val="Tabletextleft"/>
              <w:keepNext/>
            </w:pPr>
            <w:r>
              <w:t>Brisbane</w:t>
            </w:r>
          </w:p>
        </w:tc>
        <w:tc>
          <w:tcPr>
            <w:tcW w:w="1484" w:type="dxa"/>
            <w:tcBorders>
              <w:left w:val="nil"/>
              <w:bottom w:val="nil"/>
              <w:right w:val="nil"/>
            </w:tcBorders>
          </w:tcPr>
          <w:p w:rsidR="00883552" w:rsidRDefault="00883552" w:rsidP="00F05093">
            <w:pPr>
              <w:pStyle w:val="Tabletextright"/>
              <w:keepNext/>
            </w:pPr>
            <w:r>
              <w:t>7 837</w:t>
            </w:r>
          </w:p>
        </w:tc>
        <w:tc>
          <w:tcPr>
            <w:tcW w:w="1484" w:type="dxa"/>
            <w:tcBorders>
              <w:left w:val="nil"/>
              <w:bottom w:val="nil"/>
              <w:right w:val="nil"/>
            </w:tcBorders>
          </w:tcPr>
          <w:p w:rsidR="00883552" w:rsidRDefault="00883552" w:rsidP="00F05093">
            <w:pPr>
              <w:pStyle w:val="Tabletextright"/>
              <w:keepNext/>
            </w:pPr>
            <w:r>
              <w:t>13 975</w:t>
            </w:r>
          </w:p>
        </w:tc>
        <w:tc>
          <w:tcPr>
            <w:tcW w:w="1485" w:type="dxa"/>
            <w:tcBorders>
              <w:left w:val="nil"/>
              <w:bottom w:val="nil"/>
            </w:tcBorders>
          </w:tcPr>
          <w:p w:rsidR="00883552" w:rsidRDefault="00883552" w:rsidP="00F05093">
            <w:pPr>
              <w:pStyle w:val="Tabletextright"/>
              <w:keepNext/>
            </w:pPr>
            <w:r>
              <w:t>13 677</w:t>
            </w:r>
            <w:r w:rsidRPr="00E32E1C">
              <w:rPr>
                <w:vertAlign w:val="superscript"/>
              </w:rPr>
              <w:t>1</w:t>
            </w:r>
          </w:p>
        </w:tc>
        <w:tc>
          <w:tcPr>
            <w:tcW w:w="1484" w:type="dxa"/>
            <w:tcBorders>
              <w:bottom w:val="nil"/>
              <w:right w:val="nil"/>
            </w:tcBorders>
          </w:tcPr>
          <w:p w:rsidR="00883552" w:rsidRDefault="00883552" w:rsidP="00F05093">
            <w:pPr>
              <w:pStyle w:val="Tabletextright"/>
              <w:keepNext/>
            </w:pPr>
            <w:r w:rsidRPr="00E426B4">
              <w:rPr>
                <w:color w:val="943634"/>
              </w:rPr>
              <w:t>▲</w:t>
            </w:r>
            <w:r>
              <w:rPr>
                <w:color w:val="943634"/>
              </w:rPr>
              <w:t xml:space="preserve"> </w:t>
            </w:r>
            <w:r w:rsidRPr="00705EA7">
              <w:t>74.5</w:t>
            </w:r>
          </w:p>
        </w:tc>
        <w:tc>
          <w:tcPr>
            <w:tcW w:w="1485" w:type="dxa"/>
            <w:tcBorders>
              <w:left w:val="nil"/>
              <w:bottom w:val="nil"/>
              <w:right w:val="nil"/>
            </w:tcBorders>
          </w:tcPr>
          <w:p w:rsidR="00883552" w:rsidRPr="007135ED" w:rsidRDefault="00883552" w:rsidP="00F05093">
            <w:pPr>
              <w:pStyle w:val="Tabletextright"/>
              <w:keepNext/>
            </w:pPr>
            <w:r w:rsidRPr="00E426B4">
              <w:rPr>
                <w:color w:val="F79646"/>
              </w:rPr>
              <w:t>▼</w:t>
            </w:r>
            <w:r>
              <w:rPr>
                <w:color w:val="F79646"/>
              </w:rPr>
              <w:t xml:space="preserve"> </w:t>
            </w:r>
            <w:r w:rsidRPr="003D33A9">
              <w:t>2.1</w:t>
            </w:r>
          </w:p>
        </w:tc>
      </w:tr>
      <w:tr w:rsidR="00883552" w:rsidTr="00883552">
        <w:tc>
          <w:tcPr>
            <w:tcW w:w="1242" w:type="dxa"/>
            <w:tcBorders>
              <w:top w:val="nil"/>
              <w:left w:val="nil"/>
              <w:bottom w:val="nil"/>
              <w:right w:val="nil"/>
            </w:tcBorders>
          </w:tcPr>
          <w:p w:rsidR="00883552" w:rsidRDefault="00883552" w:rsidP="00F05093">
            <w:pPr>
              <w:pStyle w:val="Tabletextleft"/>
              <w:keepNext/>
            </w:pPr>
            <w:r>
              <w:t>Melbourne</w:t>
            </w:r>
          </w:p>
        </w:tc>
        <w:tc>
          <w:tcPr>
            <w:tcW w:w="1484" w:type="dxa"/>
            <w:tcBorders>
              <w:top w:val="nil"/>
              <w:left w:val="nil"/>
              <w:bottom w:val="nil"/>
              <w:right w:val="nil"/>
            </w:tcBorders>
          </w:tcPr>
          <w:p w:rsidR="00883552" w:rsidRDefault="00883552" w:rsidP="00F05093">
            <w:pPr>
              <w:pStyle w:val="Tabletextright"/>
              <w:keepNext/>
            </w:pPr>
            <w:r>
              <w:t>11 712</w:t>
            </w:r>
          </w:p>
        </w:tc>
        <w:tc>
          <w:tcPr>
            <w:tcW w:w="1484" w:type="dxa"/>
            <w:tcBorders>
              <w:top w:val="nil"/>
              <w:left w:val="nil"/>
              <w:bottom w:val="nil"/>
              <w:right w:val="nil"/>
            </w:tcBorders>
          </w:tcPr>
          <w:p w:rsidR="00883552" w:rsidRDefault="00883552" w:rsidP="00F05093">
            <w:pPr>
              <w:pStyle w:val="Tabletextright"/>
              <w:keepNext/>
            </w:pPr>
            <w:r>
              <w:t>24 406</w:t>
            </w:r>
          </w:p>
        </w:tc>
        <w:tc>
          <w:tcPr>
            <w:tcW w:w="1485" w:type="dxa"/>
            <w:tcBorders>
              <w:top w:val="nil"/>
              <w:left w:val="nil"/>
              <w:bottom w:val="nil"/>
            </w:tcBorders>
          </w:tcPr>
          <w:p w:rsidR="00883552" w:rsidRDefault="00883552" w:rsidP="00F05093">
            <w:pPr>
              <w:pStyle w:val="Tabletextright"/>
              <w:keepNext/>
            </w:pPr>
            <w:r>
              <w:t>23 223</w:t>
            </w:r>
          </w:p>
        </w:tc>
        <w:tc>
          <w:tcPr>
            <w:tcW w:w="1484" w:type="dxa"/>
            <w:tcBorders>
              <w:top w:val="nil"/>
              <w:bottom w:val="nil"/>
              <w:right w:val="nil"/>
            </w:tcBorders>
          </w:tcPr>
          <w:p w:rsidR="00883552" w:rsidRDefault="00883552" w:rsidP="00F05093">
            <w:pPr>
              <w:pStyle w:val="Tabletextright"/>
              <w:keepNext/>
            </w:pPr>
            <w:r w:rsidRPr="00E426B4">
              <w:rPr>
                <w:color w:val="943634"/>
              </w:rPr>
              <w:t>▲</w:t>
            </w:r>
            <w:r>
              <w:rPr>
                <w:color w:val="943634"/>
              </w:rPr>
              <w:t xml:space="preserve"> </w:t>
            </w:r>
            <w:r w:rsidRPr="00705EA7">
              <w:t>98.3</w:t>
            </w:r>
          </w:p>
        </w:tc>
        <w:tc>
          <w:tcPr>
            <w:tcW w:w="1485" w:type="dxa"/>
            <w:tcBorders>
              <w:top w:val="nil"/>
              <w:left w:val="nil"/>
              <w:bottom w:val="nil"/>
              <w:right w:val="nil"/>
            </w:tcBorders>
          </w:tcPr>
          <w:p w:rsidR="00883552" w:rsidRDefault="00883552" w:rsidP="00F05093">
            <w:pPr>
              <w:pStyle w:val="Tabletextright"/>
              <w:keepNext/>
            </w:pPr>
            <w:r w:rsidRPr="00E426B4">
              <w:rPr>
                <w:color w:val="F79646"/>
              </w:rPr>
              <w:t>▼</w:t>
            </w:r>
            <w:r>
              <w:rPr>
                <w:color w:val="943634"/>
              </w:rPr>
              <w:t xml:space="preserve"> </w:t>
            </w:r>
            <w:r w:rsidRPr="003D33A9">
              <w:t>4.8</w:t>
            </w:r>
          </w:p>
        </w:tc>
      </w:tr>
      <w:tr w:rsidR="00883552" w:rsidTr="00883552">
        <w:tc>
          <w:tcPr>
            <w:tcW w:w="1242" w:type="dxa"/>
            <w:tcBorders>
              <w:top w:val="nil"/>
              <w:left w:val="nil"/>
              <w:bottom w:val="nil"/>
              <w:right w:val="nil"/>
            </w:tcBorders>
          </w:tcPr>
          <w:p w:rsidR="00883552" w:rsidRDefault="00883552" w:rsidP="00F05093">
            <w:pPr>
              <w:pStyle w:val="Tabletextleft"/>
              <w:keepNext/>
            </w:pPr>
            <w:r>
              <w:t>Perth</w:t>
            </w:r>
          </w:p>
        </w:tc>
        <w:tc>
          <w:tcPr>
            <w:tcW w:w="1484" w:type="dxa"/>
            <w:tcBorders>
              <w:top w:val="nil"/>
              <w:left w:val="nil"/>
              <w:bottom w:val="nil"/>
              <w:right w:val="nil"/>
            </w:tcBorders>
          </w:tcPr>
          <w:p w:rsidR="00883552" w:rsidRDefault="00883552" w:rsidP="00F05093">
            <w:pPr>
              <w:pStyle w:val="Tabletextright"/>
              <w:keepNext/>
            </w:pPr>
            <w:r>
              <w:t>4 267</w:t>
            </w:r>
          </w:p>
        </w:tc>
        <w:tc>
          <w:tcPr>
            <w:tcW w:w="1484" w:type="dxa"/>
            <w:tcBorders>
              <w:top w:val="nil"/>
              <w:left w:val="nil"/>
              <w:bottom w:val="nil"/>
              <w:right w:val="nil"/>
            </w:tcBorders>
          </w:tcPr>
          <w:p w:rsidR="00883552" w:rsidRDefault="00883552" w:rsidP="00F05093">
            <w:pPr>
              <w:pStyle w:val="Tabletextright"/>
              <w:keepNext/>
            </w:pPr>
            <w:r>
              <w:t>19 001</w:t>
            </w:r>
          </w:p>
        </w:tc>
        <w:tc>
          <w:tcPr>
            <w:tcW w:w="1485" w:type="dxa"/>
            <w:tcBorders>
              <w:top w:val="nil"/>
              <w:left w:val="nil"/>
              <w:bottom w:val="nil"/>
            </w:tcBorders>
          </w:tcPr>
          <w:p w:rsidR="00883552" w:rsidRDefault="00883552" w:rsidP="00F05093">
            <w:pPr>
              <w:pStyle w:val="Tabletextright"/>
              <w:keepNext/>
            </w:pPr>
            <w:r>
              <w:t>22 166</w:t>
            </w:r>
          </w:p>
        </w:tc>
        <w:tc>
          <w:tcPr>
            <w:tcW w:w="1484" w:type="dxa"/>
            <w:tcBorders>
              <w:top w:val="nil"/>
              <w:bottom w:val="nil"/>
              <w:right w:val="nil"/>
            </w:tcBorders>
          </w:tcPr>
          <w:p w:rsidR="00883552" w:rsidRDefault="00883552" w:rsidP="00F05093">
            <w:pPr>
              <w:pStyle w:val="Tabletextright"/>
              <w:keepNext/>
            </w:pPr>
            <w:r w:rsidRPr="00E426B4">
              <w:rPr>
                <w:color w:val="943634"/>
              </w:rPr>
              <w:t>▲</w:t>
            </w:r>
            <w:r>
              <w:rPr>
                <w:color w:val="943634"/>
              </w:rPr>
              <w:t xml:space="preserve"> </w:t>
            </w:r>
            <w:r w:rsidRPr="00C20D17">
              <w:t>419.5</w:t>
            </w:r>
          </w:p>
        </w:tc>
        <w:tc>
          <w:tcPr>
            <w:tcW w:w="1485" w:type="dxa"/>
            <w:tcBorders>
              <w:top w:val="nil"/>
              <w:left w:val="nil"/>
              <w:bottom w:val="nil"/>
              <w:right w:val="nil"/>
            </w:tcBorders>
          </w:tcPr>
          <w:p w:rsidR="00883552" w:rsidRDefault="00883552" w:rsidP="00F05093">
            <w:pPr>
              <w:pStyle w:val="Tabletextright"/>
              <w:keepNext/>
            </w:pPr>
            <w:r>
              <w:rPr>
                <w:color w:val="943634"/>
              </w:rPr>
              <w:t xml:space="preserve">  </w:t>
            </w:r>
            <w:r w:rsidRPr="00E426B4">
              <w:rPr>
                <w:color w:val="943634"/>
              </w:rPr>
              <w:t>▲</w:t>
            </w:r>
            <w:r>
              <w:rPr>
                <w:color w:val="943634"/>
              </w:rPr>
              <w:t xml:space="preserve"> </w:t>
            </w:r>
            <w:r w:rsidRPr="003D33A9">
              <w:t>16.7</w:t>
            </w:r>
          </w:p>
        </w:tc>
      </w:tr>
      <w:tr w:rsidR="00883552" w:rsidTr="00883552">
        <w:tc>
          <w:tcPr>
            <w:tcW w:w="1242" w:type="dxa"/>
            <w:tcBorders>
              <w:top w:val="nil"/>
              <w:left w:val="nil"/>
              <w:right w:val="nil"/>
            </w:tcBorders>
          </w:tcPr>
          <w:p w:rsidR="00883552" w:rsidRDefault="00883552" w:rsidP="00F05093">
            <w:pPr>
              <w:pStyle w:val="Tabletextleft"/>
              <w:keepNext/>
            </w:pPr>
            <w:r>
              <w:t>Sydney</w:t>
            </w:r>
          </w:p>
        </w:tc>
        <w:tc>
          <w:tcPr>
            <w:tcW w:w="1484" w:type="dxa"/>
            <w:tcBorders>
              <w:top w:val="nil"/>
              <w:left w:val="nil"/>
              <w:right w:val="nil"/>
            </w:tcBorders>
          </w:tcPr>
          <w:p w:rsidR="00883552" w:rsidRDefault="00883552" w:rsidP="00F05093">
            <w:pPr>
              <w:pStyle w:val="Tabletextright"/>
              <w:keepNext/>
            </w:pPr>
            <w:r>
              <w:t>10 168</w:t>
            </w:r>
          </w:p>
        </w:tc>
        <w:tc>
          <w:tcPr>
            <w:tcW w:w="1484" w:type="dxa"/>
            <w:tcBorders>
              <w:top w:val="nil"/>
              <w:left w:val="nil"/>
              <w:right w:val="nil"/>
            </w:tcBorders>
          </w:tcPr>
          <w:p w:rsidR="00883552" w:rsidRDefault="00883552" w:rsidP="00F05093">
            <w:pPr>
              <w:pStyle w:val="Tabletextright"/>
              <w:keepNext/>
            </w:pPr>
            <w:r>
              <w:t>16 864</w:t>
            </w:r>
          </w:p>
        </w:tc>
        <w:tc>
          <w:tcPr>
            <w:tcW w:w="1485" w:type="dxa"/>
            <w:tcBorders>
              <w:top w:val="nil"/>
              <w:left w:val="nil"/>
            </w:tcBorders>
          </w:tcPr>
          <w:p w:rsidR="00883552" w:rsidRDefault="00883552" w:rsidP="00F05093">
            <w:pPr>
              <w:pStyle w:val="Tabletextright"/>
              <w:keepNext/>
            </w:pPr>
            <w:r>
              <w:t>16 492</w:t>
            </w:r>
          </w:p>
        </w:tc>
        <w:tc>
          <w:tcPr>
            <w:tcW w:w="1484" w:type="dxa"/>
            <w:tcBorders>
              <w:top w:val="nil"/>
              <w:right w:val="nil"/>
            </w:tcBorders>
          </w:tcPr>
          <w:p w:rsidR="00883552" w:rsidRDefault="00883552" w:rsidP="00F05093">
            <w:pPr>
              <w:pStyle w:val="Tabletextright"/>
              <w:keepNext/>
            </w:pPr>
            <w:r w:rsidRPr="00E426B4">
              <w:rPr>
                <w:color w:val="943634"/>
              </w:rPr>
              <w:t>▲</w:t>
            </w:r>
            <w:r w:rsidRPr="00705EA7">
              <w:t xml:space="preserve">62.2 </w:t>
            </w:r>
          </w:p>
        </w:tc>
        <w:tc>
          <w:tcPr>
            <w:tcW w:w="1485" w:type="dxa"/>
            <w:tcBorders>
              <w:top w:val="nil"/>
              <w:left w:val="nil"/>
              <w:right w:val="nil"/>
            </w:tcBorders>
          </w:tcPr>
          <w:p w:rsidR="00883552" w:rsidRDefault="00883552" w:rsidP="00F05093">
            <w:pPr>
              <w:pStyle w:val="Tabletextright"/>
              <w:keepNext/>
            </w:pPr>
            <w:r w:rsidRPr="00E426B4">
              <w:rPr>
                <w:color w:val="F79646"/>
              </w:rPr>
              <w:t>▼</w:t>
            </w:r>
            <w:r>
              <w:rPr>
                <w:color w:val="943634"/>
              </w:rPr>
              <w:t xml:space="preserve"> </w:t>
            </w:r>
            <w:r w:rsidRPr="003D33A9">
              <w:t>2.2</w:t>
            </w:r>
          </w:p>
        </w:tc>
      </w:tr>
    </w:tbl>
    <w:p w:rsidR="00883552" w:rsidRDefault="00883552" w:rsidP="00861426">
      <w:pPr>
        <w:pStyle w:val="Sourceandnotes"/>
      </w:pPr>
      <w:r>
        <w:t>Note:</w:t>
      </w:r>
      <w:r>
        <w:tab/>
        <w:t>Staff car parking spaces are included in data on total car parking spaces</w:t>
      </w:r>
    </w:p>
    <w:p w:rsidR="00883552" w:rsidRDefault="00883552" w:rsidP="00861426">
      <w:pPr>
        <w:pStyle w:val="Sourceandnotes"/>
      </w:pPr>
      <w:r w:rsidRPr="00E32E1C">
        <w:rPr>
          <w:vertAlign w:val="superscript"/>
        </w:rPr>
        <w:t xml:space="preserve">1 </w:t>
      </w:r>
      <w:r>
        <w:t xml:space="preserve">Brisbane Airport opened a new remote car park which opened on 30 June 2015 adding an additional 1100 spaces. </w:t>
      </w:r>
    </w:p>
    <w:p w:rsidR="00883552" w:rsidRDefault="00883552" w:rsidP="00F05093">
      <w:pPr>
        <w:pStyle w:val="Numberedheading3"/>
        <w:tabs>
          <w:tab w:val="clear" w:pos="1384"/>
          <w:tab w:val="num" w:pos="993"/>
        </w:tabs>
        <w:ind w:left="993" w:hanging="993"/>
      </w:pPr>
      <w:r>
        <w:t>Car parking prices</w:t>
      </w:r>
    </w:p>
    <w:p w:rsidR="00883552" w:rsidRDefault="00883552" w:rsidP="00F05093">
      <w:pPr>
        <w:keepNext/>
      </w:pPr>
      <w:r>
        <w:t xml:space="preserve">Airport car parking prices are primarily based on the length of stay. Other considerations such as the distance to / from the terminal, whether the car park provides under cover parking and type of booking (drive up or online) also can affect pricing. A selection of drive up and online car parking prices charged by each monitored airport for short-term and long-term parking for 2014-15 are presented in Table 1.7.2 and Table 1.7.3 for 2014-15.  </w:t>
      </w:r>
    </w:p>
    <w:p w:rsidR="00883552" w:rsidRDefault="00883552" w:rsidP="00F05093">
      <w:pPr>
        <w:keepNext/>
      </w:pPr>
      <w:r>
        <w:t xml:space="preserve">As noted, all airports are now offering online booking options for selected price durations. The ACCC has collected both drive-up and online prices for 2014-15 and has calculated a weighted average price for selected price durations. Table 1.7.2 presents drive-up, average online and the weighted average for selected short-term car parking price durations.  </w:t>
      </w:r>
    </w:p>
    <w:p w:rsidR="00883552" w:rsidRDefault="00883552" w:rsidP="00F05093">
      <w:pPr>
        <w:keepNext/>
      </w:pPr>
      <w:r>
        <w:t xml:space="preserve">Table 1.7.2 shows that </w:t>
      </w:r>
      <w:r w:rsidRPr="00CA7355">
        <w:t xml:space="preserve">Perth Airport charged the lowest drive-up </w:t>
      </w:r>
      <w:r>
        <w:t xml:space="preserve">prices for short-term parking across the monitored airports in 2014-15. Brisbane, Melbourne and Sydney airports </w:t>
      </w:r>
      <w:r w:rsidRPr="00CA7355">
        <w:t xml:space="preserve">offered similar prices </w:t>
      </w:r>
      <w:r>
        <w:t>for short-term parking, but Brisbane airport had relatively lower rates for two to three hours and eight to 24 hours</w:t>
      </w:r>
      <w:r w:rsidRPr="00CA7355">
        <w:t>.</w:t>
      </w:r>
      <w:r>
        <w:t xml:space="preserve"> </w:t>
      </w:r>
    </w:p>
    <w:p w:rsidR="00883552" w:rsidRDefault="00883552" w:rsidP="00F05093">
      <w:pPr>
        <w:pStyle w:val="Numberedcharttitle"/>
      </w:pPr>
    </w:p>
    <w:p w:rsidR="00883552" w:rsidRDefault="00883552" w:rsidP="001734F5">
      <w:pPr>
        <w:pStyle w:val="Numberedcharttitle"/>
      </w:pPr>
      <w:r>
        <w:lastRenderedPageBreak/>
        <w:t>Table 1.7.2:</w:t>
      </w:r>
      <w:r>
        <w:tab/>
        <w:t>Selected short-term drive-up, online and average car parking prices at domestic terminal car parks in 2014-15</w:t>
      </w:r>
    </w:p>
    <w:tbl>
      <w:tblPr>
        <w:tblStyle w:val="TableGrid"/>
        <w:tblW w:w="5000" w:type="pct"/>
        <w:tblLook w:val="04A0" w:firstRow="1" w:lastRow="0" w:firstColumn="1" w:lastColumn="0" w:noHBand="0" w:noVBand="1"/>
      </w:tblPr>
      <w:tblGrid>
        <w:gridCol w:w="1025"/>
        <w:gridCol w:w="734"/>
        <w:gridCol w:w="848"/>
        <w:gridCol w:w="937"/>
        <w:gridCol w:w="724"/>
        <w:gridCol w:w="848"/>
        <w:gridCol w:w="936"/>
        <w:gridCol w:w="828"/>
        <w:gridCol w:w="848"/>
        <w:gridCol w:w="936"/>
      </w:tblGrid>
      <w:tr w:rsidR="00883552" w:rsidRPr="00CF073A" w:rsidTr="00883552">
        <w:tc>
          <w:tcPr>
            <w:tcW w:w="5000" w:type="pct"/>
            <w:gridSpan w:val="10"/>
            <w:tcBorders>
              <w:left w:val="nil"/>
              <w:bottom w:val="nil"/>
              <w:right w:val="nil"/>
            </w:tcBorders>
            <w:shd w:val="clear" w:color="auto" w:fill="DFE0DC"/>
          </w:tcPr>
          <w:p w:rsidR="00883552" w:rsidRPr="00CF073A" w:rsidRDefault="00883552" w:rsidP="001734F5">
            <w:pPr>
              <w:keepNext/>
              <w:tabs>
                <w:tab w:val="left" w:pos="1741"/>
              </w:tabs>
              <w:spacing w:before="40" w:after="40"/>
              <w:jc w:val="center"/>
            </w:pPr>
            <w:r>
              <w:rPr>
                <w:b/>
                <w:color w:val="000000" w:themeColor="text1"/>
                <w:sz w:val="18"/>
              </w:rPr>
              <w:t>Short-term</w:t>
            </w:r>
            <w:r w:rsidRPr="00537D11">
              <w:rPr>
                <w:b/>
                <w:color w:val="000000" w:themeColor="text1"/>
                <w:sz w:val="18"/>
              </w:rPr>
              <w:t xml:space="preserve"> car parking</w:t>
            </w:r>
          </w:p>
        </w:tc>
      </w:tr>
      <w:tr w:rsidR="00883552" w:rsidRPr="000B3C64" w:rsidTr="00883552">
        <w:trPr>
          <w:trHeight w:val="283"/>
        </w:trPr>
        <w:tc>
          <w:tcPr>
            <w:tcW w:w="592" w:type="pct"/>
            <w:tcBorders>
              <w:top w:val="nil"/>
              <w:left w:val="nil"/>
              <w:bottom w:val="nil"/>
              <w:right w:val="nil"/>
            </w:tcBorders>
            <w:shd w:val="clear" w:color="auto" w:fill="DFE0DC"/>
          </w:tcPr>
          <w:p w:rsidR="00883552" w:rsidRPr="000B3C64" w:rsidRDefault="00883552" w:rsidP="001734F5">
            <w:pPr>
              <w:pStyle w:val="Tabletextheading"/>
              <w:keepNext/>
              <w:rPr>
                <w:sz w:val="16"/>
                <w:szCs w:val="16"/>
              </w:rPr>
            </w:pPr>
          </w:p>
        </w:tc>
        <w:tc>
          <w:tcPr>
            <w:tcW w:w="1454" w:type="pct"/>
            <w:gridSpan w:val="3"/>
            <w:tcBorders>
              <w:top w:val="nil"/>
              <w:left w:val="nil"/>
              <w:bottom w:val="single" w:sz="4" w:space="0" w:color="auto"/>
            </w:tcBorders>
            <w:shd w:val="clear" w:color="auto" w:fill="DFE0DC"/>
          </w:tcPr>
          <w:p w:rsidR="00883552" w:rsidRPr="000B3C64" w:rsidRDefault="00883552" w:rsidP="001734F5">
            <w:pPr>
              <w:pStyle w:val="Tabletextheadingcentre"/>
              <w:rPr>
                <w:sz w:val="16"/>
                <w:szCs w:val="16"/>
              </w:rPr>
            </w:pPr>
            <w:r w:rsidRPr="002943BE">
              <w:rPr>
                <w:sz w:val="16"/>
              </w:rPr>
              <w:t>1 hour</w:t>
            </w:r>
          </w:p>
        </w:tc>
        <w:tc>
          <w:tcPr>
            <w:tcW w:w="1447" w:type="pct"/>
            <w:gridSpan w:val="3"/>
            <w:tcBorders>
              <w:top w:val="nil"/>
              <w:bottom w:val="single" w:sz="4" w:space="0" w:color="auto"/>
            </w:tcBorders>
            <w:shd w:val="clear" w:color="auto" w:fill="DFE0DC"/>
          </w:tcPr>
          <w:p w:rsidR="00883552" w:rsidRPr="000B3C64" w:rsidRDefault="00883552" w:rsidP="001734F5">
            <w:pPr>
              <w:pStyle w:val="Tabletextheadingcentre"/>
              <w:rPr>
                <w:sz w:val="16"/>
                <w:szCs w:val="16"/>
              </w:rPr>
            </w:pPr>
            <w:r w:rsidRPr="002943BE">
              <w:rPr>
                <w:sz w:val="16"/>
              </w:rPr>
              <w:t>2-3 hours</w:t>
            </w:r>
          </w:p>
        </w:tc>
        <w:tc>
          <w:tcPr>
            <w:tcW w:w="1507" w:type="pct"/>
            <w:gridSpan w:val="3"/>
            <w:tcBorders>
              <w:top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2943BE">
              <w:rPr>
                <w:sz w:val="16"/>
              </w:rPr>
              <w:t>4-24 hours</w:t>
            </w:r>
          </w:p>
        </w:tc>
      </w:tr>
      <w:tr w:rsidR="00883552" w:rsidRPr="000B3C64" w:rsidTr="00883552">
        <w:trPr>
          <w:trHeight w:val="283"/>
        </w:trPr>
        <w:tc>
          <w:tcPr>
            <w:tcW w:w="592" w:type="pct"/>
            <w:tcBorders>
              <w:top w:val="nil"/>
              <w:left w:val="nil"/>
              <w:bottom w:val="single" w:sz="4" w:space="0" w:color="auto"/>
              <w:right w:val="nil"/>
            </w:tcBorders>
            <w:shd w:val="clear" w:color="auto" w:fill="DFE0DC"/>
          </w:tcPr>
          <w:p w:rsidR="00883552" w:rsidRPr="000B3C64" w:rsidRDefault="00883552" w:rsidP="001734F5">
            <w:pPr>
              <w:pStyle w:val="Tabletextheading"/>
              <w:keepNext/>
              <w:rPr>
                <w:sz w:val="16"/>
                <w:szCs w:val="16"/>
              </w:rPr>
            </w:pPr>
          </w:p>
        </w:tc>
        <w:tc>
          <w:tcPr>
            <w:tcW w:w="424"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Drive up</w:t>
            </w:r>
          </w:p>
        </w:tc>
        <w:tc>
          <w:tcPr>
            <w:tcW w:w="489"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Average Online</w:t>
            </w:r>
          </w:p>
        </w:tc>
        <w:tc>
          <w:tcPr>
            <w:tcW w:w="541" w:type="pct"/>
            <w:tcBorders>
              <w:top w:val="nil"/>
              <w:left w:val="nil"/>
              <w:bottom w:val="single" w:sz="4" w:space="0" w:color="auto"/>
            </w:tcBorders>
            <w:shd w:val="clear" w:color="auto" w:fill="DFE0DC"/>
          </w:tcPr>
          <w:p w:rsidR="00883552" w:rsidRPr="000B3C64" w:rsidRDefault="00883552" w:rsidP="001734F5">
            <w:pPr>
              <w:pStyle w:val="Tabletextheadingcentre"/>
              <w:rPr>
                <w:sz w:val="16"/>
                <w:szCs w:val="16"/>
              </w:rPr>
            </w:pPr>
            <w:r w:rsidRPr="000B3C64">
              <w:rPr>
                <w:sz w:val="16"/>
                <w:szCs w:val="16"/>
              </w:rPr>
              <w:t>Weighted average</w:t>
            </w:r>
          </w:p>
        </w:tc>
        <w:tc>
          <w:tcPr>
            <w:tcW w:w="418" w:type="pct"/>
            <w:tcBorders>
              <w:top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Drive up</w:t>
            </w:r>
          </w:p>
        </w:tc>
        <w:tc>
          <w:tcPr>
            <w:tcW w:w="489"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Average Online</w:t>
            </w:r>
          </w:p>
        </w:tc>
        <w:tc>
          <w:tcPr>
            <w:tcW w:w="540" w:type="pct"/>
            <w:tcBorders>
              <w:top w:val="nil"/>
              <w:left w:val="nil"/>
              <w:bottom w:val="single" w:sz="4" w:space="0" w:color="auto"/>
            </w:tcBorders>
            <w:shd w:val="clear" w:color="auto" w:fill="DFE0DC"/>
          </w:tcPr>
          <w:p w:rsidR="00883552" w:rsidRPr="000B3C64" w:rsidRDefault="00883552" w:rsidP="001734F5">
            <w:pPr>
              <w:pStyle w:val="Tabletextheadingcentre"/>
              <w:rPr>
                <w:sz w:val="16"/>
                <w:szCs w:val="16"/>
              </w:rPr>
            </w:pPr>
            <w:r w:rsidRPr="000B3C64">
              <w:rPr>
                <w:sz w:val="16"/>
                <w:szCs w:val="16"/>
              </w:rPr>
              <w:t>Weighted average</w:t>
            </w:r>
          </w:p>
        </w:tc>
        <w:tc>
          <w:tcPr>
            <w:tcW w:w="478" w:type="pct"/>
            <w:tcBorders>
              <w:top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Drive up</w:t>
            </w:r>
          </w:p>
        </w:tc>
        <w:tc>
          <w:tcPr>
            <w:tcW w:w="489"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Average Online</w:t>
            </w:r>
          </w:p>
        </w:tc>
        <w:tc>
          <w:tcPr>
            <w:tcW w:w="540"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Weighted average</w:t>
            </w:r>
          </w:p>
        </w:tc>
      </w:tr>
      <w:tr w:rsidR="00883552" w:rsidRPr="000B3C64" w:rsidTr="00883552">
        <w:tc>
          <w:tcPr>
            <w:tcW w:w="592" w:type="pct"/>
            <w:tcBorders>
              <w:left w:val="nil"/>
              <w:bottom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Brisbane</w:t>
            </w:r>
          </w:p>
        </w:tc>
        <w:tc>
          <w:tcPr>
            <w:tcW w:w="424"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$15.</w:t>
            </w:r>
            <w:r>
              <w:rPr>
                <w:b w:val="0"/>
                <w:sz w:val="16"/>
                <w:szCs w:val="16"/>
              </w:rPr>
              <w:t>0</w:t>
            </w:r>
            <w:r w:rsidRPr="000B3C64">
              <w:rPr>
                <w:b w:val="0"/>
                <w:sz w:val="16"/>
                <w:szCs w:val="16"/>
              </w:rPr>
              <w:t>0</w:t>
            </w:r>
          </w:p>
        </w:tc>
        <w:tc>
          <w:tcPr>
            <w:tcW w:w="489"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1" w:type="pct"/>
            <w:tcBorders>
              <w:left w:val="nil"/>
              <w:bottom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418" w:type="pct"/>
            <w:tcBorders>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$23.00</w:t>
            </w:r>
          </w:p>
        </w:tc>
        <w:tc>
          <w:tcPr>
            <w:tcW w:w="489"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0" w:type="pct"/>
            <w:tcBorders>
              <w:left w:val="nil"/>
              <w:bottom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478" w:type="pct"/>
            <w:tcBorders>
              <w:bottom w:val="nil"/>
              <w:right w:val="nil"/>
            </w:tcBorders>
            <w:shd w:val="clear" w:color="auto" w:fill="auto"/>
          </w:tcPr>
          <w:p w:rsidR="00883552" w:rsidRPr="000B3C64" w:rsidRDefault="00883552" w:rsidP="001734F5">
            <w:pPr>
              <w:pStyle w:val="Tabletextheadingcentre"/>
              <w:jc w:val="right"/>
              <w:rPr>
                <w:b w:val="0"/>
                <w:sz w:val="16"/>
                <w:szCs w:val="16"/>
              </w:rPr>
            </w:pPr>
            <w:r>
              <w:rPr>
                <w:b w:val="0"/>
                <w:sz w:val="16"/>
                <w:szCs w:val="16"/>
              </w:rPr>
              <w:t>$55.00</w:t>
            </w:r>
          </w:p>
        </w:tc>
        <w:tc>
          <w:tcPr>
            <w:tcW w:w="489"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7A4EDC">
              <w:rPr>
                <w:b w:val="0"/>
                <w:sz w:val="16"/>
                <w:szCs w:val="16"/>
              </w:rPr>
              <w:t>$44.18</w:t>
            </w:r>
          </w:p>
        </w:tc>
        <w:tc>
          <w:tcPr>
            <w:tcW w:w="540"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7A4EDC">
              <w:rPr>
                <w:b w:val="0"/>
                <w:sz w:val="16"/>
                <w:szCs w:val="16"/>
              </w:rPr>
              <w:t>$47.88</w:t>
            </w:r>
          </w:p>
        </w:tc>
      </w:tr>
      <w:tr w:rsidR="00883552" w:rsidRPr="000B3C64" w:rsidTr="00883552">
        <w:tc>
          <w:tcPr>
            <w:tcW w:w="592" w:type="pct"/>
            <w:tcBorders>
              <w:top w:val="nil"/>
              <w:left w:val="nil"/>
              <w:bottom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 xml:space="preserve">Melbourne </w:t>
            </w:r>
          </w:p>
        </w:tc>
        <w:tc>
          <w:tcPr>
            <w:tcW w:w="424"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$14.00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1"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$14.00</w:t>
            </w:r>
          </w:p>
        </w:tc>
        <w:tc>
          <w:tcPr>
            <w:tcW w:w="41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$29.00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0"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$29.00</w:t>
            </w:r>
          </w:p>
        </w:tc>
        <w:tc>
          <w:tcPr>
            <w:tcW w:w="47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$57.00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Pr>
                <w:b w:val="0"/>
                <w:sz w:val="16"/>
                <w:szCs w:val="16"/>
              </w:rPr>
              <w:t>-</w:t>
            </w:r>
          </w:p>
        </w:tc>
        <w:tc>
          <w:tcPr>
            <w:tcW w:w="540"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$56.45</w:t>
            </w:r>
          </w:p>
        </w:tc>
      </w:tr>
      <w:tr w:rsidR="00883552" w:rsidRPr="000B3C64" w:rsidTr="00883552">
        <w:tc>
          <w:tcPr>
            <w:tcW w:w="592" w:type="pct"/>
            <w:tcBorders>
              <w:top w:val="nil"/>
              <w:left w:val="nil"/>
              <w:bottom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 xml:space="preserve">Perth </w:t>
            </w:r>
          </w:p>
        </w:tc>
        <w:tc>
          <w:tcPr>
            <w:tcW w:w="424"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$8.50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1"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Pr>
                <w:b w:val="0"/>
                <w:sz w:val="16"/>
                <w:szCs w:val="16"/>
              </w:rPr>
              <w:t>n/a</w:t>
            </w:r>
          </w:p>
        </w:tc>
        <w:tc>
          <w:tcPr>
            <w:tcW w:w="41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$14.50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0"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47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$41.00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0"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r>
      <w:tr w:rsidR="00883552" w:rsidRPr="000B3C64" w:rsidTr="00883552">
        <w:tc>
          <w:tcPr>
            <w:tcW w:w="592" w:type="pct"/>
            <w:tcBorders>
              <w:top w:val="nil"/>
              <w:left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Sydney</w:t>
            </w:r>
          </w:p>
        </w:tc>
        <w:tc>
          <w:tcPr>
            <w:tcW w:w="424"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$16.00</w:t>
            </w:r>
          </w:p>
        </w:tc>
        <w:tc>
          <w:tcPr>
            <w:tcW w:w="489"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w:t>
            </w:r>
          </w:p>
        </w:tc>
        <w:tc>
          <w:tcPr>
            <w:tcW w:w="541" w:type="pct"/>
            <w:tcBorders>
              <w:top w:val="nil"/>
              <w:lef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$16.26</w:t>
            </w:r>
          </w:p>
        </w:tc>
        <w:tc>
          <w:tcPr>
            <w:tcW w:w="418" w:type="pct"/>
            <w:tcBorders>
              <w:top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$33.00</w:t>
            </w:r>
          </w:p>
        </w:tc>
        <w:tc>
          <w:tcPr>
            <w:tcW w:w="489"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w:t>
            </w:r>
          </w:p>
        </w:tc>
        <w:tc>
          <w:tcPr>
            <w:tcW w:w="540" w:type="pct"/>
            <w:tcBorders>
              <w:top w:val="nil"/>
              <w:lef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$32.50</w:t>
            </w:r>
          </w:p>
        </w:tc>
        <w:tc>
          <w:tcPr>
            <w:tcW w:w="478" w:type="pct"/>
            <w:tcBorders>
              <w:top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$58.50</w:t>
            </w:r>
          </w:p>
        </w:tc>
        <w:tc>
          <w:tcPr>
            <w:tcW w:w="489"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w:t>
            </w:r>
          </w:p>
        </w:tc>
        <w:tc>
          <w:tcPr>
            <w:tcW w:w="540"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$57.36</w:t>
            </w:r>
          </w:p>
        </w:tc>
      </w:tr>
    </w:tbl>
    <w:p w:rsidR="00883552" w:rsidRDefault="00883552" w:rsidP="001734F5">
      <w:pPr>
        <w:pStyle w:val="Sourceandnotes"/>
      </w:pPr>
      <w:r>
        <w:t xml:space="preserve">Note        </w:t>
      </w:r>
      <w:proofErr w:type="gramStart"/>
      <w:r>
        <w:t>n/a</w:t>
      </w:r>
      <w:proofErr w:type="gramEnd"/>
      <w:r>
        <w:t xml:space="preserve"> – online values not available </w:t>
      </w:r>
    </w:p>
    <w:p w:rsidR="00883552" w:rsidRDefault="00883552" w:rsidP="001734F5">
      <w:pPr>
        <w:pStyle w:val="Sourceandnotes"/>
      </w:pPr>
      <w:r>
        <w:t xml:space="preserve">                - Commercial in confidence</w:t>
      </w:r>
    </w:p>
    <w:p w:rsidR="00883552" w:rsidRDefault="00883552" w:rsidP="001734F5">
      <w:pPr>
        <w:pStyle w:val="Sourceandnotes"/>
      </w:pPr>
      <w:r>
        <w:t>(a)</w:t>
      </w:r>
      <w:r w:rsidRPr="00253EAF">
        <w:t xml:space="preserve"> </w:t>
      </w:r>
      <w:r>
        <w:t>Al</w:t>
      </w:r>
      <w:r w:rsidRPr="006A1EE1">
        <w:t xml:space="preserve">l monitored airports with an exception of Perth Airport charged flat </w:t>
      </w:r>
      <w:r>
        <w:t xml:space="preserve">drive-up </w:t>
      </w:r>
      <w:r w:rsidRPr="006A1EE1">
        <w:t>rates for 4 to 24 hours car parking.</w:t>
      </w:r>
      <w:r>
        <w:t xml:space="preserve"> Perth airport charged $19 for 4-5 hours car parking and then its drive-up rates increased incrementally by $2 per hour</w:t>
      </w:r>
      <w:r w:rsidRPr="006A1EE1">
        <w:t>.</w:t>
      </w:r>
      <w:r>
        <w:t xml:space="preserve"> Perth Airport charged a single drive-up rate of $41 for 8</w:t>
      </w:r>
      <w:r w:rsidRPr="00845FD7">
        <w:t>-24 h</w:t>
      </w:r>
      <w:r>
        <w:t>ours car parking</w:t>
      </w:r>
      <w:r w:rsidRPr="00845FD7">
        <w:t>.</w:t>
      </w:r>
      <w:r>
        <w:t xml:space="preserve"> </w:t>
      </w:r>
    </w:p>
    <w:p w:rsidR="00883552" w:rsidRDefault="00883552" w:rsidP="001734F5">
      <w:pPr>
        <w:pStyle w:val="Sourceandnotes"/>
      </w:pPr>
      <w:r>
        <w:t>(b)</w:t>
      </w:r>
      <w:r w:rsidRPr="000A7814">
        <w:t xml:space="preserve"> </w:t>
      </w:r>
      <w:r>
        <w:t>Since</w:t>
      </w:r>
      <w:r w:rsidRPr="000A7814">
        <w:t xml:space="preserve"> 2013-14, </w:t>
      </w:r>
      <w:r>
        <w:t>Sydney airport has provided a</w:t>
      </w:r>
      <w:r w:rsidRPr="000A7814">
        <w:t>n additional</w:t>
      </w:r>
      <w:r>
        <w:t xml:space="preserve"> car park service which is located within walking distance to its</w:t>
      </w:r>
      <w:r w:rsidRPr="000A7814">
        <w:t xml:space="preserve"> domestic terminal</w:t>
      </w:r>
      <w:r>
        <w:t>s</w:t>
      </w:r>
      <w:r w:rsidRPr="000A7814">
        <w:t xml:space="preserve"> </w:t>
      </w:r>
      <w:r>
        <w:t xml:space="preserve">and </w:t>
      </w:r>
      <w:r w:rsidRPr="000A7814">
        <w:t>offer</w:t>
      </w:r>
      <w:r>
        <w:t>ed</w:t>
      </w:r>
      <w:r w:rsidRPr="000A7814">
        <w:t xml:space="preserve"> a daily parking rate of $45</w:t>
      </w:r>
      <w:r>
        <w:t xml:space="preserve">. Due to data unavailability and airports’ claims of commercial in confidence, the ACCC was only able to publish </w:t>
      </w:r>
      <w:r w:rsidRPr="006A1EE1">
        <w:t xml:space="preserve">limited data </w:t>
      </w:r>
      <w:r>
        <w:t xml:space="preserve">on online and weighted average prices for short-term car parking. However, data </w:t>
      </w:r>
      <w:r w:rsidRPr="00342493">
        <w:t>collected by the ACCC from three monitored airports indicates that consumers have the potential to gain substantial savings through online bookings</w:t>
      </w:r>
      <w:r>
        <w:t xml:space="preserve"> for short-term durations. The weighted average data presented in Table 1.7.2 shows that the average online prices for Brisbane airport for 4 to 24 hours durations were 8.0 per cent lower than the equivalent drive</w:t>
      </w:r>
      <w:r>
        <w:noBreakHyphen/>
        <w:t xml:space="preserve">up price. </w:t>
      </w:r>
    </w:p>
    <w:p w:rsidR="00883552" w:rsidRDefault="00883552" w:rsidP="001734F5">
      <w:pPr>
        <w:keepNext/>
      </w:pPr>
      <w:r>
        <w:t xml:space="preserve">Table 1.7.3 presents drive-up, average online and the weighted average for selected long-term car parking price durations. Brisbane Airport reported the highest drive-up rates for long-term car parking. Brisbane Airport’s 1, 3 and 7 day drive-up prices were 23.1, 20.5 and 9.6 per cent higher respectively than the next highest airport’s prices for those price durations. However, </w:t>
      </w:r>
      <w:r w:rsidRPr="00C7626F">
        <w:t xml:space="preserve">Brisbane Airport’s </w:t>
      </w:r>
      <w:r>
        <w:t>long-term</w:t>
      </w:r>
      <w:r w:rsidRPr="00C7626F">
        <w:t xml:space="preserve"> car park is located within walking distance to the terminal while Melbourne, Perth and Sydney airport</w:t>
      </w:r>
      <w:r>
        <w:t>s</w:t>
      </w:r>
      <w:r w:rsidRPr="00C7626F">
        <w:t xml:space="preserve"> </w:t>
      </w:r>
      <w:r>
        <w:t xml:space="preserve">are at a distance to the terminal with </w:t>
      </w:r>
      <w:r w:rsidRPr="00C7626F">
        <w:t>free shuttle bus services.</w:t>
      </w:r>
    </w:p>
    <w:p w:rsidR="00883552" w:rsidRDefault="00883552" w:rsidP="001734F5">
      <w:pPr>
        <w:keepNext/>
      </w:pPr>
      <w:r>
        <w:t xml:space="preserve">As noted, because of data unavailability and commercial in confidence constraints, the ACCC was only able to publish </w:t>
      </w:r>
      <w:r w:rsidRPr="006A1EE1">
        <w:t xml:space="preserve">limited data </w:t>
      </w:r>
      <w:r>
        <w:t xml:space="preserve">on online prices for long-term car parking. The data that the ACCC was able to collect on long-term online offers highlighted considerable differences from the equivalent drive-up rates and the substantial savings on offer to consumers. </w:t>
      </w:r>
    </w:p>
    <w:p w:rsidR="00883552" w:rsidRDefault="00883552" w:rsidP="001734F5">
      <w:pPr>
        <w:pStyle w:val="Numberedcharttitle"/>
      </w:pPr>
      <w:r>
        <w:t>Table 1.7.3:</w:t>
      </w:r>
      <w:r>
        <w:tab/>
        <w:t>Selected long-term drive up, online and average car parking prices at domestic terminal car parks in 2014-15</w:t>
      </w:r>
    </w:p>
    <w:tbl>
      <w:tblPr>
        <w:tblStyle w:val="TableGrid"/>
        <w:tblW w:w="5000" w:type="pct"/>
        <w:tblLook w:val="04A0" w:firstRow="1" w:lastRow="0" w:firstColumn="1" w:lastColumn="0" w:noHBand="0" w:noVBand="1"/>
      </w:tblPr>
      <w:tblGrid>
        <w:gridCol w:w="1025"/>
        <w:gridCol w:w="734"/>
        <w:gridCol w:w="848"/>
        <w:gridCol w:w="937"/>
        <w:gridCol w:w="724"/>
        <w:gridCol w:w="848"/>
        <w:gridCol w:w="936"/>
        <w:gridCol w:w="828"/>
        <w:gridCol w:w="848"/>
        <w:gridCol w:w="936"/>
      </w:tblGrid>
      <w:tr w:rsidR="00883552" w:rsidRPr="00CF073A" w:rsidTr="00883552">
        <w:tc>
          <w:tcPr>
            <w:tcW w:w="5000" w:type="pct"/>
            <w:gridSpan w:val="10"/>
            <w:tcBorders>
              <w:left w:val="nil"/>
              <w:bottom w:val="nil"/>
              <w:right w:val="nil"/>
            </w:tcBorders>
            <w:shd w:val="clear" w:color="auto" w:fill="DFE0DC"/>
          </w:tcPr>
          <w:p w:rsidR="00883552" w:rsidRPr="00CF073A" w:rsidRDefault="00883552" w:rsidP="001734F5">
            <w:pPr>
              <w:keepNext/>
              <w:tabs>
                <w:tab w:val="left" w:pos="1741"/>
              </w:tabs>
              <w:spacing w:before="40" w:after="40"/>
              <w:jc w:val="center"/>
            </w:pPr>
            <w:r>
              <w:rPr>
                <w:b/>
                <w:color w:val="000000" w:themeColor="text1"/>
                <w:sz w:val="18"/>
              </w:rPr>
              <w:t>Long-</w:t>
            </w:r>
            <w:r w:rsidRPr="00537D11">
              <w:rPr>
                <w:b/>
                <w:color w:val="000000" w:themeColor="text1"/>
                <w:sz w:val="18"/>
              </w:rPr>
              <w:t>term car parking</w:t>
            </w:r>
          </w:p>
        </w:tc>
      </w:tr>
      <w:tr w:rsidR="00883552" w:rsidRPr="003E3E37" w:rsidTr="00883552">
        <w:trPr>
          <w:trHeight w:val="283"/>
        </w:trPr>
        <w:tc>
          <w:tcPr>
            <w:tcW w:w="592" w:type="pct"/>
            <w:tcBorders>
              <w:top w:val="nil"/>
              <w:left w:val="nil"/>
              <w:bottom w:val="nil"/>
              <w:right w:val="nil"/>
            </w:tcBorders>
            <w:shd w:val="clear" w:color="auto" w:fill="DFE0DC"/>
          </w:tcPr>
          <w:p w:rsidR="00883552" w:rsidRPr="000B3C64" w:rsidRDefault="00883552" w:rsidP="001734F5">
            <w:pPr>
              <w:pStyle w:val="Tabletextheading"/>
              <w:keepNext/>
              <w:rPr>
                <w:sz w:val="16"/>
                <w:szCs w:val="16"/>
              </w:rPr>
            </w:pPr>
          </w:p>
        </w:tc>
        <w:tc>
          <w:tcPr>
            <w:tcW w:w="1454" w:type="pct"/>
            <w:gridSpan w:val="3"/>
            <w:tcBorders>
              <w:top w:val="nil"/>
              <w:left w:val="nil"/>
              <w:bottom w:val="single" w:sz="4" w:space="0" w:color="auto"/>
            </w:tcBorders>
            <w:shd w:val="clear" w:color="auto" w:fill="DFE0DC"/>
          </w:tcPr>
          <w:p w:rsidR="00883552" w:rsidRPr="000B3C64" w:rsidRDefault="00883552" w:rsidP="001734F5">
            <w:pPr>
              <w:pStyle w:val="Tabletextheadingcentre"/>
              <w:rPr>
                <w:sz w:val="16"/>
                <w:szCs w:val="16"/>
              </w:rPr>
            </w:pPr>
            <w:r w:rsidRPr="000B3C64">
              <w:rPr>
                <w:sz w:val="16"/>
                <w:szCs w:val="16"/>
              </w:rPr>
              <w:t>1 day</w:t>
            </w:r>
          </w:p>
        </w:tc>
        <w:tc>
          <w:tcPr>
            <w:tcW w:w="1447" w:type="pct"/>
            <w:gridSpan w:val="3"/>
            <w:tcBorders>
              <w:top w:val="nil"/>
              <w:bottom w:val="single" w:sz="4" w:space="0" w:color="auto"/>
            </w:tcBorders>
            <w:shd w:val="clear" w:color="auto" w:fill="DFE0DC"/>
          </w:tcPr>
          <w:p w:rsidR="00883552" w:rsidRPr="000B3C64" w:rsidRDefault="00883552" w:rsidP="001734F5">
            <w:pPr>
              <w:pStyle w:val="Tabletextheadingcentre"/>
              <w:rPr>
                <w:sz w:val="16"/>
                <w:szCs w:val="16"/>
              </w:rPr>
            </w:pPr>
            <w:r w:rsidRPr="000B3C64">
              <w:rPr>
                <w:sz w:val="16"/>
                <w:szCs w:val="16"/>
              </w:rPr>
              <w:t>3 days</w:t>
            </w:r>
          </w:p>
        </w:tc>
        <w:tc>
          <w:tcPr>
            <w:tcW w:w="1507" w:type="pct"/>
            <w:gridSpan w:val="3"/>
            <w:tcBorders>
              <w:top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7 days</w:t>
            </w:r>
          </w:p>
        </w:tc>
      </w:tr>
      <w:tr w:rsidR="00883552" w:rsidRPr="003E3E37" w:rsidTr="00883552">
        <w:trPr>
          <w:trHeight w:val="283"/>
        </w:trPr>
        <w:tc>
          <w:tcPr>
            <w:tcW w:w="592" w:type="pct"/>
            <w:tcBorders>
              <w:top w:val="nil"/>
              <w:left w:val="nil"/>
              <w:bottom w:val="single" w:sz="4" w:space="0" w:color="auto"/>
              <w:right w:val="nil"/>
            </w:tcBorders>
            <w:shd w:val="clear" w:color="auto" w:fill="DFE0DC"/>
          </w:tcPr>
          <w:p w:rsidR="00883552" w:rsidRPr="000B3C64" w:rsidRDefault="00883552" w:rsidP="001734F5">
            <w:pPr>
              <w:pStyle w:val="Tabletextheading"/>
              <w:keepNext/>
              <w:rPr>
                <w:sz w:val="16"/>
                <w:szCs w:val="16"/>
              </w:rPr>
            </w:pPr>
          </w:p>
        </w:tc>
        <w:tc>
          <w:tcPr>
            <w:tcW w:w="424"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Drive up</w:t>
            </w:r>
          </w:p>
        </w:tc>
        <w:tc>
          <w:tcPr>
            <w:tcW w:w="489"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Average Online</w:t>
            </w:r>
          </w:p>
        </w:tc>
        <w:tc>
          <w:tcPr>
            <w:tcW w:w="540" w:type="pct"/>
            <w:tcBorders>
              <w:top w:val="nil"/>
              <w:left w:val="nil"/>
              <w:bottom w:val="single" w:sz="4" w:space="0" w:color="auto"/>
            </w:tcBorders>
            <w:shd w:val="clear" w:color="auto" w:fill="DFE0DC"/>
          </w:tcPr>
          <w:p w:rsidR="00883552" w:rsidRPr="000B3C64" w:rsidRDefault="00883552" w:rsidP="001734F5">
            <w:pPr>
              <w:pStyle w:val="Tabletextheadingcentre"/>
              <w:rPr>
                <w:sz w:val="16"/>
                <w:szCs w:val="16"/>
              </w:rPr>
            </w:pPr>
            <w:r w:rsidRPr="000B3C64">
              <w:rPr>
                <w:sz w:val="16"/>
                <w:szCs w:val="16"/>
              </w:rPr>
              <w:t>Weighted average</w:t>
            </w:r>
          </w:p>
        </w:tc>
        <w:tc>
          <w:tcPr>
            <w:tcW w:w="418" w:type="pct"/>
            <w:tcBorders>
              <w:top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Drive up</w:t>
            </w:r>
          </w:p>
        </w:tc>
        <w:tc>
          <w:tcPr>
            <w:tcW w:w="489"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Average Online</w:t>
            </w:r>
          </w:p>
        </w:tc>
        <w:tc>
          <w:tcPr>
            <w:tcW w:w="540" w:type="pct"/>
            <w:tcBorders>
              <w:top w:val="nil"/>
              <w:left w:val="nil"/>
              <w:bottom w:val="single" w:sz="4" w:space="0" w:color="auto"/>
            </w:tcBorders>
            <w:shd w:val="clear" w:color="auto" w:fill="DFE0DC"/>
          </w:tcPr>
          <w:p w:rsidR="00883552" w:rsidRPr="000B3C64" w:rsidRDefault="00883552" w:rsidP="001734F5">
            <w:pPr>
              <w:pStyle w:val="Tabletextheadingcentre"/>
              <w:rPr>
                <w:sz w:val="16"/>
                <w:szCs w:val="16"/>
              </w:rPr>
            </w:pPr>
            <w:r w:rsidRPr="000B3C64">
              <w:rPr>
                <w:sz w:val="16"/>
                <w:szCs w:val="16"/>
              </w:rPr>
              <w:t>Weighted average</w:t>
            </w:r>
          </w:p>
        </w:tc>
        <w:tc>
          <w:tcPr>
            <w:tcW w:w="478" w:type="pct"/>
            <w:tcBorders>
              <w:top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Drive up</w:t>
            </w:r>
          </w:p>
        </w:tc>
        <w:tc>
          <w:tcPr>
            <w:tcW w:w="489"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Average Online</w:t>
            </w:r>
          </w:p>
        </w:tc>
        <w:tc>
          <w:tcPr>
            <w:tcW w:w="540" w:type="pct"/>
            <w:tcBorders>
              <w:top w:val="nil"/>
              <w:left w:val="nil"/>
              <w:bottom w:val="single" w:sz="4" w:space="0" w:color="auto"/>
              <w:right w:val="nil"/>
            </w:tcBorders>
            <w:shd w:val="clear" w:color="auto" w:fill="DFE0DC"/>
          </w:tcPr>
          <w:p w:rsidR="00883552" w:rsidRPr="000B3C64" w:rsidRDefault="00883552" w:rsidP="001734F5">
            <w:pPr>
              <w:pStyle w:val="Tabletextheadingcentre"/>
              <w:rPr>
                <w:sz w:val="16"/>
                <w:szCs w:val="16"/>
              </w:rPr>
            </w:pPr>
            <w:r w:rsidRPr="000B3C64">
              <w:rPr>
                <w:sz w:val="16"/>
                <w:szCs w:val="16"/>
              </w:rPr>
              <w:t>Weighted average</w:t>
            </w:r>
          </w:p>
        </w:tc>
      </w:tr>
      <w:tr w:rsidR="00883552" w:rsidRPr="003E3E37" w:rsidTr="00883552">
        <w:tc>
          <w:tcPr>
            <w:tcW w:w="592" w:type="pct"/>
            <w:tcBorders>
              <w:left w:val="nil"/>
              <w:bottom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Brisbane</w:t>
            </w:r>
          </w:p>
        </w:tc>
        <w:tc>
          <w:tcPr>
            <w:tcW w:w="424"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$48.00</w:t>
            </w:r>
          </w:p>
        </w:tc>
        <w:tc>
          <w:tcPr>
            <w:tcW w:w="489"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Pr>
                <w:b w:val="0"/>
                <w:sz w:val="16"/>
                <w:szCs w:val="16"/>
              </w:rPr>
              <w:t>-</w:t>
            </w:r>
          </w:p>
        </w:tc>
        <w:tc>
          <w:tcPr>
            <w:tcW w:w="540" w:type="pct"/>
            <w:tcBorders>
              <w:left w:val="nil"/>
              <w:bottom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$47.88</w:t>
            </w:r>
          </w:p>
        </w:tc>
        <w:tc>
          <w:tcPr>
            <w:tcW w:w="418" w:type="pct"/>
            <w:tcBorders>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$88.00</w:t>
            </w:r>
          </w:p>
        </w:tc>
        <w:tc>
          <w:tcPr>
            <w:tcW w:w="489"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Pr>
                <w:b w:val="0"/>
                <w:sz w:val="16"/>
                <w:szCs w:val="16"/>
              </w:rPr>
              <w:t>-</w:t>
            </w:r>
          </w:p>
        </w:tc>
        <w:tc>
          <w:tcPr>
            <w:tcW w:w="540" w:type="pct"/>
            <w:tcBorders>
              <w:left w:val="nil"/>
              <w:bottom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$82.18</w:t>
            </w:r>
          </w:p>
        </w:tc>
        <w:tc>
          <w:tcPr>
            <w:tcW w:w="478" w:type="pct"/>
            <w:tcBorders>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$148.00</w:t>
            </w:r>
          </w:p>
        </w:tc>
        <w:tc>
          <w:tcPr>
            <w:tcW w:w="489"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Pr>
                <w:b w:val="0"/>
                <w:sz w:val="16"/>
                <w:szCs w:val="16"/>
              </w:rPr>
              <w:t>-</w:t>
            </w:r>
          </w:p>
        </w:tc>
        <w:tc>
          <w:tcPr>
            <w:tcW w:w="540" w:type="pct"/>
            <w:tcBorders>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$111.05</w:t>
            </w:r>
          </w:p>
        </w:tc>
      </w:tr>
      <w:tr w:rsidR="00883552" w:rsidRPr="003E3E37" w:rsidTr="00883552">
        <w:tc>
          <w:tcPr>
            <w:tcW w:w="592" w:type="pct"/>
            <w:tcBorders>
              <w:top w:val="nil"/>
              <w:left w:val="nil"/>
              <w:bottom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 xml:space="preserve">Melbourne </w:t>
            </w:r>
          </w:p>
        </w:tc>
        <w:tc>
          <w:tcPr>
            <w:tcW w:w="424"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$39.00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$14.91</w:t>
            </w:r>
          </w:p>
        </w:tc>
        <w:tc>
          <w:tcPr>
            <w:tcW w:w="540"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$30.44</w:t>
            </w:r>
          </w:p>
        </w:tc>
        <w:tc>
          <w:tcPr>
            <w:tcW w:w="41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$69.00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$35.15</w:t>
            </w:r>
          </w:p>
        </w:tc>
        <w:tc>
          <w:tcPr>
            <w:tcW w:w="540"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$55.60</w:t>
            </w:r>
          </w:p>
        </w:tc>
        <w:tc>
          <w:tcPr>
            <w:tcW w:w="47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$99.00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$55.70</w:t>
            </w:r>
          </w:p>
        </w:tc>
        <w:tc>
          <w:tcPr>
            <w:tcW w:w="540"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$75.26</w:t>
            </w:r>
          </w:p>
        </w:tc>
      </w:tr>
      <w:tr w:rsidR="00883552" w:rsidRPr="003E3E37" w:rsidTr="00883552">
        <w:tc>
          <w:tcPr>
            <w:tcW w:w="592" w:type="pct"/>
            <w:tcBorders>
              <w:top w:val="nil"/>
              <w:left w:val="nil"/>
              <w:bottom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 xml:space="preserve">Perth </w:t>
            </w:r>
          </w:p>
        </w:tc>
        <w:tc>
          <w:tcPr>
            <w:tcW w:w="424"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$23.00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0"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41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$67.00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0" w:type="pct"/>
            <w:tcBorders>
              <w:top w:val="nil"/>
              <w:left w:val="nil"/>
              <w:bottom w:val="nil"/>
              <w:right w:val="single" w:sz="4" w:space="0" w:color="auto"/>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478" w:type="pct"/>
            <w:tcBorders>
              <w:top w:val="nil"/>
              <w:left w:val="single" w:sz="4" w:space="0" w:color="auto"/>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$111.00</w:t>
            </w:r>
          </w:p>
        </w:tc>
        <w:tc>
          <w:tcPr>
            <w:tcW w:w="489"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c>
          <w:tcPr>
            <w:tcW w:w="540" w:type="pct"/>
            <w:tcBorders>
              <w:top w:val="nil"/>
              <w:left w:val="nil"/>
              <w:bottom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n/a</w:t>
            </w:r>
          </w:p>
        </w:tc>
      </w:tr>
      <w:tr w:rsidR="00883552" w:rsidRPr="003E3E37" w:rsidTr="00883552">
        <w:tc>
          <w:tcPr>
            <w:tcW w:w="592" w:type="pct"/>
            <w:tcBorders>
              <w:top w:val="nil"/>
              <w:left w:val="nil"/>
              <w:right w:val="nil"/>
            </w:tcBorders>
            <w:shd w:val="clear" w:color="auto" w:fill="auto"/>
          </w:tcPr>
          <w:p w:rsidR="00883552" w:rsidRPr="000B3C64" w:rsidRDefault="00883552" w:rsidP="001734F5">
            <w:pPr>
              <w:pStyle w:val="Tabletextheading"/>
              <w:keepNext/>
              <w:rPr>
                <w:sz w:val="16"/>
                <w:szCs w:val="16"/>
              </w:rPr>
            </w:pPr>
            <w:r w:rsidRPr="000B3C64">
              <w:rPr>
                <w:sz w:val="16"/>
                <w:szCs w:val="16"/>
              </w:rPr>
              <w:t>Sydney</w:t>
            </w:r>
          </w:p>
        </w:tc>
        <w:tc>
          <w:tcPr>
            <w:tcW w:w="424"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$30.00</w:t>
            </w:r>
          </w:p>
        </w:tc>
        <w:tc>
          <w:tcPr>
            <w:tcW w:w="489"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w:t>
            </w:r>
          </w:p>
        </w:tc>
        <w:tc>
          <w:tcPr>
            <w:tcW w:w="540" w:type="pct"/>
            <w:tcBorders>
              <w:top w:val="nil"/>
              <w:lef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$31.96</w:t>
            </w:r>
          </w:p>
        </w:tc>
        <w:tc>
          <w:tcPr>
            <w:tcW w:w="418" w:type="pct"/>
            <w:tcBorders>
              <w:top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$73.00</w:t>
            </w:r>
          </w:p>
        </w:tc>
        <w:tc>
          <w:tcPr>
            <w:tcW w:w="489"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w:t>
            </w:r>
          </w:p>
        </w:tc>
        <w:tc>
          <w:tcPr>
            <w:tcW w:w="540" w:type="pct"/>
            <w:tcBorders>
              <w:top w:val="nil"/>
              <w:lef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$72.01</w:t>
            </w:r>
          </w:p>
        </w:tc>
        <w:tc>
          <w:tcPr>
            <w:tcW w:w="478" w:type="pct"/>
            <w:tcBorders>
              <w:top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$135.00</w:t>
            </w:r>
          </w:p>
        </w:tc>
        <w:tc>
          <w:tcPr>
            <w:tcW w:w="489"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w:t>
            </w:r>
          </w:p>
        </w:tc>
        <w:tc>
          <w:tcPr>
            <w:tcW w:w="540" w:type="pct"/>
            <w:tcBorders>
              <w:top w:val="nil"/>
              <w:left w:val="nil"/>
              <w:right w:val="nil"/>
            </w:tcBorders>
            <w:shd w:val="clear" w:color="auto" w:fill="auto"/>
          </w:tcPr>
          <w:p w:rsidR="00883552" w:rsidRPr="000B3C64" w:rsidRDefault="00883552" w:rsidP="001734F5">
            <w:pPr>
              <w:pStyle w:val="Tabletextheadingcentre"/>
              <w:jc w:val="right"/>
              <w:rPr>
                <w:b w:val="0"/>
                <w:sz w:val="16"/>
                <w:szCs w:val="16"/>
              </w:rPr>
            </w:pPr>
            <w:r w:rsidRPr="000B3C64">
              <w:rPr>
                <w:b w:val="0"/>
                <w:sz w:val="16"/>
                <w:szCs w:val="16"/>
              </w:rPr>
              <w:t>$111.88</w:t>
            </w:r>
          </w:p>
        </w:tc>
      </w:tr>
    </w:tbl>
    <w:p w:rsidR="00883552" w:rsidRDefault="00883552" w:rsidP="001734F5">
      <w:pPr>
        <w:pStyle w:val="Sourceandnotes"/>
      </w:pPr>
      <w:r>
        <w:t xml:space="preserve">Note      </w:t>
      </w:r>
      <w:r>
        <w:tab/>
      </w:r>
      <w:proofErr w:type="gramStart"/>
      <w:r>
        <w:t>n/a</w:t>
      </w:r>
      <w:proofErr w:type="gramEnd"/>
      <w:r>
        <w:t xml:space="preserve"> – online values not available </w:t>
      </w:r>
    </w:p>
    <w:p w:rsidR="00883552" w:rsidRDefault="00883552" w:rsidP="001734F5">
      <w:pPr>
        <w:pStyle w:val="Sourceandnotes"/>
      </w:pPr>
      <w:r>
        <w:tab/>
        <w:t>- Commercial in confidence</w:t>
      </w:r>
    </w:p>
    <w:p w:rsidR="00883552" w:rsidRDefault="00883552" w:rsidP="001734F5">
      <w:pPr>
        <w:pStyle w:val="Sourceandnotes"/>
      </w:pPr>
      <w:r>
        <w:t xml:space="preserve">               </w:t>
      </w:r>
      <w:r>
        <w:tab/>
      </w:r>
      <w:r w:rsidRPr="00C7626F">
        <w:t xml:space="preserve">Melbourne Airport’s </w:t>
      </w:r>
      <w:r>
        <w:t>long-term</w:t>
      </w:r>
      <w:r w:rsidRPr="00C7626F">
        <w:t xml:space="preserve"> car parking prices are at the </w:t>
      </w:r>
      <w:r>
        <w:t>long-term</w:t>
      </w:r>
      <w:r w:rsidRPr="00C7626F">
        <w:t xml:space="preserve"> uncovered car park</w:t>
      </w:r>
      <w:r>
        <w:t>.</w:t>
      </w:r>
      <w:r w:rsidRPr="00C7626F">
        <w:t xml:space="preserve"> </w:t>
      </w:r>
    </w:p>
    <w:p w:rsidR="00883552" w:rsidRDefault="00883552" w:rsidP="001734F5">
      <w:pPr>
        <w:keepNext/>
      </w:pPr>
      <w:r>
        <w:t xml:space="preserve">The limited data presented for average online prices in Table 1.7.3 indicates that consumers generally can make significant savings through online booking at Brisbane Airport. Average online prices for 1, 3 and 7 days are 0.3, 6.6 and 24.9 per cent less respectively than the equivalent drive-up price.  </w:t>
      </w:r>
    </w:p>
    <w:p w:rsidR="00883552" w:rsidRDefault="00883552" w:rsidP="001734F5">
      <w:pPr>
        <w:keepNext/>
      </w:pPr>
      <w:r>
        <w:lastRenderedPageBreak/>
        <w:t>Table 1.7.4 presents the percentage change of selected short and long-term domestic drive-up parking prices as at 30 June 2014 and 30 June 2015.</w:t>
      </w:r>
      <w:r w:rsidRPr="00002F89">
        <w:t xml:space="preserve"> </w:t>
      </w:r>
      <w:r>
        <w:t>P</w:t>
      </w:r>
      <w:r w:rsidRPr="00845FD7">
        <w:t xml:space="preserve">erth Airport was the only airport to increase all </w:t>
      </w:r>
      <w:r>
        <w:t xml:space="preserve">presented </w:t>
      </w:r>
      <w:r w:rsidRPr="00845FD7">
        <w:t xml:space="preserve">domestic </w:t>
      </w:r>
      <w:r>
        <w:t>short-term</w:t>
      </w:r>
      <w:r w:rsidRPr="00845FD7">
        <w:t xml:space="preserve"> </w:t>
      </w:r>
      <w:r>
        <w:t xml:space="preserve">and long-term </w:t>
      </w:r>
      <w:r w:rsidRPr="00845FD7">
        <w:t>car parking prices.</w:t>
      </w:r>
    </w:p>
    <w:p w:rsidR="00883552" w:rsidRDefault="00883552" w:rsidP="00883552">
      <w:pPr>
        <w:pStyle w:val="Numberedcharttitle"/>
      </w:pPr>
      <w:r>
        <w:t>Table 1.7.4:</w:t>
      </w:r>
      <w:r>
        <w:tab/>
        <w:t>Percentage change of selected short and long-term drive-up car parking prices in real terms: 30 June 2014 to 30 June 2015</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883552" w:rsidTr="00883552">
        <w:tc>
          <w:tcPr>
            <w:tcW w:w="1237" w:type="dxa"/>
            <w:tcBorders>
              <w:left w:val="nil"/>
              <w:bottom w:val="nil"/>
              <w:right w:val="nil"/>
            </w:tcBorders>
            <w:shd w:val="clear" w:color="auto" w:fill="DFE0DC"/>
          </w:tcPr>
          <w:p w:rsidR="00883552" w:rsidRDefault="00883552" w:rsidP="00883552">
            <w:pPr>
              <w:pStyle w:val="Tabletextheading"/>
              <w:keepNext/>
            </w:pPr>
            <w:r>
              <w:t>Airport</w:t>
            </w:r>
          </w:p>
        </w:tc>
        <w:tc>
          <w:tcPr>
            <w:tcW w:w="3713" w:type="dxa"/>
            <w:gridSpan w:val="3"/>
            <w:tcBorders>
              <w:left w:val="nil"/>
              <w:bottom w:val="nil"/>
              <w:right w:val="single" w:sz="4" w:space="0" w:color="auto"/>
            </w:tcBorders>
            <w:shd w:val="clear" w:color="auto" w:fill="DFE0DC"/>
          </w:tcPr>
          <w:p w:rsidR="00883552" w:rsidRDefault="00883552" w:rsidP="00883552">
            <w:pPr>
              <w:pStyle w:val="Tabletextheadingcentre"/>
            </w:pPr>
            <w:r>
              <w:t>Short-term car parking</w:t>
            </w:r>
          </w:p>
        </w:tc>
        <w:tc>
          <w:tcPr>
            <w:tcW w:w="3714" w:type="dxa"/>
            <w:gridSpan w:val="3"/>
            <w:tcBorders>
              <w:left w:val="single" w:sz="4" w:space="0" w:color="auto"/>
              <w:bottom w:val="nil"/>
              <w:right w:val="nil"/>
            </w:tcBorders>
            <w:shd w:val="clear" w:color="auto" w:fill="DFE0DC"/>
          </w:tcPr>
          <w:p w:rsidR="00883552" w:rsidRDefault="00883552" w:rsidP="00883552">
            <w:pPr>
              <w:pStyle w:val="Tabletextheadingcentre"/>
            </w:pPr>
            <w:r>
              <w:t>Long-term car parking</w:t>
            </w:r>
          </w:p>
        </w:tc>
      </w:tr>
      <w:tr w:rsidR="00883552" w:rsidTr="00883552">
        <w:tc>
          <w:tcPr>
            <w:tcW w:w="1237" w:type="dxa"/>
            <w:tcBorders>
              <w:top w:val="nil"/>
              <w:left w:val="nil"/>
              <w:bottom w:val="single" w:sz="4" w:space="0" w:color="auto"/>
              <w:right w:val="nil"/>
            </w:tcBorders>
            <w:shd w:val="clear" w:color="auto" w:fill="DFE0DC"/>
          </w:tcPr>
          <w:p w:rsidR="00883552" w:rsidRDefault="00883552" w:rsidP="00883552">
            <w:pPr>
              <w:pStyle w:val="Tabletextleft"/>
              <w:keepNext/>
            </w:pPr>
          </w:p>
        </w:tc>
        <w:tc>
          <w:tcPr>
            <w:tcW w:w="1237" w:type="dxa"/>
            <w:tcBorders>
              <w:top w:val="nil"/>
              <w:left w:val="nil"/>
              <w:bottom w:val="single" w:sz="4" w:space="0" w:color="auto"/>
              <w:right w:val="nil"/>
            </w:tcBorders>
            <w:shd w:val="clear" w:color="auto" w:fill="DFE0DC"/>
          </w:tcPr>
          <w:p w:rsidR="00883552" w:rsidRDefault="00883552" w:rsidP="00883552">
            <w:pPr>
              <w:pStyle w:val="Tabletextheadingright"/>
              <w:keepNext/>
            </w:pPr>
            <w:r>
              <w:t>1 hour</w:t>
            </w:r>
          </w:p>
        </w:tc>
        <w:tc>
          <w:tcPr>
            <w:tcW w:w="1238" w:type="dxa"/>
            <w:tcBorders>
              <w:top w:val="nil"/>
              <w:left w:val="nil"/>
              <w:bottom w:val="single" w:sz="4" w:space="0" w:color="auto"/>
              <w:right w:val="nil"/>
            </w:tcBorders>
            <w:shd w:val="clear" w:color="auto" w:fill="DFE0DC"/>
          </w:tcPr>
          <w:p w:rsidR="00883552" w:rsidRDefault="00883552" w:rsidP="00883552">
            <w:pPr>
              <w:pStyle w:val="Tabletextheadingright"/>
              <w:keepNext/>
            </w:pPr>
            <w:r>
              <w:t>3 hours</w:t>
            </w:r>
          </w:p>
        </w:tc>
        <w:tc>
          <w:tcPr>
            <w:tcW w:w="1238" w:type="dxa"/>
            <w:tcBorders>
              <w:top w:val="nil"/>
              <w:left w:val="nil"/>
              <w:bottom w:val="single" w:sz="4" w:space="0" w:color="auto"/>
              <w:right w:val="single" w:sz="4" w:space="0" w:color="auto"/>
            </w:tcBorders>
            <w:shd w:val="clear" w:color="auto" w:fill="DFE0DC"/>
          </w:tcPr>
          <w:p w:rsidR="00883552" w:rsidRDefault="00883552" w:rsidP="00883552">
            <w:pPr>
              <w:pStyle w:val="Tabletextheadingright"/>
              <w:keepNext/>
            </w:pPr>
            <w:r>
              <w:t>8 hours</w:t>
            </w:r>
          </w:p>
        </w:tc>
        <w:tc>
          <w:tcPr>
            <w:tcW w:w="1238" w:type="dxa"/>
            <w:tcBorders>
              <w:top w:val="nil"/>
              <w:left w:val="single" w:sz="4" w:space="0" w:color="auto"/>
              <w:bottom w:val="single" w:sz="4" w:space="0" w:color="auto"/>
              <w:right w:val="nil"/>
            </w:tcBorders>
            <w:shd w:val="clear" w:color="auto" w:fill="DFE0DC"/>
          </w:tcPr>
          <w:p w:rsidR="00883552" w:rsidRDefault="00883552" w:rsidP="00883552">
            <w:pPr>
              <w:pStyle w:val="Tabletextheadingright"/>
              <w:keepNext/>
            </w:pPr>
            <w:r>
              <w:t>1 day</w:t>
            </w:r>
          </w:p>
        </w:tc>
        <w:tc>
          <w:tcPr>
            <w:tcW w:w="1238" w:type="dxa"/>
            <w:tcBorders>
              <w:top w:val="nil"/>
              <w:left w:val="nil"/>
              <w:bottom w:val="single" w:sz="4" w:space="0" w:color="auto"/>
              <w:right w:val="nil"/>
            </w:tcBorders>
            <w:shd w:val="clear" w:color="auto" w:fill="DFE0DC"/>
          </w:tcPr>
          <w:p w:rsidR="00883552" w:rsidRDefault="00883552" w:rsidP="00883552">
            <w:pPr>
              <w:pStyle w:val="Tabletextheadingright"/>
              <w:keepNext/>
            </w:pPr>
            <w:r>
              <w:t>3 days</w:t>
            </w:r>
          </w:p>
        </w:tc>
        <w:tc>
          <w:tcPr>
            <w:tcW w:w="1238" w:type="dxa"/>
            <w:tcBorders>
              <w:top w:val="nil"/>
              <w:left w:val="nil"/>
              <w:bottom w:val="single" w:sz="4" w:space="0" w:color="auto"/>
              <w:right w:val="nil"/>
            </w:tcBorders>
            <w:shd w:val="clear" w:color="auto" w:fill="DFE0DC"/>
          </w:tcPr>
          <w:p w:rsidR="00883552" w:rsidRDefault="00883552" w:rsidP="00883552">
            <w:pPr>
              <w:pStyle w:val="Tabletextheadingright"/>
              <w:keepNext/>
            </w:pPr>
            <w:r>
              <w:t>7 days</w:t>
            </w:r>
          </w:p>
        </w:tc>
      </w:tr>
      <w:tr w:rsidR="00883552" w:rsidTr="00883552">
        <w:tc>
          <w:tcPr>
            <w:tcW w:w="1237" w:type="dxa"/>
            <w:tcBorders>
              <w:left w:val="nil"/>
              <w:bottom w:val="nil"/>
              <w:right w:val="nil"/>
            </w:tcBorders>
          </w:tcPr>
          <w:p w:rsidR="00883552" w:rsidRDefault="00883552" w:rsidP="00883552">
            <w:pPr>
              <w:pStyle w:val="Tabletextleft"/>
              <w:keepNext/>
            </w:pPr>
            <w:r>
              <w:t>Brisbane</w:t>
            </w:r>
          </w:p>
        </w:tc>
        <w:tc>
          <w:tcPr>
            <w:tcW w:w="1237" w:type="dxa"/>
            <w:tcBorders>
              <w:left w:val="nil"/>
              <w:bottom w:val="nil"/>
              <w:right w:val="nil"/>
            </w:tcBorders>
          </w:tcPr>
          <w:p w:rsidR="00883552" w:rsidRDefault="00883552" w:rsidP="00883552">
            <w:pPr>
              <w:pStyle w:val="Tabletextright"/>
              <w:keepNext/>
            </w:pPr>
            <w:r w:rsidRPr="00E426B4">
              <w:rPr>
                <w:color w:val="943634"/>
              </w:rPr>
              <w:t>▲</w:t>
            </w:r>
            <w:r>
              <w:rPr>
                <w:color w:val="F79646"/>
              </w:rPr>
              <w:t xml:space="preserve"> </w:t>
            </w:r>
            <w:r w:rsidRPr="0099568D">
              <w:t>5.3</w:t>
            </w:r>
            <w:r>
              <w:t>%</w:t>
            </w:r>
          </w:p>
        </w:tc>
        <w:tc>
          <w:tcPr>
            <w:tcW w:w="1238" w:type="dxa"/>
            <w:tcBorders>
              <w:left w:val="nil"/>
              <w:bottom w:val="nil"/>
              <w:right w:val="nil"/>
            </w:tcBorders>
          </w:tcPr>
          <w:p w:rsidR="00883552" w:rsidRDefault="00883552" w:rsidP="00883552">
            <w:pPr>
              <w:pStyle w:val="Tabletextright"/>
              <w:keepNext/>
            </w:pPr>
            <w:r w:rsidRPr="00E426B4">
              <w:rPr>
                <w:color w:val="F79646"/>
              </w:rPr>
              <w:t>▼</w:t>
            </w:r>
            <w:r>
              <w:rPr>
                <w:color w:val="F79646"/>
              </w:rPr>
              <w:t xml:space="preserve"> </w:t>
            </w:r>
            <w:r w:rsidRPr="0099568D">
              <w:t>1.</w:t>
            </w:r>
            <w:r>
              <w:t>7%</w:t>
            </w:r>
          </w:p>
        </w:tc>
        <w:tc>
          <w:tcPr>
            <w:tcW w:w="1238" w:type="dxa"/>
            <w:tcBorders>
              <w:left w:val="nil"/>
              <w:bottom w:val="nil"/>
              <w:right w:val="single" w:sz="4" w:space="0" w:color="auto"/>
            </w:tcBorders>
          </w:tcPr>
          <w:p w:rsidR="00883552" w:rsidRDefault="00883552" w:rsidP="00883552">
            <w:pPr>
              <w:pStyle w:val="Tabletextright"/>
              <w:keepNext/>
            </w:pPr>
            <w:r w:rsidRPr="007A4EDC">
              <w:rPr>
                <w:color w:val="943634"/>
              </w:rPr>
              <w:t>▲</w:t>
            </w:r>
            <w:r>
              <w:rPr>
                <w:color w:val="943634"/>
              </w:rPr>
              <w:t xml:space="preserve"> </w:t>
            </w:r>
            <w:r w:rsidRPr="00E70F7D">
              <w:t>0.1</w:t>
            </w:r>
            <w:r>
              <w:t>%</w:t>
            </w:r>
          </w:p>
        </w:tc>
        <w:tc>
          <w:tcPr>
            <w:tcW w:w="1238" w:type="dxa"/>
            <w:tcBorders>
              <w:left w:val="single" w:sz="4" w:space="0" w:color="auto"/>
              <w:bottom w:val="nil"/>
              <w:right w:val="nil"/>
            </w:tcBorders>
          </w:tcPr>
          <w:p w:rsidR="00883552" w:rsidRDefault="00883552" w:rsidP="00883552">
            <w:pPr>
              <w:pStyle w:val="Tabletextright"/>
              <w:keepNext/>
            </w:pPr>
            <w:r w:rsidRPr="00E426B4">
              <w:rPr>
                <w:color w:val="943634"/>
              </w:rPr>
              <w:t>▲</w:t>
            </w:r>
            <w:r>
              <w:rPr>
                <w:color w:val="F79646"/>
              </w:rPr>
              <w:t xml:space="preserve"> </w:t>
            </w:r>
            <w:r w:rsidRPr="0099568D">
              <w:t>9.7</w:t>
            </w:r>
            <w:r>
              <w:t>%</w:t>
            </w:r>
          </w:p>
        </w:tc>
        <w:tc>
          <w:tcPr>
            <w:tcW w:w="1238" w:type="dxa"/>
            <w:tcBorders>
              <w:left w:val="nil"/>
              <w:bottom w:val="nil"/>
              <w:right w:val="nil"/>
            </w:tcBorders>
          </w:tcPr>
          <w:p w:rsidR="00883552" w:rsidRDefault="00883552" w:rsidP="00883552">
            <w:pPr>
              <w:pStyle w:val="Tabletextright"/>
              <w:keepNext/>
            </w:pPr>
            <w:r w:rsidRPr="00E426B4">
              <w:rPr>
                <w:color w:val="943634"/>
              </w:rPr>
              <w:t>▲</w:t>
            </w:r>
            <w:r>
              <w:rPr>
                <w:color w:val="F79646"/>
              </w:rPr>
              <w:t xml:space="preserve"> </w:t>
            </w:r>
            <w:r w:rsidRPr="0099568D">
              <w:t>4.2%</w:t>
            </w:r>
          </w:p>
        </w:tc>
        <w:tc>
          <w:tcPr>
            <w:tcW w:w="1238" w:type="dxa"/>
            <w:tcBorders>
              <w:left w:val="nil"/>
              <w:bottom w:val="nil"/>
              <w:right w:val="nil"/>
            </w:tcBorders>
          </w:tcPr>
          <w:p w:rsidR="00883552" w:rsidRDefault="00883552" w:rsidP="00883552">
            <w:pPr>
              <w:pStyle w:val="Tabletextright"/>
              <w:keepNext/>
            </w:pPr>
            <w:r w:rsidRPr="00E426B4">
              <w:rPr>
                <w:color w:val="943634"/>
              </w:rPr>
              <w:t>▲</w:t>
            </w:r>
            <w:r>
              <w:rPr>
                <w:color w:val="F79646"/>
              </w:rPr>
              <w:t xml:space="preserve"> </w:t>
            </w:r>
            <w:r w:rsidRPr="0099568D">
              <w:t>1.8%</w:t>
            </w:r>
          </w:p>
        </w:tc>
      </w:tr>
      <w:tr w:rsidR="00883552" w:rsidTr="00883552">
        <w:tc>
          <w:tcPr>
            <w:tcW w:w="1237" w:type="dxa"/>
            <w:tcBorders>
              <w:top w:val="nil"/>
              <w:left w:val="nil"/>
              <w:bottom w:val="nil"/>
              <w:right w:val="nil"/>
            </w:tcBorders>
          </w:tcPr>
          <w:p w:rsidR="00883552" w:rsidRDefault="00883552" w:rsidP="00883552">
            <w:pPr>
              <w:pStyle w:val="Tabletextleft"/>
              <w:keepNext/>
            </w:pPr>
            <w:r>
              <w:t>Melbourne</w:t>
            </w:r>
          </w:p>
        </w:tc>
        <w:tc>
          <w:tcPr>
            <w:tcW w:w="1237" w:type="dxa"/>
            <w:tcBorders>
              <w:top w:val="nil"/>
              <w:left w:val="nil"/>
              <w:bottom w:val="nil"/>
              <w:right w:val="nil"/>
            </w:tcBorders>
          </w:tcPr>
          <w:p w:rsidR="00883552" w:rsidRDefault="00883552" w:rsidP="00883552">
            <w:pPr>
              <w:pStyle w:val="Tabletextright"/>
              <w:keepNext/>
            </w:pPr>
            <w:r w:rsidRPr="00E426B4">
              <w:rPr>
                <w:color w:val="F79646"/>
              </w:rPr>
              <w:t>▼</w:t>
            </w:r>
            <w:r>
              <w:rPr>
                <w:color w:val="943634"/>
              </w:rPr>
              <w:t xml:space="preserve"> </w:t>
            </w:r>
            <w:r w:rsidRPr="0099568D">
              <w:t>1.</w:t>
            </w:r>
            <w:r>
              <w:t>7%</w:t>
            </w:r>
          </w:p>
        </w:tc>
        <w:tc>
          <w:tcPr>
            <w:tcW w:w="1238" w:type="dxa"/>
            <w:tcBorders>
              <w:top w:val="nil"/>
              <w:left w:val="nil"/>
              <w:bottom w:val="nil"/>
              <w:right w:val="nil"/>
            </w:tcBorders>
          </w:tcPr>
          <w:p w:rsidR="00883552" w:rsidRDefault="00883552" w:rsidP="00883552">
            <w:pPr>
              <w:pStyle w:val="Tabletextright"/>
              <w:keepNext/>
            </w:pPr>
            <w:r w:rsidRPr="00E426B4">
              <w:rPr>
                <w:color w:val="943634"/>
              </w:rPr>
              <w:t>▲</w:t>
            </w:r>
            <w:r>
              <w:rPr>
                <w:color w:val="F79646"/>
              </w:rPr>
              <w:t xml:space="preserve"> </w:t>
            </w:r>
            <w:r w:rsidRPr="0099568D">
              <w:t>1.8%</w:t>
            </w:r>
          </w:p>
        </w:tc>
        <w:tc>
          <w:tcPr>
            <w:tcW w:w="1238" w:type="dxa"/>
            <w:tcBorders>
              <w:top w:val="nil"/>
              <w:left w:val="nil"/>
              <w:bottom w:val="nil"/>
              <w:right w:val="single" w:sz="4" w:space="0" w:color="auto"/>
            </w:tcBorders>
          </w:tcPr>
          <w:p w:rsidR="00883552" w:rsidRDefault="00883552" w:rsidP="00883552">
            <w:pPr>
              <w:pStyle w:val="Tabletextright"/>
              <w:keepNext/>
            </w:pPr>
            <w:r w:rsidRPr="00F62327">
              <w:rPr>
                <w:color w:val="943634"/>
              </w:rPr>
              <w:t>▲</w:t>
            </w:r>
            <w:r w:rsidRPr="00F62327">
              <w:rPr>
                <w:color w:val="F79646"/>
              </w:rPr>
              <w:t xml:space="preserve"> </w:t>
            </w:r>
            <w:r w:rsidRPr="00F62327">
              <w:t>0.1%</w:t>
            </w:r>
          </w:p>
        </w:tc>
        <w:tc>
          <w:tcPr>
            <w:tcW w:w="1238" w:type="dxa"/>
            <w:tcBorders>
              <w:top w:val="nil"/>
              <w:left w:val="single" w:sz="4" w:space="0" w:color="auto"/>
              <w:bottom w:val="nil"/>
              <w:right w:val="nil"/>
            </w:tcBorders>
          </w:tcPr>
          <w:p w:rsidR="00883552" w:rsidRDefault="00883552" w:rsidP="00883552">
            <w:pPr>
              <w:pStyle w:val="Tabletextright"/>
              <w:keepNext/>
            </w:pPr>
            <w:r w:rsidRPr="00E426B4">
              <w:rPr>
                <w:color w:val="F79646"/>
              </w:rPr>
              <w:t>▼</w:t>
            </w:r>
            <w:r>
              <w:rPr>
                <w:color w:val="943634"/>
              </w:rPr>
              <w:t xml:space="preserve"> </w:t>
            </w:r>
            <w:r w:rsidRPr="0099568D">
              <w:t>1.7%</w:t>
            </w:r>
          </w:p>
        </w:tc>
        <w:tc>
          <w:tcPr>
            <w:tcW w:w="1238" w:type="dxa"/>
            <w:tcBorders>
              <w:top w:val="nil"/>
              <w:left w:val="nil"/>
              <w:bottom w:val="nil"/>
              <w:right w:val="nil"/>
            </w:tcBorders>
          </w:tcPr>
          <w:p w:rsidR="00883552" w:rsidRDefault="00883552" w:rsidP="00883552">
            <w:pPr>
              <w:pStyle w:val="Tabletextright"/>
              <w:keepNext/>
            </w:pPr>
            <w:r w:rsidRPr="00E426B4">
              <w:rPr>
                <w:color w:val="F79646"/>
              </w:rPr>
              <w:t>▼</w:t>
            </w:r>
            <w:r>
              <w:rPr>
                <w:color w:val="F79646"/>
              </w:rPr>
              <w:t xml:space="preserve"> </w:t>
            </w:r>
            <w:r w:rsidRPr="0099568D">
              <w:t>1.7%</w:t>
            </w:r>
          </w:p>
        </w:tc>
        <w:tc>
          <w:tcPr>
            <w:tcW w:w="1238" w:type="dxa"/>
            <w:tcBorders>
              <w:top w:val="nil"/>
              <w:left w:val="nil"/>
              <w:bottom w:val="nil"/>
              <w:right w:val="nil"/>
            </w:tcBorders>
          </w:tcPr>
          <w:p w:rsidR="00883552" w:rsidRDefault="00883552" w:rsidP="00883552">
            <w:pPr>
              <w:pStyle w:val="Tabletextright"/>
              <w:keepNext/>
            </w:pPr>
            <w:r w:rsidRPr="00E426B4">
              <w:rPr>
                <w:color w:val="F79646"/>
              </w:rPr>
              <w:t>▼</w:t>
            </w:r>
            <w:r>
              <w:rPr>
                <w:color w:val="943634"/>
              </w:rPr>
              <w:t xml:space="preserve"> </w:t>
            </w:r>
            <w:r w:rsidRPr="0099568D">
              <w:t>1.7%</w:t>
            </w:r>
          </w:p>
        </w:tc>
      </w:tr>
      <w:tr w:rsidR="00883552" w:rsidTr="00883552">
        <w:tc>
          <w:tcPr>
            <w:tcW w:w="1237" w:type="dxa"/>
            <w:tcBorders>
              <w:top w:val="nil"/>
              <w:left w:val="nil"/>
              <w:bottom w:val="nil"/>
              <w:right w:val="nil"/>
            </w:tcBorders>
          </w:tcPr>
          <w:p w:rsidR="00883552" w:rsidRDefault="00883552" w:rsidP="00883552">
            <w:pPr>
              <w:pStyle w:val="Tabletextleft"/>
              <w:keepNext/>
            </w:pPr>
            <w:r>
              <w:t>Perth</w:t>
            </w:r>
          </w:p>
        </w:tc>
        <w:tc>
          <w:tcPr>
            <w:tcW w:w="1237" w:type="dxa"/>
            <w:tcBorders>
              <w:top w:val="nil"/>
              <w:left w:val="nil"/>
              <w:bottom w:val="nil"/>
              <w:right w:val="nil"/>
            </w:tcBorders>
          </w:tcPr>
          <w:p w:rsidR="00883552" w:rsidRDefault="00883552" w:rsidP="00883552">
            <w:pPr>
              <w:pStyle w:val="Tabletextright"/>
              <w:keepNext/>
            </w:pPr>
            <w:r w:rsidRPr="00E426B4">
              <w:rPr>
                <w:color w:val="943634"/>
              </w:rPr>
              <w:t>▲</w:t>
            </w:r>
            <w:r>
              <w:rPr>
                <w:color w:val="943634"/>
              </w:rPr>
              <w:t xml:space="preserve"> </w:t>
            </w:r>
            <w:r w:rsidRPr="0099568D">
              <w:t>4.5</w:t>
            </w:r>
            <w:r>
              <w:t>%</w:t>
            </w:r>
          </w:p>
        </w:tc>
        <w:tc>
          <w:tcPr>
            <w:tcW w:w="1238" w:type="dxa"/>
            <w:tcBorders>
              <w:top w:val="nil"/>
              <w:left w:val="nil"/>
              <w:bottom w:val="nil"/>
              <w:right w:val="nil"/>
            </w:tcBorders>
          </w:tcPr>
          <w:p w:rsidR="00883552" w:rsidRDefault="00883552" w:rsidP="00883552">
            <w:pPr>
              <w:pStyle w:val="Tabletextright"/>
              <w:keepNext/>
            </w:pPr>
            <w:r w:rsidRPr="00E426B4">
              <w:rPr>
                <w:color w:val="943634"/>
              </w:rPr>
              <w:t>▲</w:t>
            </w:r>
            <w:r>
              <w:rPr>
                <w:color w:val="943634"/>
              </w:rPr>
              <w:t xml:space="preserve"> </w:t>
            </w:r>
            <w:r w:rsidRPr="0099568D">
              <w:t>1.8</w:t>
            </w:r>
            <w:r>
              <w:t>%</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rsidRPr="0099568D">
              <w:t>2.4</w:t>
            </w:r>
            <w:r>
              <w:t>%</w:t>
            </w:r>
          </w:p>
        </w:tc>
        <w:tc>
          <w:tcPr>
            <w:tcW w:w="1238" w:type="dxa"/>
            <w:tcBorders>
              <w:top w:val="nil"/>
              <w:left w:val="single" w:sz="4" w:space="0" w:color="auto"/>
              <w:bottom w:val="nil"/>
              <w:right w:val="nil"/>
            </w:tcBorders>
          </w:tcPr>
          <w:p w:rsidR="00883552" w:rsidRDefault="00883552" w:rsidP="00883552">
            <w:pPr>
              <w:pStyle w:val="Tabletextright"/>
              <w:keepNext/>
            </w:pPr>
            <w:r w:rsidRPr="00E426B4">
              <w:rPr>
                <w:color w:val="943634"/>
              </w:rPr>
              <w:t>▲</w:t>
            </w:r>
            <w:r>
              <w:rPr>
                <w:color w:val="F79646"/>
              </w:rPr>
              <w:t xml:space="preserve"> </w:t>
            </w:r>
            <w:r w:rsidRPr="0099568D">
              <w:t>13.1</w:t>
            </w:r>
            <w:r>
              <w:t>%</w:t>
            </w:r>
          </w:p>
        </w:tc>
        <w:tc>
          <w:tcPr>
            <w:tcW w:w="1238" w:type="dxa"/>
            <w:tcBorders>
              <w:top w:val="nil"/>
              <w:left w:val="nil"/>
              <w:bottom w:val="nil"/>
              <w:right w:val="nil"/>
            </w:tcBorders>
          </w:tcPr>
          <w:p w:rsidR="00883552" w:rsidRDefault="00883552" w:rsidP="00883552">
            <w:pPr>
              <w:pStyle w:val="Tabletextright"/>
              <w:keepNext/>
            </w:pPr>
            <w:r w:rsidRPr="00E426B4">
              <w:rPr>
                <w:color w:val="943634"/>
              </w:rPr>
              <w:t>▲</w:t>
            </w:r>
            <w:r>
              <w:rPr>
                <w:color w:val="943634"/>
              </w:rPr>
              <w:t xml:space="preserve"> </w:t>
            </w:r>
            <w:r w:rsidRPr="0099568D">
              <w:t>9.8</w:t>
            </w:r>
            <w:r>
              <w:t>%</w:t>
            </w:r>
          </w:p>
        </w:tc>
        <w:tc>
          <w:tcPr>
            <w:tcW w:w="1238" w:type="dxa"/>
            <w:tcBorders>
              <w:top w:val="nil"/>
              <w:left w:val="nil"/>
              <w:bottom w:val="nil"/>
              <w:right w:val="nil"/>
            </w:tcBorders>
          </w:tcPr>
          <w:p w:rsidR="00883552" w:rsidRDefault="00883552" w:rsidP="00883552">
            <w:pPr>
              <w:pStyle w:val="Tabletextright"/>
              <w:keepNext/>
            </w:pPr>
            <w:r w:rsidRPr="00E426B4">
              <w:rPr>
                <w:color w:val="943634"/>
              </w:rPr>
              <w:t>▲</w:t>
            </w:r>
            <w:r>
              <w:rPr>
                <w:color w:val="943634"/>
              </w:rPr>
              <w:t xml:space="preserve"> </w:t>
            </w:r>
            <w:r w:rsidRPr="0099568D">
              <w:t>4.9</w:t>
            </w:r>
            <w:r>
              <w:t>%</w:t>
            </w:r>
          </w:p>
        </w:tc>
      </w:tr>
      <w:tr w:rsidR="00883552" w:rsidTr="00883552">
        <w:tc>
          <w:tcPr>
            <w:tcW w:w="1237" w:type="dxa"/>
            <w:tcBorders>
              <w:top w:val="nil"/>
              <w:left w:val="nil"/>
              <w:right w:val="nil"/>
            </w:tcBorders>
          </w:tcPr>
          <w:p w:rsidR="00883552" w:rsidRDefault="00883552" w:rsidP="00883552">
            <w:pPr>
              <w:pStyle w:val="Tabletextleft"/>
              <w:keepNext/>
            </w:pPr>
            <w:r>
              <w:t>Sydney</w:t>
            </w:r>
          </w:p>
        </w:tc>
        <w:tc>
          <w:tcPr>
            <w:tcW w:w="1237" w:type="dxa"/>
            <w:tcBorders>
              <w:top w:val="nil"/>
              <w:left w:val="nil"/>
              <w:right w:val="nil"/>
            </w:tcBorders>
          </w:tcPr>
          <w:p w:rsidR="00883552" w:rsidRDefault="00883552" w:rsidP="00883552">
            <w:pPr>
              <w:pStyle w:val="Tabletextright"/>
              <w:keepNext/>
            </w:pPr>
            <w:r w:rsidRPr="00E426B4">
              <w:rPr>
                <w:color w:val="F79646"/>
              </w:rPr>
              <w:t>▼</w:t>
            </w:r>
            <w:r>
              <w:rPr>
                <w:color w:val="F79646"/>
              </w:rPr>
              <w:t xml:space="preserve"> </w:t>
            </w:r>
            <w:r w:rsidRPr="0099568D">
              <w:t>1.</w:t>
            </w:r>
            <w:r>
              <w:t>7%</w:t>
            </w:r>
          </w:p>
        </w:tc>
        <w:tc>
          <w:tcPr>
            <w:tcW w:w="1238" w:type="dxa"/>
            <w:tcBorders>
              <w:top w:val="nil"/>
              <w:left w:val="nil"/>
              <w:right w:val="nil"/>
            </w:tcBorders>
          </w:tcPr>
          <w:p w:rsidR="00883552" w:rsidRDefault="00883552" w:rsidP="00883552">
            <w:pPr>
              <w:pStyle w:val="Tabletextright"/>
              <w:keepNext/>
            </w:pPr>
            <w:r w:rsidRPr="00E426B4">
              <w:rPr>
                <w:color w:val="943634"/>
              </w:rPr>
              <w:t>▲</w:t>
            </w:r>
            <w:r>
              <w:rPr>
                <w:color w:val="F79646"/>
              </w:rPr>
              <w:t xml:space="preserve"> </w:t>
            </w:r>
            <w:r w:rsidRPr="0099568D">
              <w:t>1.4</w:t>
            </w:r>
            <w:r>
              <w:t>%</w:t>
            </w:r>
          </w:p>
        </w:tc>
        <w:tc>
          <w:tcPr>
            <w:tcW w:w="1238" w:type="dxa"/>
            <w:tcBorders>
              <w:top w:val="nil"/>
              <w:left w:val="nil"/>
              <w:right w:val="single" w:sz="4" w:space="0" w:color="auto"/>
            </w:tcBorders>
          </w:tcPr>
          <w:p w:rsidR="00883552" w:rsidRDefault="00883552" w:rsidP="00883552">
            <w:pPr>
              <w:pStyle w:val="Tabletextright"/>
              <w:keepNext/>
            </w:pPr>
            <w:r w:rsidRPr="00E426B4">
              <w:rPr>
                <w:color w:val="943634"/>
              </w:rPr>
              <w:t>▲</w:t>
            </w:r>
            <w:r>
              <w:rPr>
                <w:color w:val="F79646"/>
              </w:rPr>
              <w:t xml:space="preserve"> </w:t>
            </w:r>
            <w:r>
              <w:t>0.9%</w:t>
            </w:r>
          </w:p>
        </w:tc>
        <w:tc>
          <w:tcPr>
            <w:tcW w:w="1238" w:type="dxa"/>
            <w:tcBorders>
              <w:top w:val="nil"/>
              <w:left w:val="single" w:sz="4" w:space="0" w:color="auto"/>
              <w:right w:val="nil"/>
            </w:tcBorders>
          </w:tcPr>
          <w:p w:rsidR="00883552" w:rsidRDefault="00883552" w:rsidP="00883552">
            <w:pPr>
              <w:pStyle w:val="Tabletextright"/>
              <w:keepNext/>
            </w:pPr>
            <w:r w:rsidRPr="00E426B4">
              <w:rPr>
                <w:color w:val="943634"/>
              </w:rPr>
              <w:t>▲</w:t>
            </w:r>
            <w:r>
              <w:rPr>
                <w:color w:val="943634"/>
              </w:rPr>
              <w:t xml:space="preserve"> </w:t>
            </w:r>
            <w:r w:rsidRPr="0099568D">
              <w:t>5.3</w:t>
            </w:r>
            <w:r>
              <w:t>%</w:t>
            </w:r>
          </w:p>
        </w:tc>
        <w:tc>
          <w:tcPr>
            <w:tcW w:w="1238" w:type="dxa"/>
            <w:tcBorders>
              <w:top w:val="nil"/>
              <w:left w:val="nil"/>
              <w:right w:val="nil"/>
            </w:tcBorders>
          </w:tcPr>
          <w:p w:rsidR="00883552" w:rsidRDefault="00883552" w:rsidP="00883552">
            <w:pPr>
              <w:pStyle w:val="Tabletextright"/>
              <w:keepNext/>
            </w:pPr>
            <w:r w:rsidRPr="00E426B4">
              <w:rPr>
                <w:color w:val="F79646"/>
              </w:rPr>
              <w:t>▼</w:t>
            </w:r>
            <w:r>
              <w:rPr>
                <w:color w:val="F79646"/>
              </w:rPr>
              <w:t xml:space="preserve"> </w:t>
            </w:r>
            <w:r w:rsidRPr="0099568D">
              <w:t>1.7%</w:t>
            </w:r>
          </w:p>
        </w:tc>
        <w:tc>
          <w:tcPr>
            <w:tcW w:w="1238" w:type="dxa"/>
            <w:tcBorders>
              <w:top w:val="nil"/>
              <w:left w:val="nil"/>
              <w:right w:val="nil"/>
            </w:tcBorders>
          </w:tcPr>
          <w:p w:rsidR="00883552" w:rsidRDefault="00883552" w:rsidP="00883552">
            <w:pPr>
              <w:pStyle w:val="Tabletextright"/>
              <w:keepNext/>
            </w:pPr>
            <w:r w:rsidRPr="00E426B4">
              <w:rPr>
                <w:color w:val="F79646"/>
              </w:rPr>
              <w:t>▼</w:t>
            </w:r>
            <w:r>
              <w:rPr>
                <w:color w:val="F79646"/>
              </w:rPr>
              <w:t xml:space="preserve"> </w:t>
            </w:r>
            <w:r w:rsidRPr="0099568D">
              <w:t>1.7%</w:t>
            </w:r>
          </w:p>
        </w:tc>
      </w:tr>
    </w:tbl>
    <w:p w:rsidR="00883552" w:rsidRDefault="00883552" w:rsidP="00861426">
      <w:pPr>
        <w:pStyle w:val="Sourceandnotes"/>
      </w:pPr>
      <w:r>
        <w:t>Note:</w:t>
      </w:r>
      <w:r>
        <w:tab/>
        <w:t>Real values in 2014</w:t>
      </w:r>
      <w:r>
        <w:noBreakHyphen/>
        <w:t>15 dollars</w:t>
      </w:r>
    </w:p>
    <w:p w:rsidR="00883552" w:rsidRDefault="00883552" w:rsidP="00883552">
      <w:pPr>
        <w:keepNext/>
      </w:pPr>
      <w:r w:rsidRPr="001317DD">
        <w:t xml:space="preserve">The majority of price durations for </w:t>
      </w:r>
      <w:r>
        <w:t>short-term</w:t>
      </w:r>
      <w:r w:rsidRPr="001317DD">
        <w:t xml:space="preserve"> parking increased across the monitored airports, with the largest occurring for one hour parking at Brisbane Airport (5.3 per cent in real terms). However, there was a decrease of </w:t>
      </w:r>
      <w:r>
        <w:t>1.7</w:t>
      </w:r>
      <w:r w:rsidRPr="001317DD">
        <w:t xml:space="preserve"> per cent in real terms for Brisbane Airport’s </w:t>
      </w:r>
      <w:r>
        <w:t>3</w:t>
      </w:r>
      <w:r w:rsidRPr="001317DD">
        <w:t xml:space="preserve"> hour </w:t>
      </w:r>
      <w:r>
        <w:t>short</w:t>
      </w:r>
      <w:r>
        <w:noBreakHyphen/>
        <w:t>term</w:t>
      </w:r>
      <w:r w:rsidRPr="001317DD">
        <w:t xml:space="preserve"> parking. Both Brisbane and Perth airports increased all </w:t>
      </w:r>
      <w:r>
        <w:t>long-term</w:t>
      </w:r>
      <w:r w:rsidRPr="001317DD">
        <w:t xml:space="preserve"> price durations presented in Table 1.7.4. Melbourne Airport left its </w:t>
      </w:r>
      <w:r>
        <w:t>long-term</w:t>
      </w:r>
      <w:r w:rsidRPr="001317DD">
        <w:t xml:space="preserve"> price durations unchanged in nominal terms.</w:t>
      </w:r>
    </w:p>
    <w:p w:rsidR="00883552" w:rsidRPr="00063E6D" w:rsidRDefault="00883552" w:rsidP="00883552">
      <w:pPr>
        <w:keepNext/>
        <w:spacing w:before="120"/>
        <w:ind w:left="720" w:hanging="720"/>
        <w:contextualSpacing/>
        <w:rPr>
          <w:sz w:val="16"/>
          <w:szCs w:val="16"/>
        </w:rPr>
      </w:pPr>
    </w:p>
    <w:tbl>
      <w:tblPr>
        <w:tblStyle w:val="ACCCTable1"/>
        <w:tblW w:w="5000" w:type="pct"/>
        <w:jc w:val="center"/>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shd w:val="clear" w:color="auto" w:fill="DEE9EE"/>
        <w:tblLook w:val="04A0" w:firstRow="1" w:lastRow="0" w:firstColumn="1" w:lastColumn="0" w:noHBand="0" w:noVBand="1"/>
      </w:tblPr>
      <w:tblGrid>
        <w:gridCol w:w="8664"/>
      </w:tblGrid>
      <w:tr w:rsidR="00883552" w:rsidRPr="00063E6D" w:rsidTr="00883552">
        <w:trPr>
          <w:jc w:val="center"/>
        </w:trPr>
        <w:tc>
          <w:tcPr>
            <w:tcW w:w="5000" w:type="pct"/>
            <w:shd w:val="clear" w:color="auto" w:fill="DEE9EE"/>
          </w:tcPr>
          <w:p w:rsidR="00883552" w:rsidRPr="00B659D0" w:rsidRDefault="00883552" w:rsidP="00883552">
            <w:pPr>
              <w:keepNext/>
              <w:tabs>
                <w:tab w:val="left" w:pos="1037"/>
              </w:tabs>
              <w:spacing w:before="60"/>
              <w:jc w:val="center"/>
              <w:rPr>
                <w:rFonts w:eastAsia="Arial" w:cs="Times New Roman"/>
                <w:b/>
                <w:bCs/>
                <w:i/>
                <w:color w:val="00276C"/>
                <w:sz w:val="18"/>
              </w:rPr>
            </w:pPr>
            <w:r w:rsidRPr="00B659D0">
              <w:rPr>
                <w:rFonts w:eastAsia="Arial" w:cs="Times New Roman"/>
                <w:b/>
                <w:bCs/>
                <w:i/>
                <w:color w:val="00276C"/>
                <w:sz w:val="22"/>
              </w:rPr>
              <w:t>Passengers starting to take advantage of airport online parking offers</w:t>
            </w:r>
          </w:p>
          <w:p w:rsidR="00883552" w:rsidRPr="00B659D0" w:rsidRDefault="00883552" w:rsidP="00883552">
            <w:pPr>
              <w:keepNext/>
              <w:spacing w:before="200"/>
              <w:rPr>
                <w:rFonts w:ascii="Lucida Fax" w:eastAsia="Times New Roman" w:hAnsi="Lucida Fax" w:cs="Times New Roman"/>
                <w:color w:val="00276C"/>
                <w:szCs w:val="20"/>
              </w:rPr>
            </w:pPr>
            <w:r w:rsidRPr="00B659D0">
              <w:rPr>
                <w:rFonts w:eastAsia="Arial" w:cs="Times New Roman"/>
                <w:bCs/>
                <w:color w:val="00276C"/>
                <w:szCs w:val="20"/>
              </w:rPr>
              <w:t>All monitored airports have over the past few years introduced online booking of car parking places. Data collected by the ACCC from three monitored airports</w:t>
            </w:r>
            <w:r>
              <w:rPr>
                <w:rStyle w:val="FootnoteReference"/>
                <w:rFonts w:eastAsia="Arial" w:cs="Times New Roman"/>
                <w:bCs/>
                <w:color w:val="00276C"/>
                <w:szCs w:val="20"/>
              </w:rPr>
              <w:footnoteReference w:id="43"/>
            </w:r>
            <w:r w:rsidRPr="00B659D0">
              <w:rPr>
                <w:rFonts w:eastAsia="Arial" w:cs="Times New Roman"/>
                <w:bCs/>
                <w:color w:val="00276C"/>
                <w:szCs w:val="20"/>
              </w:rPr>
              <w:t xml:space="preserve"> indicates that consumers have the potential to gain substantial savings through online bookings and particularly for longer term parking durations. </w:t>
            </w:r>
          </w:p>
          <w:p w:rsidR="00883552" w:rsidRDefault="00883552" w:rsidP="00883552">
            <w:pPr>
              <w:keepNext/>
              <w:spacing w:before="200"/>
              <w:rPr>
                <w:rFonts w:eastAsia="Arial" w:cs="Times New Roman"/>
                <w:bCs/>
                <w:color w:val="00276C"/>
                <w:szCs w:val="20"/>
              </w:rPr>
            </w:pPr>
            <w:r w:rsidRPr="00B659D0">
              <w:rPr>
                <w:rFonts w:eastAsia="Arial" w:cs="Times New Roman"/>
                <w:bCs/>
                <w:color w:val="00276C"/>
                <w:szCs w:val="20"/>
              </w:rPr>
              <w:t xml:space="preserve">Previous monitoring reports outlined the potential savings to consumers from online car parking offers but noted that the majority of car parking revenue was sourced from customers paying drive-up rates. However, this may be changing. For three of the monitored airports, online parking revenues have comprised the majority of revenue for selected </w:t>
            </w:r>
            <w:r>
              <w:rPr>
                <w:rFonts w:eastAsia="Arial" w:cs="Times New Roman"/>
                <w:bCs/>
                <w:color w:val="00276C"/>
                <w:szCs w:val="20"/>
              </w:rPr>
              <w:t>long-term</w:t>
            </w:r>
            <w:r w:rsidRPr="00B659D0">
              <w:rPr>
                <w:rFonts w:eastAsia="Arial" w:cs="Times New Roman"/>
                <w:bCs/>
                <w:color w:val="00276C"/>
                <w:szCs w:val="20"/>
              </w:rPr>
              <w:t xml:space="preserve"> parking durations.</w:t>
            </w:r>
          </w:p>
          <w:p w:rsidR="00883552" w:rsidRPr="008839C4" w:rsidRDefault="00883552" w:rsidP="00883552">
            <w:pPr>
              <w:keepNext/>
              <w:spacing w:before="200"/>
              <w:rPr>
                <w:rFonts w:eastAsia="Arial" w:cs="Times New Roman"/>
                <w:bCs/>
                <w:color w:val="00276C"/>
                <w:szCs w:val="20"/>
              </w:rPr>
            </w:pPr>
            <w:r w:rsidRPr="008839C4">
              <w:rPr>
                <w:rFonts w:eastAsia="Arial" w:cs="Times New Roman"/>
                <w:bCs/>
                <w:color w:val="00276C"/>
                <w:szCs w:val="20"/>
              </w:rPr>
              <w:t>Airports may be choosing to make discounts available as a form of price discrimination—price conscious consumers will book ahead to receive discounts online, while less price sensitive consumers will pay higher drive-up prices.</w:t>
            </w:r>
            <w:r>
              <w:rPr>
                <w:rFonts w:eastAsia="Arial" w:cs="Times New Roman"/>
                <w:bCs/>
                <w:color w:val="00276C"/>
                <w:szCs w:val="20"/>
              </w:rPr>
              <w:t xml:space="preserve"> These discounts may attract consumers that would otherwise have considered alternatives such as lifts from family and friends, public transport and off-airport carparks. The variable online pricing may also represent a way for the airports to manage periods of variable demand for a fixed number of carparks. </w:t>
            </w:r>
            <w:r w:rsidRPr="008839C4">
              <w:rPr>
                <w:rFonts w:eastAsia="Arial" w:cs="Times New Roman"/>
                <w:bCs/>
                <w:color w:val="00276C"/>
                <w:szCs w:val="20"/>
              </w:rPr>
              <w:t xml:space="preserve">  </w:t>
            </w:r>
          </w:p>
          <w:p w:rsidR="00883552" w:rsidRPr="00B659D0" w:rsidRDefault="00883552" w:rsidP="00883552">
            <w:pPr>
              <w:keepNext/>
              <w:spacing w:before="200"/>
              <w:rPr>
                <w:rFonts w:eastAsia="Arial" w:cs="Times New Roman"/>
                <w:color w:val="00276C"/>
                <w:szCs w:val="20"/>
              </w:rPr>
            </w:pPr>
            <w:r w:rsidRPr="00B659D0">
              <w:rPr>
                <w:rFonts w:eastAsia="Arial" w:cs="Times New Roman"/>
                <w:i/>
                <w:color w:val="00276C"/>
                <w:szCs w:val="20"/>
              </w:rPr>
              <w:t>Substantial discounts on offer</w:t>
            </w:r>
          </w:p>
          <w:p w:rsidR="00883552" w:rsidRPr="00B659D0" w:rsidRDefault="00883552" w:rsidP="00883552">
            <w:pPr>
              <w:keepNext/>
              <w:spacing w:before="200" w:after="0"/>
              <w:rPr>
                <w:rFonts w:eastAsia="Arial" w:cs="Times New Roman"/>
                <w:bCs/>
                <w:color w:val="00276C"/>
                <w:szCs w:val="20"/>
              </w:rPr>
            </w:pPr>
            <w:r w:rsidRPr="00B659D0">
              <w:rPr>
                <w:rFonts w:eastAsia="Arial" w:cs="Times New Roman"/>
                <w:bCs/>
                <w:color w:val="00276C"/>
                <w:szCs w:val="20"/>
              </w:rPr>
              <w:t>The online and average car parking price data provided for 2014-15 from three of the monitored airports highlights the substantial differences in prices paid between those who have booked online and those who have paid drive</w:t>
            </w:r>
            <w:r w:rsidRPr="00B659D0">
              <w:rPr>
                <w:rFonts w:eastAsia="Arial" w:cs="Times New Roman"/>
                <w:bCs/>
                <w:color w:val="00276C"/>
                <w:szCs w:val="20"/>
              </w:rPr>
              <w:noBreakHyphen/>
              <w:t xml:space="preserve">up prices. Online prices for </w:t>
            </w:r>
            <w:r>
              <w:rPr>
                <w:rFonts w:eastAsia="Arial" w:cs="Times New Roman"/>
                <w:bCs/>
                <w:color w:val="00276C"/>
                <w:szCs w:val="20"/>
              </w:rPr>
              <w:t>short-term</w:t>
            </w:r>
            <w:r w:rsidRPr="00B659D0">
              <w:rPr>
                <w:rFonts w:eastAsia="Arial" w:cs="Times New Roman"/>
                <w:bCs/>
                <w:color w:val="00276C"/>
                <w:szCs w:val="20"/>
              </w:rPr>
              <w:t xml:space="preserve"> durations were generally between 8.7 and 58.3 per cent cheaper than the corresponding drive</w:t>
            </w:r>
            <w:r w:rsidRPr="00B659D0">
              <w:rPr>
                <w:rFonts w:eastAsia="Arial" w:cs="Times New Roman"/>
                <w:bCs/>
                <w:color w:val="00276C"/>
                <w:szCs w:val="20"/>
              </w:rPr>
              <w:noBreakHyphen/>
              <w:t xml:space="preserve">up prices. The high use </w:t>
            </w:r>
            <w:r>
              <w:rPr>
                <w:rFonts w:eastAsia="Arial" w:cs="Times New Roman"/>
                <w:bCs/>
                <w:color w:val="00276C"/>
                <w:szCs w:val="20"/>
              </w:rPr>
              <w:t>short-term</w:t>
            </w:r>
            <w:r w:rsidRPr="00B659D0">
              <w:rPr>
                <w:rFonts w:eastAsia="Arial" w:cs="Times New Roman"/>
                <w:bCs/>
                <w:color w:val="00276C"/>
                <w:szCs w:val="20"/>
              </w:rPr>
              <w:t xml:space="preserve"> duration of 1 to 2 hours was between 26.5 and 37.5 per cent cheaper for online bookings rather than the drive</w:t>
            </w:r>
            <w:r w:rsidRPr="00B659D0">
              <w:rPr>
                <w:rFonts w:eastAsia="Arial" w:cs="Times New Roman"/>
                <w:bCs/>
                <w:color w:val="00276C"/>
                <w:szCs w:val="20"/>
              </w:rPr>
              <w:noBreakHyphen/>
              <w:t xml:space="preserve">up price.  </w:t>
            </w:r>
          </w:p>
          <w:p w:rsidR="00883552" w:rsidRPr="00B659D0" w:rsidRDefault="00883552" w:rsidP="00883552">
            <w:pPr>
              <w:keepNext/>
              <w:spacing w:before="200"/>
              <w:rPr>
                <w:rFonts w:eastAsia="Arial" w:cs="Times New Roman"/>
                <w:bCs/>
                <w:color w:val="00276C"/>
                <w:szCs w:val="20"/>
              </w:rPr>
            </w:pPr>
            <w:r w:rsidRPr="00B659D0">
              <w:rPr>
                <w:rFonts w:eastAsia="Arial" w:cs="Times New Roman"/>
                <w:bCs/>
                <w:color w:val="00276C"/>
                <w:szCs w:val="20"/>
              </w:rPr>
              <w:t xml:space="preserve">Online offers for </w:t>
            </w:r>
            <w:r>
              <w:rPr>
                <w:rFonts w:eastAsia="Arial" w:cs="Times New Roman"/>
                <w:bCs/>
                <w:color w:val="00276C"/>
                <w:szCs w:val="20"/>
              </w:rPr>
              <w:t>long-term</w:t>
            </w:r>
            <w:r w:rsidRPr="00B659D0">
              <w:rPr>
                <w:rFonts w:eastAsia="Arial" w:cs="Times New Roman"/>
                <w:bCs/>
                <w:color w:val="00276C"/>
                <w:szCs w:val="20"/>
              </w:rPr>
              <w:t xml:space="preserve"> car parks or durations greater than 24 hours provided even larger savings over drive</w:t>
            </w:r>
            <w:r w:rsidRPr="00B659D0">
              <w:rPr>
                <w:rFonts w:eastAsia="Arial" w:cs="Times New Roman"/>
                <w:bCs/>
                <w:color w:val="00276C"/>
                <w:szCs w:val="20"/>
              </w:rPr>
              <w:noBreakHyphen/>
              <w:t xml:space="preserve">up rates. The data provided for </w:t>
            </w:r>
            <w:r>
              <w:rPr>
                <w:rFonts w:eastAsia="Arial" w:cs="Times New Roman"/>
                <w:bCs/>
                <w:color w:val="00276C"/>
                <w:szCs w:val="20"/>
              </w:rPr>
              <w:t>long-term</w:t>
            </w:r>
            <w:r w:rsidRPr="00B659D0">
              <w:rPr>
                <w:rFonts w:eastAsia="Arial" w:cs="Times New Roman"/>
                <w:bCs/>
                <w:color w:val="00276C"/>
                <w:szCs w:val="20"/>
              </w:rPr>
              <w:t xml:space="preserve"> parking suggests that the longer the period </w:t>
            </w:r>
            <w:proofErr w:type="gramStart"/>
            <w:r w:rsidRPr="00B659D0">
              <w:rPr>
                <w:rFonts w:eastAsia="Arial" w:cs="Times New Roman"/>
                <w:bCs/>
                <w:color w:val="00276C"/>
                <w:szCs w:val="20"/>
              </w:rPr>
              <w:t>parked,</w:t>
            </w:r>
            <w:proofErr w:type="gramEnd"/>
            <w:r w:rsidRPr="00B659D0">
              <w:rPr>
                <w:rFonts w:eastAsia="Arial" w:cs="Times New Roman"/>
                <w:bCs/>
                <w:color w:val="00276C"/>
                <w:szCs w:val="20"/>
              </w:rPr>
              <w:t xml:space="preserve"> the greater the daily saving by booking online. Online prices for longer term </w:t>
            </w:r>
            <w:r w:rsidRPr="00B659D0">
              <w:rPr>
                <w:rFonts w:eastAsia="Arial" w:cs="Times New Roman"/>
                <w:bCs/>
                <w:color w:val="00276C"/>
                <w:szCs w:val="20"/>
              </w:rPr>
              <w:lastRenderedPageBreak/>
              <w:t>durations were between 13.1 to 66.5 per cent cheaper than the corresponding drive</w:t>
            </w:r>
            <w:r w:rsidRPr="00B659D0">
              <w:rPr>
                <w:rFonts w:eastAsia="Arial" w:cs="Times New Roman"/>
                <w:bCs/>
                <w:color w:val="00276C"/>
                <w:szCs w:val="20"/>
              </w:rPr>
              <w:noBreakHyphen/>
              <w:t xml:space="preserve">up equivalent. </w:t>
            </w:r>
          </w:p>
          <w:p w:rsidR="00883552" w:rsidRPr="00B659D0" w:rsidRDefault="00883552" w:rsidP="00883552">
            <w:pPr>
              <w:keepNext/>
              <w:spacing w:before="200"/>
              <w:rPr>
                <w:rFonts w:eastAsia="Arial" w:cs="Times New Roman"/>
                <w:i/>
                <w:color w:val="00276C"/>
                <w:szCs w:val="20"/>
              </w:rPr>
            </w:pPr>
            <w:r w:rsidRPr="00B659D0">
              <w:rPr>
                <w:rFonts w:eastAsia="Arial" w:cs="Times New Roman"/>
                <w:i/>
                <w:color w:val="00276C"/>
                <w:szCs w:val="20"/>
              </w:rPr>
              <w:t xml:space="preserve">Changing consumer preferences for some </w:t>
            </w:r>
            <w:r>
              <w:rPr>
                <w:rFonts w:eastAsia="Arial" w:cs="Times New Roman"/>
                <w:i/>
                <w:color w:val="00276C"/>
                <w:szCs w:val="20"/>
              </w:rPr>
              <w:t>long-term</w:t>
            </w:r>
            <w:r w:rsidRPr="00B659D0">
              <w:rPr>
                <w:rFonts w:eastAsia="Arial" w:cs="Times New Roman"/>
                <w:i/>
                <w:color w:val="00276C"/>
                <w:szCs w:val="20"/>
              </w:rPr>
              <w:t xml:space="preserve"> parking durations</w:t>
            </w:r>
          </w:p>
          <w:p w:rsidR="00883552" w:rsidRPr="00B659D0" w:rsidRDefault="00883552" w:rsidP="00883552">
            <w:pPr>
              <w:keepNext/>
              <w:spacing w:before="200" w:after="0"/>
              <w:rPr>
                <w:rFonts w:eastAsia="Arial" w:cs="Times New Roman"/>
                <w:bCs/>
                <w:color w:val="00276C"/>
                <w:szCs w:val="20"/>
              </w:rPr>
            </w:pPr>
            <w:r w:rsidRPr="00B659D0">
              <w:rPr>
                <w:rFonts w:eastAsia="Arial" w:cs="Times New Roman"/>
                <w:bCs/>
                <w:color w:val="00276C"/>
                <w:szCs w:val="20"/>
              </w:rPr>
              <w:t xml:space="preserve">Total car parking revenue for the participating airports show that around 28.3 per cent of this revenue was derived from online bookings during 2014-15. </w:t>
            </w:r>
          </w:p>
          <w:p w:rsidR="00883552" w:rsidRPr="00B659D0" w:rsidRDefault="00883552" w:rsidP="00883552">
            <w:pPr>
              <w:keepNext/>
              <w:spacing w:before="200" w:after="0"/>
              <w:rPr>
                <w:rFonts w:eastAsia="Arial" w:cs="Times New Roman"/>
                <w:bCs/>
                <w:color w:val="00276C"/>
                <w:szCs w:val="20"/>
              </w:rPr>
            </w:pPr>
            <w:r w:rsidRPr="00B659D0">
              <w:rPr>
                <w:rFonts w:eastAsia="Arial" w:cs="Times New Roman"/>
                <w:bCs/>
                <w:color w:val="00276C"/>
                <w:szCs w:val="20"/>
              </w:rPr>
              <w:t xml:space="preserve">However, consumers using </w:t>
            </w:r>
            <w:r>
              <w:rPr>
                <w:rFonts w:eastAsia="Arial" w:cs="Times New Roman"/>
                <w:bCs/>
                <w:color w:val="00276C"/>
                <w:szCs w:val="20"/>
              </w:rPr>
              <w:t>long-term</w:t>
            </w:r>
            <w:r w:rsidRPr="00B659D0">
              <w:rPr>
                <w:rFonts w:eastAsia="Arial" w:cs="Times New Roman"/>
                <w:bCs/>
                <w:color w:val="00276C"/>
                <w:szCs w:val="20"/>
              </w:rPr>
              <w:t xml:space="preserve"> car parking spaces of durations exceeding 5 to 7 days have a clear preference for online booking. For these durations, the volume of cars who have booked online to those who pay drive-up is double at some airports and substantially more at some other airports. More generally, the share of revenue from online bookings for </w:t>
            </w:r>
            <w:r>
              <w:rPr>
                <w:rFonts w:eastAsia="Arial" w:cs="Times New Roman"/>
                <w:bCs/>
                <w:color w:val="00276C"/>
                <w:szCs w:val="20"/>
              </w:rPr>
              <w:t>long-term</w:t>
            </w:r>
            <w:r w:rsidRPr="00B659D0">
              <w:rPr>
                <w:rFonts w:eastAsia="Arial" w:cs="Times New Roman"/>
                <w:bCs/>
                <w:color w:val="00276C"/>
                <w:szCs w:val="20"/>
              </w:rPr>
              <w:t xml:space="preserve"> car parking spaces (or for durations longer than 24 hours) was 40.7 per cent while the </w:t>
            </w:r>
            <w:r>
              <w:rPr>
                <w:rFonts w:eastAsia="Arial" w:cs="Times New Roman"/>
                <w:bCs/>
                <w:color w:val="00276C"/>
                <w:szCs w:val="20"/>
              </w:rPr>
              <w:t>short-term</w:t>
            </w:r>
            <w:r w:rsidRPr="00B659D0">
              <w:rPr>
                <w:rFonts w:eastAsia="Arial" w:cs="Times New Roman"/>
                <w:bCs/>
                <w:color w:val="00276C"/>
                <w:szCs w:val="20"/>
              </w:rPr>
              <w:t xml:space="preserve"> share was 3.4 per cent.   </w:t>
            </w:r>
          </w:p>
          <w:p w:rsidR="00883552" w:rsidRPr="00063E6D" w:rsidRDefault="00883552" w:rsidP="00883552">
            <w:pPr>
              <w:keepNext/>
              <w:spacing w:before="200"/>
            </w:pPr>
            <w:r w:rsidRPr="00B659D0">
              <w:rPr>
                <w:rFonts w:eastAsia="Arial" w:cs="Times New Roman"/>
                <w:bCs/>
                <w:color w:val="00276C"/>
                <w:szCs w:val="20"/>
              </w:rPr>
              <w:t xml:space="preserve">Consumer preferences for online booking of </w:t>
            </w:r>
            <w:r>
              <w:rPr>
                <w:rFonts w:eastAsia="Arial" w:cs="Times New Roman"/>
                <w:bCs/>
                <w:color w:val="00276C"/>
                <w:szCs w:val="20"/>
              </w:rPr>
              <w:t>long-term</w:t>
            </w:r>
            <w:r w:rsidRPr="00B659D0">
              <w:rPr>
                <w:rFonts w:eastAsia="Arial" w:cs="Times New Roman"/>
                <w:bCs/>
                <w:color w:val="00276C"/>
                <w:szCs w:val="20"/>
              </w:rPr>
              <w:t xml:space="preserve"> car parking may be related to the larger percentage and aggregate dollar savings of </w:t>
            </w:r>
            <w:r>
              <w:rPr>
                <w:rFonts w:eastAsia="Arial" w:cs="Times New Roman"/>
                <w:bCs/>
                <w:color w:val="00276C"/>
                <w:szCs w:val="20"/>
              </w:rPr>
              <w:t>long-term</w:t>
            </w:r>
            <w:r w:rsidRPr="00B659D0">
              <w:rPr>
                <w:rFonts w:eastAsia="Arial" w:cs="Times New Roman"/>
                <w:bCs/>
                <w:color w:val="00276C"/>
                <w:szCs w:val="20"/>
              </w:rPr>
              <w:t xml:space="preserve"> parking when compared to </w:t>
            </w:r>
            <w:r>
              <w:rPr>
                <w:rFonts w:eastAsia="Arial" w:cs="Times New Roman"/>
                <w:bCs/>
                <w:color w:val="00276C"/>
                <w:szCs w:val="20"/>
              </w:rPr>
              <w:t>short-term</w:t>
            </w:r>
            <w:r w:rsidRPr="00B659D0">
              <w:rPr>
                <w:rFonts w:eastAsia="Arial" w:cs="Times New Roman"/>
                <w:bCs/>
                <w:color w:val="00276C"/>
                <w:szCs w:val="20"/>
              </w:rPr>
              <w:t xml:space="preserve"> car parking. Other reasons include the need for consumers to be precise with their arrival and departure time in order to book online for </w:t>
            </w:r>
            <w:r>
              <w:rPr>
                <w:rFonts w:eastAsia="Arial" w:cs="Times New Roman"/>
                <w:bCs/>
                <w:color w:val="00276C"/>
                <w:szCs w:val="20"/>
              </w:rPr>
              <w:t>short-term</w:t>
            </w:r>
            <w:r w:rsidRPr="00B659D0">
              <w:rPr>
                <w:rFonts w:eastAsia="Arial" w:cs="Times New Roman"/>
                <w:bCs/>
                <w:color w:val="00276C"/>
                <w:szCs w:val="20"/>
              </w:rPr>
              <w:t xml:space="preserve"> parking, which can be made difficult by potential road congestion and the late arrival of planes. Other factors could also be related to the airports’ focus on </w:t>
            </w:r>
            <w:r>
              <w:rPr>
                <w:rFonts w:eastAsia="Arial" w:cs="Times New Roman"/>
                <w:bCs/>
                <w:color w:val="00276C"/>
                <w:szCs w:val="20"/>
              </w:rPr>
              <w:t>long-term</w:t>
            </w:r>
            <w:r w:rsidRPr="00B659D0">
              <w:rPr>
                <w:rFonts w:eastAsia="Arial" w:cs="Times New Roman"/>
                <w:bCs/>
                <w:color w:val="00276C"/>
                <w:szCs w:val="20"/>
              </w:rPr>
              <w:t xml:space="preserve"> deals on their websites.</w:t>
            </w:r>
          </w:p>
        </w:tc>
      </w:tr>
    </w:tbl>
    <w:p w:rsidR="00883552" w:rsidRDefault="00883552" w:rsidP="00883552">
      <w:pPr>
        <w:keepNext/>
      </w:pPr>
    </w:p>
    <w:p w:rsidR="00883552" w:rsidRDefault="00883552" w:rsidP="00883552">
      <w:pPr>
        <w:pStyle w:val="Numberedheading3"/>
        <w:tabs>
          <w:tab w:val="clear" w:pos="1384"/>
          <w:tab w:val="num" w:pos="993"/>
        </w:tabs>
        <w:ind w:left="993" w:hanging="993"/>
      </w:pPr>
      <w:r>
        <w:t>Car parking revenues, costs and profits</w:t>
      </w:r>
    </w:p>
    <w:p w:rsidR="00883552" w:rsidRDefault="00883552" w:rsidP="00883552">
      <w:pPr>
        <w:keepNext/>
      </w:pPr>
      <w:r>
        <w:t>Table 1.7.5 presents car parking revenues, operating expenses and operating margins in real terms for each of the monitored airports, as well as annual percentage changes for each of these indicators.</w:t>
      </w:r>
    </w:p>
    <w:p w:rsidR="00883552" w:rsidRDefault="00883552" w:rsidP="00883552">
      <w:pPr>
        <w:pStyle w:val="Numberedcharttitle"/>
      </w:pPr>
      <w:r>
        <w:t>Table 1.7.5:</w:t>
      </w:r>
      <w:r>
        <w:tab/>
        <w:t>Car parking revenue, operating expenses and aggregate margin</w:t>
      </w:r>
      <w:proofErr w:type="gramStart"/>
      <w:r>
        <w:t>:</w:t>
      </w:r>
      <w:proofErr w:type="gramEnd"/>
      <w:r>
        <w:br/>
        <w:t>2014</w:t>
      </w:r>
      <w:r>
        <w:noBreakHyphen/>
        <w:t>15, and percentage change from 2013</w:t>
      </w:r>
      <w:r>
        <w:noBreakHyphen/>
        <w:t>14 in real terms</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883552" w:rsidTr="00883552">
        <w:tc>
          <w:tcPr>
            <w:tcW w:w="1237" w:type="dxa"/>
            <w:tcBorders>
              <w:left w:val="nil"/>
              <w:bottom w:val="nil"/>
              <w:right w:val="nil"/>
            </w:tcBorders>
            <w:shd w:val="clear" w:color="auto" w:fill="DFE0DC"/>
          </w:tcPr>
          <w:p w:rsidR="00883552" w:rsidRDefault="00883552" w:rsidP="00883552">
            <w:pPr>
              <w:pStyle w:val="Tabletextheading"/>
              <w:keepNext/>
            </w:pPr>
            <w:r>
              <w:t>Airport</w:t>
            </w:r>
          </w:p>
        </w:tc>
        <w:tc>
          <w:tcPr>
            <w:tcW w:w="7427" w:type="dxa"/>
            <w:gridSpan w:val="6"/>
            <w:tcBorders>
              <w:left w:val="nil"/>
              <w:bottom w:val="nil"/>
              <w:right w:val="nil"/>
            </w:tcBorders>
            <w:shd w:val="clear" w:color="auto" w:fill="DFE0DC"/>
          </w:tcPr>
          <w:p w:rsidR="00883552" w:rsidRDefault="00883552" w:rsidP="00883552">
            <w:pPr>
              <w:pStyle w:val="Tabletextheadingcentre"/>
            </w:pPr>
            <w:r>
              <w:t>Car parking revenue, operating expenses and operating margin</w:t>
            </w:r>
          </w:p>
        </w:tc>
      </w:tr>
      <w:tr w:rsidR="00883552" w:rsidTr="00883552">
        <w:tc>
          <w:tcPr>
            <w:tcW w:w="1237" w:type="dxa"/>
            <w:tcBorders>
              <w:top w:val="nil"/>
              <w:left w:val="nil"/>
              <w:bottom w:val="single" w:sz="4" w:space="0" w:color="auto"/>
              <w:right w:val="nil"/>
            </w:tcBorders>
            <w:shd w:val="clear" w:color="auto" w:fill="DFE0DC"/>
          </w:tcPr>
          <w:p w:rsidR="00883552" w:rsidRDefault="00883552" w:rsidP="00883552">
            <w:pPr>
              <w:pStyle w:val="Tabletextleft"/>
              <w:keepNext/>
            </w:pPr>
          </w:p>
        </w:tc>
        <w:tc>
          <w:tcPr>
            <w:tcW w:w="1237" w:type="dxa"/>
            <w:tcBorders>
              <w:top w:val="nil"/>
              <w:left w:val="nil"/>
              <w:bottom w:val="single" w:sz="4" w:space="0" w:color="auto"/>
              <w:right w:val="nil"/>
            </w:tcBorders>
            <w:shd w:val="clear" w:color="auto" w:fill="DFE0DC"/>
          </w:tcPr>
          <w:p w:rsidR="00883552" w:rsidRDefault="00883552" w:rsidP="00883552">
            <w:pPr>
              <w:pStyle w:val="Tabletextheadingright"/>
              <w:keepNext/>
            </w:pPr>
            <w:r>
              <w:t>Revenue</w:t>
            </w:r>
            <w:r>
              <w:br/>
            </w:r>
            <w:r>
              <w:br/>
              <w:t>($million)</w:t>
            </w:r>
          </w:p>
        </w:tc>
        <w:tc>
          <w:tcPr>
            <w:tcW w:w="1238" w:type="dxa"/>
            <w:tcBorders>
              <w:top w:val="nil"/>
              <w:left w:val="nil"/>
              <w:bottom w:val="single" w:sz="4" w:space="0" w:color="auto"/>
              <w:right w:val="single" w:sz="4" w:space="0" w:color="auto"/>
            </w:tcBorders>
            <w:shd w:val="clear" w:color="auto" w:fill="DFE0DC"/>
          </w:tcPr>
          <w:p w:rsidR="00883552" w:rsidRDefault="00883552" w:rsidP="00883552">
            <w:pPr>
              <w:pStyle w:val="Tabletextheadingright"/>
              <w:keepNext/>
            </w:pPr>
            <w:r>
              <w:t xml:space="preserve">Percentage change </w:t>
            </w:r>
            <w:r>
              <w:br/>
              <w:t>(%)</w:t>
            </w:r>
          </w:p>
        </w:tc>
        <w:tc>
          <w:tcPr>
            <w:tcW w:w="1238" w:type="dxa"/>
            <w:tcBorders>
              <w:top w:val="nil"/>
              <w:left w:val="single" w:sz="4" w:space="0" w:color="auto"/>
              <w:bottom w:val="single" w:sz="4" w:space="0" w:color="auto"/>
              <w:right w:val="nil"/>
            </w:tcBorders>
            <w:shd w:val="clear" w:color="auto" w:fill="DFE0DC"/>
          </w:tcPr>
          <w:p w:rsidR="00883552" w:rsidRDefault="00883552" w:rsidP="00883552">
            <w:pPr>
              <w:pStyle w:val="Tabletextheadingright"/>
              <w:keepNext/>
            </w:pPr>
            <w:r>
              <w:t>Operating expenses</w:t>
            </w:r>
            <w:r>
              <w:br/>
              <w:t>($million)</w:t>
            </w:r>
          </w:p>
        </w:tc>
        <w:tc>
          <w:tcPr>
            <w:tcW w:w="1238" w:type="dxa"/>
            <w:tcBorders>
              <w:top w:val="nil"/>
              <w:left w:val="nil"/>
              <w:bottom w:val="single" w:sz="4" w:space="0" w:color="auto"/>
              <w:right w:val="single" w:sz="4" w:space="0" w:color="auto"/>
            </w:tcBorders>
            <w:shd w:val="clear" w:color="auto" w:fill="DFE0DC"/>
          </w:tcPr>
          <w:p w:rsidR="00883552" w:rsidRDefault="00883552" w:rsidP="00883552">
            <w:pPr>
              <w:pStyle w:val="Tabletextheadingright"/>
              <w:keepNext/>
            </w:pPr>
            <w:r>
              <w:t xml:space="preserve">Percentage </w:t>
            </w:r>
            <w:proofErr w:type="gramStart"/>
            <w:r>
              <w:t>change</w:t>
            </w:r>
            <w:proofErr w:type="gramEnd"/>
            <w:r>
              <w:br/>
              <w:t>(%)</w:t>
            </w:r>
          </w:p>
        </w:tc>
        <w:tc>
          <w:tcPr>
            <w:tcW w:w="1238" w:type="dxa"/>
            <w:tcBorders>
              <w:top w:val="nil"/>
              <w:left w:val="single" w:sz="4" w:space="0" w:color="auto"/>
              <w:bottom w:val="single" w:sz="4" w:space="0" w:color="auto"/>
              <w:right w:val="nil"/>
            </w:tcBorders>
            <w:shd w:val="clear" w:color="auto" w:fill="DFE0DC"/>
          </w:tcPr>
          <w:p w:rsidR="00883552" w:rsidRDefault="00883552" w:rsidP="00883552">
            <w:pPr>
              <w:pStyle w:val="Tabletextheadingright"/>
              <w:keepNext/>
            </w:pPr>
            <w:r>
              <w:t>Operating margin</w:t>
            </w:r>
            <w:r>
              <w:br/>
              <w:t>($million)</w:t>
            </w:r>
          </w:p>
        </w:tc>
        <w:tc>
          <w:tcPr>
            <w:tcW w:w="1238" w:type="dxa"/>
            <w:tcBorders>
              <w:top w:val="nil"/>
              <w:left w:val="nil"/>
              <w:bottom w:val="single" w:sz="4" w:space="0" w:color="auto"/>
              <w:right w:val="nil"/>
            </w:tcBorders>
            <w:shd w:val="clear" w:color="auto" w:fill="DFE0DC"/>
          </w:tcPr>
          <w:p w:rsidR="00883552" w:rsidRDefault="00883552" w:rsidP="00883552">
            <w:pPr>
              <w:pStyle w:val="Tabletextheadingright"/>
              <w:keepNext/>
            </w:pPr>
            <w:r>
              <w:t xml:space="preserve">Percentage </w:t>
            </w:r>
            <w:proofErr w:type="gramStart"/>
            <w:r>
              <w:t>change</w:t>
            </w:r>
            <w:proofErr w:type="gramEnd"/>
            <w:r>
              <w:br/>
              <w:t>(%)</w:t>
            </w:r>
          </w:p>
        </w:tc>
      </w:tr>
      <w:tr w:rsidR="00883552" w:rsidTr="00883552">
        <w:tc>
          <w:tcPr>
            <w:tcW w:w="1237" w:type="dxa"/>
            <w:tcBorders>
              <w:left w:val="nil"/>
              <w:bottom w:val="nil"/>
              <w:right w:val="nil"/>
            </w:tcBorders>
          </w:tcPr>
          <w:p w:rsidR="00883552" w:rsidRDefault="00883552" w:rsidP="00883552">
            <w:pPr>
              <w:pStyle w:val="Tabletextleft"/>
              <w:keepNext/>
            </w:pPr>
            <w:r>
              <w:t>Brisbane</w:t>
            </w:r>
          </w:p>
        </w:tc>
        <w:tc>
          <w:tcPr>
            <w:tcW w:w="1237" w:type="dxa"/>
            <w:tcBorders>
              <w:left w:val="nil"/>
              <w:bottom w:val="nil"/>
              <w:right w:val="nil"/>
            </w:tcBorders>
          </w:tcPr>
          <w:p w:rsidR="00883552" w:rsidRDefault="00883552" w:rsidP="00883552">
            <w:pPr>
              <w:pStyle w:val="Tabletextright"/>
              <w:keepNext/>
            </w:pPr>
            <w:r>
              <w:t>84.5</w:t>
            </w:r>
          </w:p>
        </w:tc>
        <w:tc>
          <w:tcPr>
            <w:tcW w:w="1238" w:type="dxa"/>
            <w:tcBorders>
              <w:left w:val="nil"/>
              <w:bottom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rsidRPr="00D33EA6">
              <w:t>4.6</w:t>
            </w:r>
          </w:p>
        </w:tc>
        <w:tc>
          <w:tcPr>
            <w:tcW w:w="1238" w:type="dxa"/>
            <w:tcBorders>
              <w:left w:val="single" w:sz="4" w:space="0" w:color="auto"/>
              <w:bottom w:val="nil"/>
              <w:right w:val="nil"/>
            </w:tcBorders>
          </w:tcPr>
          <w:p w:rsidR="00883552" w:rsidRDefault="00883552" w:rsidP="00883552">
            <w:pPr>
              <w:pStyle w:val="Tabletextright"/>
              <w:keepNext/>
            </w:pPr>
            <w:r>
              <w:t>27.7</w:t>
            </w:r>
          </w:p>
        </w:tc>
        <w:tc>
          <w:tcPr>
            <w:tcW w:w="1238" w:type="dxa"/>
            <w:tcBorders>
              <w:left w:val="nil"/>
              <w:bottom w:val="nil"/>
              <w:right w:val="single" w:sz="4" w:space="0" w:color="auto"/>
            </w:tcBorders>
          </w:tcPr>
          <w:p w:rsidR="00883552" w:rsidRDefault="00883552" w:rsidP="00883552">
            <w:pPr>
              <w:pStyle w:val="Tabletextright"/>
              <w:keepNext/>
            </w:pPr>
            <w:r w:rsidRPr="00E426B4">
              <w:rPr>
                <w:color w:val="F79646"/>
              </w:rPr>
              <w:t>▼</w:t>
            </w:r>
            <w:r>
              <w:rPr>
                <w:color w:val="943634"/>
              </w:rPr>
              <w:t xml:space="preserve"> 3</w:t>
            </w:r>
            <w:r w:rsidRPr="00D33EA6">
              <w:t>.</w:t>
            </w:r>
            <w:r>
              <w:t>9</w:t>
            </w:r>
          </w:p>
        </w:tc>
        <w:tc>
          <w:tcPr>
            <w:tcW w:w="1238" w:type="dxa"/>
            <w:tcBorders>
              <w:left w:val="single" w:sz="4" w:space="0" w:color="auto"/>
              <w:bottom w:val="nil"/>
              <w:right w:val="nil"/>
            </w:tcBorders>
          </w:tcPr>
          <w:p w:rsidR="00883552" w:rsidRDefault="00883552" w:rsidP="00883552">
            <w:pPr>
              <w:pStyle w:val="Tabletextright"/>
              <w:keepNext/>
            </w:pPr>
            <w:r>
              <w:t>56.8</w:t>
            </w:r>
          </w:p>
        </w:tc>
        <w:tc>
          <w:tcPr>
            <w:tcW w:w="1238" w:type="dxa"/>
            <w:tcBorders>
              <w:left w:val="nil"/>
              <w:bottom w:val="nil"/>
              <w:right w:val="nil"/>
            </w:tcBorders>
          </w:tcPr>
          <w:p w:rsidR="00883552" w:rsidRDefault="00883552" w:rsidP="00883552">
            <w:pPr>
              <w:pStyle w:val="Tabletextright"/>
              <w:keepNext/>
            </w:pPr>
            <w:r w:rsidRPr="00E426B4">
              <w:rPr>
                <w:color w:val="943634"/>
              </w:rPr>
              <w:t>▲</w:t>
            </w:r>
            <w:r>
              <w:rPr>
                <w:color w:val="943634"/>
              </w:rPr>
              <w:t xml:space="preserve"> </w:t>
            </w:r>
            <w:r w:rsidRPr="006074C1">
              <w:t>9.4</w:t>
            </w:r>
          </w:p>
        </w:tc>
      </w:tr>
      <w:tr w:rsidR="00883552" w:rsidTr="00883552">
        <w:tc>
          <w:tcPr>
            <w:tcW w:w="1237" w:type="dxa"/>
            <w:tcBorders>
              <w:top w:val="nil"/>
              <w:left w:val="nil"/>
              <w:bottom w:val="nil"/>
              <w:right w:val="nil"/>
            </w:tcBorders>
          </w:tcPr>
          <w:p w:rsidR="00883552" w:rsidRDefault="00883552" w:rsidP="00883552">
            <w:pPr>
              <w:pStyle w:val="Tabletextleft"/>
              <w:keepNext/>
            </w:pPr>
            <w:r>
              <w:t>Melbourne</w:t>
            </w:r>
          </w:p>
        </w:tc>
        <w:tc>
          <w:tcPr>
            <w:tcW w:w="1237" w:type="dxa"/>
            <w:tcBorders>
              <w:top w:val="nil"/>
              <w:left w:val="nil"/>
              <w:bottom w:val="nil"/>
              <w:right w:val="nil"/>
            </w:tcBorders>
          </w:tcPr>
          <w:p w:rsidR="00883552" w:rsidRDefault="00883552" w:rsidP="00883552">
            <w:pPr>
              <w:pStyle w:val="Tabletextright"/>
              <w:keepNext/>
            </w:pPr>
            <w:r>
              <w:t>147.0</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rsidRPr="00D33EA6">
              <w:t>14.</w:t>
            </w:r>
            <w:r>
              <w:t>8</w:t>
            </w:r>
          </w:p>
        </w:tc>
        <w:tc>
          <w:tcPr>
            <w:tcW w:w="1238" w:type="dxa"/>
            <w:tcBorders>
              <w:top w:val="nil"/>
              <w:left w:val="single" w:sz="4" w:space="0" w:color="auto"/>
              <w:bottom w:val="nil"/>
              <w:right w:val="nil"/>
            </w:tcBorders>
          </w:tcPr>
          <w:p w:rsidR="00883552" w:rsidRDefault="00883552" w:rsidP="00883552">
            <w:pPr>
              <w:pStyle w:val="Tabletextright"/>
              <w:keepNext/>
            </w:pPr>
            <w:r>
              <w:t>39.4</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F79646"/>
              </w:rPr>
              <w:t>▼</w:t>
            </w:r>
            <w:r>
              <w:rPr>
                <w:color w:val="943634"/>
              </w:rPr>
              <w:t xml:space="preserve"> </w:t>
            </w:r>
            <w:r w:rsidRPr="00D33EA6">
              <w:t>0.3</w:t>
            </w:r>
          </w:p>
        </w:tc>
        <w:tc>
          <w:tcPr>
            <w:tcW w:w="1238" w:type="dxa"/>
            <w:tcBorders>
              <w:top w:val="nil"/>
              <w:left w:val="single" w:sz="4" w:space="0" w:color="auto"/>
              <w:bottom w:val="nil"/>
              <w:right w:val="nil"/>
            </w:tcBorders>
          </w:tcPr>
          <w:p w:rsidR="00883552" w:rsidRDefault="00883552" w:rsidP="00883552">
            <w:pPr>
              <w:pStyle w:val="Tabletextright"/>
              <w:keepNext/>
            </w:pPr>
            <w:r>
              <w:t>107.6</w:t>
            </w:r>
          </w:p>
        </w:tc>
        <w:tc>
          <w:tcPr>
            <w:tcW w:w="1238" w:type="dxa"/>
            <w:tcBorders>
              <w:top w:val="nil"/>
              <w:left w:val="nil"/>
              <w:bottom w:val="nil"/>
              <w:right w:val="nil"/>
            </w:tcBorders>
          </w:tcPr>
          <w:p w:rsidR="00883552" w:rsidRPr="006074C1" w:rsidRDefault="00883552" w:rsidP="00883552">
            <w:pPr>
              <w:pStyle w:val="Tabletextright"/>
              <w:keepNext/>
            </w:pPr>
            <w:r w:rsidRPr="00E426B4">
              <w:rPr>
                <w:color w:val="943634"/>
              </w:rPr>
              <w:t>▲</w:t>
            </w:r>
            <w:r>
              <w:rPr>
                <w:color w:val="943634"/>
              </w:rPr>
              <w:t xml:space="preserve"> </w:t>
            </w:r>
            <w:r w:rsidRPr="006074C1">
              <w:t>21.6</w:t>
            </w:r>
          </w:p>
        </w:tc>
      </w:tr>
      <w:tr w:rsidR="00883552" w:rsidTr="00883552">
        <w:tc>
          <w:tcPr>
            <w:tcW w:w="1237" w:type="dxa"/>
            <w:tcBorders>
              <w:top w:val="nil"/>
              <w:left w:val="nil"/>
              <w:bottom w:val="nil"/>
              <w:right w:val="nil"/>
            </w:tcBorders>
          </w:tcPr>
          <w:p w:rsidR="00883552" w:rsidRDefault="00883552" w:rsidP="00883552">
            <w:pPr>
              <w:pStyle w:val="Tabletextleft"/>
              <w:keepNext/>
            </w:pPr>
            <w:r>
              <w:t>Perth</w:t>
            </w:r>
          </w:p>
        </w:tc>
        <w:tc>
          <w:tcPr>
            <w:tcW w:w="1237" w:type="dxa"/>
            <w:tcBorders>
              <w:top w:val="nil"/>
              <w:left w:val="nil"/>
              <w:bottom w:val="nil"/>
              <w:right w:val="nil"/>
            </w:tcBorders>
          </w:tcPr>
          <w:p w:rsidR="00883552" w:rsidRDefault="00883552" w:rsidP="00883552">
            <w:pPr>
              <w:pStyle w:val="Tabletextright"/>
              <w:keepNext/>
            </w:pPr>
            <w:r>
              <w:t>65.1</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F79646"/>
              </w:rPr>
              <w:t>▼</w:t>
            </w:r>
            <w:r>
              <w:rPr>
                <w:color w:val="943634"/>
              </w:rPr>
              <w:t xml:space="preserve"> </w:t>
            </w:r>
            <w:r w:rsidRPr="00D33EA6">
              <w:t>1.2</w:t>
            </w:r>
          </w:p>
        </w:tc>
        <w:tc>
          <w:tcPr>
            <w:tcW w:w="1238" w:type="dxa"/>
            <w:tcBorders>
              <w:top w:val="nil"/>
              <w:left w:val="single" w:sz="4" w:space="0" w:color="auto"/>
              <w:bottom w:val="nil"/>
              <w:right w:val="nil"/>
            </w:tcBorders>
          </w:tcPr>
          <w:p w:rsidR="00883552" w:rsidRDefault="00883552" w:rsidP="00883552">
            <w:pPr>
              <w:pStyle w:val="Tabletextright"/>
              <w:keepNext/>
            </w:pPr>
            <w:r>
              <w:t>23.6</w:t>
            </w:r>
          </w:p>
        </w:tc>
        <w:tc>
          <w:tcPr>
            <w:tcW w:w="1238" w:type="dxa"/>
            <w:tcBorders>
              <w:top w:val="nil"/>
              <w:left w:val="nil"/>
              <w:bottom w:val="nil"/>
              <w:right w:val="single" w:sz="4" w:space="0" w:color="auto"/>
            </w:tcBorders>
          </w:tcPr>
          <w:p w:rsidR="00883552" w:rsidRDefault="00883552" w:rsidP="00883552">
            <w:pPr>
              <w:pStyle w:val="Tabletextright"/>
              <w:keepNext/>
            </w:pPr>
            <w:r>
              <w:rPr>
                <w:color w:val="943634"/>
              </w:rPr>
              <w:t xml:space="preserve"> </w:t>
            </w:r>
            <w:r w:rsidRPr="00E426B4">
              <w:rPr>
                <w:color w:val="943634"/>
              </w:rPr>
              <w:t>▲</w:t>
            </w:r>
            <w:r>
              <w:rPr>
                <w:color w:val="943634"/>
              </w:rPr>
              <w:t xml:space="preserve"> </w:t>
            </w:r>
            <w:r w:rsidRPr="00D33EA6">
              <w:t>14.</w:t>
            </w:r>
            <w:r>
              <w:t>9</w:t>
            </w:r>
          </w:p>
        </w:tc>
        <w:tc>
          <w:tcPr>
            <w:tcW w:w="1238" w:type="dxa"/>
            <w:tcBorders>
              <w:top w:val="nil"/>
              <w:left w:val="single" w:sz="4" w:space="0" w:color="auto"/>
              <w:bottom w:val="nil"/>
              <w:right w:val="nil"/>
            </w:tcBorders>
          </w:tcPr>
          <w:p w:rsidR="00883552" w:rsidRDefault="00883552" w:rsidP="00883552">
            <w:pPr>
              <w:pStyle w:val="Tabletextright"/>
              <w:keepNext/>
            </w:pPr>
            <w:r>
              <w:t>41.5</w:t>
            </w:r>
          </w:p>
        </w:tc>
        <w:tc>
          <w:tcPr>
            <w:tcW w:w="1238" w:type="dxa"/>
            <w:tcBorders>
              <w:top w:val="nil"/>
              <w:left w:val="nil"/>
              <w:bottom w:val="nil"/>
              <w:right w:val="nil"/>
            </w:tcBorders>
          </w:tcPr>
          <w:p w:rsidR="00883552" w:rsidRPr="006074C1" w:rsidRDefault="00883552" w:rsidP="00883552">
            <w:pPr>
              <w:pStyle w:val="Tabletextright"/>
              <w:keepNext/>
            </w:pPr>
            <w:r w:rsidRPr="00E426B4">
              <w:rPr>
                <w:color w:val="F79646"/>
              </w:rPr>
              <w:t>▼</w:t>
            </w:r>
            <w:r>
              <w:rPr>
                <w:color w:val="F79646"/>
              </w:rPr>
              <w:t xml:space="preserve"> </w:t>
            </w:r>
            <w:r w:rsidRPr="006074C1">
              <w:t>8.</w:t>
            </w:r>
            <w:r>
              <w:t>5</w:t>
            </w:r>
          </w:p>
        </w:tc>
      </w:tr>
      <w:tr w:rsidR="00883552" w:rsidTr="00883552">
        <w:tc>
          <w:tcPr>
            <w:tcW w:w="1237" w:type="dxa"/>
            <w:tcBorders>
              <w:top w:val="nil"/>
              <w:left w:val="nil"/>
              <w:right w:val="nil"/>
            </w:tcBorders>
          </w:tcPr>
          <w:p w:rsidR="00883552" w:rsidRDefault="00883552" w:rsidP="00883552">
            <w:pPr>
              <w:pStyle w:val="Tabletextleft"/>
              <w:keepNext/>
            </w:pPr>
            <w:r>
              <w:t>Sydney</w:t>
            </w:r>
          </w:p>
        </w:tc>
        <w:tc>
          <w:tcPr>
            <w:tcW w:w="1237" w:type="dxa"/>
            <w:tcBorders>
              <w:top w:val="nil"/>
              <w:left w:val="nil"/>
              <w:right w:val="nil"/>
            </w:tcBorders>
          </w:tcPr>
          <w:p w:rsidR="00883552" w:rsidRDefault="00883552" w:rsidP="00883552">
            <w:pPr>
              <w:pStyle w:val="Tabletextright"/>
              <w:keepNext/>
            </w:pPr>
            <w:r>
              <w:t>127.8</w:t>
            </w:r>
          </w:p>
        </w:tc>
        <w:tc>
          <w:tcPr>
            <w:tcW w:w="1238" w:type="dxa"/>
            <w:tcBorders>
              <w:top w:val="nil"/>
              <w:left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t>4.7</w:t>
            </w:r>
          </w:p>
        </w:tc>
        <w:tc>
          <w:tcPr>
            <w:tcW w:w="1238" w:type="dxa"/>
            <w:tcBorders>
              <w:top w:val="nil"/>
              <w:left w:val="single" w:sz="4" w:space="0" w:color="auto"/>
              <w:right w:val="nil"/>
            </w:tcBorders>
          </w:tcPr>
          <w:p w:rsidR="00883552" w:rsidRDefault="00883552" w:rsidP="00883552">
            <w:pPr>
              <w:pStyle w:val="Tabletextright"/>
              <w:keepNext/>
            </w:pPr>
            <w:r>
              <w:t>36.2</w:t>
            </w:r>
          </w:p>
        </w:tc>
        <w:tc>
          <w:tcPr>
            <w:tcW w:w="1238" w:type="dxa"/>
            <w:tcBorders>
              <w:top w:val="nil"/>
              <w:left w:val="nil"/>
              <w:right w:val="single" w:sz="4" w:space="0" w:color="auto"/>
            </w:tcBorders>
          </w:tcPr>
          <w:p w:rsidR="00883552" w:rsidRDefault="00883552" w:rsidP="00883552">
            <w:pPr>
              <w:pStyle w:val="Tabletextright"/>
              <w:keepNext/>
            </w:pPr>
            <w:r w:rsidRPr="00E426B4">
              <w:rPr>
                <w:color w:val="943634"/>
              </w:rPr>
              <w:t>▲</w:t>
            </w:r>
            <w:r>
              <w:rPr>
                <w:color w:val="F79646"/>
              </w:rPr>
              <w:t xml:space="preserve"> </w:t>
            </w:r>
            <w:r w:rsidRPr="00D33EA6">
              <w:t>11.4</w:t>
            </w:r>
          </w:p>
        </w:tc>
        <w:tc>
          <w:tcPr>
            <w:tcW w:w="1238" w:type="dxa"/>
            <w:tcBorders>
              <w:top w:val="nil"/>
              <w:left w:val="single" w:sz="4" w:space="0" w:color="auto"/>
              <w:right w:val="nil"/>
            </w:tcBorders>
          </w:tcPr>
          <w:p w:rsidR="00883552" w:rsidRDefault="00883552" w:rsidP="00883552">
            <w:pPr>
              <w:pStyle w:val="Tabletextright"/>
              <w:keepNext/>
            </w:pPr>
            <w:r>
              <w:t>91.5</w:t>
            </w:r>
          </w:p>
        </w:tc>
        <w:tc>
          <w:tcPr>
            <w:tcW w:w="1238" w:type="dxa"/>
            <w:tcBorders>
              <w:top w:val="nil"/>
              <w:left w:val="nil"/>
              <w:right w:val="nil"/>
            </w:tcBorders>
          </w:tcPr>
          <w:p w:rsidR="00883552" w:rsidRDefault="00883552" w:rsidP="00883552">
            <w:pPr>
              <w:pStyle w:val="Tabletextright"/>
              <w:keepNext/>
            </w:pPr>
            <w:r w:rsidRPr="00E426B4">
              <w:rPr>
                <w:color w:val="943634"/>
              </w:rPr>
              <w:t>▲</w:t>
            </w:r>
            <w:r>
              <w:rPr>
                <w:color w:val="943634"/>
              </w:rPr>
              <w:t xml:space="preserve"> </w:t>
            </w:r>
            <w:r>
              <w:t>2.2</w:t>
            </w:r>
          </w:p>
        </w:tc>
      </w:tr>
    </w:tbl>
    <w:p w:rsidR="00883552" w:rsidRDefault="00883552" w:rsidP="00861426">
      <w:pPr>
        <w:pStyle w:val="Sourceandnotes"/>
      </w:pPr>
      <w:r>
        <w:t>Note:</w:t>
      </w:r>
      <w:r>
        <w:tab/>
        <w:t>Real values in 2014</w:t>
      </w:r>
      <w:r>
        <w:noBreakHyphen/>
        <w:t>15 dollars</w:t>
      </w:r>
    </w:p>
    <w:p w:rsidR="00883552" w:rsidRDefault="00883552" w:rsidP="00883552">
      <w:pPr>
        <w:keepNext/>
      </w:pPr>
      <w:r w:rsidRPr="001317DD">
        <w:t>With the exception of Perth Airport, all monitored airports reported an increase in car parking revenue in real terms during 2014-15. Perth Airport’s revenue fell marginally by 1.2 per cent in real terms from $65.9 million in 2013-14 to $65.1 million in 2014-15. This is the first time over the reporting period that Perth Airport’s car parking revenue has decreased in real terms. The result was likely due to the fall in passengers at Perth Airport of 1.0 per cent during 2014-15.</w:t>
      </w:r>
    </w:p>
    <w:p w:rsidR="00883552" w:rsidRDefault="00883552" w:rsidP="00883552">
      <w:pPr>
        <w:keepNext/>
      </w:pPr>
      <w:r>
        <w:t xml:space="preserve">Melbourne Airport has consistently earned the largest amount of car parking revenue among the monitored airports. </w:t>
      </w:r>
      <w:r w:rsidRPr="007D5E2D">
        <w:t>In 20</w:t>
      </w:r>
      <w:r>
        <w:t>14-15</w:t>
      </w:r>
      <w:r w:rsidRPr="007D5E2D">
        <w:t xml:space="preserve">, </w:t>
      </w:r>
      <w:r>
        <w:t xml:space="preserve">Melbourne Airport reported the largest revenue growth with an increase of 14.8 per cent to $147.0 million in real terms. </w:t>
      </w:r>
      <w:r w:rsidRPr="00C94599">
        <w:t>As most prices did not increase substantially during 2014</w:t>
      </w:r>
      <w:r>
        <w:t>-15,</w:t>
      </w:r>
      <w:r w:rsidRPr="00C45300">
        <w:t xml:space="preserve"> </w:t>
      </w:r>
      <w:r w:rsidRPr="00F5156D">
        <w:t>this result was likely due to customers parking for longer durations</w:t>
      </w:r>
      <w:r>
        <w:t>. This</w:t>
      </w:r>
      <w:r w:rsidRPr="0015241B">
        <w:t xml:space="preserve"> </w:t>
      </w:r>
      <w:r>
        <w:t>large</w:t>
      </w:r>
      <w:r w:rsidRPr="0015241B">
        <w:t xml:space="preserve"> rise in revenue </w:t>
      </w:r>
      <w:r>
        <w:t>and associated decline in car parking expenses of 0.3 per cent in real terms</w:t>
      </w:r>
      <w:r w:rsidRPr="0015241B">
        <w:t xml:space="preserve"> has </w:t>
      </w:r>
      <w:r>
        <w:t>resulted in Melbourne Airport reporting an increase in car parking aggregate margin for the first time since 2010-11</w:t>
      </w:r>
      <w:r w:rsidRPr="0015241B">
        <w:t>.</w:t>
      </w:r>
      <w:r>
        <w:t xml:space="preserve"> In 2014-15, Melbourne Airport’s</w:t>
      </w:r>
      <w:r w:rsidRPr="00ED0B87">
        <w:t xml:space="preserve"> car parking </w:t>
      </w:r>
      <w:r>
        <w:t xml:space="preserve">aggregate </w:t>
      </w:r>
      <w:r w:rsidRPr="00ED0B87">
        <w:t xml:space="preserve">margin </w:t>
      </w:r>
      <w:r>
        <w:t>increased by</w:t>
      </w:r>
      <w:r w:rsidRPr="00ED0B87">
        <w:t xml:space="preserve"> 21.6 per cent in real terms to $107.6 million</w:t>
      </w:r>
      <w:r>
        <w:t xml:space="preserve"> during 2014-15</w:t>
      </w:r>
      <w:r w:rsidRPr="00ED0B87">
        <w:t xml:space="preserve">.   </w:t>
      </w:r>
    </w:p>
    <w:p w:rsidR="00883552" w:rsidRDefault="00883552" w:rsidP="00883552">
      <w:pPr>
        <w:keepNext/>
      </w:pPr>
      <w:r>
        <w:lastRenderedPageBreak/>
        <w:t>Perth Airport and Sydney Airport reported significant increases in car parking operating expenses during 2014-15 with rises of 14.9 and 11.4 per cent in real terms respectively. P</w:t>
      </w:r>
      <w:r w:rsidRPr="006C109E">
        <w:t>erth Airport was the onl</w:t>
      </w:r>
      <w:r>
        <w:t xml:space="preserve">y monitored airport to report a decline </w:t>
      </w:r>
      <w:r w:rsidRPr="006C109E">
        <w:t xml:space="preserve">in car parking </w:t>
      </w:r>
      <w:r>
        <w:t>aggregate</w:t>
      </w:r>
      <w:r w:rsidRPr="006C109E">
        <w:t xml:space="preserve"> ma</w:t>
      </w:r>
      <w:r>
        <w:t xml:space="preserve">rgin, decreasing by </w:t>
      </w:r>
      <w:r w:rsidRPr="006C109E">
        <w:t>8.</w:t>
      </w:r>
      <w:r>
        <w:t>5</w:t>
      </w:r>
      <w:r w:rsidRPr="006C109E">
        <w:t xml:space="preserve"> pe</w:t>
      </w:r>
      <w:r>
        <w:t>r cent in real terms to $41.5 million.</w:t>
      </w:r>
    </w:p>
    <w:p w:rsidR="00883552" w:rsidRDefault="00883552" w:rsidP="00883552">
      <w:pPr>
        <w:keepNext/>
      </w:pPr>
      <w:r>
        <w:t xml:space="preserve">Return on sales for car parking activities were significantly higher than earned for aeronautical services. Whereas the highest return on sales for aeronautical assets was at 50.1 per cent, all airports reported in excess of 60 per cent for car parking services. Melbourne Airport reported the largest return on sales with 73.2 per cent during 2014-15 (up 4.1 percentage points from 2013-14). Sydney Airport’s return on sales for car parking services was 71.6 per cent, while Brisbane Airport was 67.2 per cent and Perth Airport had 63.7 per cent. </w:t>
      </w:r>
    </w:p>
    <w:p w:rsidR="00883552" w:rsidRDefault="00883552" w:rsidP="00883552">
      <w:pPr>
        <w:pStyle w:val="Numberedheading3"/>
        <w:tabs>
          <w:tab w:val="clear" w:pos="1384"/>
          <w:tab w:val="num" w:pos="993"/>
        </w:tabs>
        <w:ind w:left="993" w:hanging="993"/>
      </w:pPr>
      <w:r>
        <w:t>Average car parking revenues, costs and profits</w:t>
      </w:r>
    </w:p>
    <w:p w:rsidR="00883552" w:rsidRDefault="00883552" w:rsidP="00883552">
      <w:pPr>
        <w:keepNext/>
      </w:pPr>
      <w:r>
        <w:t>Table 1.7.6 presents car parking revenue, operating expenses and operating margin on a per car park space basis for each of the monitored airports.</w:t>
      </w:r>
    </w:p>
    <w:p w:rsidR="00883552" w:rsidRDefault="00883552" w:rsidP="00883552">
      <w:pPr>
        <w:keepNext/>
      </w:pPr>
      <w:r>
        <w:t xml:space="preserve">Perth Airport is the only airport to report a decrease in revenue per car park space in 2014-15. </w:t>
      </w:r>
      <w:r w:rsidRPr="00394B7B">
        <w:t xml:space="preserve">This </w:t>
      </w:r>
      <w:r>
        <w:t xml:space="preserve">drop of 15.3 per cent </w:t>
      </w:r>
      <w:r w:rsidRPr="00394B7B">
        <w:t>can be explained by</w:t>
      </w:r>
      <w:r>
        <w:t xml:space="preserve"> the expansion</w:t>
      </w:r>
      <w:r w:rsidRPr="00394B7B">
        <w:t xml:space="preserve"> of Perth Airport</w:t>
      </w:r>
      <w:r>
        <w:t xml:space="preserve">‘s </w:t>
      </w:r>
      <w:r w:rsidRPr="00394B7B">
        <w:t xml:space="preserve">car parking spaces and the decline in </w:t>
      </w:r>
      <w:r>
        <w:t xml:space="preserve">its </w:t>
      </w:r>
      <w:r w:rsidRPr="00394B7B">
        <w:t>car parking revenue in real terms.</w:t>
      </w:r>
      <w:r>
        <w:t xml:space="preserve"> </w:t>
      </w:r>
    </w:p>
    <w:p w:rsidR="00883552" w:rsidRDefault="00883552" w:rsidP="00883552">
      <w:pPr>
        <w:keepNext/>
      </w:pPr>
      <w:r w:rsidRPr="00952B19">
        <w:t>On a per car park basis, Melbourne Airport reported increases in car parking revenue by 20.7</w:t>
      </w:r>
      <w:r>
        <w:t> </w:t>
      </w:r>
      <w:r w:rsidRPr="00952B19">
        <w:t>per cent to $6,331 and unit operating margin by 27.8 per cent to $4,633.</w:t>
      </w:r>
      <w:r>
        <w:t xml:space="preserve"> </w:t>
      </w:r>
    </w:p>
    <w:p w:rsidR="00883552" w:rsidRDefault="00883552" w:rsidP="00883552">
      <w:pPr>
        <w:pStyle w:val="Numberedcharttitle"/>
      </w:pPr>
      <w:r>
        <w:t>Table 1.7.6:</w:t>
      </w:r>
      <w:r>
        <w:tab/>
        <w:t xml:space="preserve">Car parking revenue, operating expenses and operating margin per car park space: </w:t>
      </w:r>
      <w:proofErr w:type="gramStart"/>
      <w:r>
        <w:t>2014</w:t>
      </w:r>
      <w:r>
        <w:noBreakHyphen/>
        <w:t>15,</w:t>
      </w:r>
      <w:proofErr w:type="gramEnd"/>
      <w:r>
        <w:t xml:space="preserve"> and percentage change from 2013</w:t>
      </w:r>
      <w:r>
        <w:noBreakHyphen/>
        <w:t>14 in real terms</w:t>
      </w:r>
    </w:p>
    <w:tbl>
      <w:tblPr>
        <w:tblStyle w:val="TableGrid"/>
        <w:tblW w:w="0" w:type="auto"/>
        <w:tblLook w:val="04A0" w:firstRow="1" w:lastRow="0" w:firstColumn="1" w:lastColumn="0" w:noHBand="0" w:noVBand="1"/>
      </w:tblPr>
      <w:tblGrid>
        <w:gridCol w:w="1237"/>
        <w:gridCol w:w="1237"/>
        <w:gridCol w:w="1238"/>
        <w:gridCol w:w="1238"/>
        <w:gridCol w:w="1238"/>
        <w:gridCol w:w="1238"/>
        <w:gridCol w:w="1238"/>
      </w:tblGrid>
      <w:tr w:rsidR="00883552" w:rsidTr="00883552">
        <w:tc>
          <w:tcPr>
            <w:tcW w:w="1237" w:type="dxa"/>
            <w:tcBorders>
              <w:left w:val="nil"/>
              <w:bottom w:val="nil"/>
              <w:right w:val="nil"/>
            </w:tcBorders>
            <w:shd w:val="clear" w:color="auto" w:fill="DFE0DC"/>
          </w:tcPr>
          <w:p w:rsidR="00883552" w:rsidRDefault="00883552" w:rsidP="00883552">
            <w:pPr>
              <w:pStyle w:val="Tabletextheading"/>
              <w:keepNext/>
            </w:pPr>
            <w:r>
              <w:t>Airport</w:t>
            </w:r>
          </w:p>
        </w:tc>
        <w:tc>
          <w:tcPr>
            <w:tcW w:w="7427" w:type="dxa"/>
            <w:gridSpan w:val="6"/>
            <w:tcBorders>
              <w:left w:val="nil"/>
              <w:bottom w:val="nil"/>
              <w:right w:val="nil"/>
            </w:tcBorders>
            <w:shd w:val="clear" w:color="auto" w:fill="DFE0DC"/>
          </w:tcPr>
          <w:p w:rsidR="00883552" w:rsidRDefault="00883552" w:rsidP="00883552">
            <w:pPr>
              <w:pStyle w:val="Tabletextheadingcentre"/>
            </w:pPr>
            <w:r>
              <w:t>Car parking revenue, operating expenses and operating margin per car park space</w:t>
            </w:r>
          </w:p>
        </w:tc>
      </w:tr>
      <w:tr w:rsidR="00883552" w:rsidTr="00883552">
        <w:tc>
          <w:tcPr>
            <w:tcW w:w="1237" w:type="dxa"/>
            <w:tcBorders>
              <w:top w:val="nil"/>
              <w:left w:val="nil"/>
              <w:bottom w:val="single" w:sz="4" w:space="0" w:color="auto"/>
              <w:right w:val="nil"/>
            </w:tcBorders>
            <w:shd w:val="clear" w:color="auto" w:fill="DFE0DC"/>
          </w:tcPr>
          <w:p w:rsidR="00883552" w:rsidRDefault="00883552" w:rsidP="00883552">
            <w:pPr>
              <w:pStyle w:val="Tabletextleft"/>
              <w:keepNext/>
            </w:pPr>
          </w:p>
        </w:tc>
        <w:tc>
          <w:tcPr>
            <w:tcW w:w="1237" w:type="dxa"/>
            <w:tcBorders>
              <w:top w:val="nil"/>
              <w:left w:val="nil"/>
              <w:bottom w:val="single" w:sz="4" w:space="0" w:color="auto"/>
              <w:right w:val="nil"/>
            </w:tcBorders>
            <w:shd w:val="clear" w:color="auto" w:fill="DFE0DC"/>
          </w:tcPr>
          <w:p w:rsidR="00883552" w:rsidRDefault="00883552" w:rsidP="00883552">
            <w:pPr>
              <w:pStyle w:val="Tabletextheadingright"/>
              <w:keepNext/>
            </w:pPr>
            <w:r>
              <w:t>Revenue</w:t>
            </w:r>
            <w:r>
              <w:br/>
            </w:r>
            <w:r>
              <w:br/>
              <w:t>($)</w:t>
            </w:r>
          </w:p>
        </w:tc>
        <w:tc>
          <w:tcPr>
            <w:tcW w:w="1238" w:type="dxa"/>
            <w:tcBorders>
              <w:top w:val="nil"/>
              <w:left w:val="nil"/>
              <w:bottom w:val="single" w:sz="4" w:space="0" w:color="auto"/>
              <w:right w:val="single" w:sz="4" w:space="0" w:color="auto"/>
            </w:tcBorders>
            <w:shd w:val="clear" w:color="auto" w:fill="DFE0DC"/>
          </w:tcPr>
          <w:p w:rsidR="00883552" w:rsidRDefault="00883552" w:rsidP="00883552">
            <w:pPr>
              <w:pStyle w:val="Tabletextheadingright"/>
              <w:keepNext/>
            </w:pPr>
            <w:r>
              <w:t xml:space="preserve">Percentage change </w:t>
            </w:r>
            <w:r>
              <w:br/>
              <w:t>(%)</w:t>
            </w:r>
          </w:p>
        </w:tc>
        <w:tc>
          <w:tcPr>
            <w:tcW w:w="1238" w:type="dxa"/>
            <w:tcBorders>
              <w:top w:val="nil"/>
              <w:left w:val="single" w:sz="4" w:space="0" w:color="auto"/>
              <w:bottom w:val="single" w:sz="4" w:space="0" w:color="auto"/>
              <w:right w:val="nil"/>
            </w:tcBorders>
            <w:shd w:val="clear" w:color="auto" w:fill="DFE0DC"/>
          </w:tcPr>
          <w:p w:rsidR="00883552" w:rsidRDefault="00883552" w:rsidP="00883552">
            <w:pPr>
              <w:pStyle w:val="Tabletextheadingright"/>
              <w:keepNext/>
            </w:pPr>
            <w:r>
              <w:t>Operating expenses</w:t>
            </w:r>
            <w:r>
              <w:br/>
              <w:t>($)</w:t>
            </w:r>
          </w:p>
        </w:tc>
        <w:tc>
          <w:tcPr>
            <w:tcW w:w="1238" w:type="dxa"/>
            <w:tcBorders>
              <w:top w:val="nil"/>
              <w:left w:val="nil"/>
              <w:bottom w:val="single" w:sz="4" w:space="0" w:color="auto"/>
              <w:right w:val="single" w:sz="4" w:space="0" w:color="auto"/>
            </w:tcBorders>
            <w:shd w:val="clear" w:color="auto" w:fill="DFE0DC"/>
          </w:tcPr>
          <w:p w:rsidR="00883552" w:rsidRDefault="00883552" w:rsidP="00883552">
            <w:pPr>
              <w:pStyle w:val="Tabletextheadingright"/>
              <w:keepNext/>
            </w:pPr>
            <w:r>
              <w:t xml:space="preserve">Percentage </w:t>
            </w:r>
            <w:proofErr w:type="gramStart"/>
            <w:r>
              <w:t>change</w:t>
            </w:r>
            <w:proofErr w:type="gramEnd"/>
            <w:r>
              <w:br/>
              <w:t>(%)</w:t>
            </w:r>
          </w:p>
        </w:tc>
        <w:tc>
          <w:tcPr>
            <w:tcW w:w="1238" w:type="dxa"/>
            <w:tcBorders>
              <w:top w:val="nil"/>
              <w:left w:val="single" w:sz="4" w:space="0" w:color="auto"/>
              <w:bottom w:val="single" w:sz="4" w:space="0" w:color="auto"/>
              <w:right w:val="nil"/>
            </w:tcBorders>
            <w:shd w:val="clear" w:color="auto" w:fill="DFE0DC"/>
          </w:tcPr>
          <w:p w:rsidR="00883552" w:rsidRDefault="00883552" w:rsidP="00883552">
            <w:pPr>
              <w:pStyle w:val="Tabletextheadingright"/>
              <w:keepNext/>
            </w:pPr>
            <w:r>
              <w:t>Operating margin</w:t>
            </w:r>
            <w:r>
              <w:br/>
              <w:t>($)</w:t>
            </w:r>
          </w:p>
        </w:tc>
        <w:tc>
          <w:tcPr>
            <w:tcW w:w="1238" w:type="dxa"/>
            <w:tcBorders>
              <w:top w:val="nil"/>
              <w:left w:val="nil"/>
              <w:bottom w:val="single" w:sz="4" w:space="0" w:color="auto"/>
              <w:right w:val="nil"/>
            </w:tcBorders>
            <w:shd w:val="clear" w:color="auto" w:fill="DFE0DC"/>
          </w:tcPr>
          <w:p w:rsidR="00883552" w:rsidRDefault="00883552" w:rsidP="00883552">
            <w:pPr>
              <w:pStyle w:val="Tabletextheadingright"/>
              <w:keepNext/>
            </w:pPr>
            <w:r>
              <w:t xml:space="preserve">Percentage </w:t>
            </w:r>
            <w:proofErr w:type="gramStart"/>
            <w:r>
              <w:t>change</w:t>
            </w:r>
            <w:proofErr w:type="gramEnd"/>
            <w:r>
              <w:br/>
              <w:t>(%)</w:t>
            </w:r>
          </w:p>
        </w:tc>
      </w:tr>
      <w:tr w:rsidR="00883552" w:rsidTr="00883552">
        <w:tc>
          <w:tcPr>
            <w:tcW w:w="1237" w:type="dxa"/>
            <w:tcBorders>
              <w:left w:val="nil"/>
              <w:bottom w:val="nil"/>
              <w:right w:val="nil"/>
            </w:tcBorders>
          </w:tcPr>
          <w:p w:rsidR="00883552" w:rsidRDefault="00883552" w:rsidP="00883552">
            <w:pPr>
              <w:pStyle w:val="Tabletextleft"/>
              <w:keepNext/>
            </w:pPr>
            <w:r>
              <w:t>Brisbane</w:t>
            </w:r>
          </w:p>
        </w:tc>
        <w:tc>
          <w:tcPr>
            <w:tcW w:w="1237" w:type="dxa"/>
            <w:tcBorders>
              <w:left w:val="nil"/>
              <w:bottom w:val="nil"/>
              <w:right w:val="nil"/>
            </w:tcBorders>
          </w:tcPr>
          <w:p w:rsidR="00883552" w:rsidRDefault="00883552" w:rsidP="00883552">
            <w:pPr>
              <w:pStyle w:val="Tabletextright"/>
              <w:keepNext/>
            </w:pPr>
            <w:r>
              <w:t>6 181</w:t>
            </w:r>
          </w:p>
        </w:tc>
        <w:tc>
          <w:tcPr>
            <w:tcW w:w="1238" w:type="dxa"/>
            <w:tcBorders>
              <w:left w:val="nil"/>
              <w:bottom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rsidRPr="00E24315">
              <w:t>6.9</w:t>
            </w:r>
          </w:p>
        </w:tc>
        <w:tc>
          <w:tcPr>
            <w:tcW w:w="1238" w:type="dxa"/>
            <w:tcBorders>
              <w:left w:val="single" w:sz="4" w:space="0" w:color="auto"/>
              <w:bottom w:val="nil"/>
              <w:right w:val="nil"/>
            </w:tcBorders>
          </w:tcPr>
          <w:p w:rsidR="00883552" w:rsidRDefault="00883552" w:rsidP="00883552">
            <w:pPr>
              <w:pStyle w:val="Tabletextright"/>
              <w:keepNext/>
            </w:pPr>
            <w:r>
              <w:t>2 028</w:t>
            </w:r>
          </w:p>
        </w:tc>
        <w:tc>
          <w:tcPr>
            <w:tcW w:w="1238" w:type="dxa"/>
            <w:tcBorders>
              <w:left w:val="nil"/>
              <w:bottom w:val="nil"/>
              <w:right w:val="single" w:sz="4" w:space="0" w:color="auto"/>
            </w:tcBorders>
          </w:tcPr>
          <w:p w:rsidR="00883552" w:rsidRDefault="00883552" w:rsidP="00883552">
            <w:pPr>
              <w:pStyle w:val="Tabletextright"/>
              <w:keepNext/>
            </w:pPr>
            <w:r w:rsidRPr="00E426B4">
              <w:rPr>
                <w:color w:val="F79646"/>
              </w:rPr>
              <w:t>▼</w:t>
            </w:r>
            <w:r>
              <w:rPr>
                <w:color w:val="943634"/>
              </w:rPr>
              <w:t xml:space="preserve"> </w:t>
            </w:r>
            <w:r>
              <w:t>1.8</w:t>
            </w:r>
          </w:p>
        </w:tc>
        <w:tc>
          <w:tcPr>
            <w:tcW w:w="1238" w:type="dxa"/>
            <w:tcBorders>
              <w:left w:val="single" w:sz="4" w:space="0" w:color="auto"/>
              <w:bottom w:val="nil"/>
              <w:right w:val="nil"/>
            </w:tcBorders>
          </w:tcPr>
          <w:p w:rsidR="00883552" w:rsidRDefault="00883552" w:rsidP="00883552">
            <w:pPr>
              <w:pStyle w:val="Tabletextright"/>
              <w:keepNext/>
            </w:pPr>
            <w:r>
              <w:t>4 153</w:t>
            </w:r>
          </w:p>
        </w:tc>
        <w:tc>
          <w:tcPr>
            <w:tcW w:w="1238" w:type="dxa"/>
            <w:tcBorders>
              <w:left w:val="nil"/>
              <w:bottom w:val="nil"/>
              <w:right w:val="nil"/>
            </w:tcBorders>
          </w:tcPr>
          <w:p w:rsidR="00883552" w:rsidRDefault="00883552" w:rsidP="00883552">
            <w:pPr>
              <w:pStyle w:val="Tabletextright"/>
              <w:keepNext/>
            </w:pPr>
            <w:r w:rsidRPr="00E426B4">
              <w:rPr>
                <w:color w:val="943634"/>
              </w:rPr>
              <w:t>▲</w:t>
            </w:r>
            <w:r>
              <w:rPr>
                <w:color w:val="943634"/>
              </w:rPr>
              <w:t xml:space="preserve"> </w:t>
            </w:r>
            <w:r w:rsidRPr="00846022">
              <w:t>11.8</w:t>
            </w:r>
          </w:p>
        </w:tc>
      </w:tr>
      <w:tr w:rsidR="00883552" w:rsidTr="00883552">
        <w:tc>
          <w:tcPr>
            <w:tcW w:w="1237" w:type="dxa"/>
            <w:tcBorders>
              <w:top w:val="nil"/>
              <w:left w:val="nil"/>
              <w:bottom w:val="nil"/>
              <w:right w:val="nil"/>
            </w:tcBorders>
          </w:tcPr>
          <w:p w:rsidR="00883552" w:rsidRDefault="00883552" w:rsidP="00883552">
            <w:pPr>
              <w:pStyle w:val="Tabletextleft"/>
              <w:keepNext/>
            </w:pPr>
            <w:r>
              <w:t>Melbourne</w:t>
            </w:r>
          </w:p>
        </w:tc>
        <w:tc>
          <w:tcPr>
            <w:tcW w:w="1237" w:type="dxa"/>
            <w:tcBorders>
              <w:top w:val="nil"/>
              <w:left w:val="nil"/>
              <w:bottom w:val="nil"/>
              <w:right w:val="nil"/>
            </w:tcBorders>
          </w:tcPr>
          <w:p w:rsidR="00883552" w:rsidRDefault="00883552" w:rsidP="00883552">
            <w:pPr>
              <w:pStyle w:val="Tabletextright"/>
              <w:keepNext/>
            </w:pPr>
            <w:r>
              <w:t>6 331</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rsidRPr="00E24315">
              <w:t xml:space="preserve">20.7 </w:t>
            </w:r>
          </w:p>
        </w:tc>
        <w:tc>
          <w:tcPr>
            <w:tcW w:w="1238" w:type="dxa"/>
            <w:tcBorders>
              <w:top w:val="nil"/>
              <w:left w:val="single" w:sz="4" w:space="0" w:color="auto"/>
              <w:bottom w:val="nil"/>
              <w:right w:val="nil"/>
            </w:tcBorders>
          </w:tcPr>
          <w:p w:rsidR="00883552" w:rsidRDefault="00883552" w:rsidP="00883552">
            <w:pPr>
              <w:pStyle w:val="Tabletextright"/>
              <w:keepNext/>
            </w:pPr>
            <w:r>
              <w:t>1 698</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rsidRPr="00E24315">
              <w:t>4.</w:t>
            </w:r>
            <w:r>
              <w:t>8</w:t>
            </w:r>
          </w:p>
        </w:tc>
        <w:tc>
          <w:tcPr>
            <w:tcW w:w="1238" w:type="dxa"/>
            <w:tcBorders>
              <w:top w:val="nil"/>
              <w:left w:val="single" w:sz="4" w:space="0" w:color="auto"/>
              <w:bottom w:val="nil"/>
              <w:right w:val="nil"/>
            </w:tcBorders>
          </w:tcPr>
          <w:p w:rsidR="00883552" w:rsidRDefault="00883552" w:rsidP="00883552">
            <w:pPr>
              <w:pStyle w:val="Tabletextright"/>
              <w:keepNext/>
            </w:pPr>
            <w:r>
              <w:t>4 633</w:t>
            </w:r>
          </w:p>
        </w:tc>
        <w:tc>
          <w:tcPr>
            <w:tcW w:w="1238" w:type="dxa"/>
            <w:tcBorders>
              <w:top w:val="nil"/>
              <w:left w:val="nil"/>
              <w:bottom w:val="nil"/>
              <w:right w:val="nil"/>
            </w:tcBorders>
          </w:tcPr>
          <w:p w:rsidR="00883552" w:rsidRDefault="00883552" w:rsidP="00883552">
            <w:pPr>
              <w:pStyle w:val="Tabletextright"/>
              <w:keepNext/>
            </w:pPr>
            <w:r w:rsidRPr="00E426B4">
              <w:rPr>
                <w:color w:val="943634"/>
              </w:rPr>
              <w:t>▲</w:t>
            </w:r>
            <w:r>
              <w:rPr>
                <w:color w:val="943634"/>
              </w:rPr>
              <w:t xml:space="preserve"> </w:t>
            </w:r>
            <w:r>
              <w:t>27.8</w:t>
            </w:r>
          </w:p>
        </w:tc>
      </w:tr>
      <w:tr w:rsidR="00883552" w:rsidTr="00883552">
        <w:tc>
          <w:tcPr>
            <w:tcW w:w="1237" w:type="dxa"/>
            <w:tcBorders>
              <w:top w:val="nil"/>
              <w:left w:val="nil"/>
              <w:bottom w:val="nil"/>
              <w:right w:val="nil"/>
            </w:tcBorders>
          </w:tcPr>
          <w:p w:rsidR="00883552" w:rsidRDefault="00883552" w:rsidP="00883552">
            <w:pPr>
              <w:pStyle w:val="Tabletextleft"/>
              <w:keepNext/>
            </w:pPr>
            <w:r>
              <w:t>Perth</w:t>
            </w:r>
          </w:p>
        </w:tc>
        <w:tc>
          <w:tcPr>
            <w:tcW w:w="1237" w:type="dxa"/>
            <w:tcBorders>
              <w:top w:val="nil"/>
              <w:left w:val="nil"/>
              <w:bottom w:val="nil"/>
              <w:right w:val="nil"/>
            </w:tcBorders>
          </w:tcPr>
          <w:p w:rsidR="00883552" w:rsidRDefault="00883552" w:rsidP="00883552">
            <w:pPr>
              <w:pStyle w:val="Tabletextright"/>
              <w:keepNext/>
            </w:pPr>
            <w:r>
              <w:t>2 937</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F79646"/>
              </w:rPr>
              <w:t>▼</w:t>
            </w:r>
            <w:r>
              <w:rPr>
                <w:color w:val="F79646"/>
              </w:rPr>
              <w:t xml:space="preserve"> </w:t>
            </w:r>
            <w:r w:rsidRPr="00E24315">
              <w:t xml:space="preserve">15.3 </w:t>
            </w:r>
          </w:p>
        </w:tc>
        <w:tc>
          <w:tcPr>
            <w:tcW w:w="1238" w:type="dxa"/>
            <w:tcBorders>
              <w:top w:val="nil"/>
              <w:left w:val="single" w:sz="4" w:space="0" w:color="auto"/>
              <w:bottom w:val="nil"/>
              <w:right w:val="nil"/>
            </w:tcBorders>
          </w:tcPr>
          <w:p w:rsidR="00883552" w:rsidRDefault="00883552" w:rsidP="00883552">
            <w:pPr>
              <w:pStyle w:val="Tabletextright"/>
              <w:keepNext/>
            </w:pPr>
            <w:r>
              <w:t xml:space="preserve">     1 066 </w:t>
            </w:r>
          </w:p>
        </w:tc>
        <w:tc>
          <w:tcPr>
            <w:tcW w:w="1238" w:type="dxa"/>
            <w:tcBorders>
              <w:top w:val="nil"/>
              <w:left w:val="nil"/>
              <w:bottom w:val="nil"/>
              <w:right w:val="single" w:sz="4" w:space="0" w:color="auto"/>
            </w:tcBorders>
          </w:tcPr>
          <w:p w:rsidR="00883552" w:rsidRDefault="00883552" w:rsidP="00883552">
            <w:pPr>
              <w:pStyle w:val="Tabletextright"/>
              <w:keepNext/>
            </w:pPr>
            <w:r w:rsidRPr="00E426B4">
              <w:rPr>
                <w:color w:val="F79646"/>
              </w:rPr>
              <w:t>▼</w:t>
            </w:r>
            <w:r>
              <w:rPr>
                <w:color w:val="F79646"/>
              </w:rPr>
              <w:t xml:space="preserve"> </w:t>
            </w:r>
            <w:r w:rsidRPr="00E24315">
              <w:t>1.5</w:t>
            </w:r>
          </w:p>
        </w:tc>
        <w:tc>
          <w:tcPr>
            <w:tcW w:w="1238" w:type="dxa"/>
            <w:tcBorders>
              <w:top w:val="nil"/>
              <w:left w:val="single" w:sz="4" w:space="0" w:color="auto"/>
              <w:bottom w:val="nil"/>
              <w:right w:val="nil"/>
            </w:tcBorders>
          </w:tcPr>
          <w:p w:rsidR="00883552" w:rsidRDefault="00883552" w:rsidP="00883552">
            <w:pPr>
              <w:pStyle w:val="Tabletextright"/>
              <w:keepNext/>
            </w:pPr>
            <w:r>
              <w:t xml:space="preserve"> 1 871</w:t>
            </w:r>
          </w:p>
        </w:tc>
        <w:tc>
          <w:tcPr>
            <w:tcW w:w="1238" w:type="dxa"/>
            <w:tcBorders>
              <w:top w:val="nil"/>
              <w:left w:val="nil"/>
              <w:bottom w:val="nil"/>
              <w:right w:val="nil"/>
            </w:tcBorders>
          </w:tcPr>
          <w:p w:rsidR="00883552" w:rsidRDefault="00883552" w:rsidP="00883552">
            <w:pPr>
              <w:pStyle w:val="Tabletextright"/>
              <w:keepNext/>
            </w:pPr>
            <w:r w:rsidRPr="00E426B4">
              <w:rPr>
                <w:color w:val="F79646"/>
              </w:rPr>
              <w:t>▼</w:t>
            </w:r>
            <w:r>
              <w:rPr>
                <w:color w:val="F79646"/>
              </w:rPr>
              <w:t xml:space="preserve"> </w:t>
            </w:r>
            <w:r>
              <w:t>21.6</w:t>
            </w:r>
          </w:p>
        </w:tc>
      </w:tr>
      <w:tr w:rsidR="00883552" w:rsidTr="00883552">
        <w:tc>
          <w:tcPr>
            <w:tcW w:w="1237" w:type="dxa"/>
            <w:tcBorders>
              <w:top w:val="nil"/>
              <w:left w:val="nil"/>
              <w:right w:val="nil"/>
            </w:tcBorders>
          </w:tcPr>
          <w:p w:rsidR="00883552" w:rsidRDefault="00883552" w:rsidP="00883552">
            <w:pPr>
              <w:pStyle w:val="Tabletextleft"/>
              <w:keepNext/>
            </w:pPr>
            <w:r>
              <w:t>Sydney</w:t>
            </w:r>
          </w:p>
        </w:tc>
        <w:tc>
          <w:tcPr>
            <w:tcW w:w="1237" w:type="dxa"/>
            <w:tcBorders>
              <w:top w:val="nil"/>
              <w:left w:val="nil"/>
              <w:right w:val="nil"/>
            </w:tcBorders>
          </w:tcPr>
          <w:p w:rsidR="00883552" w:rsidRDefault="00883552" w:rsidP="00883552">
            <w:pPr>
              <w:pStyle w:val="Tabletextright"/>
              <w:keepNext/>
            </w:pPr>
            <w:r>
              <w:t>7 749</w:t>
            </w:r>
          </w:p>
        </w:tc>
        <w:tc>
          <w:tcPr>
            <w:tcW w:w="1238" w:type="dxa"/>
            <w:tcBorders>
              <w:top w:val="nil"/>
              <w:left w:val="nil"/>
              <w:right w:val="single" w:sz="4" w:space="0" w:color="auto"/>
            </w:tcBorders>
          </w:tcPr>
          <w:p w:rsidR="00883552" w:rsidRDefault="00883552" w:rsidP="00883552">
            <w:pPr>
              <w:pStyle w:val="Tabletextright"/>
              <w:keepNext/>
            </w:pPr>
            <w:r w:rsidRPr="00E426B4">
              <w:rPr>
                <w:color w:val="943634"/>
              </w:rPr>
              <w:t>▲</w:t>
            </w:r>
            <w:r>
              <w:rPr>
                <w:color w:val="943634"/>
              </w:rPr>
              <w:t xml:space="preserve"> </w:t>
            </w:r>
            <w:r w:rsidRPr="00E24315">
              <w:t xml:space="preserve">7.0 </w:t>
            </w:r>
          </w:p>
        </w:tc>
        <w:tc>
          <w:tcPr>
            <w:tcW w:w="1238" w:type="dxa"/>
            <w:tcBorders>
              <w:top w:val="nil"/>
              <w:left w:val="single" w:sz="4" w:space="0" w:color="auto"/>
              <w:right w:val="nil"/>
            </w:tcBorders>
          </w:tcPr>
          <w:p w:rsidR="00883552" w:rsidRDefault="00883552" w:rsidP="00883552">
            <w:pPr>
              <w:pStyle w:val="Tabletextright"/>
              <w:keepNext/>
            </w:pPr>
            <w:r>
              <w:t>2 198</w:t>
            </w:r>
          </w:p>
        </w:tc>
        <w:tc>
          <w:tcPr>
            <w:tcW w:w="1238" w:type="dxa"/>
            <w:tcBorders>
              <w:top w:val="nil"/>
              <w:left w:val="nil"/>
              <w:right w:val="single" w:sz="4" w:space="0" w:color="auto"/>
            </w:tcBorders>
          </w:tcPr>
          <w:p w:rsidR="00883552" w:rsidRDefault="00883552" w:rsidP="00883552">
            <w:pPr>
              <w:pStyle w:val="Tabletextright"/>
              <w:keepNext/>
            </w:pPr>
            <w:r w:rsidRPr="00E426B4">
              <w:rPr>
                <w:color w:val="943634"/>
              </w:rPr>
              <w:t>▲</w:t>
            </w:r>
            <w:r>
              <w:rPr>
                <w:color w:val="F79646"/>
              </w:rPr>
              <w:t xml:space="preserve"> </w:t>
            </w:r>
            <w:r w:rsidRPr="00E24315">
              <w:t>13.9</w:t>
            </w:r>
          </w:p>
        </w:tc>
        <w:tc>
          <w:tcPr>
            <w:tcW w:w="1238" w:type="dxa"/>
            <w:tcBorders>
              <w:top w:val="nil"/>
              <w:left w:val="single" w:sz="4" w:space="0" w:color="auto"/>
              <w:right w:val="nil"/>
            </w:tcBorders>
          </w:tcPr>
          <w:p w:rsidR="00883552" w:rsidRDefault="00883552" w:rsidP="00883552">
            <w:pPr>
              <w:pStyle w:val="Tabletextright"/>
              <w:keepNext/>
            </w:pPr>
            <w:r>
              <w:t>5 551</w:t>
            </w:r>
          </w:p>
        </w:tc>
        <w:tc>
          <w:tcPr>
            <w:tcW w:w="1238" w:type="dxa"/>
            <w:tcBorders>
              <w:top w:val="nil"/>
              <w:left w:val="nil"/>
              <w:right w:val="nil"/>
            </w:tcBorders>
          </w:tcPr>
          <w:p w:rsidR="00883552" w:rsidRDefault="00883552" w:rsidP="00883552">
            <w:pPr>
              <w:pStyle w:val="Tabletextright"/>
              <w:keepNext/>
            </w:pPr>
            <w:r w:rsidRPr="00E426B4">
              <w:rPr>
                <w:color w:val="943634"/>
              </w:rPr>
              <w:t>▲</w:t>
            </w:r>
            <w:r>
              <w:rPr>
                <w:color w:val="943634"/>
              </w:rPr>
              <w:t xml:space="preserve"> </w:t>
            </w:r>
            <w:r>
              <w:t>4.5</w:t>
            </w:r>
          </w:p>
        </w:tc>
      </w:tr>
    </w:tbl>
    <w:p w:rsidR="00883552" w:rsidRDefault="00883552" w:rsidP="00861426">
      <w:pPr>
        <w:pStyle w:val="Sourceandnotes"/>
      </w:pPr>
      <w:r>
        <w:t>Note:</w:t>
      </w:r>
      <w:r>
        <w:tab/>
        <w:t>Real values in 2014</w:t>
      </w:r>
      <w:r>
        <w:noBreakHyphen/>
        <w:t>15 dollars</w:t>
      </w:r>
    </w:p>
    <w:p w:rsidR="00883552" w:rsidRPr="00D0185D" w:rsidRDefault="00883552" w:rsidP="00883552">
      <w:pPr>
        <w:pStyle w:val="Numberedheading3"/>
        <w:tabs>
          <w:tab w:val="clear" w:pos="1384"/>
          <w:tab w:val="num" w:pos="993"/>
        </w:tabs>
        <w:ind w:left="993" w:hanging="993"/>
      </w:pPr>
      <w:r w:rsidRPr="00D0185D">
        <w:t>Car parking revenue as a percentage of</w:t>
      </w:r>
      <w:r>
        <w:t xml:space="preserve"> total airport revenue</w:t>
      </w:r>
    </w:p>
    <w:p w:rsidR="00883552" w:rsidRDefault="00883552" w:rsidP="00883552">
      <w:pPr>
        <w:keepNext/>
      </w:pPr>
      <w:r>
        <w:t xml:space="preserve">Chart 1.7.1 displays car parking revenue as a percentage of total airport revenue for the monitored airports over the period from 2010-11 to 2014-15. </w:t>
      </w:r>
      <w:r w:rsidRPr="006D0B5E">
        <w:t>Total airport revenue includes revenue from other operations such as car parks, retail leases, commercial property leases and aeronautical revenue</w:t>
      </w:r>
      <w:r>
        <w:t>.</w:t>
      </w:r>
    </w:p>
    <w:p w:rsidR="00883552" w:rsidRDefault="00883552" w:rsidP="00883552">
      <w:pPr>
        <w:keepNext/>
      </w:pPr>
      <w:proofErr w:type="gramStart"/>
      <w:r>
        <w:t xml:space="preserve">Melbourne Airport’s </w:t>
      </w:r>
      <w:r w:rsidRPr="00D54AAF">
        <w:t>share of car parking revenue to total airport revenue</w:t>
      </w:r>
      <w:r>
        <w:t xml:space="preserve"> increased by 1.4 percentage points to 19.5 per cent during 2014-15.</w:t>
      </w:r>
      <w:proofErr w:type="gramEnd"/>
      <w:r>
        <w:t xml:space="preserve"> This is the first increase for Melbourne Airport since 2010-11. C</w:t>
      </w:r>
      <w:r w:rsidRPr="005831BC">
        <w:t>hart 1.</w:t>
      </w:r>
      <w:r>
        <w:t>7.1</w:t>
      </w:r>
      <w:r w:rsidRPr="005831BC">
        <w:t xml:space="preserve"> shows that</w:t>
      </w:r>
      <w:r>
        <w:t xml:space="preserve"> Melbourne Airport has consistently reported the highest percentage over the period presented. </w:t>
      </w:r>
    </w:p>
    <w:p w:rsidR="00883552" w:rsidRDefault="00883552" w:rsidP="00883552">
      <w:pPr>
        <w:keepNext/>
      </w:pPr>
      <w:r>
        <w:t xml:space="preserve">Perth Airport’s share of car parking revenue to total airport revenue dropped 1.8 percentage points to 15.2 per cent in 2014-15. Sydney Airport continues to report the lowest share with 10.7 per cent.  </w:t>
      </w:r>
    </w:p>
    <w:p w:rsidR="00883552" w:rsidRDefault="00883552" w:rsidP="00883552">
      <w:pPr>
        <w:pStyle w:val="Numberedcharttitle"/>
      </w:pPr>
    </w:p>
    <w:p w:rsidR="00883552" w:rsidRDefault="00883552" w:rsidP="00883552">
      <w:pPr>
        <w:pStyle w:val="Numberedcharttitle"/>
      </w:pPr>
    </w:p>
    <w:p w:rsidR="00883552" w:rsidRDefault="00883552" w:rsidP="00883552">
      <w:pPr>
        <w:pStyle w:val="Numberedcharttitle"/>
      </w:pPr>
      <w:r>
        <w:lastRenderedPageBreak/>
        <w:t>Chart 1.7.1:</w:t>
      </w:r>
      <w:r>
        <w:tab/>
        <w:t xml:space="preserve">Car parking revenue as a percentage of total airport revenue: </w:t>
      </w:r>
      <w:r>
        <w:br/>
        <w:t>2010</w:t>
      </w:r>
      <w:r>
        <w:noBreakHyphen/>
        <w:t>11 to 2014</w:t>
      </w:r>
      <w:r>
        <w:noBreakHyphen/>
        <w:t>15</w:t>
      </w:r>
    </w:p>
    <w:p w:rsidR="00883552" w:rsidRDefault="00883552" w:rsidP="00883552">
      <w:pPr>
        <w:pStyle w:val="Numberedcharttitle"/>
      </w:pPr>
      <w:r w:rsidRPr="003E3E37">
        <w:rPr>
          <w:noProof/>
          <w:lang w:eastAsia="en-AU"/>
        </w:rPr>
        <w:drawing>
          <wp:inline distT="0" distB="0" distL="0" distR="0" wp14:anchorId="62073CF3" wp14:editId="4ABA112A">
            <wp:extent cx="5364480" cy="2720803"/>
            <wp:effectExtent l="0" t="0" r="762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64480" cy="2720803"/>
                    </a:xfrm>
                    <a:prstGeom prst="rect">
                      <a:avLst/>
                    </a:prstGeom>
                    <a:noFill/>
                    <a:ln>
                      <a:noFill/>
                    </a:ln>
                  </pic:spPr>
                </pic:pic>
              </a:graphicData>
            </a:graphic>
          </wp:inline>
        </w:drawing>
      </w:r>
    </w:p>
    <w:p w:rsidR="00883552" w:rsidRDefault="00883552" w:rsidP="00114E05">
      <w:pPr>
        <w:pStyle w:val="Numberedheading2"/>
      </w:pPr>
      <w:r>
        <w:t>Landside access prices and revenues</w:t>
      </w:r>
    </w:p>
    <w:p w:rsidR="00883552" w:rsidRDefault="00883552" w:rsidP="00883552">
      <w:pPr>
        <w:keepNext/>
      </w:pPr>
      <w:r>
        <w:t>Landside areas within the precincts of monitored airports provide another revenue source for airports. There are a number of businesses that require access to landside areas including private car operators, taxis, buses, train operators and off</w:t>
      </w:r>
      <w:r>
        <w:noBreakHyphen/>
        <w:t>airport car parking operators. These businesses provide a range of alternatives to on-airport parking and therefore are an important constraint on car parking monopoly pricing. Airports set the price, terms and conditions of access to airport land, which is a bottleneck infrastructure area. As the airports’ car parking facilities are generally in direct competition with the businesses that require access to landside infrastructure, airports have an incentive to influence the level of competition through the prices, terms and conditions they set for landside access.</w:t>
      </w:r>
    </w:p>
    <w:p w:rsidR="00883552" w:rsidRDefault="00883552" w:rsidP="00883552">
      <w:pPr>
        <w:keepNext/>
      </w:pPr>
      <w:r>
        <w:t>This section presents prices and revenues associated with landside access, which provides an indication of the range of alternatives to on</w:t>
      </w:r>
      <w:r>
        <w:noBreakHyphen/>
        <w:t xml:space="preserve">airport car parking and the conditions imposed on the operators of these services. </w:t>
      </w:r>
    </w:p>
    <w:p w:rsidR="00883552" w:rsidRDefault="00883552" w:rsidP="00883552">
      <w:pPr>
        <w:pStyle w:val="Numberedheading3"/>
        <w:tabs>
          <w:tab w:val="clear" w:pos="1384"/>
          <w:tab w:val="num" w:pos="993"/>
        </w:tabs>
        <w:ind w:left="993" w:hanging="993"/>
      </w:pPr>
      <w:r>
        <w:t xml:space="preserve">Landside access prices </w:t>
      </w:r>
    </w:p>
    <w:p w:rsidR="00883552" w:rsidRDefault="00883552" w:rsidP="00883552">
      <w:pPr>
        <w:keepNext/>
      </w:pPr>
      <w:r>
        <w:t xml:space="preserve">Landside access pricing changes for the monitored airports were varied during 2014-15. Sydney Airport reported the largest landside pricing changes for all services during 2014-15. Private bus charges increased by between 5.9 to 10.6 per cent in real terms while taxi charges increased by 4.9 per cent in real terms. Both Melbourne and Perth Airports left nominal prices unchanged during 2014-15 for taxis and private cars and therefore had a real decrease of 1.7 per cent. Brisbane and Sydney airports increased all landside charges during 2014-15. Brisbane Airport charges for taxis increased by 1.3 per cent in real terms while fees from the air train corridor lease increased by 3.4 per cent in real terms. </w:t>
      </w:r>
    </w:p>
    <w:p w:rsidR="00883552" w:rsidRDefault="00883552" w:rsidP="00883552">
      <w:pPr>
        <w:pStyle w:val="Numberedheading3"/>
        <w:tabs>
          <w:tab w:val="clear" w:pos="1384"/>
          <w:tab w:val="num" w:pos="993"/>
        </w:tabs>
        <w:ind w:left="993" w:hanging="993"/>
      </w:pPr>
      <w:r>
        <w:t>Landside revenues</w:t>
      </w:r>
    </w:p>
    <w:p w:rsidR="00883552" w:rsidRDefault="00883552" w:rsidP="00883552">
      <w:pPr>
        <w:keepNext/>
      </w:pPr>
      <w:r>
        <w:t xml:space="preserve">Table 1.8.1 presents landside revenues as at 30 June 2014 and 30 June 2015.  The largest increase in landside revenues occurred at Melbourne Airport, increasing by 46.5 in real terms during 2014-15. The majority of Melbourne Airport’s landside revenue increase was due to an increase in taxi fees in April 2014 which increased from $1.32 to $2.70 per taxi in nominal terms. </w:t>
      </w:r>
      <w:proofErr w:type="gramStart"/>
      <w:r>
        <w:t xml:space="preserve">Sydney Airport’s landside revenue increased by 13.3 per cent in real terms during </w:t>
      </w:r>
      <w:r>
        <w:lastRenderedPageBreak/>
        <w:t>2014</w:t>
      </w:r>
      <w:r>
        <w:noBreakHyphen/>
        <w:t>15.</w:t>
      </w:r>
      <w:proofErr w:type="gramEnd"/>
      <w:r>
        <w:t xml:space="preserve"> It reported the highest aggregate landside revenue of the monitored airports over the period from 2009-10 to 2014-15. </w:t>
      </w:r>
    </w:p>
    <w:p w:rsidR="00883552" w:rsidRPr="00CD3051" w:rsidRDefault="00883552" w:rsidP="00883552">
      <w:pPr>
        <w:keepNext/>
        <w:spacing w:before="240" w:after="200" w:line="276" w:lineRule="auto"/>
        <w:ind w:left="1440" w:hanging="1440"/>
        <w:outlineLvl w:val="3"/>
        <w:rPr>
          <w:b/>
          <w:color w:val="51626F"/>
        </w:rPr>
      </w:pPr>
      <w:r w:rsidRPr="00CD3051">
        <w:rPr>
          <w:b/>
          <w:color w:val="51626F"/>
        </w:rPr>
        <w:t>Table 1.8.1:</w:t>
      </w:r>
      <w:r w:rsidRPr="00CD3051">
        <w:rPr>
          <w:b/>
          <w:color w:val="51626F"/>
        </w:rPr>
        <w:tab/>
        <w:t>Landside access revenues as at 30 June 201</w:t>
      </w:r>
      <w:r>
        <w:rPr>
          <w:b/>
          <w:color w:val="51626F"/>
        </w:rPr>
        <w:t>4</w:t>
      </w:r>
      <w:r w:rsidRPr="00CD3051">
        <w:rPr>
          <w:b/>
          <w:color w:val="51626F"/>
        </w:rPr>
        <w:t xml:space="preserve"> and 30 June 201</w:t>
      </w:r>
      <w:r>
        <w:rPr>
          <w:b/>
          <w:color w:val="51626F"/>
        </w:rPr>
        <w:t>5</w:t>
      </w:r>
      <w:r w:rsidRPr="00CD3051">
        <w:rPr>
          <w:b/>
          <w:color w:val="51626F"/>
        </w:rPr>
        <w:t>, and percentage change in real terms</w:t>
      </w:r>
    </w:p>
    <w:tbl>
      <w:tblPr>
        <w:tblStyle w:val="TableGrid2"/>
        <w:tblW w:w="0" w:type="auto"/>
        <w:tblLook w:val="04A0" w:firstRow="1" w:lastRow="0" w:firstColumn="1" w:lastColumn="0" w:noHBand="0" w:noVBand="1"/>
      </w:tblPr>
      <w:tblGrid>
        <w:gridCol w:w="1242"/>
        <w:gridCol w:w="1418"/>
        <w:gridCol w:w="1501"/>
        <w:gridCol w:w="1501"/>
        <w:gridCol w:w="1501"/>
        <w:gridCol w:w="1501"/>
      </w:tblGrid>
      <w:tr w:rsidR="00883552" w:rsidRPr="00CD3051" w:rsidTr="00883552">
        <w:tc>
          <w:tcPr>
            <w:tcW w:w="1242" w:type="dxa"/>
            <w:tcBorders>
              <w:left w:val="nil"/>
              <w:bottom w:val="nil"/>
              <w:right w:val="nil"/>
            </w:tcBorders>
            <w:shd w:val="clear" w:color="auto" w:fill="DFE0DC"/>
          </w:tcPr>
          <w:p w:rsidR="00883552" w:rsidRPr="00CD3051" w:rsidRDefault="00883552" w:rsidP="00883552">
            <w:pPr>
              <w:keepNext/>
              <w:spacing w:before="40" w:after="40"/>
              <w:rPr>
                <w:sz w:val="18"/>
              </w:rPr>
            </w:pPr>
          </w:p>
        </w:tc>
        <w:tc>
          <w:tcPr>
            <w:tcW w:w="1418" w:type="dxa"/>
            <w:tcBorders>
              <w:left w:val="nil"/>
              <w:bottom w:val="nil"/>
              <w:right w:val="single" w:sz="4" w:space="0" w:color="auto"/>
            </w:tcBorders>
            <w:shd w:val="clear" w:color="auto" w:fill="DFE0DC"/>
          </w:tcPr>
          <w:p w:rsidR="00883552" w:rsidRPr="00CD3051" w:rsidRDefault="00883552" w:rsidP="00883552">
            <w:pPr>
              <w:keepNext/>
              <w:spacing w:before="40" w:after="40"/>
              <w:rPr>
                <w:sz w:val="18"/>
              </w:rPr>
            </w:pPr>
          </w:p>
        </w:tc>
        <w:tc>
          <w:tcPr>
            <w:tcW w:w="6004" w:type="dxa"/>
            <w:gridSpan w:val="4"/>
            <w:tcBorders>
              <w:left w:val="single" w:sz="4" w:space="0" w:color="auto"/>
              <w:bottom w:val="nil"/>
              <w:right w:val="nil"/>
            </w:tcBorders>
            <w:shd w:val="clear" w:color="auto" w:fill="DFE0DC"/>
          </w:tcPr>
          <w:p w:rsidR="00883552" w:rsidRPr="00CD3051" w:rsidRDefault="00883552" w:rsidP="00883552">
            <w:pPr>
              <w:keepNext/>
              <w:spacing w:before="40" w:after="40"/>
              <w:jc w:val="center"/>
              <w:rPr>
                <w:b/>
                <w:color w:val="000000" w:themeColor="text1"/>
                <w:sz w:val="18"/>
              </w:rPr>
            </w:pPr>
            <w:r w:rsidRPr="00CD3051">
              <w:rPr>
                <w:b/>
                <w:color w:val="000000" w:themeColor="text1"/>
                <w:sz w:val="18"/>
              </w:rPr>
              <w:t>Airport ($thousand—real values in 201</w:t>
            </w:r>
            <w:r>
              <w:rPr>
                <w:b/>
                <w:color w:val="000000" w:themeColor="text1"/>
                <w:sz w:val="18"/>
              </w:rPr>
              <w:t>4</w:t>
            </w:r>
            <w:r w:rsidRPr="00CD3051">
              <w:rPr>
                <w:b/>
                <w:color w:val="000000" w:themeColor="text1"/>
                <w:sz w:val="18"/>
              </w:rPr>
              <w:noBreakHyphen/>
              <w:t>1</w:t>
            </w:r>
            <w:r>
              <w:rPr>
                <w:b/>
                <w:color w:val="000000" w:themeColor="text1"/>
                <w:sz w:val="18"/>
              </w:rPr>
              <w:t>5</w:t>
            </w:r>
            <w:r w:rsidRPr="00CD3051">
              <w:rPr>
                <w:b/>
                <w:color w:val="000000" w:themeColor="text1"/>
                <w:sz w:val="18"/>
              </w:rPr>
              <w:t xml:space="preserve"> dollars)</w:t>
            </w:r>
          </w:p>
        </w:tc>
      </w:tr>
      <w:tr w:rsidR="00883552" w:rsidRPr="00CD3051" w:rsidTr="00883552">
        <w:tc>
          <w:tcPr>
            <w:tcW w:w="1242" w:type="dxa"/>
            <w:tcBorders>
              <w:top w:val="nil"/>
              <w:left w:val="nil"/>
              <w:bottom w:val="single" w:sz="4" w:space="0" w:color="auto"/>
              <w:right w:val="nil"/>
            </w:tcBorders>
            <w:shd w:val="clear" w:color="auto" w:fill="DFE0DC"/>
          </w:tcPr>
          <w:p w:rsidR="00883552" w:rsidRPr="00CD3051" w:rsidRDefault="00883552" w:rsidP="00883552">
            <w:pPr>
              <w:keepNext/>
              <w:spacing w:before="40" w:after="40"/>
              <w:rPr>
                <w:b/>
                <w:color w:val="000000" w:themeColor="text1"/>
                <w:sz w:val="18"/>
              </w:rPr>
            </w:pPr>
            <w:r w:rsidRPr="00CD3051">
              <w:rPr>
                <w:b/>
                <w:color w:val="000000" w:themeColor="text1"/>
                <w:sz w:val="18"/>
              </w:rPr>
              <w:t>Type of fee</w:t>
            </w:r>
          </w:p>
        </w:tc>
        <w:tc>
          <w:tcPr>
            <w:tcW w:w="1418" w:type="dxa"/>
            <w:tcBorders>
              <w:top w:val="nil"/>
              <w:left w:val="nil"/>
              <w:bottom w:val="single" w:sz="4" w:space="0" w:color="auto"/>
              <w:right w:val="single" w:sz="4" w:space="0" w:color="auto"/>
            </w:tcBorders>
            <w:shd w:val="clear" w:color="auto" w:fill="DFE0DC"/>
          </w:tcPr>
          <w:p w:rsidR="00883552" w:rsidRPr="00CD3051" w:rsidRDefault="00883552" w:rsidP="00883552">
            <w:pPr>
              <w:keepNext/>
              <w:spacing w:before="40" w:after="40"/>
              <w:rPr>
                <w:b/>
                <w:color w:val="000000" w:themeColor="text1"/>
                <w:sz w:val="18"/>
              </w:rPr>
            </w:pPr>
            <w:r w:rsidRPr="00CD3051">
              <w:rPr>
                <w:b/>
                <w:color w:val="000000" w:themeColor="text1"/>
                <w:sz w:val="18"/>
              </w:rPr>
              <w:t>Year</w:t>
            </w:r>
          </w:p>
        </w:tc>
        <w:tc>
          <w:tcPr>
            <w:tcW w:w="1501" w:type="dxa"/>
            <w:tcBorders>
              <w:top w:val="nil"/>
              <w:left w:val="single" w:sz="4" w:space="0" w:color="auto"/>
              <w:bottom w:val="single" w:sz="4" w:space="0" w:color="auto"/>
              <w:right w:val="nil"/>
            </w:tcBorders>
            <w:shd w:val="clear" w:color="auto" w:fill="DFE0DC"/>
          </w:tcPr>
          <w:p w:rsidR="00883552" w:rsidRPr="00CD3051" w:rsidRDefault="00883552" w:rsidP="00883552">
            <w:pPr>
              <w:keepNext/>
              <w:spacing w:before="40" w:after="40"/>
              <w:jc w:val="right"/>
              <w:rPr>
                <w:b/>
                <w:color w:val="000000" w:themeColor="text1"/>
                <w:sz w:val="18"/>
              </w:rPr>
            </w:pPr>
            <w:r w:rsidRPr="00CD3051">
              <w:rPr>
                <w:b/>
                <w:color w:val="000000" w:themeColor="text1"/>
                <w:sz w:val="18"/>
              </w:rPr>
              <w:t>Brisbane</w:t>
            </w:r>
          </w:p>
        </w:tc>
        <w:tc>
          <w:tcPr>
            <w:tcW w:w="1501" w:type="dxa"/>
            <w:tcBorders>
              <w:top w:val="nil"/>
              <w:left w:val="nil"/>
              <w:bottom w:val="single" w:sz="4" w:space="0" w:color="auto"/>
              <w:right w:val="nil"/>
            </w:tcBorders>
            <w:shd w:val="clear" w:color="auto" w:fill="DFE0DC"/>
          </w:tcPr>
          <w:p w:rsidR="00883552" w:rsidRPr="00CD3051" w:rsidRDefault="00883552" w:rsidP="00883552">
            <w:pPr>
              <w:keepNext/>
              <w:spacing w:before="40" w:after="40"/>
              <w:jc w:val="right"/>
              <w:rPr>
                <w:b/>
                <w:color w:val="000000" w:themeColor="text1"/>
                <w:sz w:val="18"/>
              </w:rPr>
            </w:pPr>
            <w:r w:rsidRPr="00CD3051">
              <w:rPr>
                <w:b/>
                <w:color w:val="000000" w:themeColor="text1"/>
                <w:sz w:val="18"/>
              </w:rPr>
              <w:t>Melbourne</w:t>
            </w:r>
          </w:p>
        </w:tc>
        <w:tc>
          <w:tcPr>
            <w:tcW w:w="1501" w:type="dxa"/>
            <w:tcBorders>
              <w:top w:val="nil"/>
              <w:left w:val="nil"/>
              <w:bottom w:val="single" w:sz="4" w:space="0" w:color="auto"/>
              <w:right w:val="nil"/>
            </w:tcBorders>
            <w:shd w:val="clear" w:color="auto" w:fill="DFE0DC"/>
          </w:tcPr>
          <w:p w:rsidR="00883552" w:rsidRPr="00CD3051" w:rsidRDefault="00883552" w:rsidP="00883552">
            <w:pPr>
              <w:keepNext/>
              <w:spacing w:before="40" w:after="40"/>
              <w:jc w:val="right"/>
              <w:rPr>
                <w:b/>
                <w:color w:val="000000" w:themeColor="text1"/>
                <w:sz w:val="18"/>
              </w:rPr>
            </w:pPr>
            <w:r w:rsidRPr="00CD3051">
              <w:rPr>
                <w:b/>
                <w:color w:val="000000" w:themeColor="text1"/>
                <w:sz w:val="18"/>
              </w:rPr>
              <w:t>Perth</w:t>
            </w:r>
          </w:p>
        </w:tc>
        <w:tc>
          <w:tcPr>
            <w:tcW w:w="1501" w:type="dxa"/>
            <w:tcBorders>
              <w:top w:val="nil"/>
              <w:left w:val="nil"/>
              <w:bottom w:val="single" w:sz="4" w:space="0" w:color="auto"/>
              <w:right w:val="nil"/>
            </w:tcBorders>
            <w:shd w:val="clear" w:color="auto" w:fill="DFE0DC"/>
          </w:tcPr>
          <w:p w:rsidR="00883552" w:rsidRPr="00CD3051" w:rsidRDefault="00883552" w:rsidP="00883552">
            <w:pPr>
              <w:keepNext/>
              <w:spacing w:before="40" w:after="40"/>
              <w:jc w:val="right"/>
              <w:rPr>
                <w:b/>
                <w:color w:val="000000" w:themeColor="text1"/>
                <w:sz w:val="18"/>
              </w:rPr>
            </w:pPr>
            <w:r w:rsidRPr="00CD3051">
              <w:rPr>
                <w:b/>
                <w:color w:val="000000" w:themeColor="text1"/>
                <w:sz w:val="18"/>
              </w:rPr>
              <w:t>Sydney</w:t>
            </w:r>
          </w:p>
        </w:tc>
      </w:tr>
      <w:tr w:rsidR="00883552" w:rsidRPr="000040E4" w:rsidTr="00883552">
        <w:tc>
          <w:tcPr>
            <w:tcW w:w="1242" w:type="dxa"/>
            <w:vMerge w:val="restart"/>
            <w:tcBorders>
              <w:left w:val="nil"/>
              <w:bottom w:val="nil"/>
              <w:right w:val="nil"/>
            </w:tcBorders>
          </w:tcPr>
          <w:p w:rsidR="00883552" w:rsidRPr="00CD3051" w:rsidRDefault="00883552" w:rsidP="00883552">
            <w:pPr>
              <w:keepNext/>
              <w:spacing w:before="40" w:after="40"/>
              <w:rPr>
                <w:b/>
                <w:color w:val="000000" w:themeColor="text1"/>
                <w:sz w:val="18"/>
              </w:rPr>
            </w:pPr>
            <w:r w:rsidRPr="00CD3051">
              <w:rPr>
                <w:b/>
                <w:color w:val="000000" w:themeColor="text1"/>
                <w:sz w:val="18"/>
              </w:rPr>
              <w:t>Taxi</w:t>
            </w:r>
          </w:p>
        </w:tc>
        <w:tc>
          <w:tcPr>
            <w:tcW w:w="1418" w:type="dxa"/>
            <w:tcBorders>
              <w:left w:val="nil"/>
              <w:bottom w:val="nil"/>
            </w:tcBorders>
          </w:tcPr>
          <w:p w:rsidR="00883552" w:rsidRPr="00CD3051" w:rsidRDefault="00883552" w:rsidP="00883552">
            <w:pPr>
              <w:keepNext/>
              <w:spacing w:before="40" w:after="40"/>
              <w:rPr>
                <w:sz w:val="18"/>
              </w:rPr>
            </w:pPr>
            <w:r w:rsidRPr="00CD3051">
              <w:rPr>
                <w:sz w:val="18"/>
              </w:rPr>
              <w:t>201</w:t>
            </w:r>
            <w:r>
              <w:rPr>
                <w:sz w:val="18"/>
              </w:rPr>
              <w:t>3</w:t>
            </w:r>
            <w:r w:rsidRPr="00CD3051">
              <w:rPr>
                <w:sz w:val="18"/>
              </w:rPr>
              <w:t>-1</w:t>
            </w:r>
            <w:r>
              <w:rPr>
                <w:sz w:val="18"/>
              </w:rPr>
              <w:t>4</w:t>
            </w:r>
          </w:p>
        </w:tc>
        <w:tc>
          <w:tcPr>
            <w:tcW w:w="1501" w:type="dxa"/>
            <w:tcBorders>
              <w:bottom w:val="nil"/>
              <w:right w:val="nil"/>
            </w:tcBorders>
          </w:tcPr>
          <w:p w:rsidR="00883552" w:rsidRPr="00CD3051" w:rsidRDefault="00883552" w:rsidP="00883552">
            <w:pPr>
              <w:keepNext/>
              <w:spacing w:before="40" w:after="40"/>
              <w:jc w:val="right"/>
              <w:rPr>
                <w:sz w:val="18"/>
              </w:rPr>
            </w:pPr>
            <w:r w:rsidRPr="00CD3051">
              <w:rPr>
                <w:sz w:val="18"/>
              </w:rPr>
              <w:t xml:space="preserve">3 </w:t>
            </w:r>
            <w:r>
              <w:rPr>
                <w:sz w:val="18"/>
              </w:rPr>
              <w:t>984</w:t>
            </w:r>
          </w:p>
        </w:tc>
        <w:tc>
          <w:tcPr>
            <w:tcW w:w="1501" w:type="dxa"/>
            <w:tcBorders>
              <w:left w:val="nil"/>
              <w:bottom w:val="nil"/>
              <w:right w:val="nil"/>
            </w:tcBorders>
          </w:tcPr>
          <w:p w:rsidR="00883552" w:rsidRPr="00DC7FA1" w:rsidRDefault="00883552" w:rsidP="00883552">
            <w:pPr>
              <w:keepNext/>
              <w:spacing w:before="40" w:after="40"/>
              <w:jc w:val="right"/>
              <w:rPr>
                <w:sz w:val="18"/>
              </w:rPr>
            </w:pPr>
            <w:r>
              <w:rPr>
                <w:sz w:val="18"/>
              </w:rPr>
              <w:t>2 833</w:t>
            </w:r>
          </w:p>
        </w:tc>
        <w:tc>
          <w:tcPr>
            <w:tcW w:w="1501" w:type="dxa"/>
            <w:tcBorders>
              <w:left w:val="nil"/>
              <w:bottom w:val="nil"/>
              <w:right w:val="nil"/>
            </w:tcBorders>
          </w:tcPr>
          <w:p w:rsidR="00883552" w:rsidRPr="00DC7FA1" w:rsidRDefault="00883552" w:rsidP="00883552">
            <w:pPr>
              <w:keepNext/>
              <w:spacing w:before="40" w:after="40"/>
              <w:jc w:val="right"/>
              <w:rPr>
                <w:sz w:val="18"/>
              </w:rPr>
            </w:pPr>
            <w:r>
              <w:rPr>
                <w:sz w:val="18"/>
              </w:rPr>
              <w:t>2 385</w:t>
            </w:r>
          </w:p>
        </w:tc>
        <w:tc>
          <w:tcPr>
            <w:tcW w:w="1501" w:type="dxa"/>
            <w:tcBorders>
              <w:left w:val="nil"/>
              <w:bottom w:val="nil"/>
              <w:right w:val="nil"/>
            </w:tcBorders>
          </w:tcPr>
          <w:p w:rsidR="00883552" w:rsidRPr="000040E4" w:rsidRDefault="00883552" w:rsidP="00883552">
            <w:pPr>
              <w:keepNext/>
              <w:spacing w:before="40" w:after="40"/>
              <w:jc w:val="right"/>
              <w:rPr>
                <w:sz w:val="18"/>
              </w:rPr>
            </w:pPr>
            <w:r>
              <w:rPr>
                <w:sz w:val="18"/>
              </w:rPr>
              <w:t>10 986</w:t>
            </w:r>
          </w:p>
        </w:tc>
      </w:tr>
      <w:tr w:rsidR="00883552" w:rsidRPr="000040E4" w:rsidTr="00883552">
        <w:tc>
          <w:tcPr>
            <w:tcW w:w="1242" w:type="dxa"/>
            <w:vMerge/>
            <w:tcBorders>
              <w:top w:val="nil"/>
              <w:left w:val="nil"/>
              <w:bottom w:val="nil"/>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nil"/>
            </w:tcBorders>
          </w:tcPr>
          <w:p w:rsidR="00883552" w:rsidRPr="00CD3051" w:rsidRDefault="00883552" w:rsidP="00883552">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top w:val="nil"/>
              <w:bottom w:val="nil"/>
              <w:right w:val="nil"/>
            </w:tcBorders>
          </w:tcPr>
          <w:p w:rsidR="00883552" w:rsidRPr="00CD3051" w:rsidRDefault="00883552" w:rsidP="00883552">
            <w:pPr>
              <w:keepNext/>
              <w:spacing w:before="40" w:after="40"/>
              <w:jc w:val="right"/>
              <w:rPr>
                <w:sz w:val="18"/>
              </w:rPr>
            </w:pPr>
            <w:r>
              <w:rPr>
                <w:sz w:val="18"/>
              </w:rPr>
              <w:t>4 102</w:t>
            </w:r>
          </w:p>
        </w:tc>
        <w:tc>
          <w:tcPr>
            <w:tcW w:w="1501" w:type="dxa"/>
            <w:tcBorders>
              <w:top w:val="nil"/>
              <w:left w:val="nil"/>
              <w:bottom w:val="nil"/>
              <w:right w:val="nil"/>
            </w:tcBorders>
          </w:tcPr>
          <w:p w:rsidR="00883552" w:rsidRPr="00DC7FA1" w:rsidRDefault="00883552" w:rsidP="00883552">
            <w:pPr>
              <w:keepNext/>
              <w:spacing w:before="40" w:after="40"/>
              <w:jc w:val="right"/>
              <w:rPr>
                <w:sz w:val="18"/>
              </w:rPr>
            </w:pPr>
            <w:r>
              <w:rPr>
                <w:sz w:val="18"/>
              </w:rPr>
              <w:t>5 255</w:t>
            </w:r>
          </w:p>
        </w:tc>
        <w:tc>
          <w:tcPr>
            <w:tcW w:w="1501" w:type="dxa"/>
            <w:tcBorders>
              <w:top w:val="nil"/>
              <w:left w:val="nil"/>
              <w:bottom w:val="nil"/>
              <w:right w:val="nil"/>
            </w:tcBorders>
          </w:tcPr>
          <w:p w:rsidR="00883552" w:rsidRPr="00DC7FA1" w:rsidRDefault="00883552" w:rsidP="00883552">
            <w:pPr>
              <w:keepNext/>
              <w:spacing w:before="40" w:after="40"/>
              <w:jc w:val="right"/>
              <w:rPr>
                <w:sz w:val="18"/>
              </w:rPr>
            </w:pPr>
            <w:r>
              <w:rPr>
                <w:sz w:val="18"/>
              </w:rPr>
              <w:t>2 302</w:t>
            </w:r>
          </w:p>
        </w:tc>
        <w:tc>
          <w:tcPr>
            <w:tcW w:w="1501" w:type="dxa"/>
            <w:tcBorders>
              <w:top w:val="nil"/>
              <w:left w:val="nil"/>
              <w:bottom w:val="nil"/>
              <w:right w:val="nil"/>
            </w:tcBorders>
          </w:tcPr>
          <w:p w:rsidR="00883552" w:rsidRPr="000040E4" w:rsidRDefault="00883552" w:rsidP="00883552">
            <w:pPr>
              <w:keepNext/>
              <w:spacing w:before="40" w:after="40"/>
              <w:jc w:val="right"/>
              <w:rPr>
                <w:sz w:val="18"/>
              </w:rPr>
            </w:pPr>
            <w:r w:rsidRPr="00EF6AA7">
              <w:rPr>
                <w:sz w:val="18"/>
              </w:rPr>
              <w:t>11 653</w:t>
            </w:r>
          </w:p>
        </w:tc>
      </w:tr>
      <w:tr w:rsidR="00883552" w:rsidRPr="00CD3051" w:rsidTr="00883552">
        <w:tc>
          <w:tcPr>
            <w:tcW w:w="1242" w:type="dxa"/>
            <w:vMerge/>
            <w:tcBorders>
              <w:top w:val="nil"/>
              <w:left w:val="nil"/>
              <w:bottom w:val="single" w:sz="4" w:space="0" w:color="auto"/>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single" w:sz="4" w:space="0" w:color="auto"/>
            </w:tcBorders>
          </w:tcPr>
          <w:p w:rsidR="00883552" w:rsidRPr="00CD3051" w:rsidRDefault="00883552" w:rsidP="00883552">
            <w:pPr>
              <w:keepNext/>
              <w:spacing w:before="40" w:after="40"/>
              <w:rPr>
                <w:sz w:val="18"/>
              </w:rPr>
            </w:pPr>
            <w:r w:rsidRPr="00CD3051">
              <w:rPr>
                <w:sz w:val="18"/>
              </w:rPr>
              <w:t>% change</w:t>
            </w:r>
          </w:p>
        </w:tc>
        <w:tc>
          <w:tcPr>
            <w:tcW w:w="1501" w:type="dxa"/>
            <w:tcBorders>
              <w:top w:val="nil"/>
              <w:bottom w:val="single" w:sz="4" w:space="0" w:color="auto"/>
              <w:right w:val="nil"/>
            </w:tcBorders>
          </w:tcPr>
          <w:p w:rsidR="00883552" w:rsidRPr="00CD3051" w:rsidRDefault="00883552" w:rsidP="00883552">
            <w:pPr>
              <w:keepNext/>
              <w:spacing w:before="40" w:after="40"/>
              <w:jc w:val="right"/>
              <w:rPr>
                <w:sz w:val="18"/>
              </w:rPr>
            </w:pPr>
            <w:r w:rsidRPr="00CD3051">
              <w:rPr>
                <w:color w:val="943634"/>
                <w:sz w:val="18"/>
              </w:rPr>
              <w:t xml:space="preserve">▲ </w:t>
            </w:r>
            <w:r>
              <w:rPr>
                <w:sz w:val="18"/>
              </w:rPr>
              <w:t>3.0</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color w:val="943634"/>
                <w:sz w:val="18"/>
              </w:rPr>
              <w:t xml:space="preserve">▲ </w:t>
            </w:r>
            <w:r>
              <w:rPr>
                <w:sz w:val="18"/>
              </w:rPr>
              <w:t>85.5</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color w:val="F79646"/>
                <w:sz w:val="18"/>
              </w:rPr>
              <w:t xml:space="preserve">▼ </w:t>
            </w:r>
            <w:r>
              <w:rPr>
                <w:sz w:val="18"/>
              </w:rPr>
              <w:t>3.5</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color w:val="943634"/>
                <w:sz w:val="18"/>
              </w:rPr>
              <w:t xml:space="preserve">▲ </w:t>
            </w:r>
            <w:r>
              <w:rPr>
                <w:sz w:val="18"/>
              </w:rPr>
              <w:t>6.07</w:t>
            </w:r>
          </w:p>
        </w:tc>
      </w:tr>
      <w:tr w:rsidR="00883552" w:rsidRPr="00CD3051" w:rsidTr="00883552">
        <w:tc>
          <w:tcPr>
            <w:tcW w:w="1242" w:type="dxa"/>
            <w:vMerge w:val="restart"/>
            <w:tcBorders>
              <w:top w:val="single" w:sz="4" w:space="0" w:color="auto"/>
              <w:left w:val="nil"/>
              <w:bottom w:val="nil"/>
              <w:right w:val="nil"/>
            </w:tcBorders>
          </w:tcPr>
          <w:p w:rsidR="00883552" w:rsidRPr="00CD3051" w:rsidRDefault="00883552" w:rsidP="00883552">
            <w:pPr>
              <w:keepNext/>
              <w:spacing w:before="40" w:after="40"/>
              <w:rPr>
                <w:b/>
                <w:color w:val="000000" w:themeColor="text1"/>
                <w:sz w:val="18"/>
              </w:rPr>
            </w:pPr>
            <w:r w:rsidRPr="00CD3051">
              <w:rPr>
                <w:b/>
                <w:color w:val="000000" w:themeColor="text1"/>
                <w:sz w:val="18"/>
              </w:rPr>
              <w:t>Public bus</w:t>
            </w:r>
          </w:p>
        </w:tc>
        <w:tc>
          <w:tcPr>
            <w:tcW w:w="1418" w:type="dxa"/>
            <w:tcBorders>
              <w:top w:val="single" w:sz="4" w:space="0" w:color="auto"/>
              <w:left w:val="nil"/>
              <w:bottom w:val="nil"/>
            </w:tcBorders>
          </w:tcPr>
          <w:p w:rsidR="00883552" w:rsidRPr="00CD3051" w:rsidRDefault="00883552" w:rsidP="00883552">
            <w:pPr>
              <w:keepNext/>
              <w:spacing w:before="40" w:after="40"/>
              <w:rPr>
                <w:sz w:val="18"/>
              </w:rPr>
            </w:pPr>
            <w:r w:rsidRPr="00CD3051">
              <w:rPr>
                <w:sz w:val="18"/>
              </w:rPr>
              <w:t>201</w:t>
            </w:r>
            <w:r>
              <w:rPr>
                <w:sz w:val="18"/>
              </w:rPr>
              <w:t>3</w:t>
            </w:r>
            <w:r w:rsidRPr="00CD3051">
              <w:rPr>
                <w:sz w:val="18"/>
              </w:rPr>
              <w:t>-1</w:t>
            </w:r>
            <w:r>
              <w:rPr>
                <w:sz w:val="18"/>
              </w:rPr>
              <w:t>4</w:t>
            </w:r>
          </w:p>
        </w:tc>
        <w:tc>
          <w:tcPr>
            <w:tcW w:w="1501" w:type="dxa"/>
            <w:tcBorders>
              <w:bottom w:val="nil"/>
              <w:right w:val="nil"/>
            </w:tcBorders>
          </w:tcPr>
          <w:p w:rsidR="00883552" w:rsidRPr="00CD3051" w:rsidRDefault="00883552" w:rsidP="00883552">
            <w:pPr>
              <w:keepNext/>
              <w:spacing w:before="40" w:after="40"/>
              <w:jc w:val="right"/>
              <w:rPr>
                <w:sz w:val="18"/>
              </w:rPr>
            </w:pPr>
            <w:r w:rsidRPr="00CD3051">
              <w:rPr>
                <w:sz w:val="18"/>
              </w:rPr>
              <w:t>2</w:t>
            </w:r>
            <w:r>
              <w:rPr>
                <w:sz w:val="18"/>
              </w:rPr>
              <w:t>47</w:t>
            </w:r>
          </w:p>
        </w:tc>
        <w:tc>
          <w:tcPr>
            <w:tcW w:w="1501" w:type="dxa"/>
            <w:tcBorders>
              <w:left w:val="nil"/>
              <w:bottom w:val="nil"/>
              <w:right w:val="nil"/>
            </w:tcBorders>
          </w:tcPr>
          <w:p w:rsidR="00883552" w:rsidRPr="00CD3051" w:rsidRDefault="00883552" w:rsidP="00883552">
            <w:pPr>
              <w:keepNext/>
              <w:spacing w:before="40" w:after="40"/>
              <w:jc w:val="right"/>
              <w:rPr>
                <w:sz w:val="18"/>
              </w:rPr>
            </w:pPr>
            <w:r w:rsidRPr="00CD3051">
              <w:rPr>
                <w:sz w:val="18"/>
              </w:rPr>
              <w:t>0</w:t>
            </w:r>
          </w:p>
        </w:tc>
        <w:tc>
          <w:tcPr>
            <w:tcW w:w="1501" w:type="dxa"/>
            <w:tcBorders>
              <w:left w:val="nil"/>
              <w:bottom w:val="nil"/>
              <w:right w:val="nil"/>
            </w:tcBorders>
          </w:tcPr>
          <w:p w:rsidR="00883552" w:rsidRPr="00CD3051" w:rsidRDefault="00883552" w:rsidP="00883552">
            <w:pPr>
              <w:keepNext/>
              <w:spacing w:before="40" w:after="40"/>
              <w:jc w:val="right"/>
              <w:rPr>
                <w:sz w:val="18"/>
              </w:rPr>
            </w:pPr>
            <w:r w:rsidRPr="00CD3051">
              <w:rPr>
                <w:sz w:val="18"/>
              </w:rPr>
              <w:t>0</w:t>
            </w:r>
          </w:p>
        </w:tc>
        <w:tc>
          <w:tcPr>
            <w:tcW w:w="1501" w:type="dxa"/>
            <w:tcBorders>
              <w:left w:val="nil"/>
              <w:bottom w:val="nil"/>
              <w:right w:val="nil"/>
            </w:tcBorders>
          </w:tcPr>
          <w:p w:rsidR="00883552" w:rsidRPr="00CD3051" w:rsidRDefault="00883552" w:rsidP="00883552">
            <w:pPr>
              <w:keepNext/>
              <w:spacing w:before="40" w:after="40"/>
              <w:jc w:val="right"/>
              <w:rPr>
                <w:sz w:val="18"/>
              </w:rPr>
            </w:pPr>
            <w:r w:rsidRPr="00CD3051">
              <w:rPr>
                <w:sz w:val="18"/>
              </w:rPr>
              <w:t>0</w:t>
            </w:r>
          </w:p>
        </w:tc>
      </w:tr>
      <w:tr w:rsidR="00883552" w:rsidRPr="00CD3051" w:rsidTr="00883552">
        <w:tc>
          <w:tcPr>
            <w:tcW w:w="1242" w:type="dxa"/>
            <w:vMerge/>
            <w:tcBorders>
              <w:top w:val="nil"/>
              <w:left w:val="nil"/>
              <w:bottom w:val="nil"/>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nil"/>
            </w:tcBorders>
          </w:tcPr>
          <w:p w:rsidR="00883552" w:rsidRPr="00CD3051" w:rsidRDefault="00883552" w:rsidP="00883552">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top w:val="nil"/>
              <w:bottom w:val="nil"/>
              <w:right w:val="nil"/>
            </w:tcBorders>
          </w:tcPr>
          <w:p w:rsidR="00883552" w:rsidRPr="00CD3051" w:rsidRDefault="00883552" w:rsidP="00883552">
            <w:pPr>
              <w:keepNext/>
              <w:spacing w:before="40" w:after="40"/>
              <w:jc w:val="right"/>
              <w:rPr>
                <w:sz w:val="18"/>
              </w:rPr>
            </w:pPr>
            <w:r w:rsidRPr="00CD3051">
              <w:rPr>
                <w:sz w:val="18"/>
              </w:rPr>
              <w:t>2</w:t>
            </w:r>
            <w:r>
              <w:rPr>
                <w:sz w:val="18"/>
              </w:rPr>
              <w:t>85</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sidRPr="00CD3051">
              <w:rPr>
                <w:sz w:val="18"/>
              </w:rPr>
              <w:t>0</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sidRPr="00CD3051">
              <w:rPr>
                <w:sz w:val="18"/>
              </w:rPr>
              <w:t>0</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sidRPr="00CD3051">
              <w:rPr>
                <w:sz w:val="18"/>
              </w:rPr>
              <w:t>0</w:t>
            </w:r>
          </w:p>
        </w:tc>
      </w:tr>
      <w:tr w:rsidR="00883552" w:rsidRPr="00CD3051" w:rsidTr="00883552">
        <w:tc>
          <w:tcPr>
            <w:tcW w:w="1242" w:type="dxa"/>
            <w:vMerge/>
            <w:tcBorders>
              <w:top w:val="nil"/>
              <w:left w:val="nil"/>
              <w:bottom w:val="single" w:sz="4" w:space="0" w:color="auto"/>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single" w:sz="4" w:space="0" w:color="auto"/>
            </w:tcBorders>
          </w:tcPr>
          <w:p w:rsidR="00883552" w:rsidRPr="00CD3051" w:rsidRDefault="00883552" w:rsidP="00883552">
            <w:pPr>
              <w:keepNext/>
              <w:spacing w:before="40" w:after="40"/>
              <w:rPr>
                <w:sz w:val="18"/>
              </w:rPr>
            </w:pPr>
            <w:r w:rsidRPr="00CD3051">
              <w:rPr>
                <w:sz w:val="18"/>
              </w:rPr>
              <w:t>% change</w:t>
            </w:r>
          </w:p>
        </w:tc>
        <w:tc>
          <w:tcPr>
            <w:tcW w:w="1501" w:type="dxa"/>
            <w:tcBorders>
              <w:top w:val="nil"/>
              <w:bottom w:val="single" w:sz="4" w:space="0" w:color="auto"/>
              <w:right w:val="nil"/>
            </w:tcBorders>
          </w:tcPr>
          <w:p w:rsidR="00883552" w:rsidRPr="00CD3051" w:rsidRDefault="00883552" w:rsidP="00883552">
            <w:pPr>
              <w:keepNext/>
              <w:spacing w:before="40" w:after="40"/>
              <w:jc w:val="right"/>
              <w:rPr>
                <w:sz w:val="18"/>
              </w:rPr>
            </w:pPr>
            <w:r>
              <w:rPr>
                <w:sz w:val="18"/>
              </w:rPr>
              <w:t xml:space="preserve"> </w:t>
            </w:r>
            <w:r w:rsidRPr="00CD3051">
              <w:rPr>
                <w:color w:val="943634"/>
                <w:sz w:val="18"/>
              </w:rPr>
              <w:t xml:space="preserve">▲ </w:t>
            </w:r>
            <w:r>
              <w:rPr>
                <w:sz w:val="18"/>
              </w:rPr>
              <w:t>15.5</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sz w:val="18"/>
              </w:rPr>
              <w:t>NA</w:t>
            </w:r>
          </w:p>
        </w:tc>
      </w:tr>
      <w:tr w:rsidR="00883552" w:rsidRPr="00CD3051" w:rsidTr="00883552">
        <w:tc>
          <w:tcPr>
            <w:tcW w:w="1242" w:type="dxa"/>
            <w:vMerge w:val="restart"/>
            <w:tcBorders>
              <w:top w:val="single" w:sz="4" w:space="0" w:color="auto"/>
              <w:left w:val="nil"/>
              <w:bottom w:val="nil"/>
              <w:right w:val="nil"/>
            </w:tcBorders>
          </w:tcPr>
          <w:p w:rsidR="00883552" w:rsidRPr="00CD3051" w:rsidRDefault="00883552" w:rsidP="00883552">
            <w:pPr>
              <w:keepNext/>
              <w:spacing w:before="40" w:after="40"/>
              <w:rPr>
                <w:b/>
                <w:color w:val="000000" w:themeColor="text1"/>
                <w:sz w:val="18"/>
              </w:rPr>
            </w:pPr>
            <w:r w:rsidRPr="00CD3051">
              <w:rPr>
                <w:b/>
                <w:color w:val="000000" w:themeColor="text1"/>
                <w:sz w:val="18"/>
              </w:rPr>
              <w:t>Private bus</w:t>
            </w:r>
          </w:p>
        </w:tc>
        <w:tc>
          <w:tcPr>
            <w:tcW w:w="1418" w:type="dxa"/>
            <w:tcBorders>
              <w:top w:val="single" w:sz="4" w:space="0" w:color="auto"/>
              <w:left w:val="nil"/>
              <w:bottom w:val="nil"/>
            </w:tcBorders>
          </w:tcPr>
          <w:p w:rsidR="00883552" w:rsidRPr="00CD3051" w:rsidRDefault="00883552" w:rsidP="00883552">
            <w:pPr>
              <w:keepNext/>
              <w:spacing w:before="40" w:after="40"/>
              <w:rPr>
                <w:sz w:val="18"/>
              </w:rPr>
            </w:pPr>
            <w:r w:rsidRPr="00CD3051">
              <w:rPr>
                <w:sz w:val="18"/>
              </w:rPr>
              <w:t>201</w:t>
            </w:r>
            <w:r>
              <w:rPr>
                <w:sz w:val="18"/>
              </w:rPr>
              <w:t>3</w:t>
            </w:r>
            <w:r w:rsidRPr="00CD3051">
              <w:rPr>
                <w:sz w:val="18"/>
              </w:rPr>
              <w:t>-1</w:t>
            </w:r>
            <w:r>
              <w:rPr>
                <w:sz w:val="18"/>
              </w:rPr>
              <w:t>4</w:t>
            </w:r>
          </w:p>
        </w:tc>
        <w:tc>
          <w:tcPr>
            <w:tcW w:w="1501" w:type="dxa"/>
            <w:tcBorders>
              <w:bottom w:val="nil"/>
              <w:right w:val="nil"/>
            </w:tcBorders>
          </w:tcPr>
          <w:p w:rsidR="00883552" w:rsidRPr="00CD3051" w:rsidRDefault="00883552" w:rsidP="00883552">
            <w:pPr>
              <w:keepNext/>
              <w:spacing w:before="40" w:after="40"/>
              <w:jc w:val="right"/>
              <w:rPr>
                <w:sz w:val="18"/>
                <w:vertAlign w:val="superscript"/>
              </w:rPr>
            </w:pPr>
            <w:r>
              <w:rPr>
                <w:sz w:val="18"/>
              </w:rPr>
              <w:t>2 165</w:t>
            </w:r>
            <w:r w:rsidRPr="00CD3051">
              <w:rPr>
                <w:sz w:val="18"/>
                <w:vertAlign w:val="superscript"/>
              </w:rPr>
              <w:t>(a)</w:t>
            </w:r>
          </w:p>
        </w:tc>
        <w:tc>
          <w:tcPr>
            <w:tcW w:w="1501" w:type="dxa"/>
            <w:tcBorders>
              <w:left w:val="nil"/>
              <w:bottom w:val="nil"/>
              <w:right w:val="nil"/>
            </w:tcBorders>
          </w:tcPr>
          <w:p w:rsidR="00883552" w:rsidRPr="00CD3051" w:rsidRDefault="00883552" w:rsidP="00883552">
            <w:pPr>
              <w:keepNext/>
              <w:spacing w:before="40" w:after="40"/>
              <w:jc w:val="right"/>
              <w:rPr>
                <w:sz w:val="18"/>
                <w:vertAlign w:val="superscript"/>
              </w:rPr>
            </w:pPr>
            <w:r>
              <w:rPr>
                <w:sz w:val="18"/>
              </w:rPr>
              <w:t>5 963</w:t>
            </w:r>
            <w:r w:rsidRPr="00CD3051">
              <w:rPr>
                <w:sz w:val="18"/>
                <w:vertAlign w:val="superscript"/>
              </w:rPr>
              <w:t>(b)</w:t>
            </w:r>
          </w:p>
        </w:tc>
        <w:tc>
          <w:tcPr>
            <w:tcW w:w="1501" w:type="dxa"/>
            <w:tcBorders>
              <w:left w:val="nil"/>
              <w:bottom w:val="nil"/>
              <w:right w:val="nil"/>
            </w:tcBorders>
          </w:tcPr>
          <w:p w:rsidR="00883552" w:rsidRPr="00CD3051" w:rsidRDefault="00883552" w:rsidP="00883552">
            <w:pPr>
              <w:keepNext/>
              <w:spacing w:before="40" w:after="40"/>
              <w:jc w:val="right"/>
              <w:rPr>
                <w:sz w:val="18"/>
              </w:rPr>
            </w:pPr>
            <w:r w:rsidRPr="00CD3051">
              <w:rPr>
                <w:sz w:val="18"/>
              </w:rPr>
              <w:t>0</w:t>
            </w:r>
          </w:p>
        </w:tc>
        <w:tc>
          <w:tcPr>
            <w:tcW w:w="1501" w:type="dxa"/>
            <w:tcBorders>
              <w:left w:val="nil"/>
              <w:bottom w:val="nil"/>
              <w:right w:val="nil"/>
            </w:tcBorders>
          </w:tcPr>
          <w:p w:rsidR="00883552" w:rsidRPr="00CD3051" w:rsidRDefault="00883552" w:rsidP="00883552">
            <w:pPr>
              <w:keepNext/>
              <w:spacing w:before="40" w:after="40"/>
              <w:jc w:val="right"/>
              <w:rPr>
                <w:sz w:val="18"/>
                <w:vertAlign w:val="superscript"/>
              </w:rPr>
            </w:pPr>
            <w:r>
              <w:rPr>
                <w:sz w:val="18"/>
              </w:rPr>
              <w:t>2 150</w:t>
            </w:r>
            <w:r w:rsidRPr="00CD3051">
              <w:rPr>
                <w:sz w:val="18"/>
                <w:vertAlign w:val="superscript"/>
              </w:rPr>
              <w:t>(c)</w:t>
            </w:r>
          </w:p>
        </w:tc>
      </w:tr>
      <w:tr w:rsidR="00883552" w:rsidRPr="00CD3051" w:rsidTr="00883552">
        <w:tc>
          <w:tcPr>
            <w:tcW w:w="1242" w:type="dxa"/>
            <w:vMerge/>
            <w:tcBorders>
              <w:top w:val="nil"/>
              <w:left w:val="nil"/>
              <w:bottom w:val="nil"/>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nil"/>
            </w:tcBorders>
          </w:tcPr>
          <w:p w:rsidR="00883552" w:rsidRPr="00CD3051" w:rsidRDefault="00883552" w:rsidP="00883552">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top w:val="nil"/>
              <w:bottom w:val="nil"/>
              <w:right w:val="nil"/>
            </w:tcBorders>
          </w:tcPr>
          <w:p w:rsidR="00883552" w:rsidRPr="00CD3051" w:rsidRDefault="00883552" w:rsidP="00883552">
            <w:pPr>
              <w:keepNext/>
              <w:spacing w:before="40" w:after="40"/>
              <w:jc w:val="right"/>
              <w:rPr>
                <w:sz w:val="18"/>
                <w:vertAlign w:val="superscript"/>
              </w:rPr>
            </w:pPr>
            <w:r>
              <w:rPr>
                <w:sz w:val="18"/>
              </w:rPr>
              <w:t>1 876</w:t>
            </w:r>
            <w:r w:rsidRPr="00CD3051">
              <w:rPr>
                <w:sz w:val="18"/>
                <w:vertAlign w:val="superscript"/>
              </w:rPr>
              <w:t>(a)</w:t>
            </w:r>
          </w:p>
        </w:tc>
        <w:tc>
          <w:tcPr>
            <w:tcW w:w="1501" w:type="dxa"/>
            <w:tcBorders>
              <w:top w:val="nil"/>
              <w:left w:val="nil"/>
              <w:bottom w:val="nil"/>
              <w:right w:val="nil"/>
            </w:tcBorders>
          </w:tcPr>
          <w:p w:rsidR="00883552" w:rsidRPr="00CD3051" w:rsidRDefault="00883552" w:rsidP="00883552">
            <w:pPr>
              <w:keepNext/>
              <w:spacing w:before="40" w:after="40"/>
              <w:jc w:val="right"/>
              <w:rPr>
                <w:sz w:val="18"/>
                <w:vertAlign w:val="superscript"/>
              </w:rPr>
            </w:pPr>
            <w:r>
              <w:rPr>
                <w:sz w:val="18"/>
              </w:rPr>
              <w:t>6 386</w:t>
            </w:r>
            <w:r w:rsidRPr="00CD3051">
              <w:rPr>
                <w:sz w:val="18"/>
                <w:vertAlign w:val="superscript"/>
              </w:rPr>
              <w:t>(b)</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sidRPr="00CD3051">
              <w:rPr>
                <w:sz w:val="18"/>
              </w:rPr>
              <w:t>0</w:t>
            </w:r>
          </w:p>
        </w:tc>
        <w:tc>
          <w:tcPr>
            <w:tcW w:w="1501" w:type="dxa"/>
            <w:tcBorders>
              <w:top w:val="nil"/>
              <w:left w:val="nil"/>
              <w:bottom w:val="nil"/>
              <w:right w:val="nil"/>
            </w:tcBorders>
          </w:tcPr>
          <w:p w:rsidR="00883552" w:rsidRPr="00CD3051" w:rsidRDefault="00883552" w:rsidP="00883552">
            <w:pPr>
              <w:keepNext/>
              <w:spacing w:before="40" w:after="40"/>
              <w:jc w:val="right"/>
              <w:rPr>
                <w:sz w:val="18"/>
                <w:vertAlign w:val="superscript"/>
              </w:rPr>
            </w:pPr>
            <w:r>
              <w:rPr>
                <w:sz w:val="18"/>
              </w:rPr>
              <w:t>2 609</w:t>
            </w:r>
            <w:r w:rsidRPr="00CD3051">
              <w:rPr>
                <w:sz w:val="18"/>
                <w:vertAlign w:val="superscript"/>
              </w:rPr>
              <w:t>(c)</w:t>
            </w:r>
          </w:p>
        </w:tc>
      </w:tr>
      <w:tr w:rsidR="00883552" w:rsidRPr="00CD3051" w:rsidTr="00883552">
        <w:tc>
          <w:tcPr>
            <w:tcW w:w="1242" w:type="dxa"/>
            <w:vMerge/>
            <w:tcBorders>
              <w:top w:val="nil"/>
              <w:left w:val="nil"/>
              <w:bottom w:val="single" w:sz="4" w:space="0" w:color="auto"/>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single" w:sz="4" w:space="0" w:color="auto"/>
            </w:tcBorders>
          </w:tcPr>
          <w:p w:rsidR="00883552" w:rsidRPr="00CD3051" w:rsidRDefault="00883552" w:rsidP="00883552">
            <w:pPr>
              <w:keepNext/>
              <w:spacing w:before="40" w:after="40"/>
              <w:rPr>
                <w:sz w:val="18"/>
              </w:rPr>
            </w:pPr>
            <w:r w:rsidRPr="00CD3051">
              <w:rPr>
                <w:sz w:val="18"/>
              </w:rPr>
              <w:t>% change</w:t>
            </w:r>
          </w:p>
        </w:tc>
        <w:tc>
          <w:tcPr>
            <w:tcW w:w="1501" w:type="dxa"/>
            <w:tcBorders>
              <w:top w:val="nil"/>
              <w:bottom w:val="single" w:sz="4" w:space="0" w:color="auto"/>
              <w:right w:val="nil"/>
            </w:tcBorders>
          </w:tcPr>
          <w:p w:rsidR="00883552" w:rsidRPr="00CD3051" w:rsidRDefault="00883552" w:rsidP="00883552">
            <w:pPr>
              <w:keepNext/>
              <w:spacing w:before="40" w:after="40"/>
              <w:jc w:val="right"/>
              <w:rPr>
                <w:sz w:val="18"/>
              </w:rPr>
            </w:pPr>
            <w:r w:rsidRPr="00CD3051">
              <w:rPr>
                <w:color w:val="F79646"/>
                <w:sz w:val="18"/>
              </w:rPr>
              <w:t>▼</w:t>
            </w:r>
            <w:r w:rsidRPr="00CD3051">
              <w:rPr>
                <w:color w:val="943634"/>
                <w:sz w:val="18"/>
              </w:rPr>
              <w:t xml:space="preserve"> </w:t>
            </w:r>
            <w:r>
              <w:rPr>
                <w:sz w:val="18"/>
              </w:rPr>
              <w:t>13.4</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Pr>
                <w:color w:val="943634"/>
                <w:sz w:val="18"/>
              </w:rPr>
              <w:t>`</w:t>
            </w:r>
            <w:r w:rsidRPr="00CD3051">
              <w:rPr>
                <w:color w:val="943634"/>
                <w:sz w:val="18"/>
              </w:rPr>
              <w:t xml:space="preserve">▲ </w:t>
            </w:r>
            <w:r>
              <w:rPr>
                <w:sz w:val="18"/>
              </w:rPr>
              <w:t>7.1</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color w:val="943634"/>
                <w:sz w:val="18"/>
              </w:rPr>
              <w:t xml:space="preserve">▲ </w:t>
            </w:r>
            <w:r>
              <w:rPr>
                <w:sz w:val="18"/>
              </w:rPr>
              <w:t>21.3</w:t>
            </w:r>
          </w:p>
        </w:tc>
      </w:tr>
      <w:tr w:rsidR="00883552" w:rsidRPr="00CD3051" w:rsidTr="00883552">
        <w:tc>
          <w:tcPr>
            <w:tcW w:w="1242" w:type="dxa"/>
            <w:vMerge w:val="restart"/>
            <w:tcBorders>
              <w:top w:val="single" w:sz="4" w:space="0" w:color="auto"/>
              <w:left w:val="nil"/>
              <w:bottom w:val="nil"/>
              <w:right w:val="nil"/>
            </w:tcBorders>
          </w:tcPr>
          <w:p w:rsidR="00883552" w:rsidRPr="00CD3051" w:rsidRDefault="00883552" w:rsidP="00883552">
            <w:pPr>
              <w:keepNext/>
              <w:spacing w:before="40" w:after="40"/>
              <w:rPr>
                <w:b/>
                <w:color w:val="000000" w:themeColor="text1"/>
                <w:sz w:val="18"/>
              </w:rPr>
            </w:pPr>
            <w:r w:rsidRPr="00CD3051">
              <w:rPr>
                <w:b/>
                <w:color w:val="000000" w:themeColor="text1"/>
                <w:sz w:val="18"/>
              </w:rPr>
              <w:t>Train</w:t>
            </w:r>
          </w:p>
        </w:tc>
        <w:tc>
          <w:tcPr>
            <w:tcW w:w="1418" w:type="dxa"/>
            <w:tcBorders>
              <w:top w:val="single" w:sz="4" w:space="0" w:color="auto"/>
              <w:left w:val="nil"/>
              <w:bottom w:val="nil"/>
            </w:tcBorders>
          </w:tcPr>
          <w:p w:rsidR="00883552" w:rsidRPr="00CD3051" w:rsidRDefault="00883552" w:rsidP="00883552">
            <w:pPr>
              <w:keepNext/>
              <w:spacing w:before="40" w:after="40"/>
              <w:rPr>
                <w:sz w:val="18"/>
              </w:rPr>
            </w:pPr>
            <w:r w:rsidRPr="00CD3051">
              <w:rPr>
                <w:sz w:val="18"/>
              </w:rPr>
              <w:t>201</w:t>
            </w:r>
            <w:r>
              <w:rPr>
                <w:sz w:val="18"/>
              </w:rPr>
              <w:t>3</w:t>
            </w:r>
            <w:r w:rsidRPr="00CD3051">
              <w:rPr>
                <w:sz w:val="18"/>
              </w:rPr>
              <w:t>-1</w:t>
            </w:r>
            <w:r>
              <w:rPr>
                <w:sz w:val="18"/>
              </w:rPr>
              <w:t>4</w:t>
            </w:r>
          </w:p>
        </w:tc>
        <w:tc>
          <w:tcPr>
            <w:tcW w:w="1501" w:type="dxa"/>
            <w:tcBorders>
              <w:bottom w:val="nil"/>
              <w:right w:val="nil"/>
            </w:tcBorders>
          </w:tcPr>
          <w:p w:rsidR="00883552" w:rsidRPr="00CD3051" w:rsidRDefault="00883552" w:rsidP="00883552">
            <w:pPr>
              <w:keepNext/>
              <w:spacing w:before="40" w:after="40"/>
              <w:jc w:val="right"/>
              <w:rPr>
                <w:sz w:val="18"/>
              </w:rPr>
            </w:pPr>
            <w:r w:rsidRPr="00CD3051">
              <w:rPr>
                <w:sz w:val="18"/>
              </w:rPr>
              <w:t>1</w:t>
            </w:r>
            <w:r>
              <w:rPr>
                <w:sz w:val="18"/>
              </w:rPr>
              <w:t>57</w:t>
            </w:r>
          </w:p>
        </w:tc>
        <w:tc>
          <w:tcPr>
            <w:tcW w:w="1501" w:type="dxa"/>
            <w:tcBorders>
              <w:left w:val="nil"/>
              <w:bottom w:val="nil"/>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left w:val="nil"/>
              <w:bottom w:val="nil"/>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left w:val="nil"/>
              <w:bottom w:val="nil"/>
              <w:right w:val="nil"/>
            </w:tcBorders>
          </w:tcPr>
          <w:p w:rsidR="00883552" w:rsidRPr="00CD3051" w:rsidRDefault="00883552" w:rsidP="00883552">
            <w:pPr>
              <w:keepNext/>
              <w:spacing w:before="40" w:after="40"/>
              <w:jc w:val="right"/>
              <w:rPr>
                <w:sz w:val="18"/>
              </w:rPr>
            </w:pPr>
            <w:r w:rsidRPr="00CD3051">
              <w:rPr>
                <w:sz w:val="18"/>
              </w:rPr>
              <w:t>NA</w:t>
            </w:r>
          </w:p>
        </w:tc>
      </w:tr>
      <w:tr w:rsidR="00883552" w:rsidRPr="00CD3051" w:rsidTr="00883552">
        <w:tc>
          <w:tcPr>
            <w:tcW w:w="1242" w:type="dxa"/>
            <w:vMerge/>
            <w:tcBorders>
              <w:top w:val="nil"/>
              <w:left w:val="nil"/>
              <w:bottom w:val="nil"/>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nil"/>
            </w:tcBorders>
          </w:tcPr>
          <w:p w:rsidR="00883552" w:rsidRPr="00CD3051" w:rsidRDefault="00883552" w:rsidP="00883552">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top w:val="nil"/>
              <w:bottom w:val="nil"/>
              <w:right w:val="nil"/>
            </w:tcBorders>
          </w:tcPr>
          <w:p w:rsidR="00883552" w:rsidRPr="00CD3051" w:rsidRDefault="00883552" w:rsidP="00883552">
            <w:pPr>
              <w:keepNext/>
              <w:spacing w:before="40" w:after="40"/>
              <w:jc w:val="right"/>
              <w:rPr>
                <w:sz w:val="18"/>
              </w:rPr>
            </w:pPr>
            <w:r w:rsidRPr="00CD3051">
              <w:rPr>
                <w:sz w:val="18"/>
              </w:rPr>
              <w:t>1</w:t>
            </w:r>
            <w:r>
              <w:rPr>
                <w:sz w:val="18"/>
              </w:rPr>
              <w:t>62</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sidRPr="00CD3051">
              <w:rPr>
                <w:sz w:val="18"/>
              </w:rPr>
              <w:t>NA</w:t>
            </w:r>
          </w:p>
        </w:tc>
      </w:tr>
      <w:tr w:rsidR="00883552" w:rsidRPr="00CD3051" w:rsidTr="00883552">
        <w:tc>
          <w:tcPr>
            <w:tcW w:w="1242" w:type="dxa"/>
            <w:vMerge/>
            <w:tcBorders>
              <w:top w:val="nil"/>
              <w:left w:val="nil"/>
              <w:bottom w:val="single" w:sz="4" w:space="0" w:color="auto"/>
              <w:right w:val="nil"/>
            </w:tcBorders>
          </w:tcPr>
          <w:p w:rsidR="00883552" w:rsidRPr="00CD3051" w:rsidRDefault="00883552" w:rsidP="00883552">
            <w:pPr>
              <w:keepNext/>
              <w:spacing w:before="40" w:after="40"/>
              <w:rPr>
                <w:b/>
                <w:color w:val="000000" w:themeColor="text1"/>
                <w:sz w:val="18"/>
              </w:rPr>
            </w:pPr>
          </w:p>
        </w:tc>
        <w:tc>
          <w:tcPr>
            <w:tcW w:w="1418" w:type="dxa"/>
            <w:tcBorders>
              <w:top w:val="nil"/>
              <w:left w:val="nil"/>
              <w:bottom w:val="single" w:sz="4" w:space="0" w:color="auto"/>
            </w:tcBorders>
          </w:tcPr>
          <w:p w:rsidR="00883552" w:rsidRPr="00CD3051" w:rsidRDefault="00883552" w:rsidP="00883552">
            <w:pPr>
              <w:keepNext/>
              <w:spacing w:before="40" w:after="40"/>
              <w:rPr>
                <w:sz w:val="18"/>
              </w:rPr>
            </w:pPr>
            <w:r w:rsidRPr="00CD3051">
              <w:rPr>
                <w:sz w:val="18"/>
              </w:rPr>
              <w:t>% change</w:t>
            </w:r>
          </w:p>
        </w:tc>
        <w:tc>
          <w:tcPr>
            <w:tcW w:w="1501" w:type="dxa"/>
            <w:tcBorders>
              <w:top w:val="nil"/>
              <w:bottom w:val="single" w:sz="4" w:space="0" w:color="auto"/>
              <w:right w:val="nil"/>
            </w:tcBorders>
          </w:tcPr>
          <w:p w:rsidR="00883552" w:rsidRPr="00CD3051" w:rsidRDefault="00883552" w:rsidP="00883552">
            <w:pPr>
              <w:keepNext/>
              <w:spacing w:before="40" w:after="40"/>
              <w:jc w:val="right"/>
              <w:rPr>
                <w:sz w:val="18"/>
              </w:rPr>
            </w:pPr>
            <w:r w:rsidRPr="00CD3051">
              <w:rPr>
                <w:color w:val="943634"/>
                <w:sz w:val="18"/>
              </w:rPr>
              <w:t xml:space="preserve">▲ </w:t>
            </w:r>
            <w:r>
              <w:rPr>
                <w:sz w:val="18"/>
              </w:rPr>
              <w:t xml:space="preserve">3.4    </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single" w:sz="4" w:space="0" w:color="auto"/>
              <w:right w:val="nil"/>
            </w:tcBorders>
          </w:tcPr>
          <w:p w:rsidR="00883552" w:rsidRPr="00CD3051" w:rsidRDefault="00883552" w:rsidP="00883552">
            <w:pPr>
              <w:keepNext/>
              <w:spacing w:before="40" w:after="40"/>
              <w:jc w:val="right"/>
              <w:rPr>
                <w:sz w:val="18"/>
              </w:rPr>
            </w:pPr>
            <w:r w:rsidRPr="00CD3051">
              <w:rPr>
                <w:sz w:val="18"/>
              </w:rPr>
              <w:t>NA</w:t>
            </w:r>
          </w:p>
        </w:tc>
      </w:tr>
      <w:tr w:rsidR="00883552" w:rsidRPr="00CD3051" w:rsidTr="00883552">
        <w:tc>
          <w:tcPr>
            <w:tcW w:w="1242" w:type="dxa"/>
            <w:vMerge w:val="restart"/>
            <w:tcBorders>
              <w:top w:val="single" w:sz="4" w:space="0" w:color="auto"/>
              <w:left w:val="nil"/>
              <w:bottom w:val="nil"/>
              <w:right w:val="nil"/>
            </w:tcBorders>
          </w:tcPr>
          <w:p w:rsidR="00883552" w:rsidRPr="00CD3051" w:rsidRDefault="00883552" w:rsidP="00883552">
            <w:pPr>
              <w:keepNext/>
              <w:spacing w:before="40" w:after="40"/>
              <w:rPr>
                <w:b/>
                <w:color w:val="000000" w:themeColor="text1"/>
                <w:sz w:val="18"/>
              </w:rPr>
            </w:pPr>
            <w:r w:rsidRPr="00CD3051">
              <w:rPr>
                <w:b/>
                <w:color w:val="000000" w:themeColor="text1"/>
                <w:sz w:val="18"/>
              </w:rPr>
              <w:t>Private car operators</w:t>
            </w:r>
          </w:p>
        </w:tc>
        <w:tc>
          <w:tcPr>
            <w:tcW w:w="1418" w:type="dxa"/>
            <w:tcBorders>
              <w:top w:val="single" w:sz="4" w:space="0" w:color="auto"/>
              <w:left w:val="nil"/>
              <w:bottom w:val="nil"/>
            </w:tcBorders>
          </w:tcPr>
          <w:p w:rsidR="00883552" w:rsidRPr="00CD3051" w:rsidRDefault="00883552" w:rsidP="00883552">
            <w:pPr>
              <w:keepNext/>
              <w:spacing w:before="40" w:after="40"/>
              <w:rPr>
                <w:sz w:val="18"/>
              </w:rPr>
            </w:pPr>
            <w:r w:rsidRPr="00CD3051">
              <w:rPr>
                <w:sz w:val="18"/>
              </w:rPr>
              <w:t>201</w:t>
            </w:r>
            <w:r>
              <w:rPr>
                <w:sz w:val="18"/>
              </w:rPr>
              <w:t>3</w:t>
            </w:r>
            <w:r w:rsidRPr="00CD3051">
              <w:rPr>
                <w:sz w:val="18"/>
              </w:rPr>
              <w:t>-1</w:t>
            </w:r>
            <w:r>
              <w:rPr>
                <w:sz w:val="18"/>
              </w:rPr>
              <w:t>4</w:t>
            </w:r>
          </w:p>
        </w:tc>
        <w:tc>
          <w:tcPr>
            <w:tcW w:w="1501" w:type="dxa"/>
            <w:tcBorders>
              <w:bottom w:val="nil"/>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left w:val="nil"/>
              <w:bottom w:val="nil"/>
              <w:right w:val="nil"/>
            </w:tcBorders>
          </w:tcPr>
          <w:p w:rsidR="00883552" w:rsidRPr="00CD3051" w:rsidRDefault="00883552" w:rsidP="00883552">
            <w:pPr>
              <w:keepNext/>
              <w:spacing w:before="40" w:after="40"/>
              <w:jc w:val="right"/>
              <w:rPr>
                <w:sz w:val="18"/>
              </w:rPr>
            </w:pPr>
            <w:r>
              <w:rPr>
                <w:sz w:val="18"/>
              </w:rPr>
              <w:t>2 113</w:t>
            </w:r>
          </w:p>
        </w:tc>
        <w:tc>
          <w:tcPr>
            <w:tcW w:w="1501" w:type="dxa"/>
            <w:tcBorders>
              <w:left w:val="nil"/>
              <w:bottom w:val="nil"/>
              <w:right w:val="nil"/>
            </w:tcBorders>
          </w:tcPr>
          <w:p w:rsidR="00883552" w:rsidRPr="00CD3051" w:rsidRDefault="00883552" w:rsidP="00883552">
            <w:pPr>
              <w:keepNext/>
              <w:spacing w:before="40" w:after="40"/>
              <w:jc w:val="right"/>
              <w:rPr>
                <w:sz w:val="18"/>
              </w:rPr>
            </w:pPr>
            <w:r>
              <w:rPr>
                <w:sz w:val="18"/>
              </w:rPr>
              <w:t>300</w:t>
            </w:r>
          </w:p>
        </w:tc>
        <w:tc>
          <w:tcPr>
            <w:tcW w:w="1501" w:type="dxa"/>
            <w:tcBorders>
              <w:left w:val="nil"/>
              <w:bottom w:val="nil"/>
              <w:right w:val="nil"/>
            </w:tcBorders>
          </w:tcPr>
          <w:p w:rsidR="00883552" w:rsidRPr="00CD3051" w:rsidRDefault="00883552" w:rsidP="00883552">
            <w:pPr>
              <w:keepNext/>
              <w:spacing w:before="40" w:after="40"/>
              <w:jc w:val="right"/>
              <w:rPr>
                <w:sz w:val="18"/>
              </w:rPr>
            </w:pPr>
            <w:r>
              <w:rPr>
                <w:sz w:val="18"/>
              </w:rPr>
              <w:t>2 120</w:t>
            </w:r>
          </w:p>
        </w:tc>
      </w:tr>
      <w:tr w:rsidR="00883552" w:rsidRPr="00CD3051" w:rsidTr="00883552">
        <w:tc>
          <w:tcPr>
            <w:tcW w:w="1242" w:type="dxa"/>
            <w:vMerge/>
            <w:tcBorders>
              <w:top w:val="nil"/>
              <w:left w:val="nil"/>
              <w:bottom w:val="nil"/>
              <w:right w:val="nil"/>
            </w:tcBorders>
          </w:tcPr>
          <w:p w:rsidR="00883552" w:rsidRPr="00CD3051" w:rsidRDefault="00883552" w:rsidP="00883552">
            <w:pPr>
              <w:keepNext/>
              <w:spacing w:before="40" w:after="40"/>
              <w:rPr>
                <w:sz w:val="18"/>
              </w:rPr>
            </w:pPr>
          </w:p>
        </w:tc>
        <w:tc>
          <w:tcPr>
            <w:tcW w:w="1418" w:type="dxa"/>
            <w:tcBorders>
              <w:top w:val="nil"/>
              <w:left w:val="nil"/>
              <w:bottom w:val="nil"/>
            </w:tcBorders>
          </w:tcPr>
          <w:p w:rsidR="00883552" w:rsidRPr="00CD3051" w:rsidRDefault="00883552" w:rsidP="00883552">
            <w:pPr>
              <w:keepNext/>
              <w:spacing w:before="40" w:after="40"/>
              <w:rPr>
                <w:sz w:val="18"/>
              </w:rPr>
            </w:pPr>
            <w:r w:rsidRPr="00CD3051">
              <w:rPr>
                <w:sz w:val="18"/>
              </w:rPr>
              <w:t>201</w:t>
            </w:r>
            <w:r>
              <w:rPr>
                <w:sz w:val="18"/>
              </w:rPr>
              <w:t>4</w:t>
            </w:r>
            <w:r w:rsidRPr="00CD3051">
              <w:rPr>
                <w:sz w:val="18"/>
              </w:rPr>
              <w:t>-1</w:t>
            </w:r>
            <w:r>
              <w:rPr>
                <w:sz w:val="18"/>
              </w:rPr>
              <w:t>5</w:t>
            </w:r>
          </w:p>
        </w:tc>
        <w:tc>
          <w:tcPr>
            <w:tcW w:w="1501" w:type="dxa"/>
            <w:tcBorders>
              <w:top w:val="nil"/>
              <w:bottom w:val="nil"/>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Pr>
                <w:sz w:val="18"/>
              </w:rPr>
              <w:t>2 351</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Pr>
                <w:sz w:val="18"/>
              </w:rPr>
              <w:t>307</w:t>
            </w:r>
          </w:p>
        </w:tc>
        <w:tc>
          <w:tcPr>
            <w:tcW w:w="1501" w:type="dxa"/>
            <w:tcBorders>
              <w:top w:val="nil"/>
              <w:left w:val="nil"/>
              <w:bottom w:val="nil"/>
              <w:right w:val="nil"/>
            </w:tcBorders>
          </w:tcPr>
          <w:p w:rsidR="00883552" w:rsidRPr="00CD3051" w:rsidRDefault="00883552" w:rsidP="00883552">
            <w:pPr>
              <w:keepNext/>
              <w:spacing w:before="40" w:after="40"/>
              <w:jc w:val="right"/>
              <w:rPr>
                <w:sz w:val="18"/>
              </w:rPr>
            </w:pPr>
            <w:r>
              <w:rPr>
                <w:sz w:val="18"/>
              </w:rPr>
              <w:t>2 517</w:t>
            </w:r>
          </w:p>
        </w:tc>
      </w:tr>
      <w:tr w:rsidR="00883552" w:rsidRPr="00CD3051" w:rsidTr="00883552">
        <w:tc>
          <w:tcPr>
            <w:tcW w:w="1242" w:type="dxa"/>
            <w:vMerge/>
            <w:tcBorders>
              <w:top w:val="nil"/>
              <w:left w:val="nil"/>
              <w:right w:val="nil"/>
            </w:tcBorders>
          </w:tcPr>
          <w:p w:rsidR="00883552" w:rsidRPr="00CD3051" w:rsidRDefault="00883552" w:rsidP="00883552">
            <w:pPr>
              <w:keepNext/>
              <w:spacing w:before="40" w:after="40"/>
              <w:rPr>
                <w:sz w:val="18"/>
              </w:rPr>
            </w:pPr>
          </w:p>
        </w:tc>
        <w:tc>
          <w:tcPr>
            <w:tcW w:w="1418" w:type="dxa"/>
            <w:tcBorders>
              <w:top w:val="nil"/>
              <w:left w:val="nil"/>
            </w:tcBorders>
          </w:tcPr>
          <w:p w:rsidR="00883552" w:rsidRPr="00CD3051" w:rsidRDefault="00883552" w:rsidP="00883552">
            <w:pPr>
              <w:keepNext/>
              <w:spacing w:before="40" w:after="40"/>
              <w:rPr>
                <w:sz w:val="18"/>
              </w:rPr>
            </w:pPr>
            <w:r w:rsidRPr="00CD3051">
              <w:rPr>
                <w:sz w:val="18"/>
              </w:rPr>
              <w:t>% change</w:t>
            </w:r>
          </w:p>
        </w:tc>
        <w:tc>
          <w:tcPr>
            <w:tcW w:w="1501" w:type="dxa"/>
            <w:tcBorders>
              <w:top w:val="nil"/>
              <w:right w:val="nil"/>
            </w:tcBorders>
          </w:tcPr>
          <w:p w:rsidR="00883552" w:rsidRPr="00CD3051" w:rsidRDefault="00883552" w:rsidP="00883552">
            <w:pPr>
              <w:keepNext/>
              <w:spacing w:before="40" w:after="40"/>
              <w:jc w:val="right"/>
              <w:rPr>
                <w:sz w:val="18"/>
              </w:rPr>
            </w:pPr>
            <w:r w:rsidRPr="00CD3051">
              <w:rPr>
                <w:sz w:val="18"/>
              </w:rPr>
              <w:t>NA</w:t>
            </w:r>
          </w:p>
        </w:tc>
        <w:tc>
          <w:tcPr>
            <w:tcW w:w="1501" w:type="dxa"/>
            <w:tcBorders>
              <w:top w:val="nil"/>
              <w:left w:val="nil"/>
              <w:right w:val="nil"/>
            </w:tcBorders>
          </w:tcPr>
          <w:p w:rsidR="00883552" w:rsidRPr="00CD3051" w:rsidRDefault="00883552" w:rsidP="00883552">
            <w:pPr>
              <w:keepNext/>
              <w:spacing w:before="40" w:after="40"/>
              <w:jc w:val="right"/>
              <w:rPr>
                <w:sz w:val="18"/>
              </w:rPr>
            </w:pPr>
            <w:r w:rsidRPr="00CD3051">
              <w:rPr>
                <w:color w:val="943634"/>
                <w:sz w:val="18"/>
              </w:rPr>
              <w:t xml:space="preserve">▲ </w:t>
            </w:r>
            <w:r>
              <w:rPr>
                <w:sz w:val="18"/>
              </w:rPr>
              <w:t>11.3</w:t>
            </w:r>
          </w:p>
        </w:tc>
        <w:tc>
          <w:tcPr>
            <w:tcW w:w="1501" w:type="dxa"/>
            <w:tcBorders>
              <w:top w:val="nil"/>
              <w:left w:val="nil"/>
              <w:right w:val="nil"/>
            </w:tcBorders>
          </w:tcPr>
          <w:p w:rsidR="00883552" w:rsidRPr="00CD3051" w:rsidRDefault="00883552" w:rsidP="00883552">
            <w:pPr>
              <w:keepNext/>
              <w:spacing w:before="40" w:after="40"/>
              <w:jc w:val="right"/>
              <w:rPr>
                <w:sz w:val="18"/>
              </w:rPr>
            </w:pPr>
            <w:r w:rsidRPr="00CD3051">
              <w:rPr>
                <w:color w:val="943634"/>
                <w:sz w:val="18"/>
              </w:rPr>
              <w:t xml:space="preserve">▲ </w:t>
            </w:r>
            <w:r w:rsidRPr="00EF6AA7">
              <w:rPr>
                <w:sz w:val="18"/>
              </w:rPr>
              <w:t>2.3</w:t>
            </w:r>
          </w:p>
        </w:tc>
        <w:tc>
          <w:tcPr>
            <w:tcW w:w="1501" w:type="dxa"/>
            <w:tcBorders>
              <w:top w:val="nil"/>
              <w:left w:val="nil"/>
              <w:right w:val="nil"/>
            </w:tcBorders>
          </w:tcPr>
          <w:p w:rsidR="00883552" w:rsidRPr="00CD3051" w:rsidRDefault="00883552" w:rsidP="00883552">
            <w:pPr>
              <w:keepNext/>
              <w:spacing w:before="40" w:after="40"/>
              <w:jc w:val="right"/>
              <w:rPr>
                <w:sz w:val="18"/>
              </w:rPr>
            </w:pPr>
            <w:r w:rsidRPr="00CD3051">
              <w:rPr>
                <w:color w:val="943634"/>
                <w:sz w:val="18"/>
              </w:rPr>
              <w:t xml:space="preserve">▲ </w:t>
            </w:r>
            <w:r>
              <w:rPr>
                <w:sz w:val="18"/>
              </w:rPr>
              <w:t>18.7</w:t>
            </w:r>
          </w:p>
        </w:tc>
      </w:tr>
    </w:tbl>
    <w:p w:rsidR="00883552" w:rsidRDefault="00883552" w:rsidP="00883552">
      <w:pPr>
        <w:keepNext/>
        <w:spacing w:before="120"/>
        <w:ind w:left="720" w:hanging="720"/>
        <w:contextualSpacing/>
        <w:rPr>
          <w:sz w:val="16"/>
          <w:szCs w:val="16"/>
        </w:rPr>
      </w:pPr>
      <w:r w:rsidRPr="00CD3051">
        <w:rPr>
          <w:sz w:val="16"/>
          <w:szCs w:val="16"/>
        </w:rPr>
        <w:t>Notes:</w:t>
      </w:r>
      <w:r w:rsidRPr="00CD3051">
        <w:rPr>
          <w:sz w:val="16"/>
          <w:szCs w:val="16"/>
        </w:rPr>
        <w:tab/>
        <w:t>Real values in 201</w:t>
      </w:r>
      <w:r>
        <w:rPr>
          <w:sz w:val="16"/>
          <w:szCs w:val="16"/>
        </w:rPr>
        <w:t>4</w:t>
      </w:r>
      <w:r w:rsidRPr="00CD3051">
        <w:rPr>
          <w:sz w:val="16"/>
          <w:szCs w:val="16"/>
        </w:rPr>
        <w:noBreakHyphen/>
        <w:t>1</w:t>
      </w:r>
      <w:r>
        <w:rPr>
          <w:sz w:val="16"/>
          <w:szCs w:val="16"/>
        </w:rPr>
        <w:t>5</w:t>
      </w:r>
      <w:r w:rsidRPr="00CD3051">
        <w:rPr>
          <w:sz w:val="16"/>
          <w:szCs w:val="16"/>
        </w:rPr>
        <w:t xml:space="preserve"> dollars</w:t>
      </w:r>
      <w:r w:rsidRPr="00CD3051">
        <w:rPr>
          <w:sz w:val="16"/>
          <w:szCs w:val="16"/>
        </w:rPr>
        <w:br/>
        <w:t>(a)</w:t>
      </w:r>
      <w:r w:rsidRPr="00CD3051">
        <w:rPr>
          <w:sz w:val="16"/>
          <w:szCs w:val="16"/>
        </w:rPr>
        <w:tab/>
      </w:r>
      <w:r w:rsidRPr="00E32E1C">
        <w:rPr>
          <w:sz w:val="16"/>
          <w:szCs w:val="16"/>
        </w:rPr>
        <w:t>Includes revenue from off-airport car parking and private car operators</w:t>
      </w:r>
      <w:r>
        <w:rPr>
          <w:sz w:val="16"/>
          <w:szCs w:val="16"/>
        </w:rPr>
        <w:t xml:space="preserve"> </w:t>
      </w:r>
      <w:r w:rsidRPr="00CD3051">
        <w:rPr>
          <w:sz w:val="16"/>
          <w:szCs w:val="16"/>
        </w:rPr>
        <w:br/>
        <w:t>(b)</w:t>
      </w:r>
      <w:r w:rsidRPr="00CD3051">
        <w:rPr>
          <w:sz w:val="16"/>
          <w:szCs w:val="16"/>
        </w:rPr>
        <w:tab/>
        <w:t>Includes revenue from off-airport car parking and Skybus service</w:t>
      </w:r>
      <w:r w:rsidRPr="00CD3051">
        <w:rPr>
          <w:sz w:val="16"/>
          <w:szCs w:val="16"/>
        </w:rPr>
        <w:br/>
        <w:t>(c)</w:t>
      </w:r>
      <w:r w:rsidRPr="00CD3051">
        <w:rPr>
          <w:sz w:val="16"/>
          <w:szCs w:val="16"/>
        </w:rPr>
        <w:tab/>
        <w:t>Includes revenue from off-airport car parking</w:t>
      </w:r>
    </w:p>
    <w:p w:rsidR="00883552" w:rsidRDefault="00883552" w:rsidP="00883552">
      <w:pPr>
        <w:keepNext/>
        <w:spacing w:before="120"/>
        <w:ind w:left="720" w:hanging="720"/>
        <w:contextualSpacing/>
        <w:rPr>
          <w:sz w:val="16"/>
          <w:szCs w:val="16"/>
        </w:rPr>
      </w:pPr>
    </w:p>
    <w:p w:rsidR="00883552" w:rsidRPr="00CD3051" w:rsidRDefault="00883552" w:rsidP="00883552">
      <w:pPr>
        <w:keepNext/>
        <w:spacing w:before="120"/>
        <w:ind w:left="720" w:hanging="720"/>
        <w:contextualSpacing/>
        <w:rPr>
          <w:sz w:val="16"/>
          <w:szCs w:val="16"/>
        </w:rPr>
      </w:pPr>
    </w:p>
    <w:tbl>
      <w:tblPr>
        <w:tblStyle w:val="TableGrid"/>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shd w:val="clear" w:color="auto" w:fill="DEE9EE"/>
        <w:tblLook w:val="04A0" w:firstRow="1" w:lastRow="0" w:firstColumn="1" w:lastColumn="0" w:noHBand="0" w:noVBand="1"/>
      </w:tblPr>
      <w:tblGrid>
        <w:gridCol w:w="8664"/>
      </w:tblGrid>
      <w:tr w:rsidR="00883552" w:rsidTr="00883552">
        <w:tc>
          <w:tcPr>
            <w:tcW w:w="8664" w:type="dxa"/>
            <w:shd w:val="clear" w:color="auto" w:fill="DEE9EE"/>
          </w:tcPr>
          <w:p w:rsidR="00883552" w:rsidRPr="00B659D0" w:rsidRDefault="00883552" w:rsidP="00883552">
            <w:pPr>
              <w:keepNext/>
              <w:spacing w:before="60" w:line="276" w:lineRule="auto"/>
              <w:jc w:val="center"/>
              <w:outlineLvl w:val="3"/>
              <w:rPr>
                <w:rFonts w:eastAsiaTheme="majorEastAsia" w:cstheme="majorBidi"/>
                <w:b/>
                <w:bCs/>
                <w:color w:val="17365D" w:themeColor="text2" w:themeShade="BF"/>
                <w:sz w:val="24"/>
                <w:szCs w:val="28"/>
              </w:rPr>
            </w:pPr>
            <w:r w:rsidRPr="00B659D0">
              <w:rPr>
                <w:rFonts w:eastAsiaTheme="majorEastAsia" w:cstheme="majorBidi"/>
                <w:b/>
                <w:bCs/>
                <w:color w:val="17365D" w:themeColor="text2" w:themeShade="BF"/>
                <w:sz w:val="24"/>
                <w:szCs w:val="28"/>
              </w:rPr>
              <w:t>Australian rail connections as a constraint on airport market power</w:t>
            </w:r>
          </w:p>
          <w:p w:rsidR="00883552" w:rsidRPr="00B659D0" w:rsidRDefault="00883552" w:rsidP="00883552">
            <w:pPr>
              <w:rPr>
                <w:color w:val="17365D" w:themeColor="text2" w:themeShade="BF"/>
              </w:rPr>
            </w:pPr>
            <w:r w:rsidRPr="00796F1E">
              <w:rPr>
                <w:color w:val="17365D" w:themeColor="text2" w:themeShade="BF"/>
              </w:rPr>
              <w:t xml:space="preserve">As the sole providers of car parking on airport grounds, the major Australian airports are likely to hold significant market power in the supply of car parking services. The higher the level of market power, the less incentive that an airport has to keep prices low and provide a service that is attractive to users. An indication of the monitored airports’ market power is that they all enjoy operating margins </w:t>
            </w:r>
            <w:r>
              <w:rPr>
                <w:color w:val="17365D" w:themeColor="text2" w:themeShade="BF"/>
              </w:rPr>
              <w:t>o</w:t>
            </w:r>
            <w:r w:rsidRPr="00796F1E">
              <w:rPr>
                <w:color w:val="17365D" w:themeColor="text2" w:themeShade="BF"/>
              </w:rPr>
              <w:t>n car parking of above 50 per cent (see section 1.7.3).</w:t>
            </w:r>
          </w:p>
          <w:p w:rsidR="00883552" w:rsidRPr="006A52B8" w:rsidRDefault="00883552" w:rsidP="00883552">
            <w:pPr>
              <w:rPr>
                <w:color w:val="17365D" w:themeColor="text2" w:themeShade="BF"/>
              </w:rPr>
            </w:pPr>
            <w:r w:rsidRPr="006A52B8">
              <w:rPr>
                <w:color w:val="17365D" w:themeColor="text2" w:themeShade="BF"/>
              </w:rPr>
              <w:t xml:space="preserve">The degree of market power depends on the extent to which consumers can and are happy to choose other means for getting to and from the airport. Alternative transport modes may include off-airport car parking, terminal pick-up and drop-off, taxis, hire cars, limousines, public and private buses, and trains. The competitive dynamics of airport transport is further impacted by suppliers of these alternative forms or transport relying on the airport for appropriate facilities (e.g. convenient locations for kerbside pick-up and drop-off) and access charges where applicable. </w:t>
            </w:r>
          </w:p>
          <w:p w:rsidR="00883552" w:rsidRPr="006A52B8" w:rsidRDefault="00883552" w:rsidP="00883552">
            <w:pPr>
              <w:rPr>
                <w:color w:val="17365D" w:themeColor="text2" w:themeShade="BF"/>
              </w:rPr>
            </w:pPr>
            <w:r w:rsidRPr="006A52B8">
              <w:rPr>
                <w:color w:val="17365D" w:themeColor="text2" w:themeShade="BF"/>
              </w:rPr>
              <w:t>In this year’s report, the ACCC has chosen to take a closer look at airport rail links and the degree to which they act as a constraint on the market power of airports in car parking. We find that where rail links have been built, they have struggled to gain significant market share due to a variety of price and non</w:t>
            </w:r>
            <w:r w:rsidRPr="006A52B8">
              <w:rPr>
                <w:color w:val="17365D" w:themeColor="text2" w:themeShade="BF"/>
              </w:rPr>
              <w:noBreakHyphen/>
              <w:t>price factors. The relatively low patronage of these services suggests that airport rail has not provided a strong degree of constraint on airport’s car parking pricing. Furthermore, there is some evidence that airport rail competes more closely with other modes of transport, such as taxis and other public transport services.</w:t>
            </w:r>
          </w:p>
          <w:p w:rsidR="00883552" w:rsidRDefault="00883552" w:rsidP="00883552">
            <w:pPr>
              <w:spacing w:after="200" w:line="276" w:lineRule="auto"/>
              <w:rPr>
                <w:rFonts w:eastAsiaTheme="majorEastAsia" w:cstheme="majorBidi"/>
                <w:b/>
                <w:bCs/>
                <w:i/>
                <w:color w:val="17365D" w:themeColor="text2" w:themeShade="BF"/>
                <w:sz w:val="22"/>
              </w:rPr>
            </w:pPr>
          </w:p>
          <w:p w:rsidR="00883552" w:rsidRPr="006A52B8" w:rsidRDefault="00883552" w:rsidP="00883552">
            <w:pPr>
              <w:spacing w:after="200" w:line="276" w:lineRule="auto"/>
              <w:rPr>
                <w:rFonts w:eastAsiaTheme="majorEastAsia" w:cstheme="majorBidi"/>
                <w:b/>
                <w:bCs/>
                <w:i/>
                <w:color w:val="17365D" w:themeColor="text2" w:themeShade="BF"/>
                <w:sz w:val="22"/>
              </w:rPr>
            </w:pPr>
            <w:r w:rsidRPr="006A52B8">
              <w:rPr>
                <w:rFonts w:eastAsiaTheme="majorEastAsia" w:cstheme="majorBidi"/>
                <w:b/>
                <w:bCs/>
                <w:i/>
                <w:color w:val="17365D" w:themeColor="text2" w:themeShade="BF"/>
                <w:sz w:val="22"/>
              </w:rPr>
              <w:lastRenderedPageBreak/>
              <w:t>Existing and possible future Australian airport rail links</w:t>
            </w:r>
          </w:p>
          <w:p w:rsidR="00883552" w:rsidRPr="00B659D0" w:rsidRDefault="00883552" w:rsidP="00883552">
            <w:pPr>
              <w:rPr>
                <w:color w:val="17365D" w:themeColor="text2" w:themeShade="BF"/>
              </w:rPr>
            </w:pPr>
            <w:r w:rsidRPr="00796F1E">
              <w:rPr>
                <w:color w:val="17365D" w:themeColor="text2" w:themeShade="BF"/>
              </w:rPr>
              <w:t>Sydney and Brisbane airports are the only two major Australian airports that have a heavy rail service operating to and from the airport. Both have historically struggled to capture significant market share, with Sydney Airport’s rail market share at around 15 per cent and Brisbane Airport’s rail market share at around 4 per cent</w:t>
            </w:r>
            <w:r>
              <w:rPr>
                <w:color w:val="17365D" w:themeColor="text2" w:themeShade="BF"/>
              </w:rPr>
              <w:t xml:space="preserve"> of the total trips to these airports</w:t>
            </w:r>
            <w:r w:rsidRPr="00796F1E">
              <w:rPr>
                <w:color w:val="17365D" w:themeColor="text2" w:themeShade="BF"/>
              </w:rPr>
              <w:t>. Despite this, plans for airport rail links at other major Australian airports have also been recently discussed or introduced. These existing and potential airport rail links are described in more detail below</w:t>
            </w:r>
            <w:r w:rsidRPr="00B659D0">
              <w:rPr>
                <w:color w:val="17365D" w:themeColor="text2" w:themeShade="BF"/>
              </w:rPr>
              <w:t>.</w:t>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Sydney</w:t>
            </w:r>
          </w:p>
          <w:p w:rsidR="00883552" w:rsidRPr="006A52B8" w:rsidRDefault="00883552" w:rsidP="00883552">
            <w:pPr>
              <w:rPr>
                <w:color w:val="17365D" w:themeColor="text2" w:themeShade="BF"/>
              </w:rPr>
            </w:pPr>
            <w:r w:rsidRPr="006A52B8">
              <w:rPr>
                <w:color w:val="17365D" w:themeColor="text2" w:themeShade="BF"/>
              </w:rPr>
              <w:t>The Sydney Airport rail link was the first in Australia. It was constructed between 1995 and 2000 in order to be completed prior to the 2000 Sydney Olympics. This project was developed as a 30-year concession between the New South Wales Government and the private sector. The airport stations are operated and managed by the Airport Link Company (ALC) and will be under private ownership until 2030.</w:t>
            </w:r>
            <w:r w:rsidRPr="006A52B8">
              <w:rPr>
                <w:b/>
                <w:color w:val="17365D" w:themeColor="text2" w:themeShade="BF"/>
                <w:vertAlign w:val="superscript"/>
              </w:rPr>
              <w:footnoteReference w:id="44"/>
            </w:r>
            <w:r w:rsidRPr="006A52B8">
              <w:rPr>
                <w:color w:val="17365D" w:themeColor="text2" w:themeShade="BF"/>
              </w:rPr>
              <w:t xml:space="preserve"> ALC applies a station usage fee that is applied for all trips to and from the airport stations, which results in passengers paying $17.00 one</w:t>
            </w:r>
            <w:r w:rsidRPr="006A52B8">
              <w:rPr>
                <w:color w:val="17365D" w:themeColor="text2" w:themeShade="BF"/>
              </w:rPr>
              <w:noBreakHyphen/>
              <w:t>way to/from Sydney Airport.</w:t>
            </w:r>
            <w:r w:rsidRPr="006A52B8">
              <w:rPr>
                <w:color w:val="17365D" w:themeColor="text2" w:themeShade="BF"/>
                <w:vertAlign w:val="superscript"/>
              </w:rPr>
              <w:t xml:space="preserve"> </w:t>
            </w:r>
            <w:r w:rsidRPr="006A52B8">
              <w:rPr>
                <w:color w:val="17365D" w:themeColor="text2" w:themeShade="BF"/>
                <w:vertAlign w:val="superscript"/>
              </w:rPr>
              <w:footnoteReference w:id="45"/>
            </w:r>
            <w:r w:rsidRPr="006A52B8">
              <w:rPr>
                <w:color w:val="17365D" w:themeColor="text2" w:themeShade="BF"/>
              </w:rPr>
              <w:t xml:space="preserve"> The NSW Government is also entitled to a portion of the net revenues from the station usage fee.</w:t>
            </w:r>
            <w:r w:rsidRPr="006A52B8">
              <w:rPr>
                <w:color w:val="17365D" w:themeColor="text2" w:themeShade="BF"/>
                <w:vertAlign w:val="superscript"/>
              </w:rPr>
              <w:footnoteReference w:id="46"/>
            </w:r>
            <w:r w:rsidRPr="006A52B8">
              <w:rPr>
                <w:color w:val="17365D" w:themeColor="text2" w:themeShade="BF"/>
              </w:rPr>
              <w:t xml:space="preserve"> In August 2014, the NSW Government stated that it did not intend to abolish or reduce the station usage fee, and that removing it would cost the NSW Government hundreds of millions of dollars.</w:t>
            </w:r>
            <w:r w:rsidRPr="006A52B8">
              <w:rPr>
                <w:color w:val="17365D" w:themeColor="text2" w:themeShade="BF"/>
                <w:vertAlign w:val="superscript"/>
              </w:rPr>
              <w:footnoteReference w:id="47"/>
            </w:r>
            <w:r w:rsidRPr="006A52B8">
              <w:rPr>
                <w:color w:val="17365D" w:themeColor="text2" w:themeShade="BF"/>
              </w:rPr>
              <w:t xml:space="preserve"> </w:t>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Brisbane</w:t>
            </w:r>
          </w:p>
          <w:p w:rsidR="00883552" w:rsidRPr="006A52B8" w:rsidRDefault="00883552" w:rsidP="00883552">
            <w:pPr>
              <w:rPr>
                <w:b/>
                <w:color w:val="17365D" w:themeColor="text2" w:themeShade="BF"/>
              </w:rPr>
            </w:pPr>
            <w:r w:rsidRPr="006A52B8">
              <w:rPr>
                <w:color w:val="17365D" w:themeColor="text2" w:themeShade="BF"/>
              </w:rPr>
              <w:t>The Brisbane Airport rail link is a privately owned and operated railway that commenced operations in May 2001.</w:t>
            </w:r>
            <w:r w:rsidRPr="006A52B8">
              <w:rPr>
                <w:color w:val="17365D" w:themeColor="text2" w:themeShade="BF"/>
                <w:vertAlign w:val="superscript"/>
              </w:rPr>
              <w:footnoteReference w:id="48"/>
            </w:r>
            <w:r w:rsidRPr="006A52B8">
              <w:rPr>
                <w:color w:val="17365D" w:themeColor="text2" w:themeShade="BF"/>
              </w:rPr>
              <w:t xml:space="preserve"> Queensland Transport granted Airtrain a licence to build, own, operate and transfer the Brisbane Airport rail link for 35 years.</w:t>
            </w:r>
            <w:r w:rsidRPr="006A52B8">
              <w:rPr>
                <w:color w:val="17365D" w:themeColor="text2" w:themeShade="BF"/>
                <w:vertAlign w:val="superscript"/>
              </w:rPr>
              <w:footnoteReference w:id="49"/>
            </w:r>
            <w:r w:rsidRPr="006A52B8">
              <w:rPr>
                <w:color w:val="17365D" w:themeColor="text2" w:themeShade="BF"/>
              </w:rPr>
              <w:t xml:space="preserve"> Similar to the Sydney Airport rail link, there is a higher fee applied on using the Brisbane Airport rail link stations than the regular passenger train network. Passengers currently pay $17.50 one-way to travel between Brisbane Airport and Brisbane City.</w:t>
            </w:r>
            <w:r w:rsidRPr="006A52B8">
              <w:rPr>
                <w:color w:val="17365D" w:themeColor="text2" w:themeShade="BF"/>
                <w:vertAlign w:val="superscript"/>
              </w:rPr>
              <w:footnoteReference w:id="50"/>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Perth</w:t>
            </w:r>
          </w:p>
          <w:p w:rsidR="00883552" w:rsidRPr="006A52B8" w:rsidRDefault="00883552" w:rsidP="00883552">
            <w:pPr>
              <w:rPr>
                <w:color w:val="17365D" w:themeColor="text2" w:themeShade="BF"/>
              </w:rPr>
            </w:pPr>
            <w:r w:rsidRPr="006A52B8">
              <w:rPr>
                <w:color w:val="17365D" w:themeColor="text2" w:themeShade="BF"/>
              </w:rPr>
              <w:t>In August 2014, the Western Australian Government announced the construction of the Forrestfield</w:t>
            </w:r>
            <w:r w:rsidRPr="006A52B8">
              <w:rPr>
                <w:color w:val="17365D" w:themeColor="text2" w:themeShade="BF"/>
              </w:rPr>
              <w:noBreakHyphen/>
              <w:t>Airport Link, with construction to begin in 2016 and trains to commence in 2020.</w:t>
            </w:r>
            <w:r w:rsidRPr="006A52B8">
              <w:rPr>
                <w:color w:val="17365D" w:themeColor="text2" w:themeShade="BF"/>
                <w:vertAlign w:val="superscript"/>
              </w:rPr>
              <w:footnoteReference w:id="51"/>
            </w:r>
            <w:r w:rsidRPr="006A52B8">
              <w:rPr>
                <w:color w:val="17365D" w:themeColor="text2" w:themeShade="BF"/>
              </w:rPr>
              <w:t xml:space="preserve"> The rail link will have three new train stations, including an underground station at Perth Airport, which will result in travel times of less than 20 minutes to the Perth CBD.</w:t>
            </w:r>
            <w:r w:rsidRPr="006A52B8">
              <w:rPr>
                <w:color w:val="17365D" w:themeColor="text2" w:themeShade="BF"/>
                <w:vertAlign w:val="superscript"/>
              </w:rPr>
              <w:footnoteReference w:id="52"/>
            </w:r>
            <w:r w:rsidRPr="006A52B8">
              <w:rPr>
                <w:color w:val="17365D" w:themeColor="text2" w:themeShade="BF"/>
              </w:rPr>
              <w:t xml:space="preserve"> The WA Government has short-listed three consortia to design and construct the rail link. Perth Airport </w:t>
            </w:r>
            <w:r w:rsidRPr="006A52B8">
              <w:rPr>
                <w:color w:val="17365D" w:themeColor="text2" w:themeShade="BF"/>
              </w:rPr>
              <w:lastRenderedPageBreak/>
              <w:t>has publicly supported the airport rail project, and the WA Government has confirmed that it will fully fund the project from planning to construction and into operation.</w:t>
            </w:r>
            <w:r w:rsidRPr="006A52B8">
              <w:rPr>
                <w:color w:val="17365D" w:themeColor="text2" w:themeShade="BF"/>
                <w:vertAlign w:val="superscript"/>
              </w:rPr>
              <w:footnoteReference w:id="53"/>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Melbourne</w:t>
            </w:r>
          </w:p>
          <w:p w:rsidR="00883552" w:rsidRPr="00796F1E" w:rsidRDefault="00883552" w:rsidP="00883552">
            <w:pPr>
              <w:rPr>
                <w:color w:val="17365D" w:themeColor="text2" w:themeShade="BF"/>
              </w:rPr>
            </w:pPr>
            <w:r w:rsidRPr="00796F1E">
              <w:rPr>
                <w:color w:val="17365D" w:themeColor="text2" w:themeShade="BF"/>
              </w:rPr>
              <w:t>In April 2014, the then Victorian Government announced a plan to build a rail link to Melbourne Airport.</w:t>
            </w:r>
            <w:r w:rsidRPr="00796F1E">
              <w:rPr>
                <w:color w:val="17365D" w:themeColor="text2" w:themeShade="BF"/>
                <w:vertAlign w:val="superscript"/>
              </w:rPr>
              <w:footnoteReference w:id="54"/>
            </w:r>
            <w:r w:rsidRPr="00796F1E">
              <w:rPr>
                <w:color w:val="17365D" w:themeColor="text2" w:themeShade="BF"/>
              </w:rPr>
              <w:t xml:space="preserve"> Although supportive of a rail link to the airport in principle and suggesting that it was ‘a worthy long-term project’, the new government has stated that it has other more immediate infrastructure priorities.</w:t>
            </w:r>
            <w:r w:rsidRPr="00796F1E">
              <w:rPr>
                <w:color w:val="17365D" w:themeColor="text2" w:themeShade="BF"/>
                <w:vertAlign w:val="superscript"/>
              </w:rPr>
              <w:footnoteReference w:id="55"/>
            </w:r>
            <w:r w:rsidRPr="00796F1E">
              <w:rPr>
                <w:color w:val="17365D" w:themeColor="text2" w:themeShade="BF"/>
              </w:rPr>
              <w:t xml:space="preserve">  The current Opposition Leader, </w:t>
            </w:r>
            <w:r>
              <w:rPr>
                <w:color w:val="17365D" w:themeColor="text2" w:themeShade="BF"/>
              </w:rPr>
              <w:t xml:space="preserve">the Hon </w:t>
            </w:r>
            <w:r w:rsidRPr="00796F1E">
              <w:rPr>
                <w:color w:val="17365D" w:themeColor="text2" w:themeShade="BF"/>
              </w:rPr>
              <w:t>Matthew Guy, has backed the Melbourne Airport rail link project, stating in August 2015 that ‘it’s a no brainer that Melbourne Airport needs a railway’</w:t>
            </w:r>
            <w:r w:rsidRPr="00796F1E">
              <w:rPr>
                <w:color w:val="17365D" w:themeColor="text2" w:themeShade="BF"/>
                <w:vertAlign w:val="superscript"/>
              </w:rPr>
              <w:footnoteReference w:id="56"/>
            </w:r>
            <w:r w:rsidRPr="00796F1E">
              <w:rPr>
                <w:color w:val="17365D" w:themeColor="text2" w:themeShade="BF"/>
              </w:rPr>
              <w:t>.</w:t>
            </w:r>
          </w:p>
          <w:p w:rsidR="00883552" w:rsidRPr="00796F1E" w:rsidRDefault="00883552" w:rsidP="00883552">
            <w:pPr>
              <w:rPr>
                <w:color w:val="17365D" w:themeColor="text2" w:themeShade="BF"/>
              </w:rPr>
            </w:pPr>
            <w:r w:rsidRPr="00796F1E">
              <w:rPr>
                <w:color w:val="17365D" w:themeColor="text2" w:themeShade="BF"/>
              </w:rPr>
              <w:t>The Tourism and Transport Forum (TTF) considered that once airports reach a benchmark of 40 million passengers per year, a rail link becomes a necessity.</w:t>
            </w:r>
            <w:r w:rsidRPr="00796F1E">
              <w:rPr>
                <w:color w:val="17365D" w:themeColor="text2" w:themeShade="BF"/>
                <w:vertAlign w:val="superscript"/>
              </w:rPr>
              <w:footnoteReference w:id="57"/>
            </w:r>
            <w:r w:rsidRPr="00796F1E">
              <w:rPr>
                <w:color w:val="17365D" w:themeColor="text2" w:themeShade="BF"/>
              </w:rPr>
              <w:t xml:space="preserve"> Another analysis argued that an airport rail link in Melbourne would be required before passenger numbers reach 60 million per year.</w:t>
            </w:r>
            <w:r w:rsidRPr="00796F1E">
              <w:rPr>
                <w:color w:val="17365D" w:themeColor="text2" w:themeShade="BF"/>
                <w:vertAlign w:val="superscript"/>
              </w:rPr>
              <w:footnoteReference w:id="58"/>
            </w:r>
            <w:r w:rsidRPr="00796F1E">
              <w:rPr>
                <w:color w:val="17365D" w:themeColor="text2" w:themeShade="BF"/>
              </w:rPr>
              <w:t xml:space="preserve">  Both reports consider that Melbourne Airport could reach these volumes within 20 years. In addition, the Bureau of Infrastructure, Transport and Regional Economics (BITRE) has forecast that Melbourne Airport would surpass 60 million passengers per year in 2030</w:t>
            </w:r>
            <w:r w:rsidRPr="00796F1E">
              <w:rPr>
                <w:color w:val="17365D" w:themeColor="text2" w:themeShade="BF"/>
              </w:rPr>
              <w:noBreakHyphen/>
              <w:t>31.</w:t>
            </w:r>
            <w:r w:rsidRPr="00796F1E">
              <w:rPr>
                <w:color w:val="17365D" w:themeColor="text2" w:themeShade="BF"/>
                <w:vertAlign w:val="superscript"/>
              </w:rPr>
              <w:footnoteReference w:id="59"/>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Western Sydney</w:t>
            </w:r>
          </w:p>
          <w:p w:rsidR="00883552" w:rsidRPr="00796F1E" w:rsidRDefault="00883552" w:rsidP="00883552">
            <w:pPr>
              <w:rPr>
                <w:color w:val="17365D" w:themeColor="text2" w:themeShade="BF"/>
              </w:rPr>
            </w:pPr>
            <w:r w:rsidRPr="00796F1E">
              <w:rPr>
                <w:color w:val="17365D" w:themeColor="text2" w:themeShade="BF"/>
              </w:rPr>
              <w:t>In April 2014, the Australian Government and NSW Government announced a $3.5 billion roads package to improve the linkages to the new airport to be built at Badgerys Creek in Western Sydney.</w:t>
            </w:r>
            <w:r w:rsidRPr="00796F1E">
              <w:rPr>
                <w:color w:val="17365D" w:themeColor="text2" w:themeShade="BF"/>
                <w:vertAlign w:val="superscript"/>
              </w:rPr>
              <w:footnoteReference w:id="60"/>
            </w:r>
            <w:r w:rsidRPr="00796F1E">
              <w:rPr>
                <w:color w:val="17365D" w:themeColor="text2" w:themeShade="BF"/>
              </w:rPr>
              <w:t xml:space="preserve"> However, the Australian Government announced that there would be no rail link when the airport opens. Department of Infrastructure and Regional Development deputy secretary Andrew Wilson stated in August 2015 that ‘the first public transport to and from the airport will be buses provided through an efficient road network’ and ‘rail is a longer-term requirement’.</w:t>
            </w:r>
            <w:r w:rsidRPr="00796F1E">
              <w:rPr>
                <w:color w:val="17365D" w:themeColor="text2" w:themeShade="BF"/>
                <w:vertAlign w:val="superscript"/>
              </w:rPr>
              <w:footnoteReference w:id="61"/>
            </w:r>
            <w:r w:rsidRPr="00796F1E">
              <w:rPr>
                <w:color w:val="17365D" w:themeColor="text2" w:themeShade="BF"/>
              </w:rPr>
              <w:t xml:space="preserve"> </w:t>
            </w:r>
          </w:p>
          <w:p w:rsidR="00883552" w:rsidRPr="00796F1E" w:rsidRDefault="00883552" w:rsidP="00883552">
            <w:pPr>
              <w:rPr>
                <w:color w:val="17365D" w:themeColor="text2" w:themeShade="BF"/>
              </w:rPr>
            </w:pPr>
            <w:r w:rsidRPr="00796F1E">
              <w:rPr>
                <w:color w:val="17365D" w:themeColor="text2" w:themeShade="BF"/>
              </w:rPr>
              <w:t>In November 2015, the Australian and NSW Governments announced a ‘rail options’ plan to examine Western Sydney’s rail transport needs, including serving Badgerys Creek Airport and other Western Sydney growth areas.</w:t>
            </w:r>
            <w:r w:rsidRPr="00796F1E">
              <w:rPr>
                <w:color w:val="17365D" w:themeColor="text2" w:themeShade="BF"/>
                <w:vertAlign w:val="superscript"/>
              </w:rPr>
              <w:footnoteReference w:id="62"/>
            </w:r>
            <w:r w:rsidRPr="00796F1E">
              <w:rPr>
                <w:color w:val="17365D" w:themeColor="text2" w:themeShade="BF"/>
              </w:rPr>
              <w:t xml:space="preserve"> The Australian Government stated that this process will </w:t>
            </w:r>
            <w:r w:rsidRPr="00796F1E">
              <w:rPr>
                <w:color w:val="17365D" w:themeColor="text2" w:themeShade="BF"/>
              </w:rPr>
              <w:lastRenderedPageBreak/>
              <w:t>be completed within 12 months. In particular, the government stated that a rail line linking Badgerys Creek Airport and the surrounding communities will be needed ‘one day’ and that the airport would be ‘rail ready’ when it opens.</w:t>
            </w:r>
            <w:r w:rsidRPr="00796F1E">
              <w:rPr>
                <w:color w:val="17365D" w:themeColor="text2" w:themeShade="BF"/>
                <w:vertAlign w:val="superscript"/>
              </w:rPr>
              <w:footnoteReference w:id="63"/>
            </w:r>
          </w:p>
          <w:p w:rsidR="00883552" w:rsidRPr="006A52B8" w:rsidRDefault="00883552" w:rsidP="00883552">
            <w:pPr>
              <w:keepNext/>
              <w:tabs>
                <w:tab w:val="right" w:pos="8448"/>
              </w:tabs>
              <w:spacing w:after="200" w:line="276" w:lineRule="auto"/>
              <w:rPr>
                <w:rFonts w:eastAsiaTheme="majorEastAsia" w:cstheme="majorBidi"/>
                <w:b/>
                <w:bCs/>
                <w:i/>
                <w:color w:val="17365D" w:themeColor="text2" w:themeShade="BF"/>
                <w:sz w:val="22"/>
              </w:rPr>
            </w:pPr>
            <w:r w:rsidRPr="006A52B8">
              <w:rPr>
                <w:rFonts w:eastAsiaTheme="majorEastAsia" w:cstheme="majorBidi"/>
                <w:b/>
                <w:bCs/>
                <w:i/>
                <w:color w:val="17365D" w:themeColor="text2" w:themeShade="BF"/>
                <w:sz w:val="22"/>
              </w:rPr>
              <w:t>Why have airport rail links struggled to gain significant market share?</w:t>
            </w:r>
            <w:r w:rsidRPr="006A52B8">
              <w:rPr>
                <w:rFonts w:eastAsiaTheme="majorEastAsia" w:cstheme="majorBidi"/>
                <w:b/>
                <w:bCs/>
                <w:i/>
                <w:color w:val="17365D" w:themeColor="text2" w:themeShade="BF"/>
                <w:sz w:val="22"/>
              </w:rPr>
              <w:tab/>
            </w:r>
          </w:p>
          <w:p w:rsidR="00883552" w:rsidRPr="00796F1E" w:rsidRDefault="00883552" w:rsidP="00883552">
            <w:pPr>
              <w:rPr>
                <w:color w:val="17365D" w:themeColor="text2" w:themeShade="BF"/>
              </w:rPr>
            </w:pPr>
            <w:r w:rsidRPr="00796F1E">
              <w:rPr>
                <w:color w:val="17365D" w:themeColor="text2" w:themeShade="BF"/>
              </w:rPr>
              <w:t>Private car remains the dominant mode of transport used to access Australia’s major airports. Although rail is the most popular form of public transportation used by passengers travelling to/from the airport in both Sydney and Brisbane, these services have struggled to reach significant levels of market share</w:t>
            </w:r>
            <w:r>
              <w:rPr>
                <w:color w:val="17365D" w:themeColor="text2" w:themeShade="BF"/>
              </w:rPr>
              <w:t>.</w:t>
            </w:r>
            <w:r w:rsidRPr="00796F1E">
              <w:rPr>
                <w:color w:val="17365D" w:themeColor="text2" w:themeShade="BF"/>
              </w:rPr>
              <w:t xml:space="preserve"> This may be partly due to local conditions in Australia and attitudes towards public transport, as well as specific features of the airport rail links and the airports.</w:t>
            </w:r>
          </w:p>
          <w:p w:rsidR="00883552" w:rsidRPr="00796F1E" w:rsidRDefault="00883552" w:rsidP="00883552">
            <w:pPr>
              <w:rPr>
                <w:color w:val="17365D" w:themeColor="text2" w:themeShade="BF"/>
              </w:rPr>
            </w:pPr>
            <w:r w:rsidRPr="00796F1E">
              <w:rPr>
                <w:color w:val="17365D" w:themeColor="text2" w:themeShade="BF"/>
              </w:rPr>
              <w:t>After initially struggling to gain market share</w:t>
            </w:r>
            <w:r>
              <w:rPr>
                <w:color w:val="17365D" w:themeColor="text2" w:themeShade="BF"/>
              </w:rPr>
              <w:t xml:space="preserve"> of trips to the airport</w:t>
            </w:r>
            <w:r w:rsidRPr="00796F1E">
              <w:rPr>
                <w:color w:val="17365D" w:themeColor="text2" w:themeShade="BF"/>
              </w:rPr>
              <w:t>, Sydney’s airport rail improved its market share by 1 percentage point per year between 2006 and 2012.</w:t>
            </w:r>
            <w:r w:rsidRPr="00796F1E">
              <w:rPr>
                <w:color w:val="17365D" w:themeColor="text2" w:themeShade="BF"/>
                <w:vertAlign w:val="superscript"/>
              </w:rPr>
              <w:footnoteReference w:id="64"/>
            </w:r>
            <w:r w:rsidRPr="00796F1E">
              <w:rPr>
                <w:color w:val="17365D" w:themeColor="text2" w:themeShade="BF"/>
              </w:rPr>
              <w:t xml:space="preserve">  According to a 2012 survey, rail was the main public transport option used to access Sydney Airport and had reached a market share of around 15 per cent of trips to and from the airport</w:t>
            </w:r>
            <w:r>
              <w:rPr>
                <w:color w:val="17365D" w:themeColor="text2" w:themeShade="BF"/>
              </w:rPr>
              <w:t xml:space="preserve"> (which is not insignificant)</w:t>
            </w:r>
            <w:r w:rsidRPr="00796F1E">
              <w:rPr>
                <w:color w:val="17365D" w:themeColor="text2" w:themeShade="BF"/>
              </w:rPr>
              <w:t>.</w:t>
            </w:r>
            <w:r w:rsidRPr="00796F1E">
              <w:rPr>
                <w:color w:val="17365D" w:themeColor="text2" w:themeShade="BF"/>
                <w:vertAlign w:val="superscript"/>
              </w:rPr>
              <w:footnoteReference w:id="65"/>
            </w:r>
            <w:r w:rsidRPr="00796F1E">
              <w:rPr>
                <w:color w:val="17365D" w:themeColor="text2" w:themeShade="BF"/>
              </w:rPr>
              <w:t xml:space="preserve"> </w:t>
            </w:r>
            <w:r>
              <w:rPr>
                <w:color w:val="17365D" w:themeColor="text2" w:themeShade="BF"/>
              </w:rPr>
              <w:t>Owner of the rail link, CP2 Limited, further advised the Australian Logistics Council 2016 Conference that this share had increased to 20 per cent. It also forecast train patronage to grow by 7 per cent during 2016.</w:t>
            </w:r>
            <w:r>
              <w:rPr>
                <w:rStyle w:val="FootnoteReference"/>
                <w:color w:val="17365D" w:themeColor="text2" w:themeShade="BF"/>
              </w:rPr>
              <w:footnoteReference w:id="66"/>
            </w:r>
            <w:r>
              <w:rPr>
                <w:color w:val="17365D" w:themeColor="text2" w:themeShade="BF"/>
              </w:rPr>
              <w:t xml:space="preserve"> It has been suggested that more airport visitors have opted for the airport rail link due to current worsening of congestion on roads around the airport.</w:t>
            </w:r>
            <w:r>
              <w:rPr>
                <w:rStyle w:val="FootnoteReference"/>
                <w:color w:val="17365D" w:themeColor="text2" w:themeShade="BF"/>
              </w:rPr>
              <w:footnoteReference w:id="67"/>
            </w:r>
            <w:r>
              <w:rPr>
                <w:color w:val="17365D" w:themeColor="text2" w:themeShade="BF"/>
              </w:rPr>
              <w:t xml:space="preserve"> </w:t>
            </w:r>
            <w:r w:rsidRPr="00796F1E">
              <w:rPr>
                <w:color w:val="17365D" w:themeColor="text2" w:themeShade="BF"/>
              </w:rPr>
              <w:t>Public buses accounted for only 2 per cent of trips to and from the airport.</w:t>
            </w:r>
            <w:r w:rsidRPr="00796F1E">
              <w:rPr>
                <w:color w:val="17365D" w:themeColor="text2" w:themeShade="BF"/>
                <w:vertAlign w:val="superscript"/>
              </w:rPr>
              <w:footnoteReference w:id="68"/>
            </w:r>
            <w:r w:rsidRPr="00796F1E">
              <w:rPr>
                <w:color w:val="17365D" w:themeColor="text2" w:themeShade="BF"/>
              </w:rPr>
              <w:t xml:space="preserve"> In comparison, during 2009 (the most recent figures available) private car and taxi trips accounted for almost 70 per cent of trips to and from the airport.</w:t>
            </w:r>
            <w:r w:rsidRPr="00796F1E">
              <w:rPr>
                <w:color w:val="17365D" w:themeColor="text2" w:themeShade="BF"/>
                <w:vertAlign w:val="superscript"/>
              </w:rPr>
              <w:footnoteReference w:id="69"/>
            </w:r>
            <w:r w:rsidRPr="00796F1E">
              <w:rPr>
                <w:color w:val="17365D" w:themeColor="text2" w:themeShade="BF"/>
              </w:rPr>
              <w:t xml:space="preserve"> There is much lower use of public transport to get to the airport in Brisbane than in Sydney, with around 94 per cent of trips typically by private cars and taxis, with less than 6 per cent of trips by public transport.</w:t>
            </w:r>
            <w:r w:rsidRPr="00796F1E">
              <w:rPr>
                <w:color w:val="17365D" w:themeColor="text2" w:themeShade="BF"/>
                <w:vertAlign w:val="superscript"/>
              </w:rPr>
              <w:footnoteReference w:id="70"/>
            </w:r>
            <w:r w:rsidRPr="00796F1E">
              <w:rPr>
                <w:color w:val="17365D" w:themeColor="text2" w:themeShade="BF"/>
              </w:rPr>
              <w:t xml:space="preserve">  </w:t>
            </w:r>
          </w:p>
          <w:p w:rsidR="00883552" w:rsidRPr="00796F1E" w:rsidRDefault="00883552" w:rsidP="00883552">
            <w:pPr>
              <w:rPr>
                <w:color w:val="17365D" w:themeColor="text2" w:themeShade="BF"/>
              </w:rPr>
            </w:pPr>
            <w:r w:rsidRPr="00796F1E">
              <w:rPr>
                <w:color w:val="17365D" w:themeColor="text2" w:themeShade="BF"/>
              </w:rPr>
              <w:t>Both the Brisbane and Sydney airport rail links appear to provide comparable travel times with other possible transport modes (including private cars) at reliable intervals for passengers travelling to/from the CBD at non</w:t>
            </w:r>
            <w:r w:rsidRPr="00796F1E">
              <w:rPr>
                <w:color w:val="17365D" w:themeColor="text2" w:themeShade="BF"/>
              </w:rPr>
              <w:noBreakHyphen/>
              <w:t>peak times.</w:t>
            </w:r>
            <w:r w:rsidRPr="00796F1E">
              <w:rPr>
                <w:color w:val="17365D" w:themeColor="text2" w:themeShade="BF"/>
                <w:vertAlign w:val="superscript"/>
              </w:rPr>
              <w:footnoteReference w:id="71"/>
            </w:r>
            <w:r w:rsidRPr="00796F1E">
              <w:rPr>
                <w:color w:val="17365D" w:themeColor="text2" w:themeShade="BF"/>
              </w:rPr>
              <w:t xml:space="preserve"> During peak times, the airport rail would likely provide a faster service than other road-based transport modes. Despite this, airport rail market shares are yet to reach significant levels</w:t>
            </w:r>
            <w:r>
              <w:rPr>
                <w:color w:val="17365D" w:themeColor="text2" w:themeShade="BF"/>
              </w:rPr>
              <w:t xml:space="preserve"> such as those at European and Asian airports</w:t>
            </w:r>
            <w:r w:rsidRPr="00796F1E">
              <w:rPr>
                <w:color w:val="17365D" w:themeColor="text2" w:themeShade="BF"/>
              </w:rPr>
              <w:t>, particularly in Brisbane. Some of the likely contributing factors are discussed below.</w:t>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Premium pricing on airport rail links</w:t>
            </w:r>
          </w:p>
          <w:p w:rsidR="00883552" w:rsidRPr="00796F1E" w:rsidRDefault="00883552" w:rsidP="00883552">
            <w:pPr>
              <w:rPr>
                <w:color w:val="17365D" w:themeColor="text2" w:themeShade="BF"/>
              </w:rPr>
            </w:pPr>
            <w:r w:rsidRPr="00796F1E">
              <w:rPr>
                <w:color w:val="17365D" w:themeColor="text2" w:themeShade="BF"/>
              </w:rPr>
              <w:t>There is a premium price applied to the Brisbane and Sydney airport rail services compared to regular public transport services. Premium prices for rail may make it more cost effective for passengers to use another form of transport (such as a taxi) for multiple people travelling together. For example, the TTF suggested that Sydney’s airport station usage fee (currently $13.00</w:t>
            </w:r>
            <w:r w:rsidRPr="00796F1E">
              <w:rPr>
                <w:color w:val="17365D" w:themeColor="text2" w:themeShade="BF"/>
                <w:vertAlign w:val="superscript"/>
              </w:rPr>
              <w:footnoteReference w:id="72"/>
            </w:r>
            <w:r w:rsidRPr="00796F1E">
              <w:rPr>
                <w:color w:val="17365D" w:themeColor="text2" w:themeShade="BF"/>
              </w:rPr>
              <w:t xml:space="preserve">) is cost-prohibitive for price sensitive travellers (those most likely to fly with low cost </w:t>
            </w:r>
            <w:r w:rsidRPr="00796F1E">
              <w:rPr>
                <w:color w:val="17365D" w:themeColor="text2" w:themeShade="BF"/>
              </w:rPr>
              <w:lastRenderedPageBreak/>
              <w:t>carriers) and for groups (where taxi fares may be cheaper than the airport rail link).</w:t>
            </w:r>
            <w:r w:rsidRPr="00796F1E">
              <w:rPr>
                <w:color w:val="17365D" w:themeColor="text2" w:themeShade="BF"/>
                <w:vertAlign w:val="superscript"/>
              </w:rPr>
              <w:footnoteReference w:id="73"/>
            </w:r>
            <w:r>
              <w:rPr>
                <w:color w:val="17365D" w:themeColor="text2" w:themeShade="BF"/>
              </w:rPr>
              <w:t xml:space="preserve"> </w:t>
            </w:r>
            <w:r w:rsidRPr="00796F1E">
              <w:rPr>
                <w:color w:val="17365D" w:themeColor="text2" w:themeShade="BF"/>
              </w:rPr>
              <w:t>In addition, it has been forecast that removing the station usage fee at Sydney Airport would provide an initial increase in rail market share of 4 per cent for airline passengers and 3 per cent for airport employees.</w:t>
            </w:r>
            <w:r w:rsidRPr="00796F1E">
              <w:rPr>
                <w:color w:val="17365D" w:themeColor="text2" w:themeShade="BF"/>
                <w:vertAlign w:val="superscript"/>
              </w:rPr>
              <w:footnoteReference w:id="74"/>
            </w:r>
            <w:r>
              <w:rPr>
                <w:color w:val="17365D" w:themeColor="text2" w:themeShade="BF"/>
              </w:rPr>
              <w:t xml:space="preserve"> It was noted recently that the </w:t>
            </w:r>
            <w:r w:rsidRPr="003C5BD3">
              <w:rPr>
                <w:color w:val="17365D" w:themeColor="text2" w:themeShade="BF"/>
              </w:rPr>
              <w:t>NSW State Government received a payment of $54 million from the operators of the rail link for the 2013-14 financial year.</w:t>
            </w:r>
            <w:r>
              <w:rPr>
                <w:rStyle w:val="FootnoteReference"/>
                <w:color w:val="17365D" w:themeColor="text2" w:themeShade="BF"/>
              </w:rPr>
              <w:footnoteReference w:id="75"/>
            </w:r>
          </w:p>
          <w:p w:rsidR="00883552" w:rsidRPr="00796F1E" w:rsidRDefault="00883552" w:rsidP="00883552">
            <w:pPr>
              <w:rPr>
                <w:color w:val="17365D" w:themeColor="text2" w:themeShade="BF"/>
              </w:rPr>
            </w:pPr>
            <w:r w:rsidRPr="00796F1E">
              <w:rPr>
                <w:color w:val="17365D" w:themeColor="text2" w:themeShade="BF"/>
              </w:rPr>
              <w:t>Despite the premium price, a number of studies have argued that passengers place higher values on travel time and other non-price factors, and that even the highest rail fares worldwide are considerably lower than their equivalent taxi fares.</w:t>
            </w:r>
            <w:r w:rsidRPr="00796F1E">
              <w:rPr>
                <w:color w:val="17365D" w:themeColor="text2" w:themeShade="BF"/>
                <w:vertAlign w:val="superscript"/>
              </w:rPr>
              <w:footnoteReference w:id="76"/>
            </w:r>
            <w:r w:rsidRPr="00796F1E">
              <w:rPr>
                <w:color w:val="17365D" w:themeColor="text2" w:themeShade="BF"/>
              </w:rPr>
              <w:t xml:space="preserve"> Although price is an important factor, other factors may be more important in explaining the relatively low market share </w:t>
            </w:r>
            <w:r>
              <w:rPr>
                <w:color w:val="17365D" w:themeColor="text2" w:themeShade="BF"/>
              </w:rPr>
              <w:t xml:space="preserve">held by </w:t>
            </w:r>
            <w:r w:rsidRPr="00796F1E">
              <w:rPr>
                <w:color w:val="17365D" w:themeColor="text2" w:themeShade="BF"/>
              </w:rPr>
              <w:t>Australia’s airport rail links.</w:t>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Australia’s local conditions</w:t>
            </w:r>
          </w:p>
          <w:p w:rsidR="00883552" w:rsidRPr="00796F1E" w:rsidRDefault="00883552" w:rsidP="00883552">
            <w:pPr>
              <w:rPr>
                <w:color w:val="17365D" w:themeColor="text2" w:themeShade="BF"/>
              </w:rPr>
            </w:pPr>
            <w:r w:rsidRPr="00796F1E">
              <w:rPr>
                <w:color w:val="17365D" w:themeColor="text2" w:themeShade="BF"/>
              </w:rPr>
              <w:t xml:space="preserve">Australian cities do not tend to display the characteristics of high density cities, with residents dispersed throughout suburban areas at a distance from the CBD. Because of this dispersion, rail lines that originate/terminate in the CBD are not likely to be an attractive method of travel for residents </w:t>
            </w:r>
            <w:r>
              <w:rPr>
                <w:color w:val="17365D" w:themeColor="text2" w:themeShade="BF"/>
              </w:rPr>
              <w:t>who</w:t>
            </w:r>
            <w:r w:rsidRPr="00796F1E">
              <w:rPr>
                <w:color w:val="17365D" w:themeColor="text2" w:themeShade="BF"/>
              </w:rPr>
              <w:t xml:space="preserve"> generally make trips between the airport and their home. In addition, the provision of free areas for pick</w:t>
            </w:r>
            <w:r w:rsidRPr="00796F1E">
              <w:rPr>
                <w:color w:val="17365D" w:themeColor="text2" w:themeShade="BF"/>
              </w:rPr>
              <w:noBreakHyphen/>
              <w:t>up and drop</w:t>
            </w:r>
            <w:r w:rsidRPr="00796F1E">
              <w:rPr>
                <w:color w:val="17365D" w:themeColor="text2" w:themeShade="BF"/>
              </w:rPr>
              <w:noBreakHyphen/>
              <w:t>off at the major Australian airports encourages private vehicle usage and discourages a modal shift to other transport options, such as public transport.</w:t>
            </w:r>
            <w:r w:rsidRPr="00796F1E">
              <w:rPr>
                <w:color w:val="17365D" w:themeColor="text2" w:themeShade="BF"/>
                <w:vertAlign w:val="superscript"/>
              </w:rPr>
              <w:footnoteReference w:id="77"/>
            </w:r>
          </w:p>
          <w:p w:rsidR="00883552" w:rsidRPr="00796F1E" w:rsidRDefault="00883552" w:rsidP="00883552">
            <w:pPr>
              <w:rPr>
                <w:color w:val="17365D" w:themeColor="text2" w:themeShade="BF"/>
              </w:rPr>
            </w:pPr>
            <w:r w:rsidRPr="00796F1E">
              <w:rPr>
                <w:color w:val="17365D" w:themeColor="text2" w:themeShade="BF"/>
              </w:rPr>
              <w:t>Most airport rail links in Europe have market shares of around 2</w:t>
            </w:r>
            <w:r>
              <w:rPr>
                <w:color w:val="17365D" w:themeColor="text2" w:themeShade="BF"/>
              </w:rPr>
              <w:t>5 to 45</w:t>
            </w:r>
            <w:r w:rsidRPr="00796F1E">
              <w:rPr>
                <w:color w:val="17365D" w:themeColor="text2" w:themeShade="BF"/>
              </w:rPr>
              <w:t> per cent or more, while airport rail links in the United States generally have market shares of less than 10 per cent.</w:t>
            </w:r>
            <w:r w:rsidRPr="00E70F7D">
              <w:rPr>
                <w:color w:val="17365D" w:themeColor="text2" w:themeShade="BF"/>
                <w:vertAlign w:val="superscript"/>
              </w:rPr>
              <w:footnoteReference w:id="78"/>
            </w:r>
            <w:r w:rsidRPr="00796F1E">
              <w:rPr>
                <w:color w:val="17365D" w:themeColor="text2" w:themeShade="BF"/>
              </w:rPr>
              <w:t xml:space="preserve"> One study attributed this to differences in metropolitan characteristics (such as urban density, general usage of public transport and number of cars per capita), airport isolation (distance from CBD) and supply-side factors (such as travel time differences between modes of travel).</w:t>
            </w:r>
            <w:r w:rsidRPr="00E70F7D">
              <w:rPr>
                <w:color w:val="17365D" w:themeColor="text2" w:themeShade="BF"/>
                <w:vertAlign w:val="superscript"/>
              </w:rPr>
              <w:footnoteReference w:id="79"/>
            </w:r>
            <w:r w:rsidRPr="00E71C24">
              <w:rPr>
                <w:color w:val="17365D" w:themeColor="text2" w:themeShade="BF"/>
                <w:vertAlign w:val="superscript"/>
              </w:rPr>
              <w:t>&amp;</w:t>
            </w:r>
            <w:r>
              <w:rPr>
                <w:rStyle w:val="FootnoteReference"/>
                <w:color w:val="17365D" w:themeColor="text2" w:themeShade="BF"/>
              </w:rPr>
              <w:footnoteReference w:id="80"/>
            </w:r>
            <w:r w:rsidRPr="00796F1E">
              <w:rPr>
                <w:color w:val="17365D" w:themeColor="text2" w:themeShade="BF"/>
              </w:rPr>
              <w:t xml:space="preserve"> The study indicated that European cities tend to display more characteristics that are attributed to higher rail usage than those in the USA. The study also indicated that Australian cities tend to display qualities that more closely reflect those of USA cities than those in Europe.</w:t>
            </w:r>
            <w:r w:rsidRPr="00796F1E">
              <w:rPr>
                <w:color w:val="17365D" w:themeColor="text2" w:themeShade="BF"/>
                <w:vertAlign w:val="superscript"/>
              </w:rPr>
              <w:footnoteReference w:id="81"/>
            </w:r>
          </w:p>
          <w:p w:rsidR="00883552" w:rsidRPr="00796F1E" w:rsidRDefault="00883552" w:rsidP="00883552">
            <w:pPr>
              <w:keepNext/>
              <w:spacing w:after="200"/>
              <w:outlineLvl w:val="3"/>
              <w:rPr>
                <w:color w:val="17365D" w:themeColor="text2" w:themeShade="BF"/>
              </w:rPr>
            </w:pPr>
            <w:r w:rsidRPr="00796F1E">
              <w:rPr>
                <w:color w:val="17365D" w:themeColor="text2" w:themeShade="BF"/>
              </w:rPr>
              <w:t>Another study suggested that the extent of road investment in the USA is likely to make it difficult to realise relative travel time advantages for rail services (as seen at a number of European airports).</w:t>
            </w:r>
            <w:r w:rsidRPr="00796F1E">
              <w:rPr>
                <w:color w:val="17365D" w:themeColor="text2" w:themeShade="BF"/>
                <w:vertAlign w:val="superscript"/>
              </w:rPr>
              <w:footnoteReference w:id="82"/>
            </w:r>
            <w:r w:rsidRPr="00796F1E">
              <w:rPr>
                <w:color w:val="17365D" w:themeColor="text2" w:themeShade="BF"/>
              </w:rPr>
              <w:t xml:space="preserve"> A 2000 study on the use of public transport by airport passengers </w:t>
            </w:r>
            <w:r w:rsidRPr="00796F1E">
              <w:rPr>
                <w:color w:val="17365D" w:themeColor="text2" w:themeShade="BF"/>
              </w:rPr>
              <w:lastRenderedPageBreak/>
              <w:t>suggested that ‘the factors that allow rail to attract large market shares at the European and Asian airports are not directly transferable to conditions in most cities in the United States’.</w:t>
            </w:r>
            <w:r w:rsidRPr="00796F1E">
              <w:rPr>
                <w:color w:val="17365D" w:themeColor="text2" w:themeShade="BF"/>
                <w:vertAlign w:val="superscript"/>
              </w:rPr>
              <w:footnoteReference w:id="83"/>
            </w:r>
            <w:r w:rsidRPr="006A52B8">
              <w:rPr>
                <w:color w:val="17365D" w:themeColor="text2" w:themeShade="BF"/>
                <w:vertAlign w:val="superscript"/>
              </w:rPr>
              <w:t xml:space="preserve"> </w:t>
            </w:r>
            <w:r w:rsidRPr="00796F1E">
              <w:rPr>
                <w:color w:val="17365D" w:themeColor="text2" w:themeShade="BF"/>
              </w:rPr>
              <w:t>The paper conclu</w:t>
            </w:r>
            <w:r>
              <w:rPr>
                <w:color w:val="17365D" w:themeColor="text2" w:themeShade="BF"/>
              </w:rPr>
              <w:t>ded</w:t>
            </w:r>
            <w:r w:rsidRPr="00796F1E">
              <w:rPr>
                <w:color w:val="17365D" w:themeColor="text2" w:themeShade="BF"/>
              </w:rPr>
              <w:t xml:space="preserve"> that the ceiling on public transportation use in most USA cities appeared to be around 10-15 per cent, even at airports with rail services.</w:t>
            </w:r>
            <w:r w:rsidRPr="00796F1E">
              <w:rPr>
                <w:color w:val="17365D" w:themeColor="text2" w:themeShade="BF"/>
                <w:vertAlign w:val="superscript"/>
              </w:rPr>
              <w:footnoteReference w:id="84"/>
            </w:r>
            <w:r w:rsidRPr="00796F1E">
              <w:rPr>
                <w:color w:val="17365D" w:themeColor="text2" w:themeShade="BF"/>
              </w:rPr>
              <w:t xml:space="preserve"> It is possible that Australian cities also do not exhibit the c</w:t>
            </w:r>
            <w:r>
              <w:rPr>
                <w:color w:val="17365D" w:themeColor="text2" w:themeShade="BF"/>
              </w:rPr>
              <w:t xml:space="preserve">haracteristics </w:t>
            </w:r>
            <w:r w:rsidRPr="00796F1E">
              <w:rPr>
                <w:color w:val="17365D" w:themeColor="text2" w:themeShade="BF"/>
              </w:rPr>
              <w:t>that enable rail to attract large market shares.</w:t>
            </w:r>
          </w:p>
          <w:p w:rsidR="00883552" w:rsidRPr="00B659D0" w:rsidRDefault="00883552" w:rsidP="00883552">
            <w:pPr>
              <w:keepNext/>
              <w:spacing w:before="240" w:after="200" w:line="276" w:lineRule="auto"/>
              <w:ind w:left="1440" w:hanging="1440"/>
              <w:outlineLvl w:val="3"/>
              <w:rPr>
                <w:b/>
                <w:color w:val="17365D" w:themeColor="text2" w:themeShade="BF"/>
              </w:rPr>
            </w:pPr>
            <w:r w:rsidRPr="00B659D0">
              <w:rPr>
                <w:b/>
                <w:color w:val="17365D" w:themeColor="text2" w:themeShade="BF"/>
              </w:rPr>
              <w:t>Specific features of the airport rail links</w:t>
            </w:r>
          </w:p>
          <w:p w:rsidR="00883552" w:rsidRPr="00796F1E" w:rsidRDefault="00883552" w:rsidP="00883552">
            <w:pPr>
              <w:rPr>
                <w:color w:val="17365D" w:themeColor="text2" w:themeShade="BF"/>
              </w:rPr>
            </w:pPr>
            <w:r w:rsidRPr="00796F1E">
              <w:rPr>
                <w:color w:val="17365D" w:themeColor="text2" w:themeShade="BF"/>
              </w:rPr>
              <w:t>There may also be specific service qualities of the Brisbane and Sydney airport rail links that deter passengers from using these services. For example, the Sydney airport rail link is not a dedicated airport service, with multiple stops along the route to the destination. These trains may also be relatively crowded during peak hours as daily commuters make their journey to the city centre. The Brisbane airport rail link also makes multiple stops along the journey to the city centre. The Brisbane and Sydney airport rail links do not provide substantial extra luggage storing capability, which may deter passengers with checked baggage from using the service.</w:t>
            </w:r>
          </w:p>
          <w:p w:rsidR="00883552" w:rsidRPr="00E70F7D" w:rsidRDefault="00883552" w:rsidP="00883552">
            <w:pPr>
              <w:tabs>
                <w:tab w:val="left" w:pos="1276"/>
              </w:tabs>
              <w:rPr>
                <w:rFonts w:eastAsiaTheme="majorEastAsia" w:cstheme="majorBidi"/>
                <w:b/>
                <w:bCs/>
                <w:i/>
                <w:color w:val="17365D" w:themeColor="text2" w:themeShade="BF"/>
                <w:sz w:val="22"/>
              </w:rPr>
            </w:pPr>
            <w:r w:rsidRPr="00C9712F">
              <w:rPr>
                <w:rFonts w:eastAsiaTheme="majorEastAsia" w:cstheme="majorBidi"/>
                <w:b/>
                <w:bCs/>
                <w:i/>
                <w:color w:val="17365D" w:themeColor="text2" w:themeShade="BF"/>
                <w:sz w:val="22"/>
              </w:rPr>
              <w:t>Do airport rail links constrain airport car parking prices?</w:t>
            </w:r>
          </w:p>
          <w:p w:rsidR="00883552" w:rsidRPr="00796F1E" w:rsidRDefault="00883552" w:rsidP="00883552">
            <w:pPr>
              <w:rPr>
                <w:color w:val="17365D" w:themeColor="text2" w:themeShade="BF"/>
              </w:rPr>
            </w:pPr>
            <w:r w:rsidRPr="00796F1E">
              <w:rPr>
                <w:color w:val="17365D" w:themeColor="text2" w:themeShade="BF"/>
              </w:rPr>
              <w:t>As noted, airports likely hold market power as a result of being the sole providers of on</w:t>
            </w:r>
            <w:r w:rsidRPr="00796F1E">
              <w:rPr>
                <w:color w:val="17365D" w:themeColor="text2" w:themeShade="BF"/>
              </w:rPr>
              <w:noBreakHyphen/>
              <w:t>airport car parking services. The extent of this market power will depend on the degree to which passengers can and are happy to choose alternative means for travelling to the airport. For example, if an airport rail link provided a viable alternative to on</w:t>
            </w:r>
            <w:r w:rsidRPr="00796F1E">
              <w:rPr>
                <w:color w:val="17365D" w:themeColor="text2" w:themeShade="BF"/>
              </w:rPr>
              <w:noBreakHyphen/>
              <w:t xml:space="preserve">airport car parking, this would likely create incentives for the airports to offer car parking services at reduced rates to discourage consumers from switching to the airport rail service. </w:t>
            </w:r>
          </w:p>
          <w:p w:rsidR="00883552" w:rsidRPr="00796F1E" w:rsidRDefault="00883552" w:rsidP="00883552">
            <w:pPr>
              <w:rPr>
                <w:color w:val="17365D" w:themeColor="text2" w:themeShade="BF"/>
                <w:highlight w:val="yellow"/>
              </w:rPr>
            </w:pPr>
            <w:r w:rsidRPr="00796F1E">
              <w:rPr>
                <w:color w:val="17365D" w:themeColor="text2" w:themeShade="BF"/>
              </w:rPr>
              <w:t xml:space="preserve">The majority of passengers </w:t>
            </w:r>
            <w:r>
              <w:rPr>
                <w:color w:val="17365D" w:themeColor="text2" w:themeShade="BF"/>
              </w:rPr>
              <w:t>who</w:t>
            </w:r>
            <w:r w:rsidRPr="00796F1E">
              <w:rPr>
                <w:color w:val="17365D" w:themeColor="text2" w:themeShade="BF"/>
              </w:rPr>
              <w:t xml:space="preserve"> park at Australia’s airports are likely to be residents of those cities/states and have access to a private vehicle. Although price competitiveness may shift passengers to rail at the margin, the time and convenience characteristics of on</w:t>
            </w:r>
            <w:r w:rsidRPr="00796F1E">
              <w:rPr>
                <w:color w:val="17365D" w:themeColor="text2" w:themeShade="BF"/>
              </w:rPr>
              <w:noBreakHyphen/>
              <w:t>airport car parking are more likely to be substituted by taxis or off</w:t>
            </w:r>
            <w:r w:rsidRPr="00796F1E">
              <w:rPr>
                <w:color w:val="17365D" w:themeColor="text2" w:themeShade="BF"/>
              </w:rPr>
              <w:noBreakHyphen/>
              <w:t>airport car parking facilities, where it is easier for passengers to travel to and from their home. It is likely that a significant proportion of the usage of a rail service may come from non</w:t>
            </w:r>
            <w:r w:rsidRPr="00796F1E">
              <w:rPr>
                <w:color w:val="17365D" w:themeColor="text2" w:themeShade="BF"/>
              </w:rPr>
              <w:noBreakHyphen/>
              <w:t xml:space="preserve">residents travelling to the city centre, who would not otherwise park at the airport. For this segment of rail demand, the rail service is instead competing more directly with taxis and other public transport services for market share. </w:t>
            </w:r>
          </w:p>
          <w:p w:rsidR="00883552" w:rsidRPr="00B659D0" w:rsidRDefault="00883552" w:rsidP="00883552">
            <w:pPr>
              <w:rPr>
                <w:color w:val="17365D" w:themeColor="text2" w:themeShade="BF"/>
              </w:rPr>
            </w:pPr>
            <w:r w:rsidRPr="00E32E1C">
              <w:rPr>
                <w:color w:val="17365D" w:themeColor="text2" w:themeShade="BF"/>
              </w:rPr>
              <w:t>Table 1.8.2</w:t>
            </w:r>
            <w:r w:rsidRPr="00B659D0">
              <w:rPr>
                <w:color w:val="17365D" w:themeColor="text2" w:themeShade="BF"/>
              </w:rPr>
              <w:t xml:space="preserve"> outlines that a passenger’s choice of travel mode may also be impacted by the length of time they will be away and the number of passengers in a group. In particular, for one or two passengers travelling to and from the CBD, taking the Brisbane or Sydney airport rail will generally be cheaper or equivalent to alternative travel modes. This cost effectiveness will differ for passengers travelling outside of the CBD and for passenger groups of different numbers.</w:t>
            </w:r>
          </w:p>
          <w:p w:rsidR="00883552" w:rsidRPr="00B659D0" w:rsidRDefault="00883552" w:rsidP="00883552">
            <w:pPr>
              <w:keepNext/>
              <w:spacing w:before="240" w:after="200" w:line="276" w:lineRule="auto"/>
              <w:ind w:left="1440" w:hanging="1440"/>
              <w:outlineLvl w:val="3"/>
              <w:rPr>
                <w:b/>
                <w:color w:val="17365D" w:themeColor="text2" w:themeShade="BF"/>
              </w:rPr>
            </w:pPr>
            <w:r w:rsidRPr="00E32E1C">
              <w:rPr>
                <w:b/>
                <w:color w:val="17365D" w:themeColor="text2" w:themeShade="BF"/>
              </w:rPr>
              <w:t>Table 1.8.2:</w:t>
            </w:r>
            <w:r w:rsidRPr="00B659D0">
              <w:rPr>
                <w:b/>
                <w:color w:val="17365D" w:themeColor="text2" w:themeShade="BF"/>
              </w:rPr>
              <w:tab/>
              <w:t>Approximation of the cheapest travel mode for different travel periods at Brisbane and Sydney airports on a price per passenger basis (for return travel to/from the CBD)</w:t>
            </w:r>
          </w:p>
          <w:tbl>
            <w:tblPr>
              <w:tblStyle w:val="TableGrid"/>
              <w:tblW w:w="8613" w:type="dxa"/>
              <w:tblLook w:val="04A0" w:firstRow="1" w:lastRow="0" w:firstColumn="1" w:lastColumn="0" w:noHBand="0" w:noVBand="1"/>
            </w:tblPr>
            <w:tblGrid>
              <w:gridCol w:w="1218"/>
              <w:gridCol w:w="1056"/>
              <w:gridCol w:w="1056"/>
              <w:gridCol w:w="1057"/>
              <w:gridCol w:w="1056"/>
              <w:gridCol w:w="1057"/>
              <w:gridCol w:w="1056"/>
              <w:gridCol w:w="1057"/>
            </w:tblGrid>
            <w:tr w:rsidR="00883552" w:rsidRPr="00B659D0" w:rsidTr="00883552">
              <w:tc>
                <w:tcPr>
                  <w:tcW w:w="1218" w:type="dxa"/>
                  <w:vMerge w:val="restart"/>
                  <w:tcBorders>
                    <w:left w:val="nil"/>
                    <w:bottom w:val="nil"/>
                    <w:right w:val="single" w:sz="4" w:space="0" w:color="auto"/>
                  </w:tcBorders>
                  <w:shd w:val="clear" w:color="auto" w:fill="DFE0DC"/>
                </w:tcPr>
                <w:p w:rsidR="00883552" w:rsidRPr="00B659D0" w:rsidRDefault="00883552" w:rsidP="00883552">
                  <w:pPr>
                    <w:spacing w:before="40" w:after="40"/>
                    <w:rPr>
                      <w:b/>
                      <w:color w:val="17365D" w:themeColor="text2" w:themeShade="BF"/>
                      <w:sz w:val="18"/>
                    </w:rPr>
                  </w:pPr>
                  <w:r w:rsidRPr="00B659D0">
                    <w:rPr>
                      <w:b/>
                      <w:color w:val="17365D" w:themeColor="text2" w:themeShade="BF"/>
                      <w:sz w:val="18"/>
                    </w:rPr>
                    <w:t># of passengers Brisbane</w:t>
                  </w:r>
                </w:p>
              </w:tc>
              <w:tc>
                <w:tcPr>
                  <w:tcW w:w="7395" w:type="dxa"/>
                  <w:gridSpan w:val="7"/>
                  <w:tcBorders>
                    <w:left w:val="single" w:sz="4" w:space="0" w:color="auto"/>
                    <w:bottom w:val="nil"/>
                    <w:right w:val="nil"/>
                  </w:tcBorders>
                  <w:shd w:val="clear" w:color="auto" w:fill="DFE0DC"/>
                </w:tcPr>
                <w:p w:rsidR="00883552" w:rsidRPr="00B659D0" w:rsidRDefault="00883552" w:rsidP="00883552">
                  <w:pPr>
                    <w:keepNext/>
                    <w:spacing w:before="40" w:after="40"/>
                    <w:jc w:val="center"/>
                    <w:rPr>
                      <w:b/>
                      <w:color w:val="17365D" w:themeColor="text2" w:themeShade="BF"/>
                      <w:sz w:val="18"/>
                    </w:rPr>
                  </w:pPr>
                  <w:r w:rsidRPr="00B659D0">
                    <w:rPr>
                      <w:b/>
                      <w:color w:val="17365D" w:themeColor="text2" w:themeShade="BF"/>
                      <w:sz w:val="18"/>
                    </w:rPr>
                    <w:t>Length of time away</w:t>
                  </w:r>
                </w:p>
              </w:tc>
            </w:tr>
            <w:tr w:rsidR="00883552" w:rsidRPr="00B659D0" w:rsidTr="00883552">
              <w:tc>
                <w:tcPr>
                  <w:tcW w:w="1218" w:type="dxa"/>
                  <w:vMerge/>
                  <w:tcBorders>
                    <w:top w:val="nil"/>
                    <w:left w:val="nil"/>
                    <w:bottom w:val="single" w:sz="4" w:space="0" w:color="auto"/>
                    <w:right w:val="single" w:sz="4" w:space="0" w:color="auto"/>
                  </w:tcBorders>
                  <w:shd w:val="clear" w:color="auto" w:fill="DFE0DC"/>
                </w:tcPr>
                <w:p w:rsidR="00883552" w:rsidRPr="00B659D0" w:rsidRDefault="00883552" w:rsidP="00883552">
                  <w:pPr>
                    <w:spacing w:before="40" w:after="40"/>
                    <w:rPr>
                      <w:color w:val="17365D" w:themeColor="text2" w:themeShade="BF"/>
                      <w:sz w:val="18"/>
                    </w:rPr>
                  </w:pPr>
                </w:p>
              </w:tc>
              <w:tc>
                <w:tcPr>
                  <w:tcW w:w="1056" w:type="dxa"/>
                  <w:tcBorders>
                    <w:top w:val="nil"/>
                    <w:left w:val="single" w:sz="4" w:space="0" w:color="auto"/>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1 day</w:t>
                  </w:r>
                </w:p>
              </w:tc>
              <w:tc>
                <w:tcPr>
                  <w:tcW w:w="1056"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2 days</w:t>
                  </w:r>
                </w:p>
              </w:tc>
              <w:tc>
                <w:tcPr>
                  <w:tcW w:w="1057"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3 days</w:t>
                  </w:r>
                </w:p>
              </w:tc>
              <w:tc>
                <w:tcPr>
                  <w:tcW w:w="1056"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4 days</w:t>
                  </w:r>
                </w:p>
              </w:tc>
              <w:tc>
                <w:tcPr>
                  <w:tcW w:w="1057"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5 days</w:t>
                  </w:r>
                </w:p>
              </w:tc>
              <w:tc>
                <w:tcPr>
                  <w:tcW w:w="1056"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6 days</w:t>
                  </w:r>
                </w:p>
              </w:tc>
              <w:tc>
                <w:tcPr>
                  <w:tcW w:w="1057"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7 days</w:t>
                  </w:r>
                </w:p>
              </w:tc>
            </w:tr>
            <w:tr w:rsidR="00883552" w:rsidRPr="00B659D0" w:rsidTr="00883552">
              <w:tc>
                <w:tcPr>
                  <w:tcW w:w="1218" w:type="dxa"/>
                  <w:tcBorders>
                    <w:left w:val="nil"/>
                    <w:bottom w:val="nil"/>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1</w:t>
                  </w:r>
                </w:p>
              </w:tc>
              <w:tc>
                <w:tcPr>
                  <w:tcW w:w="1056" w:type="dxa"/>
                  <w:tcBorders>
                    <w:left w:val="single" w:sz="4" w:space="0" w:color="auto"/>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r>
            <w:tr w:rsidR="00883552" w:rsidRPr="00B659D0" w:rsidTr="00883552">
              <w:tc>
                <w:tcPr>
                  <w:tcW w:w="1218" w:type="dxa"/>
                  <w:tcBorders>
                    <w:top w:val="nil"/>
                    <w:left w:val="nil"/>
                    <w:bottom w:val="nil"/>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2</w:t>
                  </w:r>
                </w:p>
              </w:tc>
              <w:tc>
                <w:tcPr>
                  <w:tcW w:w="1056" w:type="dxa"/>
                  <w:tcBorders>
                    <w:top w:val="nil"/>
                    <w:left w:val="single" w:sz="4" w:space="0" w:color="auto"/>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r>
            <w:tr w:rsidR="00883552" w:rsidRPr="00B659D0" w:rsidTr="00883552">
              <w:tc>
                <w:tcPr>
                  <w:tcW w:w="1218" w:type="dxa"/>
                  <w:tcBorders>
                    <w:top w:val="nil"/>
                    <w:left w:val="nil"/>
                    <w:bottom w:val="nil"/>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3</w:t>
                  </w:r>
                </w:p>
              </w:tc>
              <w:tc>
                <w:tcPr>
                  <w:tcW w:w="1056" w:type="dxa"/>
                  <w:tcBorders>
                    <w:top w:val="nil"/>
                    <w:left w:val="single" w:sz="4" w:space="0" w:color="auto"/>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r>
            <w:tr w:rsidR="00883552" w:rsidRPr="00B659D0" w:rsidTr="00883552">
              <w:tc>
                <w:tcPr>
                  <w:tcW w:w="1218" w:type="dxa"/>
                  <w:tcBorders>
                    <w:top w:val="nil"/>
                    <w:left w:val="nil"/>
                    <w:bottom w:val="single" w:sz="4" w:space="0" w:color="auto"/>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4</w:t>
                  </w:r>
                </w:p>
              </w:tc>
              <w:tc>
                <w:tcPr>
                  <w:tcW w:w="1056" w:type="dxa"/>
                  <w:tcBorders>
                    <w:top w:val="nil"/>
                    <w:left w:val="single" w:sz="4" w:space="0" w:color="auto"/>
                    <w:bottom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7" w:type="dxa"/>
                  <w:tcBorders>
                    <w:top w:val="nil"/>
                    <w:left w:val="nil"/>
                    <w:bottom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7" w:type="dxa"/>
                  <w:tcBorders>
                    <w:top w:val="nil"/>
                    <w:left w:val="nil"/>
                    <w:bottom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6" w:type="dxa"/>
                  <w:tcBorders>
                    <w:top w:val="nil"/>
                    <w:left w:val="nil"/>
                    <w:bottom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7" w:type="dxa"/>
                  <w:tcBorders>
                    <w:top w:val="nil"/>
                    <w:left w:val="nil"/>
                    <w:bottom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r>
            <w:tr w:rsidR="00883552" w:rsidRPr="00B659D0" w:rsidTr="00883552">
              <w:tc>
                <w:tcPr>
                  <w:tcW w:w="1218" w:type="dxa"/>
                  <w:vMerge w:val="restart"/>
                  <w:tcBorders>
                    <w:left w:val="nil"/>
                    <w:bottom w:val="nil"/>
                    <w:right w:val="single" w:sz="4" w:space="0" w:color="auto"/>
                  </w:tcBorders>
                  <w:shd w:val="clear" w:color="auto" w:fill="DFE0DC"/>
                </w:tcPr>
                <w:p w:rsidR="00883552" w:rsidRPr="00B659D0" w:rsidRDefault="00883552" w:rsidP="00883552">
                  <w:pPr>
                    <w:spacing w:before="40" w:after="40"/>
                    <w:rPr>
                      <w:b/>
                      <w:color w:val="17365D" w:themeColor="text2" w:themeShade="BF"/>
                      <w:sz w:val="18"/>
                    </w:rPr>
                  </w:pPr>
                  <w:r w:rsidRPr="00B659D0">
                    <w:rPr>
                      <w:b/>
                      <w:color w:val="17365D" w:themeColor="text2" w:themeShade="BF"/>
                      <w:sz w:val="18"/>
                    </w:rPr>
                    <w:lastRenderedPageBreak/>
                    <w:t># of passengers Sydney</w:t>
                  </w:r>
                </w:p>
              </w:tc>
              <w:tc>
                <w:tcPr>
                  <w:tcW w:w="7395" w:type="dxa"/>
                  <w:gridSpan w:val="7"/>
                  <w:tcBorders>
                    <w:left w:val="single" w:sz="4" w:space="0" w:color="auto"/>
                    <w:bottom w:val="nil"/>
                    <w:right w:val="nil"/>
                  </w:tcBorders>
                  <w:shd w:val="clear" w:color="auto" w:fill="DFE0DC"/>
                </w:tcPr>
                <w:p w:rsidR="00883552" w:rsidRPr="00B659D0" w:rsidRDefault="00883552" w:rsidP="00883552">
                  <w:pPr>
                    <w:keepNext/>
                    <w:spacing w:before="40" w:after="40"/>
                    <w:jc w:val="center"/>
                    <w:rPr>
                      <w:b/>
                      <w:color w:val="17365D" w:themeColor="text2" w:themeShade="BF"/>
                      <w:sz w:val="18"/>
                    </w:rPr>
                  </w:pPr>
                  <w:r w:rsidRPr="00B659D0">
                    <w:rPr>
                      <w:b/>
                      <w:color w:val="17365D" w:themeColor="text2" w:themeShade="BF"/>
                      <w:sz w:val="18"/>
                    </w:rPr>
                    <w:t>Length of time away</w:t>
                  </w:r>
                </w:p>
              </w:tc>
            </w:tr>
            <w:tr w:rsidR="00883552" w:rsidRPr="00B659D0" w:rsidTr="00883552">
              <w:tc>
                <w:tcPr>
                  <w:tcW w:w="1218" w:type="dxa"/>
                  <w:vMerge/>
                  <w:tcBorders>
                    <w:top w:val="nil"/>
                    <w:left w:val="nil"/>
                    <w:bottom w:val="single" w:sz="4" w:space="0" w:color="auto"/>
                    <w:right w:val="single" w:sz="4" w:space="0" w:color="auto"/>
                  </w:tcBorders>
                  <w:shd w:val="clear" w:color="auto" w:fill="DFE0DC"/>
                </w:tcPr>
                <w:p w:rsidR="00883552" w:rsidRPr="00B659D0" w:rsidRDefault="00883552" w:rsidP="00883552">
                  <w:pPr>
                    <w:spacing w:before="40" w:after="40"/>
                    <w:rPr>
                      <w:color w:val="17365D" w:themeColor="text2" w:themeShade="BF"/>
                      <w:sz w:val="18"/>
                    </w:rPr>
                  </w:pPr>
                </w:p>
              </w:tc>
              <w:tc>
                <w:tcPr>
                  <w:tcW w:w="1056" w:type="dxa"/>
                  <w:tcBorders>
                    <w:top w:val="nil"/>
                    <w:left w:val="single" w:sz="4" w:space="0" w:color="auto"/>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1 day</w:t>
                  </w:r>
                </w:p>
              </w:tc>
              <w:tc>
                <w:tcPr>
                  <w:tcW w:w="1056"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2 days</w:t>
                  </w:r>
                </w:p>
              </w:tc>
              <w:tc>
                <w:tcPr>
                  <w:tcW w:w="1057"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3 days</w:t>
                  </w:r>
                </w:p>
              </w:tc>
              <w:tc>
                <w:tcPr>
                  <w:tcW w:w="1056"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4 days</w:t>
                  </w:r>
                </w:p>
              </w:tc>
              <w:tc>
                <w:tcPr>
                  <w:tcW w:w="1057"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5 days</w:t>
                  </w:r>
                </w:p>
              </w:tc>
              <w:tc>
                <w:tcPr>
                  <w:tcW w:w="1056"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6 days</w:t>
                  </w:r>
                </w:p>
              </w:tc>
              <w:tc>
                <w:tcPr>
                  <w:tcW w:w="1057" w:type="dxa"/>
                  <w:tcBorders>
                    <w:top w:val="nil"/>
                    <w:left w:val="nil"/>
                    <w:bottom w:val="single" w:sz="4" w:space="0" w:color="auto"/>
                    <w:right w:val="nil"/>
                  </w:tcBorders>
                  <w:shd w:val="clear" w:color="auto" w:fill="DFE0DC"/>
                </w:tcPr>
                <w:p w:rsidR="00883552" w:rsidRPr="00B659D0" w:rsidRDefault="00883552" w:rsidP="00883552">
                  <w:pPr>
                    <w:spacing w:before="40" w:after="40"/>
                    <w:jc w:val="right"/>
                    <w:rPr>
                      <w:b/>
                      <w:color w:val="17365D" w:themeColor="text2" w:themeShade="BF"/>
                      <w:sz w:val="18"/>
                    </w:rPr>
                  </w:pPr>
                  <w:r w:rsidRPr="00B659D0">
                    <w:rPr>
                      <w:b/>
                      <w:color w:val="17365D" w:themeColor="text2" w:themeShade="BF"/>
                      <w:sz w:val="18"/>
                    </w:rPr>
                    <w:t>7 days</w:t>
                  </w:r>
                </w:p>
              </w:tc>
            </w:tr>
            <w:tr w:rsidR="00883552" w:rsidRPr="00B659D0" w:rsidTr="00883552">
              <w:tc>
                <w:tcPr>
                  <w:tcW w:w="1218" w:type="dxa"/>
                  <w:tcBorders>
                    <w:left w:val="nil"/>
                    <w:bottom w:val="nil"/>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1</w:t>
                  </w:r>
                </w:p>
              </w:tc>
              <w:tc>
                <w:tcPr>
                  <w:tcW w:w="1056" w:type="dxa"/>
                  <w:tcBorders>
                    <w:left w:val="single" w:sz="4" w:space="0" w:color="auto"/>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r>
            <w:tr w:rsidR="00883552" w:rsidRPr="00B659D0" w:rsidTr="00883552">
              <w:tc>
                <w:tcPr>
                  <w:tcW w:w="1218" w:type="dxa"/>
                  <w:tcBorders>
                    <w:top w:val="nil"/>
                    <w:left w:val="nil"/>
                    <w:bottom w:val="nil"/>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2</w:t>
                  </w:r>
                </w:p>
              </w:tc>
              <w:tc>
                <w:tcPr>
                  <w:tcW w:w="1056" w:type="dxa"/>
                  <w:tcBorders>
                    <w:top w:val="nil"/>
                    <w:left w:val="single" w:sz="4" w:space="0" w:color="auto"/>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Train</w:t>
                  </w:r>
                </w:p>
              </w:tc>
            </w:tr>
            <w:tr w:rsidR="00883552" w:rsidRPr="00B659D0" w:rsidTr="00883552">
              <w:tc>
                <w:tcPr>
                  <w:tcW w:w="1218" w:type="dxa"/>
                  <w:tcBorders>
                    <w:top w:val="nil"/>
                    <w:left w:val="nil"/>
                    <w:bottom w:val="nil"/>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3</w:t>
                  </w:r>
                </w:p>
              </w:tc>
              <w:tc>
                <w:tcPr>
                  <w:tcW w:w="1056" w:type="dxa"/>
                  <w:tcBorders>
                    <w:top w:val="nil"/>
                    <w:left w:val="single" w:sz="4" w:space="0" w:color="auto"/>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6"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7" w:type="dxa"/>
                  <w:tcBorders>
                    <w:top w:val="nil"/>
                    <w:left w:val="nil"/>
                    <w:bottom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r>
            <w:tr w:rsidR="00883552" w:rsidRPr="00B659D0" w:rsidTr="00883552">
              <w:tc>
                <w:tcPr>
                  <w:tcW w:w="1218" w:type="dxa"/>
                  <w:tcBorders>
                    <w:top w:val="nil"/>
                    <w:left w:val="nil"/>
                    <w:right w:val="single" w:sz="4" w:space="0" w:color="auto"/>
                  </w:tcBorders>
                </w:tcPr>
                <w:p w:rsidR="00883552" w:rsidRPr="00B659D0" w:rsidRDefault="00883552" w:rsidP="00883552">
                  <w:pPr>
                    <w:spacing w:before="40" w:after="40"/>
                    <w:rPr>
                      <w:color w:val="17365D" w:themeColor="text2" w:themeShade="BF"/>
                      <w:sz w:val="18"/>
                    </w:rPr>
                  </w:pPr>
                  <w:r w:rsidRPr="00B659D0">
                    <w:rPr>
                      <w:color w:val="17365D" w:themeColor="text2" w:themeShade="BF"/>
                      <w:sz w:val="18"/>
                    </w:rPr>
                    <w:t>4</w:t>
                  </w:r>
                </w:p>
              </w:tc>
              <w:tc>
                <w:tcPr>
                  <w:tcW w:w="1056" w:type="dxa"/>
                  <w:tcBorders>
                    <w:top w:val="nil"/>
                    <w:left w:val="single" w:sz="4" w:space="0" w:color="auto"/>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7" w:type="dxa"/>
                  <w:tcBorders>
                    <w:top w:val="nil"/>
                    <w:left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6" w:type="dxa"/>
                  <w:tcBorders>
                    <w:top w:val="nil"/>
                    <w:left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Car park</w:t>
                  </w:r>
                </w:p>
              </w:tc>
              <w:tc>
                <w:tcPr>
                  <w:tcW w:w="1057" w:type="dxa"/>
                  <w:tcBorders>
                    <w:top w:val="nil"/>
                    <w:left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6" w:type="dxa"/>
                  <w:tcBorders>
                    <w:top w:val="nil"/>
                    <w:left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c>
                <w:tcPr>
                  <w:tcW w:w="1057" w:type="dxa"/>
                  <w:tcBorders>
                    <w:top w:val="nil"/>
                    <w:left w:val="nil"/>
                    <w:right w:val="nil"/>
                  </w:tcBorders>
                </w:tcPr>
                <w:p w:rsidR="00883552" w:rsidRPr="00B659D0" w:rsidRDefault="00883552" w:rsidP="00883552">
                  <w:pPr>
                    <w:spacing w:before="40" w:after="40"/>
                    <w:jc w:val="center"/>
                    <w:rPr>
                      <w:color w:val="17365D" w:themeColor="text2" w:themeShade="BF"/>
                      <w:sz w:val="18"/>
                    </w:rPr>
                  </w:pPr>
                  <w:r w:rsidRPr="00B659D0">
                    <w:rPr>
                      <w:color w:val="17365D" w:themeColor="text2" w:themeShade="BF"/>
                      <w:sz w:val="18"/>
                    </w:rPr>
                    <w:t>Taxi</w:t>
                  </w:r>
                </w:p>
              </w:tc>
            </w:tr>
          </w:tbl>
          <w:p w:rsidR="00883552" w:rsidRPr="00B659D0" w:rsidRDefault="00883552" w:rsidP="00883552">
            <w:pPr>
              <w:spacing w:before="120"/>
              <w:ind w:left="720" w:hanging="720"/>
              <w:contextualSpacing/>
              <w:rPr>
                <w:color w:val="17365D" w:themeColor="text2" w:themeShade="BF"/>
                <w:sz w:val="16"/>
                <w:szCs w:val="16"/>
              </w:rPr>
            </w:pPr>
            <w:r w:rsidRPr="00B659D0">
              <w:rPr>
                <w:color w:val="17365D" w:themeColor="text2" w:themeShade="BF"/>
                <w:sz w:val="16"/>
                <w:szCs w:val="16"/>
              </w:rPr>
              <w:t>Note:</w:t>
            </w:r>
            <w:r w:rsidRPr="00B659D0">
              <w:rPr>
                <w:color w:val="17365D" w:themeColor="text2" w:themeShade="BF"/>
                <w:sz w:val="16"/>
                <w:szCs w:val="16"/>
              </w:rPr>
              <w:tab/>
              <w:t>Travel modes considered for this table were</w:t>
            </w:r>
            <w:r>
              <w:rPr>
                <w:color w:val="17365D" w:themeColor="text2" w:themeShade="BF"/>
                <w:sz w:val="16"/>
                <w:szCs w:val="16"/>
              </w:rPr>
              <w:t>:</w:t>
            </w:r>
            <w:r w:rsidRPr="00B659D0">
              <w:rPr>
                <w:color w:val="17365D" w:themeColor="text2" w:themeShade="BF"/>
                <w:sz w:val="16"/>
                <w:szCs w:val="16"/>
              </w:rPr>
              <w:t xml:space="preserve"> airport rail, taxis and on</w:t>
            </w:r>
            <w:r w:rsidRPr="00B659D0">
              <w:rPr>
                <w:color w:val="17365D" w:themeColor="text2" w:themeShade="BF"/>
                <w:sz w:val="16"/>
                <w:szCs w:val="16"/>
              </w:rPr>
              <w:noBreakHyphen/>
              <w:t>airport car parking (drive-up rates)</w:t>
            </w:r>
          </w:p>
          <w:p w:rsidR="00883552" w:rsidRPr="00B659D0" w:rsidRDefault="00883552" w:rsidP="00883552">
            <w:pPr>
              <w:spacing w:before="120"/>
              <w:ind w:left="720" w:hanging="720"/>
              <w:contextualSpacing/>
              <w:rPr>
                <w:color w:val="17365D" w:themeColor="text2" w:themeShade="BF"/>
                <w:sz w:val="16"/>
                <w:szCs w:val="16"/>
              </w:rPr>
            </w:pPr>
            <w:r w:rsidRPr="00B659D0">
              <w:rPr>
                <w:color w:val="17365D" w:themeColor="text2" w:themeShade="BF"/>
                <w:sz w:val="16"/>
                <w:szCs w:val="16"/>
              </w:rPr>
              <w:t>Source:</w:t>
            </w:r>
            <w:r w:rsidRPr="00B659D0">
              <w:rPr>
                <w:color w:val="17365D" w:themeColor="text2" w:themeShade="BF"/>
                <w:sz w:val="16"/>
                <w:szCs w:val="16"/>
              </w:rPr>
              <w:tab/>
              <w:t>Brisbane Airtrain website, Yellow Cab Co fare calculator, and car parking prices from ACCC monitoring</w:t>
            </w:r>
            <w:r w:rsidRPr="00B659D0">
              <w:rPr>
                <w:color w:val="17365D" w:themeColor="text2" w:themeShade="BF"/>
                <w:sz w:val="16"/>
                <w:szCs w:val="16"/>
              </w:rPr>
              <w:br/>
              <w:t>Sydney AirportLink website, Sydney Airport website and car parking prices from ACCC monitoring</w:t>
            </w:r>
            <w:r w:rsidRPr="00B659D0">
              <w:rPr>
                <w:color w:val="17365D" w:themeColor="text2" w:themeShade="BF"/>
                <w:sz w:val="16"/>
                <w:szCs w:val="16"/>
              </w:rPr>
              <w:br/>
              <w:t>Brisbane Sydney on</w:t>
            </w:r>
            <w:r w:rsidRPr="00B659D0">
              <w:rPr>
                <w:color w:val="17365D" w:themeColor="text2" w:themeShade="BF"/>
                <w:sz w:val="16"/>
                <w:szCs w:val="16"/>
              </w:rPr>
              <w:noBreakHyphen/>
              <w:t xml:space="preserve">airport parking charges are based on the domestic </w:t>
            </w:r>
            <w:r>
              <w:rPr>
                <w:color w:val="17365D" w:themeColor="text2" w:themeShade="BF"/>
                <w:sz w:val="16"/>
                <w:szCs w:val="16"/>
              </w:rPr>
              <w:t>long-term</w:t>
            </w:r>
            <w:r w:rsidRPr="00B659D0">
              <w:rPr>
                <w:color w:val="17365D" w:themeColor="text2" w:themeShade="BF"/>
                <w:sz w:val="16"/>
                <w:szCs w:val="16"/>
              </w:rPr>
              <w:t xml:space="preserve"> car parking facilities</w:t>
            </w:r>
          </w:p>
          <w:p w:rsidR="00883552" w:rsidRPr="00B659D0" w:rsidRDefault="00883552" w:rsidP="00883552">
            <w:pPr>
              <w:rPr>
                <w:color w:val="17365D" w:themeColor="text2" w:themeShade="BF"/>
              </w:rPr>
            </w:pPr>
          </w:p>
          <w:p w:rsidR="00883552" w:rsidRPr="00796F1E" w:rsidRDefault="00883552" w:rsidP="00883552">
            <w:pPr>
              <w:rPr>
                <w:color w:val="17365D" w:themeColor="text2" w:themeShade="BF"/>
              </w:rPr>
            </w:pPr>
            <w:r w:rsidRPr="00796F1E">
              <w:rPr>
                <w:color w:val="17365D" w:themeColor="text2" w:themeShade="BF"/>
              </w:rPr>
              <w:t>A 2000 study for the USA-based Transportation Research Board suggested that airline passengers tend to be more time sensitive and less cost sensitive than the average daily work commuter.</w:t>
            </w:r>
            <w:r w:rsidRPr="00796F1E">
              <w:rPr>
                <w:color w:val="17365D" w:themeColor="text2" w:themeShade="BF"/>
                <w:vertAlign w:val="superscript"/>
              </w:rPr>
              <w:footnoteReference w:id="85"/>
            </w:r>
            <w:r w:rsidRPr="00796F1E">
              <w:rPr>
                <w:color w:val="17365D" w:themeColor="text2" w:themeShade="BF"/>
              </w:rPr>
              <w:t xml:space="preserve"> However, today’s air travel market is comprised of different segments that will have differing levels of cost sensitivity, with some segments more prone to switching to a lower cost alternative travel mode than others.</w:t>
            </w:r>
            <w:r w:rsidRPr="00796F1E">
              <w:rPr>
                <w:color w:val="17365D" w:themeColor="text2" w:themeShade="BF"/>
                <w:vertAlign w:val="superscript"/>
              </w:rPr>
              <w:footnoteReference w:id="86"/>
            </w:r>
            <w:r w:rsidRPr="00796F1E">
              <w:rPr>
                <w:color w:val="17365D" w:themeColor="text2" w:themeShade="BF"/>
              </w:rPr>
              <w:t xml:space="preserve"> It is likely that low cost carrier (LCC) passengers would be more willing to switch to public transport or free pick</w:t>
            </w:r>
            <w:r w:rsidRPr="00796F1E">
              <w:rPr>
                <w:color w:val="17365D" w:themeColor="text2" w:themeShade="BF"/>
              </w:rPr>
              <w:noBreakHyphen/>
              <w:t>up and drop</w:t>
            </w:r>
            <w:r w:rsidRPr="00796F1E">
              <w:rPr>
                <w:color w:val="17365D" w:themeColor="text2" w:themeShade="BF"/>
              </w:rPr>
              <w:noBreakHyphen/>
              <w:t xml:space="preserve">off facilities due to price factors than other segments of the air travel market. </w:t>
            </w:r>
          </w:p>
          <w:p w:rsidR="00883552" w:rsidRPr="00796F1E" w:rsidRDefault="00883552" w:rsidP="00883552">
            <w:pPr>
              <w:rPr>
                <w:color w:val="17365D" w:themeColor="text2" w:themeShade="BF"/>
              </w:rPr>
            </w:pPr>
            <w:r w:rsidRPr="00796F1E">
              <w:rPr>
                <w:color w:val="17365D" w:themeColor="text2" w:themeShade="BF"/>
              </w:rPr>
              <w:t>The 2000 study for the Transportation Research Board also stated that:</w:t>
            </w:r>
          </w:p>
          <w:p w:rsidR="00883552" w:rsidRDefault="00883552" w:rsidP="00883552">
            <w:pPr>
              <w:ind w:left="720"/>
              <w:contextualSpacing/>
              <w:rPr>
                <w:i/>
                <w:color w:val="17365D" w:themeColor="text2" w:themeShade="BF"/>
              </w:rPr>
            </w:pPr>
            <w:r w:rsidRPr="00796F1E">
              <w:rPr>
                <w:i/>
                <w:color w:val="17365D" w:themeColor="text2" w:themeShade="BF"/>
              </w:rPr>
              <w:t>Available studies report that over 80% of the airline passengers using new rail services previously used buses, vans, or taxicabs. Thus, the introduction of rail service does not appear to significantly raise the public transportation ceiling, but rather promotes the diversion of airline passengers from one public transportation mode to another.</w:t>
            </w:r>
            <w:r w:rsidRPr="00796F1E">
              <w:rPr>
                <w:i/>
                <w:color w:val="17365D" w:themeColor="text2" w:themeShade="BF"/>
                <w:vertAlign w:val="superscript"/>
              </w:rPr>
              <w:footnoteReference w:id="87"/>
            </w:r>
          </w:p>
          <w:p w:rsidR="00883552" w:rsidRPr="00796F1E" w:rsidRDefault="00883552" w:rsidP="00883552">
            <w:pPr>
              <w:ind w:left="720"/>
              <w:contextualSpacing/>
              <w:rPr>
                <w:i/>
                <w:color w:val="17365D" w:themeColor="text2" w:themeShade="BF"/>
              </w:rPr>
            </w:pPr>
          </w:p>
          <w:p w:rsidR="00883552" w:rsidRPr="00796F1E" w:rsidRDefault="00883552" w:rsidP="00883552">
            <w:pPr>
              <w:rPr>
                <w:color w:val="17365D" w:themeColor="text2" w:themeShade="BF"/>
              </w:rPr>
            </w:pPr>
            <w:r w:rsidRPr="00796F1E">
              <w:rPr>
                <w:color w:val="17365D" w:themeColor="text2" w:themeShade="BF"/>
              </w:rPr>
              <w:t xml:space="preserve">This suggests that there may not initially be a significant mode shift from private car usage following the introduction of an airport rail link, with price sensitive passengers being the most likely to switch from private car to rail. </w:t>
            </w:r>
          </w:p>
          <w:p w:rsidR="00883552" w:rsidRPr="00796F1E" w:rsidRDefault="00883552" w:rsidP="00883552">
            <w:pPr>
              <w:rPr>
                <w:b/>
                <w:color w:val="17365D" w:themeColor="text2" w:themeShade="BF"/>
              </w:rPr>
            </w:pPr>
            <w:r w:rsidRPr="00796F1E">
              <w:rPr>
                <w:color w:val="17365D" w:themeColor="text2" w:themeShade="BF"/>
              </w:rPr>
              <w:t>Although an airport rail link may provide a degree of constraint on on</w:t>
            </w:r>
            <w:r w:rsidRPr="00796F1E">
              <w:rPr>
                <w:color w:val="17365D" w:themeColor="text2" w:themeShade="BF"/>
              </w:rPr>
              <w:noBreakHyphen/>
              <w:t>airport car parking prices, it is likely to have a much stronger constraint on the pricing of other transport alternatives (such as buses and taxis). For example, if the Melbourne Airport rail link were constructed, passenger fares would likely be constrained by the current SkyBus service (priced at $18 one</w:t>
            </w:r>
            <w:r w:rsidRPr="00796F1E">
              <w:rPr>
                <w:color w:val="17365D" w:themeColor="text2" w:themeShade="BF"/>
              </w:rPr>
              <w:noBreakHyphen/>
              <w:t>way</w:t>
            </w:r>
            <w:r w:rsidRPr="00796F1E">
              <w:rPr>
                <w:color w:val="17365D" w:themeColor="text2" w:themeShade="BF"/>
                <w:vertAlign w:val="superscript"/>
              </w:rPr>
              <w:footnoteReference w:id="88"/>
            </w:r>
            <w:r w:rsidRPr="00796F1E">
              <w:rPr>
                <w:color w:val="17365D" w:themeColor="text2" w:themeShade="BF"/>
              </w:rPr>
              <w:t>), as SkyBus provides an equivalent and efficient service between the same locations. The TTF claimed that the Melbourne Airport rail link will not be able to offer competitive travel times for many passengers and will need to instead compete on service reliability and pricing (optimally priced at the Metro fare).</w:t>
            </w:r>
            <w:r w:rsidRPr="00796F1E">
              <w:rPr>
                <w:color w:val="17365D" w:themeColor="text2" w:themeShade="BF"/>
                <w:vertAlign w:val="superscript"/>
              </w:rPr>
              <w:footnoteReference w:id="89"/>
            </w:r>
            <w:r w:rsidRPr="00796F1E">
              <w:rPr>
                <w:color w:val="17365D" w:themeColor="text2" w:themeShade="BF"/>
              </w:rPr>
              <w:t xml:space="preserve"> The TTF also suggested that any rail link to Melbourne Airport will be of most benefit if it expands total public transport access, rather than mimicking the service currently provided by</w:t>
            </w:r>
            <w:r w:rsidRPr="00796F1E">
              <w:rPr>
                <w:b/>
                <w:color w:val="17365D" w:themeColor="text2" w:themeShade="BF"/>
              </w:rPr>
              <w:t xml:space="preserve"> </w:t>
            </w:r>
            <w:r w:rsidRPr="00796F1E">
              <w:rPr>
                <w:color w:val="17365D" w:themeColor="text2" w:themeShade="BF"/>
              </w:rPr>
              <w:t>SkyBus.</w:t>
            </w:r>
            <w:r w:rsidRPr="00796F1E">
              <w:rPr>
                <w:color w:val="17365D" w:themeColor="text2" w:themeShade="BF"/>
                <w:vertAlign w:val="superscript"/>
              </w:rPr>
              <w:footnoteReference w:id="90"/>
            </w:r>
            <w:r w:rsidRPr="00796F1E">
              <w:rPr>
                <w:b/>
                <w:color w:val="17365D" w:themeColor="text2" w:themeShade="BF"/>
              </w:rPr>
              <w:t xml:space="preserve"> </w:t>
            </w:r>
          </w:p>
          <w:p w:rsidR="00883552" w:rsidRPr="006A52B8" w:rsidRDefault="00883552" w:rsidP="00883552">
            <w:pPr>
              <w:rPr>
                <w:rFonts w:eastAsiaTheme="majorEastAsia" w:cstheme="majorBidi"/>
                <w:b/>
                <w:bCs/>
                <w:i/>
                <w:color w:val="17365D" w:themeColor="text2" w:themeShade="BF"/>
                <w:sz w:val="22"/>
              </w:rPr>
            </w:pPr>
            <w:r w:rsidRPr="006A52B8">
              <w:rPr>
                <w:rFonts w:eastAsiaTheme="majorEastAsia" w:cstheme="majorBidi"/>
                <w:b/>
                <w:bCs/>
                <w:i/>
                <w:color w:val="17365D" w:themeColor="text2" w:themeShade="BF"/>
                <w:sz w:val="22"/>
              </w:rPr>
              <w:t>A collaborative approach between airports and governments can encourage passengers to increase their usage of public transport</w:t>
            </w:r>
          </w:p>
          <w:p w:rsidR="00883552" w:rsidRPr="00796F1E" w:rsidRDefault="00883552" w:rsidP="00883552">
            <w:pPr>
              <w:rPr>
                <w:color w:val="17365D" w:themeColor="text2" w:themeShade="BF"/>
              </w:rPr>
            </w:pPr>
            <w:r w:rsidRPr="00796F1E">
              <w:rPr>
                <w:color w:val="17365D" w:themeColor="text2" w:themeShade="BF"/>
              </w:rPr>
              <w:t xml:space="preserve">While this section has focused on rail links, broader provision of public transport can provide </w:t>
            </w:r>
            <w:r w:rsidRPr="00796F1E">
              <w:rPr>
                <w:color w:val="17365D" w:themeColor="text2" w:themeShade="BF"/>
              </w:rPr>
              <w:lastRenderedPageBreak/>
              <w:t>passengers with options for getting to and from the airport and therefore increase incentives for the airports to offer more attractive car parking rates. In addition, passengers may be more inclined to shift to public transport where these services reach more areas of the population, become more reliable and frequent, and provide a more cost effective travel alternative.</w:t>
            </w:r>
          </w:p>
          <w:p w:rsidR="00883552" w:rsidRPr="00796F1E" w:rsidRDefault="00883552" w:rsidP="00883552">
            <w:pPr>
              <w:rPr>
                <w:bCs/>
                <w:color w:val="17365D" w:themeColor="text2" w:themeShade="BF"/>
              </w:rPr>
            </w:pPr>
            <w:r w:rsidRPr="00796F1E">
              <w:rPr>
                <w:color w:val="17365D" w:themeColor="text2" w:themeShade="BF"/>
              </w:rPr>
              <w:t>The airports are not the only entities involved in improving public transport (including rail) acces</w:t>
            </w:r>
            <w:r w:rsidRPr="00796F1E">
              <w:rPr>
                <w:bCs/>
                <w:color w:val="17365D" w:themeColor="text2" w:themeShade="BF"/>
              </w:rPr>
              <w:t>s at the airports. Improvements in landside infrastructure can only come about through a collaborative approach involving airport operators and state and local governments. Planning and funding decisions on landside infrastructure made by the airports and governments can have flow</w:t>
            </w:r>
            <w:r w:rsidRPr="00796F1E">
              <w:rPr>
                <w:bCs/>
                <w:color w:val="17365D" w:themeColor="text2" w:themeShade="BF"/>
              </w:rPr>
              <w:noBreakHyphen/>
              <w:t>on effects to the rest of the road transport network. A collaborative approach will produce better investment and improve access to airports in the future.</w:t>
            </w:r>
            <w:r w:rsidRPr="00796F1E">
              <w:rPr>
                <w:color w:val="17365D" w:themeColor="text2" w:themeShade="BF"/>
              </w:rPr>
              <w:t xml:space="preserve"> For example, the Airports Act was amended in 2010 to improve the planning regulatory framework, to support more effective airport planning and better alignment with State and local planning.</w:t>
            </w:r>
            <w:r w:rsidRPr="00796F1E">
              <w:rPr>
                <w:color w:val="17365D" w:themeColor="text2" w:themeShade="BF"/>
                <w:vertAlign w:val="superscript"/>
              </w:rPr>
              <w:footnoteReference w:id="91"/>
            </w:r>
            <w:r w:rsidRPr="00796F1E">
              <w:rPr>
                <w:color w:val="17365D" w:themeColor="text2" w:themeShade="BF"/>
              </w:rPr>
              <w:t xml:space="preserve"> </w:t>
            </w:r>
          </w:p>
          <w:p w:rsidR="00883552" w:rsidRDefault="00883552" w:rsidP="00883552">
            <w:r w:rsidRPr="00796F1E">
              <w:rPr>
                <w:color w:val="17365D" w:themeColor="text2" w:themeShade="BF"/>
              </w:rPr>
              <w:t>Airports can influence the attractiveness of public transport services through the terms and conditions imposed on airport access for public transport (such as the pick</w:t>
            </w:r>
            <w:r w:rsidRPr="00796F1E">
              <w:rPr>
                <w:color w:val="17365D" w:themeColor="text2" w:themeShade="BF"/>
              </w:rPr>
              <w:noBreakHyphen/>
              <w:t>up and drop</w:t>
            </w:r>
            <w:r w:rsidRPr="00796F1E">
              <w:rPr>
                <w:color w:val="17365D" w:themeColor="text2" w:themeShade="BF"/>
              </w:rPr>
              <w:noBreakHyphen/>
              <w:t>off locations). However, governments provide public transport (or contracts for public transport services) and have the ability to influence the quality, frequency, affordability and convenience of public transport services. For example, some state governments have recently commenced enhancements to bus and train services to and from their airports</w:t>
            </w:r>
            <w:r w:rsidRPr="00796F1E">
              <w:rPr>
                <w:color w:val="17365D" w:themeColor="text2" w:themeShade="BF"/>
                <w:vertAlign w:val="superscript"/>
              </w:rPr>
              <w:footnoteReference w:id="92"/>
            </w:r>
            <w:r w:rsidRPr="00796F1E">
              <w:rPr>
                <w:color w:val="17365D" w:themeColor="text2" w:themeShade="BF"/>
              </w:rPr>
              <w:t>, as well as road enhancements</w:t>
            </w:r>
            <w:r w:rsidRPr="00796F1E">
              <w:rPr>
                <w:color w:val="17365D" w:themeColor="text2" w:themeShade="BF"/>
                <w:vertAlign w:val="superscript"/>
              </w:rPr>
              <w:footnoteReference w:id="93"/>
            </w:r>
            <w:r w:rsidRPr="00796F1E">
              <w:rPr>
                <w:color w:val="17365D" w:themeColor="text2" w:themeShade="BF"/>
              </w:rPr>
              <w:t xml:space="preserve">. </w:t>
            </w:r>
          </w:p>
        </w:tc>
      </w:tr>
    </w:tbl>
    <w:p w:rsidR="00883552" w:rsidRDefault="00883552" w:rsidP="00611280">
      <w:pPr>
        <w:pStyle w:val="Numberedheading2"/>
        <w:numPr>
          <w:ilvl w:val="0"/>
          <w:numId w:val="0"/>
        </w:numPr>
        <w:ind w:left="35"/>
      </w:pPr>
    </w:p>
    <w:p w:rsidR="00883552" w:rsidRDefault="00883552" w:rsidP="00611280">
      <w:pPr>
        <w:pStyle w:val="Numberedheading2"/>
        <w:numPr>
          <w:ilvl w:val="0"/>
          <w:numId w:val="0"/>
        </w:numPr>
        <w:ind w:left="35"/>
      </w:pPr>
    </w:p>
    <w:p w:rsidR="00883552" w:rsidRDefault="00883552" w:rsidP="00611280">
      <w:pPr>
        <w:pStyle w:val="Numberedheading2"/>
        <w:numPr>
          <w:ilvl w:val="0"/>
          <w:numId w:val="0"/>
        </w:numPr>
        <w:ind w:left="35"/>
      </w:pPr>
    </w:p>
    <w:p w:rsidR="00883552" w:rsidRDefault="00883552" w:rsidP="00611280">
      <w:pPr>
        <w:pStyle w:val="Numberedheading2"/>
        <w:numPr>
          <w:ilvl w:val="0"/>
          <w:numId w:val="0"/>
        </w:numPr>
        <w:ind w:left="35"/>
      </w:pPr>
    </w:p>
    <w:p w:rsidR="00883552" w:rsidRDefault="00883552" w:rsidP="00611280">
      <w:pPr>
        <w:pStyle w:val="Numberedheading2"/>
        <w:numPr>
          <w:ilvl w:val="0"/>
          <w:numId w:val="0"/>
        </w:numPr>
        <w:ind w:left="35"/>
      </w:pPr>
    </w:p>
    <w:p w:rsidR="009F0A92" w:rsidRDefault="009F0A92" w:rsidP="00611280">
      <w:pPr>
        <w:sectPr w:rsidR="009F0A92" w:rsidSect="00BE4EED">
          <w:headerReference w:type="even" r:id="rId48"/>
          <w:headerReference w:type="default" r:id="rId49"/>
          <w:footerReference w:type="even" r:id="rId50"/>
          <w:footerReference w:type="default" r:id="rId51"/>
          <w:footnotePr>
            <w:numRestart w:val="eachSect"/>
          </w:footnotePr>
          <w:type w:val="continuous"/>
          <w:pgSz w:w="11906" w:h="16838"/>
          <w:pgMar w:top="1440" w:right="1729" w:bottom="1582" w:left="1729" w:header="709" w:footer="709" w:gutter="0"/>
          <w:pgNumType w:start="3"/>
          <w:cols w:space="708"/>
          <w:docGrid w:linePitch="360"/>
        </w:sectPr>
      </w:pPr>
    </w:p>
    <w:p w:rsidR="009F0A92" w:rsidRDefault="009F0A92" w:rsidP="009F0A92">
      <w:pPr>
        <w:pStyle w:val="Numberedheading1"/>
        <w:ind w:left="720" w:hanging="720"/>
      </w:pPr>
      <w:r>
        <w:lastRenderedPageBreak/>
        <w:t>Brisbane Airport</w:t>
      </w:r>
    </w:p>
    <w:p w:rsidR="00611280" w:rsidRPr="00611280" w:rsidRDefault="00611280" w:rsidP="00611280">
      <w:pPr>
        <w:pStyle w:val="Listbullet1"/>
        <w:numPr>
          <w:ilvl w:val="0"/>
          <w:numId w:val="0"/>
        </w:numPr>
        <w:shd w:val="clear" w:color="auto" w:fill="DFE0DC"/>
        <w:rPr>
          <w:rFonts w:ascii="Lucida Fax" w:eastAsiaTheme="majorEastAsia" w:hAnsi="Lucida Fax" w:cstheme="majorBidi"/>
          <w:bCs/>
          <w:color w:val="51626F"/>
          <w:sz w:val="28"/>
          <w:szCs w:val="28"/>
        </w:rPr>
      </w:pPr>
      <w:r w:rsidRPr="00611280">
        <w:rPr>
          <w:rFonts w:ascii="Lucida Fax" w:eastAsiaTheme="majorEastAsia" w:hAnsi="Lucida Fax" w:cstheme="majorBidi"/>
          <w:bCs/>
          <w:color w:val="51626F"/>
          <w:sz w:val="28"/>
          <w:szCs w:val="28"/>
        </w:rPr>
        <w:t>Key points—2014-15</w:t>
      </w:r>
    </w:p>
    <w:p w:rsidR="009F0A92" w:rsidRPr="00287798" w:rsidRDefault="009F0A92" w:rsidP="009F0A92">
      <w:pPr>
        <w:pStyle w:val="Listbullet1"/>
        <w:shd w:val="clear" w:color="auto" w:fill="DFE0DC"/>
      </w:pPr>
      <w:r w:rsidRPr="00287798">
        <w:t>Brisbane Airport’s passenger numbers increased by 0.8 per cent to 22.3 million.</w:t>
      </w:r>
    </w:p>
    <w:p w:rsidR="009F0A92" w:rsidRPr="00287798" w:rsidRDefault="009F0A92" w:rsidP="009F0A92">
      <w:pPr>
        <w:pStyle w:val="Listbullet1"/>
        <w:shd w:val="clear" w:color="auto" w:fill="DFE0DC"/>
      </w:pPr>
      <w:r w:rsidRPr="00287798">
        <w:t xml:space="preserve">Total aeronautical revenue increased by 10.7 per cent in real terms to $272.2 million, while aeronautical </w:t>
      </w:r>
      <w:r>
        <w:t>aggregate</w:t>
      </w:r>
      <w:r w:rsidRPr="00287798">
        <w:t xml:space="preserve"> margin increased by 12.9 per cent in real terms to $118.6 million.</w:t>
      </w:r>
      <w:r>
        <w:t xml:space="preserve"> This equated to a profit of 43.6 cents for each dollar in aeronautical revenue.</w:t>
      </w:r>
    </w:p>
    <w:p w:rsidR="009F0A92" w:rsidRPr="00287798" w:rsidRDefault="009F0A92" w:rsidP="009F0A92">
      <w:pPr>
        <w:pStyle w:val="Listbullet1"/>
        <w:shd w:val="clear" w:color="auto" w:fill="DFE0DC"/>
      </w:pPr>
      <w:r w:rsidRPr="00287798">
        <w:t>Rate of return on tangible aeronautical non</w:t>
      </w:r>
      <w:r w:rsidRPr="00287798">
        <w:noBreakHyphen/>
        <w:t>current assets was unchanged at 6.2 per cent.</w:t>
      </w:r>
    </w:p>
    <w:p w:rsidR="009F0A92" w:rsidRPr="00AF1D15" w:rsidRDefault="009F0A92" w:rsidP="00F26847">
      <w:pPr>
        <w:pStyle w:val="Listbullet1"/>
        <w:numPr>
          <w:ilvl w:val="0"/>
          <w:numId w:val="17"/>
        </w:numPr>
        <w:shd w:val="clear" w:color="auto" w:fill="DFE0DC"/>
        <w:ind w:left="357" w:hanging="357"/>
      </w:pPr>
      <w:r w:rsidRPr="00AF1D15">
        <w:t>Total aeronautical capital expenditure was $334.0 million</w:t>
      </w:r>
      <w:r>
        <w:t xml:space="preserve">, </w:t>
      </w:r>
      <w:r w:rsidRPr="00B2098E">
        <w:t xml:space="preserve">representing the largest yearly spend since privatisation. </w:t>
      </w:r>
    </w:p>
    <w:p w:rsidR="009F0A92" w:rsidRPr="006715E9" w:rsidRDefault="009F0A92" w:rsidP="009F0A92">
      <w:pPr>
        <w:pStyle w:val="Listbullet1"/>
        <w:shd w:val="clear" w:color="auto" w:fill="DFE0DC"/>
      </w:pPr>
      <w:r w:rsidRPr="006715E9">
        <w:t>Brisbane Airport’s average overall quality of service rating increased within the ‘good’ range.</w:t>
      </w:r>
      <w:r>
        <w:t xml:space="preserve"> Once again it had the highest result of the four monitored airports.</w:t>
      </w:r>
    </w:p>
    <w:p w:rsidR="009F0A92" w:rsidRPr="00287798" w:rsidRDefault="009F0A92" w:rsidP="009F0A92">
      <w:pPr>
        <w:pStyle w:val="Listbullet1"/>
        <w:shd w:val="clear" w:color="auto" w:fill="DFE0DC"/>
      </w:pPr>
      <w:r w:rsidRPr="00287798">
        <w:t xml:space="preserve">Total car parking </w:t>
      </w:r>
      <w:r>
        <w:t xml:space="preserve">aggregate </w:t>
      </w:r>
      <w:r w:rsidRPr="00287798">
        <w:t>margin increased by 9.4 per cent in real terms to $56.8 million.</w:t>
      </w:r>
      <w:r>
        <w:t xml:space="preserve"> The airport made a profit of 67.2 cents for each dollar in car parking revenue. </w:t>
      </w:r>
    </w:p>
    <w:p w:rsidR="009F0A92" w:rsidRDefault="009F0A92" w:rsidP="00114E05">
      <w:pPr>
        <w:pStyle w:val="Numberedheading2"/>
      </w:pPr>
      <w:r>
        <w:t>Airport overview and major investments</w:t>
      </w:r>
    </w:p>
    <w:p w:rsidR="009F0A92" w:rsidRDefault="009F0A92" w:rsidP="001734F5">
      <w:pPr>
        <w:keepNext/>
      </w:pPr>
      <w:r>
        <w:t>This section outlines information about Brisbane Airport, as well as activity and investment during 2014</w:t>
      </w:r>
      <w:r>
        <w:noBreakHyphen/>
        <w:t>15. This includes passenger/traffic levels (Section 2.1.1), terminal configurations and car parking facilities (Section 2.1.2), and major airport investments (Section 2.1.3).</w:t>
      </w:r>
    </w:p>
    <w:p w:rsidR="009F0A92" w:rsidRDefault="009F0A92" w:rsidP="001734F5">
      <w:pPr>
        <w:pStyle w:val="Numberedheading3"/>
      </w:pPr>
      <w:r>
        <w:t>Activity levels</w:t>
      </w:r>
    </w:p>
    <w:p w:rsidR="009F0A92" w:rsidRDefault="009F0A92" w:rsidP="001734F5">
      <w:pPr>
        <w:keepNext/>
      </w:pPr>
      <w:r>
        <w:t>Chart 2.1.1 shows that total passenger volumes increased by 0.8 per cent at Brisbane Airport during 2014</w:t>
      </w:r>
      <w:r>
        <w:noBreakHyphen/>
        <w:t>15 to reach 22.3 million.</w:t>
      </w:r>
    </w:p>
    <w:p w:rsidR="001734F5" w:rsidRDefault="009F0A92" w:rsidP="001734F5">
      <w:pPr>
        <w:keepNext/>
      </w:pPr>
      <w:r>
        <w:t>The low passenger growth during 2014</w:t>
      </w:r>
      <w:r>
        <w:noBreakHyphen/>
        <w:t>15 was driven by a reduction in domestic passengers (including on</w:t>
      </w:r>
      <w:r>
        <w:noBreakHyphen/>
        <w:t>carriage) of 0.7 per cent during the year. This is the first year over the time series that Brisbane Airport has experienced a reduction in the number of domestic passengers.</w:t>
      </w:r>
      <w:r>
        <w:rPr>
          <w:rStyle w:val="FootnoteReference"/>
        </w:rPr>
        <w:footnoteReference w:id="94"/>
      </w:r>
    </w:p>
    <w:p w:rsidR="009F0A92" w:rsidRDefault="009F0A92" w:rsidP="001734F5">
      <w:pPr>
        <w:keepNext/>
      </w:pPr>
      <w:r>
        <w:t>However, international passenger growth (including transit passengers) was strong during the year, increasing by 6.0 per cent, which follows a similar percentage increase in 2013</w:t>
      </w:r>
      <w:r>
        <w:noBreakHyphen/>
        <w:t>14.</w:t>
      </w:r>
    </w:p>
    <w:p w:rsidR="009F0A92" w:rsidRDefault="009F0A92" w:rsidP="001734F5">
      <w:pPr>
        <w:keepNext/>
      </w:pPr>
      <w:r>
        <w:t>Reductions in domestic passengers also drove decreases in tonnes landed and aircraft movements at Brisbane Airport during 2014</w:t>
      </w:r>
      <w:r>
        <w:noBreakHyphen/>
        <w:t>15. Aircraft movements decreased by 1.2 per cent during the year, which is the first decline reported over the time series.</w:t>
      </w:r>
    </w:p>
    <w:p w:rsidR="009F0A92" w:rsidRDefault="009F0A92" w:rsidP="009F0A92"/>
    <w:p w:rsidR="009F0A92" w:rsidRDefault="009F0A92" w:rsidP="009F0A92">
      <w:pPr>
        <w:pStyle w:val="Numberedcharttitle"/>
      </w:pPr>
      <w:r>
        <w:lastRenderedPageBreak/>
        <w:t>Chart 2.1.1:</w:t>
      </w:r>
      <w:r>
        <w:tab/>
        <w:t>Brisbane Airport—volume of passengers, tonnes landed and aircraft movements: 2004-05 to 2014-15</w:t>
      </w:r>
      <w:r>
        <w:rPr>
          <w:rStyle w:val="FootnoteReference"/>
        </w:rPr>
        <w:footnoteReference w:id="95"/>
      </w:r>
    </w:p>
    <w:p w:rsidR="009F0A92" w:rsidRDefault="009F0A92" w:rsidP="009F0A92">
      <w:r w:rsidRPr="00F2598D">
        <w:rPr>
          <w:noProof/>
          <w:lang w:eastAsia="en-AU"/>
        </w:rPr>
        <w:drawing>
          <wp:inline distT="0" distB="0" distL="0" distR="0" wp14:anchorId="5F315EC2" wp14:editId="040D24E7">
            <wp:extent cx="5365630" cy="2950234"/>
            <wp:effectExtent l="0" t="0" r="6985" b="254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4480" cy="2949602"/>
                    </a:xfrm>
                    <a:prstGeom prst="rect">
                      <a:avLst/>
                    </a:prstGeom>
                    <a:noFill/>
                    <a:ln>
                      <a:noFill/>
                    </a:ln>
                  </pic:spPr>
                </pic:pic>
              </a:graphicData>
            </a:graphic>
          </wp:inline>
        </w:drawing>
      </w:r>
    </w:p>
    <w:p w:rsidR="009F0A92" w:rsidRDefault="009F0A92" w:rsidP="009F0A92">
      <w:pPr>
        <w:pStyle w:val="Numberedheading3"/>
      </w:pPr>
      <w:r>
        <w:t>Terminal configurations and car parking facilities</w:t>
      </w:r>
    </w:p>
    <w:p w:rsidR="009F0A92" w:rsidRDefault="009F0A92" w:rsidP="009F0A92">
      <w:pPr>
        <w:pStyle w:val="Numberedheading4"/>
      </w:pPr>
      <w:r>
        <w:t>Terminal configurations</w:t>
      </w:r>
    </w:p>
    <w:p w:rsidR="009F0A92" w:rsidRDefault="009F0A92" w:rsidP="009F0A92">
      <w:r>
        <w:t>Brisbane Airport has one international terminal and one domestic terminal:</w:t>
      </w:r>
    </w:p>
    <w:p w:rsidR="009F0A92" w:rsidRDefault="009F0A92" w:rsidP="009F0A92">
      <w:pPr>
        <w:pStyle w:val="Listbullet1"/>
      </w:pPr>
      <w:r>
        <w:t>The international terminal is a common</w:t>
      </w:r>
      <w:r>
        <w:noBreakHyphen/>
        <w:t>user terminal used by all international airlines flying to and from Brisbane Airport.</w:t>
      </w:r>
    </w:p>
    <w:p w:rsidR="009F0A92" w:rsidRDefault="009F0A92" w:rsidP="009F0A92">
      <w:pPr>
        <w:pStyle w:val="Listbullet1"/>
      </w:pPr>
      <w:r>
        <w:t>Qantas and Virgin Australia occupy and operate the majority of the domestic terminal under lease. These areas of the domestic terminal are not subject to monitoring and are therefore not included in the ACCC’s monitoring results.</w:t>
      </w:r>
    </w:p>
    <w:p w:rsidR="009F0A92" w:rsidRDefault="009F0A92" w:rsidP="009F0A92">
      <w:pPr>
        <w:pStyle w:val="Listbullet1"/>
      </w:pPr>
      <w:r>
        <w:t>The remainder of the domestic terminal is common</w:t>
      </w:r>
      <w:r>
        <w:noBreakHyphen/>
        <w:t>user areas that are predominately used by Jetstar and Tigerair, as well as regional operators.</w:t>
      </w:r>
    </w:p>
    <w:p w:rsidR="009F0A92" w:rsidRDefault="009F0A92" w:rsidP="009F0A92">
      <w:pPr>
        <w:pStyle w:val="Numberedheading4"/>
      </w:pPr>
      <w:r>
        <w:t>Car parking facilities</w:t>
      </w:r>
    </w:p>
    <w:p w:rsidR="009F0A92" w:rsidRDefault="009F0A92" w:rsidP="009F0A92">
      <w:r>
        <w:t xml:space="preserve">Brisbane Airport has </w:t>
      </w:r>
      <w:r w:rsidRPr="00F04673">
        <w:t xml:space="preserve">two car parking </w:t>
      </w:r>
      <w:r>
        <w:t>precincts. In the international terminal precinct, there is a combined short term, long term and staff car park located near the front of the terminal that provides both undercover and open</w:t>
      </w:r>
      <w:r>
        <w:noBreakHyphen/>
        <w:t xml:space="preserve">air parking. </w:t>
      </w:r>
      <w:r w:rsidRPr="00F04673">
        <w:t>In the domestic terminal precinct, there are car park</w:t>
      </w:r>
      <w:r>
        <w:t>ing</w:t>
      </w:r>
      <w:r w:rsidRPr="00F04673">
        <w:t xml:space="preserve"> facilities located near the front of the terminal provid</w:t>
      </w:r>
      <w:r>
        <w:t>ing short term, long term, staff and premium car parking. On 30 June 2015 Brisbane Airport opened a new remote car parking facility with 1100 bays.</w:t>
      </w:r>
    </w:p>
    <w:p w:rsidR="009F0A92" w:rsidRDefault="009F0A92" w:rsidP="009F0A92"/>
    <w:p w:rsidR="009F0A92" w:rsidRDefault="009F0A92" w:rsidP="009F0A92"/>
    <w:p w:rsidR="009F0A92" w:rsidRDefault="009F0A92" w:rsidP="009F0A92">
      <w:pPr>
        <w:pStyle w:val="Numberedheading3"/>
      </w:pPr>
      <w:r>
        <w:lastRenderedPageBreak/>
        <w:t>Major airport investments</w:t>
      </w:r>
    </w:p>
    <w:p w:rsidR="009F0A92" w:rsidRDefault="009F0A92" w:rsidP="009F0A92">
      <w:r>
        <w:t>Table 2.1.1 provides details of major aeronautical investments that have been completed, commenced or planned during 2014</w:t>
      </w:r>
      <w:r>
        <w:noBreakHyphen/>
        <w:t>15. Brisbane Airport’s latest Master Plan</w:t>
      </w:r>
      <w:r>
        <w:rPr>
          <w:rStyle w:val="FootnoteReference"/>
        </w:rPr>
        <w:footnoteReference w:id="96"/>
      </w:r>
      <w:r>
        <w:t xml:space="preserve"> was approved by the Australian Government on 3 February 2015.</w:t>
      </w:r>
      <w:r>
        <w:rPr>
          <w:rStyle w:val="FootnoteReference"/>
        </w:rPr>
        <w:footnoteReference w:id="97"/>
      </w:r>
      <w:r w:rsidRPr="00492D1C">
        <w:t xml:space="preserve"> </w:t>
      </w:r>
    </w:p>
    <w:p w:rsidR="009F0A92" w:rsidRDefault="009F0A92" w:rsidP="009F0A92">
      <w:pPr>
        <w:pStyle w:val="Numberedcharttitle"/>
      </w:pPr>
      <w:r w:rsidRPr="00FE72C4">
        <w:t>Table 2.1.1:</w:t>
      </w:r>
      <w:r w:rsidRPr="00FE72C4">
        <w:tab/>
        <w:t>Brisbane Airport—major investments in aeronautical services and facilities</w:t>
      </w:r>
    </w:p>
    <w:tbl>
      <w:tblPr>
        <w:tblStyle w:val="TableGrid"/>
        <w:tblW w:w="0" w:type="auto"/>
        <w:tblLayout w:type="fixed"/>
        <w:tblLook w:val="04A0" w:firstRow="1" w:lastRow="0" w:firstColumn="1" w:lastColumn="0" w:noHBand="0" w:noVBand="1"/>
      </w:tblPr>
      <w:tblGrid>
        <w:gridCol w:w="5070"/>
        <w:gridCol w:w="1185"/>
        <w:gridCol w:w="1185"/>
        <w:gridCol w:w="1186"/>
      </w:tblGrid>
      <w:tr w:rsidR="009F0A92" w:rsidTr="009543DB">
        <w:trPr>
          <w:tblHeader/>
        </w:trPr>
        <w:tc>
          <w:tcPr>
            <w:tcW w:w="5070" w:type="dxa"/>
            <w:tcBorders>
              <w:left w:val="nil"/>
              <w:bottom w:val="single" w:sz="4" w:space="0" w:color="auto"/>
              <w:right w:val="nil"/>
            </w:tcBorders>
            <w:shd w:val="clear" w:color="auto" w:fill="DFE0DC"/>
          </w:tcPr>
          <w:p w:rsidR="009F0A92" w:rsidRDefault="009F0A92" w:rsidP="009543DB">
            <w:pPr>
              <w:pStyle w:val="Tabletextheading"/>
              <w:keepNext/>
            </w:pPr>
            <w:r>
              <w:t>Description of investment</w:t>
            </w:r>
          </w:p>
        </w:tc>
        <w:tc>
          <w:tcPr>
            <w:tcW w:w="1185" w:type="dxa"/>
            <w:tcBorders>
              <w:left w:val="nil"/>
              <w:bottom w:val="single" w:sz="4" w:space="0" w:color="auto"/>
              <w:right w:val="nil"/>
            </w:tcBorders>
            <w:shd w:val="clear" w:color="auto" w:fill="DFE0DC"/>
          </w:tcPr>
          <w:p w:rsidR="009F0A92" w:rsidRDefault="009F0A92" w:rsidP="009543DB">
            <w:pPr>
              <w:pStyle w:val="Tabletextheadingright"/>
              <w:keepNext/>
            </w:pPr>
            <w:r>
              <w:t>Value ($m)</w:t>
            </w:r>
          </w:p>
        </w:tc>
        <w:tc>
          <w:tcPr>
            <w:tcW w:w="1185" w:type="dxa"/>
            <w:tcBorders>
              <w:left w:val="nil"/>
              <w:bottom w:val="single" w:sz="4" w:space="0" w:color="auto"/>
              <w:right w:val="nil"/>
            </w:tcBorders>
            <w:shd w:val="clear" w:color="auto" w:fill="DFE0DC"/>
          </w:tcPr>
          <w:p w:rsidR="009F0A92" w:rsidRDefault="009F0A92" w:rsidP="009543DB">
            <w:pPr>
              <w:pStyle w:val="Tabletextheadingright"/>
              <w:keepNext/>
            </w:pPr>
            <w:r>
              <w:t>Started</w:t>
            </w:r>
          </w:p>
        </w:tc>
        <w:tc>
          <w:tcPr>
            <w:tcW w:w="1186" w:type="dxa"/>
            <w:tcBorders>
              <w:left w:val="nil"/>
              <w:bottom w:val="single" w:sz="4" w:space="0" w:color="auto"/>
              <w:right w:val="nil"/>
            </w:tcBorders>
            <w:shd w:val="clear" w:color="auto" w:fill="DFE0DC"/>
          </w:tcPr>
          <w:p w:rsidR="009F0A92" w:rsidRDefault="009F0A92" w:rsidP="009543DB">
            <w:pPr>
              <w:pStyle w:val="Tabletextheadingright"/>
              <w:keepNext/>
            </w:pPr>
            <w:r>
              <w:t>Completed</w:t>
            </w:r>
          </w:p>
        </w:tc>
      </w:tr>
      <w:tr w:rsidR="009F0A92" w:rsidTr="009543DB">
        <w:tc>
          <w:tcPr>
            <w:tcW w:w="5070" w:type="dxa"/>
            <w:tcBorders>
              <w:left w:val="nil"/>
              <w:bottom w:val="nil"/>
              <w:right w:val="nil"/>
            </w:tcBorders>
          </w:tcPr>
          <w:p w:rsidR="009F0A92" w:rsidRDefault="009F0A92" w:rsidP="009543DB">
            <w:pPr>
              <w:pStyle w:val="Tabletextleft"/>
            </w:pPr>
            <w:r>
              <w:t>Southern Domestic apron expansion</w:t>
            </w:r>
          </w:p>
        </w:tc>
        <w:tc>
          <w:tcPr>
            <w:tcW w:w="1185" w:type="dxa"/>
            <w:tcBorders>
              <w:left w:val="nil"/>
              <w:bottom w:val="nil"/>
              <w:right w:val="nil"/>
            </w:tcBorders>
          </w:tcPr>
          <w:p w:rsidR="009F0A92" w:rsidRPr="00F04673" w:rsidRDefault="009F0A92" w:rsidP="009543DB">
            <w:pPr>
              <w:pStyle w:val="Tabletextright"/>
              <w:keepNext/>
            </w:pPr>
            <w:r>
              <w:t>40</w:t>
            </w:r>
          </w:p>
        </w:tc>
        <w:tc>
          <w:tcPr>
            <w:tcW w:w="1185" w:type="dxa"/>
            <w:tcBorders>
              <w:left w:val="nil"/>
              <w:bottom w:val="nil"/>
              <w:right w:val="nil"/>
            </w:tcBorders>
          </w:tcPr>
          <w:p w:rsidR="009F0A92" w:rsidRPr="00F04673" w:rsidRDefault="009F0A92" w:rsidP="009543DB">
            <w:pPr>
              <w:pStyle w:val="Tabletextrightitalic"/>
            </w:pPr>
            <w:r>
              <w:t>Oct-13</w:t>
            </w:r>
          </w:p>
        </w:tc>
        <w:tc>
          <w:tcPr>
            <w:tcW w:w="1186" w:type="dxa"/>
            <w:tcBorders>
              <w:left w:val="nil"/>
              <w:bottom w:val="nil"/>
              <w:right w:val="nil"/>
            </w:tcBorders>
          </w:tcPr>
          <w:p w:rsidR="009F0A92" w:rsidRPr="00F04673" w:rsidRDefault="009F0A92" w:rsidP="009543DB">
            <w:pPr>
              <w:pStyle w:val="Tabletextrightitalic"/>
            </w:pPr>
            <w:r>
              <w:t>Apr-15</w:t>
            </w:r>
          </w:p>
        </w:tc>
      </w:tr>
      <w:tr w:rsidR="009F0A92" w:rsidTr="009543DB">
        <w:tc>
          <w:tcPr>
            <w:tcW w:w="5070" w:type="dxa"/>
            <w:tcBorders>
              <w:top w:val="nil"/>
              <w:left w:val="nil"/>
              <w:bottom w:val="nil"/>
              <w:right w:val="nil"/>
            </w:tcBorders>
          </w:tcPr>
          <w:p w:rsidR="009F0A92" w:rsidRDefault="009F0A92" w:rsidP="009543DB">
            <w:pPr>
              <w:pStyle w:val="Tabletextleft"/>
            </w:pPr>
            <w:r>
              <w:t>Common-user area upgrade at the Domestic Terminal</w:t>
            </w:r>
          </w:p>
        </w:tc>
        <w:tc>
          <w:tcPr>
            <w:tcW w:w="1185" w:type="dxa"/>
            <w:tcBorders>
              <w:top w:val="nil"/>
              <w:left w:val="nil"/>
              <w:bottom w:val="nil"/>
              <w:right w:val="nil"/>
            </w:tcBorders>
          </w:tcPr>
          <w:p w:rsidR="009F0A92" w:rsidRPr="00F04673" w:rsidRDefault="009F0A92" w:rsidP="009543DB">
            <w:pPr>
              <w:pStyle w:val="Tabletextright"/>
              <w:keepNext/>
            </w:pPr>
            <w:r>
              <w:t>8</w:t>
            </w:r>
          </w:p>
        </w:tc>
        <w:tc>
          <w:tcPr>
            <w:tcW w:w="1185" w:type="dxa"/>
            <w:tcBorders>
              <w:top w:val="nil"/>
              <w:left w:val="nil"/>
              <w:bottom w:val="nil"/>
              <w:right w:val="nil"/>
            </w:tcBorders>
          </w:tcPr>
          <w:p w:rsidR="009F0A92" w:rsidRPr="00F04673" w:rsidRDefault="009F0A92" w:rsidP="009543DB">
            <w:pPr>
              <w:pStyle w:val="Tabletextrightitalic"/>
            </w:pPr>
            <w:r>
              <w:t>Jul-13</w:t>
            </w:r>
          </w:p>
        </w:tc>
        <w:tc>
          <w:tcPr>
            <w:tcW w:w="1186" w:type="dxa"/>
            <w:tcBorders>
              <w:top w:val="nil"/>
              <w:left w:val="nil"/>
              <w:bottom w:val="nil"/>
              <w:right w:val="nil"/>
            </w:tcBorders>
          </w:tcPr>
          <w:p w:rsidR="009F0A92" w:rsidRPr="00F04673" w:rsidRDefault="009F0A92" w:rsidP="009543DB">
            <w:pPr>
              <w:pStyle w:val="Tabletextrightitalic"/>
            </w:pPr>
            <w:r>
              <w:t>May-15</w:t>
            </w:r>
          </w:p>
        </w:tc>
      </w:tr>
      <w:tr w:rsidR="009F0A92" w:rsidTr="009543DB">
        <w:tc>
          <w:tcPr>
            <w:tcW w:w="5070" w:type="dxa"/>
            <w:tcBorders>
              <w:top w:val="nil"/>
              <w:left w:val="nil"/>
              <w:bottom w:val="nil"/>
              <w:right w:val="nil"/>
            </w:tcBorders>
          </w:tcPr>
          <w:p w:rsidR="009F0A92" w:rsidRDefault="009F0A92" w:rsidP="009543DB">
            <w:pPr>
              <w:pStyle w:val="Tabletextleft"/>
            </w:pPr>
            <w:r>
              <w:t>Front of house security upgrade to various areas</w:t>
            </w:r>
          </w:p>
        </w:tc>
        <w:tc>
          <w:tcPr>
            <w:tcW w:w="1185" w:type="dxa"/>
            <w:tcBorders>
              <w:top w:val="nil"/>
              <w:left w:val="nil"/>
              <w:bottom w:val="nil"/>
              <w:right w:val="nil"/>
            </w:tcBorders>
          </w:tcPr>
          <w:p w:rsidR="009F0A92" w:rsidRPr="00F04673" w:rsidRDefault="009F0A92" w:rsidP="009543DB">
            <w:pPr>
              <w:pStyle w:val="Tabletextright"/>
              <w:keepNext/>
            </w:pPr>
            <w:r>
              <w:t>4</w:t>
            </w:r>
          </w:p>
        </w:tc>
        <w:tc>
          <w:tcPr>
            <w:tcW w:w="1185" w:type="dxa"/>
            <w:tcBorders>
              <w:top w:val="nil"/>
              <w:left w:val="nil"/>
              <w:bottom w:val="nil"/>
              <w:right w:val="nil"/>
            </w:tcBorders>
          </w:tcPr>
          <w:p w:rsidR="009F0A92" w:rsidRPr="00F04673" w:rsidRDefault="009F0A92" w:rsidP="009543DB">
            <w:pPr>
              <w:pStyle w:val="Tabletextrightitalic"/>
            </w:pPr>
            <w:r>
              <w:t>Nov-13</w:t>
            </w:r>
          </w:p>
        </w:tc>
        <w:tc>
          <w:tcPr>
            <w:tcW w:w="1186" w:type="dxa"/>
            <w:tcBorders>
              <w:top w:val="nil"/>
              <w:left w:val="nil"/>
              <w:bottom w:val="nil"/>
              <w:right w:val="nil"/>
            </w:tcBorders>
          </w:tcPr>
          <w:p w:rsidR="009F0A92" w:rsidRPr="00F04673" w:rsidRDefault="009F0A92" w:rsidP="009543DB">
            <w:pPr>
              <w:pStyle w:val="Tabletextrightitalic"/>
            </w:pPr>
            <w:r>
              <w:t>Nov-14</w:t>
            </w:r>
          </w:p>
        </w:tc>
      </w:tr>
      <w:tr w:rsidR="009F0A92" w:rsidRPr="00F10A70" w:rsidTr="009543DB">
        <w:tc>
          <w:tcPr>
            <w:tcW w:w="5070" w:type="dxa"/>
            <w:tcBorders>
              <w:left w:val="nil"/>
              <w:bottom w:val="nil"/>
              <w:right w:val="nil"/>
            </w:tcBorders>
          </w:tcPr>
          <w:p w:rsidR="009F0A92" w:rsidRDefault="009F0A92" w:rsidP="009543DB">
            <w:pPr>
              <w:pStyle w:val="Tabletextleft"/>
            </w:pPr>
            <w:r>
              <w:t>New Parallel Runway</w:t>
            </w:r>
          </w:p>
        </w:tc>
        <w:tc>
          <w:tcPr>
            <w:tcW w:w="1185" w:type="dxa"/>
            <w:tcBorders>
              <w:left w:val="nil"/>
              <w:bottom w:val="nil"/>
              <w:right w:val="nil"/>
            </w:tcBorders>
          </w:tcPr>
          <w:p w:rsidR="009F0A92" w:rsidRPr="00F04673" w:rsidRDefault="009F0A92" w:rsidP="009543DB">
            <w:pPr>
              <w:pStyle w:val="Tabletextright"/>
              <w:keepNext/>
            </w:pPr>
            <w:r>
              <w:t>1 400</w:t>
            </w:r>
          </w:p>
        </w:tc>
        <w:tc>
          <w:tcPr>
            <w:tcW w:w="1185" w:type="dxa"/>
            <w:tcBorders>
              <w:left w:val="nil"/>
              <w:bottom w:val="nil"/>
              <w:right w:val="nil"/>
            </w:tcBorders>
          </w:tcPr>
          <w:p w:rsidR="009F0A92" w:rsidRPr="00F04673" w:rsidRDefault="009F0A92" w:rsidP="009543DB">
            <w:pPr>
              <w:pStyle w:val="Tabletextrightitalic"/>
            </w:pPr>
            <w:r>
              <w:t>2012</w:t>
            </w:r>
          </w:p>
        </w:tc>
        <w:tc>
          <w:tcPr>
            <w:tcW w:w="1186" w:type="dxa"/>
            <w:tcBorders>
              <w:left w:val="nil"/>
              <w:bottom w:val="nil"/>
              <w:right w:val="nil"/>
            </w:tcBorders>
          </w:tcPr>
          <w:p w:rsidR="009F0A92" w:rsidRPr="00F04673" w:rsidRDefault="009F0A92" w:rsidP="009543DB">
            <w:pPr>
              <w:pStyle w:val="Tabletextrightitalic"/>
            </w:pPr>
            <w:r>
              <w:t>2020</w:t>
            </w:r>
          </w:p>
        </w:tc>
      </w:tr>
      <w:tr w:rsidR="009F0A92" w:rsidRPr="00F10A70" w:rsidTr="009543DB">
        <w:tc>
          <w:tcPr>
            <w:tcW w:w="5070" w:type="dxa"/>
            <w:tcBorders>
              <w:top w:val="nil"/>
              <w:left w:val="nil"/>
              <w:bottom w:val="nil"/>
              <w:right w:val="nil"/>
            </w:tcBorders>
          </w:tcPr>
          <w:p w:rsidR="009F0A92" w:rsidRDefault="009F0A92" w:rsidP="009543DB">
            <w:pPr>
              <w:pStyle w:val="Tabletextleft"/>
            </w:pPr>
            <w:r>
              <w:t>Northern Domestic apron expansion</w:t>
            </w:r>
          </w:p>
        </w:tc>
        <w:tc>
          <w:tcPr>
            <w:tcW w:w="1185" w:type="dxa"/>
            <w:tcBorders>
              <w:top w:val="nil"/>
              <w:left w:val="nil"/>
              <w:bottom w:val="nil"/>
              <w:right w:val="nil"/>
            </w:tcBorders>
          </w:tcPr>
          <w:p w:rsidR="009F0A92" w:rsidRPr="00F04673" w:rsidRDefault="009F0A92" w:rsidP="009543DB">
            <w:pPr>
              <w:pStyle w:val="Tabletextright"/>
              <w:keepNext/>
            </w:pPr>
            <w:r>
              <w:t>60</w:t>
            </w:r>
          </w:p>
        </w:tc>
        <w:tc>
          <w:tcPr>
            <w:tcW w:w="1185" w:type="dxa"/>
            <w:tcBorders>
              <w:top w:val="nil"/>
              <w:left w:val="nil"/>
              <w:bottom w:val="nil"/>
              <w:right w:val="nil"/>
            </w:tcBorders>
          </w:tcPr>
          <w:p w:rsidR="009F0A92" w:rsidRPr="00F04673" w:rsidRDefault="009F0A92" w:rsidP="009543DB">
            <w:pPr>
              <w:pStyle w:val="Tabletextrightitalic"/>
            </w:pPr>
            <w:r>
              <w:t>Sep-14</w:t>
            </w:r>
          </w:p>
        </w:tc>
        <w:tc>
          <w:tcPr>
            <w:tcW w:w="1186" w:type="dxa"/>
            <w:tcBorders>
              <w:top w:val="nil"/>
              <w:left w:val="nil"/>
              <w:bottom w:val="nil"/>
              <w:right w:val="nil"/>
            </w:tcBorders>
          </w:tcPr>
          <w:p w:rsidR="009F0A92" w:rsidRPr="00F04673" w:rsidRDefault="009F0A92" w:rsidP="009543DB">
            <w:pPr>
              <w:pStyle w:val="Tabletextrightitalic"/>
            </w:pPr>
            <w:r>
              <w:t>2018</w:t>
            </w:r>
          </w:p>
        </w:tc>
      </w:tr>
      <w:tr w:rsidR="009F0A92" w:rsidRPr="00F10A70" w:rsidTr="009543DB">
        <w:trPr>
          <w:trHeight w:val="284"/>
        </w:trPr>
        <w:tc>
          <w:tcPr>
            <w:tcW w:w="5070" w:type="dxa"/>
            <w:tcBorders>
              <w:top w:val="nil"/>
              <w:left w:val="nil"/>
              <w:bottom w:val="single" w:sz="4" w:space="0" w:color="auto"/>
              <w:right w:val="nil"/>
            </w:tcBorders>
          </w:tcPr>
          <w:p w:rsidR="009F0A92" w:rsidRDefault="009F0A92" w:rsidP="009543DB">
            <w:pPr>
              <w:pStyle w:val="Tabletextleft"/>
            </w:pPr>
            <w:r>
              <w:t>Runway 01/19 overlay</w:t>
            </w:r>
          </w:p>
        </w:tc>
        <w:tc>
          <w:tcPr>
            <w:tcW w:w="1185" w:type="dxa"/>
            <w:tcBorders>
              <w:top w:val="nil"/>
              <w:left w:val="nil"/>
              <w:bottom w:val="single" w:sz="4" w:space="0" w:color="auto"/>
              <w:right w:val="nil"/>
            </w:tcBorders>
          </w:tcPr>
          <w:p w:rsidR="009F0A92" w:rsidRPr="00F04673" w:rsidDel="000A21A3" w:rsidRDefault="009F0A92" w:rsidP="009543DB">
            <w:pPr>
              <w:pStyle w:val="Tabletextright"/>
            </w:pPr>
            <w:r>
              <w:t>28</w:t>
            </w:r>
          </w:p>
        </w:tc>
        <w:tc>
          <w:tcPr>
            <w:tcW w:w="1185" w:type="dxa"/>
            <w:tcBorders>
              <w:top w:val="nil"/>
              <w:left w:val="nil"/>
              <w:bottom w:val="single" w:sz="4" w:space="0" w:color="auto"/>
              <w:right w:val="nil"/>
            </w:tcBorders>
          </w:tcPr>
          <w:p w:rsidR="009F0A92" w:rsidRPr="00F04673" w:rsidDel="000A21A3" w:rsidRDefault="009F0A92" w:rsidP="009543DB">
            <w:pPr>
              <w:pStyle w:val="Tabletextrightitalic"/>
            </w:pPr>
            <w:r>
              <w:t>May-15</w:t>
            </w:r>
          </w:p>
        </w:tc>
        <w:tc>
          <w:tcPr>
            <w:tcW w:w="1186" w:type="dxa"/>
            <w:tcBorders>
              <w:top w:val="nil"/>
              <w:left w:val="nil"/>
              <w:bottom w:val="single" w:sz="4" w:space="0" w:color="auto"/>
              <w:right w:val="nil"/>
            </w:tcBorders>
          </w:tcPr>
          <w:p w:rsidR="009F0A92" w:rsidRPr="00F04673" w:rsidDel="000A21A3" w:rsidRDefault="009F0A92" w:rsidP="009543DB">
            <w:pPr>
              <w:pStyle w:val="Tabletextrightitalic"/>
            </w:pPr>
            <w:r>
              <w:t>2016</w:t>
            </w:r>
          </w:p>
        </w:tc>
      </w:tr>
      <w:tr w:rsidR="009F0A92" w:rsidTr="009543DB">
        <w:tc>
          <w:tcPr>
            <w:tcW w:w="5070" w:type="dxa"/>
            <w:tcBorders>
              <w:top w:val="single" w:sz="4" w:space="0" w:color="auto"/>
              <w:left w:val="nil"/>
              <w:bottom w:val="nil"/>
              <w:right w:val="nil"/>
            </w:tcBorders>
          </w:tcPr>
          <w:p w:rsidR="009F0A92" w:rsidRDefault="009F0A92" w:rsidP="009543DB">
            <w:pPr>
              <w:pStyle w:val="Tabletextleft"/>
            </w:pPr>
            <w:r>
              <w:t>ITB Northern concourse expansion</w:t>
            </w:r>
          </w:p>
        </w:tc>
        <w:tc>
          <w:tcPr>
            <w:tcW w:w="1185" w:type="dxa"/>
            <w:tcBorders>
              <w:top w:val="single" w:sz="4" w:space="0" w:color="auto"/>
              <w:left w:val="nil"/>
              <w:bottom w:val="nil"/>
              <w:right w:val="nil"/>
            </w:tcBorders>
          </w:tcPr>
          <w:p w:rsidR="009F0A92" w:rsidRPr="00F04673" w:rsidRDefault="009F0A92" w:rsidP="009543DB">
            <w:pPr>
              <w:pStyle w:val="Tabletextright"/>
              <w:keepNext/>
            </w:pPr>
            <w:r>
              <w:t>60</w:t>
            </w:r>
          </w:p>
        </w:tc>
        <w:tc>
          <w:tcPr>
            <w:tcW w:w="1185" w:type="dxa"/>
            <w:tcBorders>
              <w:top w:val="single" w:sz="4" w:space="0" w:color="auto"/>
              <w:left w:val="nil"/>
              <w:bottom w:val="nil"/>
              <w:right w:val="nil"/>
            </w:tcBorders>
          </w:tcPr>
          <w:p w:rsidR="009F0A92" w:rsidRPr="00F04673" w:rsidRDefault="009F0A92" w:rsidP="009543DB">
            <w:pPr>
              <w:pStyle w:val="Tabletextrightitalic"/>
            </w:pPr>
            <w:r>
              <w:t>May-14</w:t>
            </w:r>
          </w:p>
        </w:tc>
        <w:tc>
          <w:tcPr>
            <w:tcW w:w="1186" w:type="dxa"/>
            <w:tcBorders>
              <w:top w:val="single" w:sz="4" w:space="0" w:color="auto"/>
              <w:left w:val="nil"/>
              <w:bottom w:val="nil"/>
              <w:right w:val="nil"/>
            </w:tcBorders>
          </w:tcPr>
          <w:p w:rsidR="009F0A92" w:rsidRPr="00F04673" w:rsidRDefault="009F0A92" w:rsidP="009543DB">
            <w:pPr>
              <w:pStyle w:val="Tabletextrightitalic"/>
            </w:pPr>
            <w:r>
              <w:t>2018</w:t>
            </w:r>
          </w:p>
        </w:tc>
      </w:tr>
      <w:tr w:rsidR="009F0A92" w:rsidTr="009543DB">
        <w:tc>
          <w:tcPr>
            <w:tcW w:w="5070" w:type="dxa"/>
            <w:tcBorders>
              <w:top w:val="nil"/>
              <w:left w:val="nil"/>
              <w:bottom w:val="nil"/>
              <w:right w:val="nil"/>
            </w:tcBorders>
            <w:shd w:val="clear" w:color="auto" w:fill="auto"/>
          </w:tcPr>
          <w:p w:rsidR="009F0A92" w:rsidRPr="00F04673" w:rsidRDefault="009F0A92" w:rsidP="009543DB">
            <w:pPr>
              <w:pStyle w:val="Tabletextleft"/>
            </w:pPr>
            <w:r>
              <w:t>Hotel taxiway upgrade</w:t>
            </w:r>
          </w:p>
        </w:tc>
        <w:tc>
          <w:tcPr>
            <w:tcW w:w="1185" w:type="dxa"/>
            <w:tcBorders>
              <w:top w:val="nil"/>
              <w:left w:val="nil"/>
              <w:bottom w:val="nil"/>
              <w:right w:val="nil"/>
            </w:tcBorders>
          </w:tcPr>
          <w:p w:rsidR="009F0A92" w:rsidRPr="00F04673" w:rsidRDefault="009F0A92" w:rsidP="009543DB">
            <w:pPr>
              <w:pStyle w:val="Tabletextright"/>
              <w:keepNext/>
            </w:pPr>
            <w:r>
              <w:t>28</w:t>
            </w:r>
          </w:p>
        </w:tc>
        <w:tc>
          <w:tcPr>
            <w:tcW w:w="1185" w:type="dxa"/>
            <w:tcBorders>
              <w:top w:val="nil"/>
              <w:left w:val="nil"/>
              <w:bottom w:val="nil"/>
              <w:right w:val="nil"/>
            </w:tcBorders>
          </w:tcPr>
          <w:p w:rsidR="009F0A92" w:rsidRPr="00F04673" w:rsidRDefault="009F0A92" w:rsidP="009543DB">
            <w:pPr>
              <w:pStyle w:val="Tabletextrightitalic"/>
            </w:pPr>
            <w:r>
              <w:t>Feb-14</w:t>
            </w:r>
          </w:p>
        </w:tc>
        <w:tc>
          <w:tcPr>
            <w:tcW w:w="1186" w:type="dxa"/>
            <w:tcBorders>
              <w:top w:val="nil"/>
              <w:left w:val="nil"/>
              <w:bottom w:val="nil"/>
              <w:right w:val="nil"/>
            </w:tcBorders>
          </w:tcPr>
          <w:p w:rsidR="009F0A92" w:rsidRPr="00F04673" w:rsidRDefault="009F0A92" w:rsidP="009543DB">
            <w:pPr>
              <w:pStyle w:val="Tabletextrightitalic"/>
            </w:pPr>
            <w:r>
              <w:t>2018</w:t>
            </w:r>
          </w:p>
        </w:tc>
      </w:tr>
      <w:tr w:rsidR="009F0A92" w:rsidTr="009543DB">
        <w:tc>
          <w:tcPr>
            <w:tcW w:w="5070" w:type="dxa"/>
            <w:tcBorders>
              <w:top w:val="nil"/>
              <w:left w:val="nil"/>
              <w:right w:val="nil"/>
            </w:tcBorders>
            <w:shd w:val="clear" w:color="auto" w:fill="auto"/>
          </w:tcPr>
          <w:p w:rsidR="009F0A92" w:rsidRPr="00F04673" w:rsidRDefault="009F0A92" w:rsidP="009543DB">
            <w:pPr>
              <w:pStyle w:val="Tabletextleft"/>
            </w:pPr>
            <w:r>
              <w:t>Apron and taxiway rejuvenation</w:t>
            </w:r>
          </w:p>
        </w:tc>
        <w:tc>
          <w:tcPr>
            <w:tcW w:w="1185" w:type="dxa"/>
            <w:tcBorders>
              <w:top w:val="nil"/>
              <w:left w:val="nil"/>
              <w:right w:val="nil"/>
            </w:tcBorders>
          </w:tcPr>
          <w:p w:rsidR="009F0A92" w:rsidRPr="00F04673" w:rsidRDefault="009F0A92" w:rsidP="009543DB">
            <w:pPr>
              <w:pStyle w:val="Tabletextright"/>
              <w:keepNext/>
            </w:pPr>
            <w:r>
              <w:t>4</w:t>
            </w:r>
          </w:p>
        </w:tc>
        <w:tc>
          <w:tcPr>
            <w:tcW w:w="1185" w:type="dxa"/>
            <w:tcBorders>
              <w:top w:val="nil"/>
              <w:left w:val="nil"/>
              <w:right w:val="nil"/>
            </w:tcBorders>
          </w:tcPr>
          <w:p w:rsidR="009F0A92" w:rsidRPr="00F04673" w:rsidRDefault="009F0A92" w:rsidP="009543DB">
            <w:pPr>
              <w:pStyle w:val="Tabletextrightitalic"/>
            </w:pPr>
            <w:r>
              <w:t>Aug-15</w:t>
            </w:r>
          </w:p>
        </w:tc>
        <w:tc>
          <w:tcPr>
            <w:tcW w:w="1186" w:type="dxa"/>
            <w:tcBorders>
              <w:top w:val="nil"/>
              <w:left w:val="nil"/>
              <w:right w:val="nil"/>
            </w:tcBorders>
          </w:tcPr>
          <w:p w:rsidR="009F0A92" w:rsidRPr="00F04673" w:rsidRDefault="009F0A92" w:rsidP="009543DB">
            <w:pPr>
              <w:pStyle w:val="Tabletextrightitalic"/>
            </w:pPr>
            <w:r>
              <w:t>2016</w:t>
            </w:r>
          </w:p>
        </w:tc>
      </w:tr>
    </w:tbl>
    <w:p w:rsidR="009F0A92" w:rsidRDefault="009F0A92" w:rsidP="009F0A92">
      <w:pPr>
        <w:spacing w:before="240"/>
      </w:pPr>
      <w:r>
        <w:t>Brisbane Airport completed a number of aeronautical projects during 2014</w:t>
      </w:r>
      <w:r>
        <w:noBreakHyphen/>
        <w:t>15, with the major completed project being the expansion of the Domestic Southern Apron. Brisbane Airport stated that this project provided a new dual-apron taxi lane and relocated landside infrastructure, in response to increased aircraft demand.</w:t>
      </w:r>
    </w:p>
    <w:p w:rsidR="009F0A92" w:rsidRDefault="009F0A92" w:rsidP="009F0A92">
      <w:r>
        <w:t>Brisbane Airport’s major ongoing aeronautical project is the construction of its new parallel runway. Phase 1 of this project has been completed including the pumping of sand onto the site. The ground settlement period for the sand is expected to be finished in 2018. The next phase of works will include the design of the runway and supporting infrastructure.</w:t>
      </w:r>
    </w:p>
    <w:p w:rsidR="009F0A92" w:rsidRPr="00FE72C4" w:rsidRDefault="009F0A92" w:rsidP="009F0A92">
      <w:r>
        <w:t>Table 2.1.2 provides details of major car parking / landside related investments that have been completed, commenced or planned during 2014</w:t>
      </w:r>
      <w:r>
        <w:noBreakHyphen/>
        <w:t>15. Brisbane Airport’s major car parking investments are its new staff and public car parks. In addition to the staff car park facility, Brisbane Airport intends to provide greater amenity for staff parking by upgrading the waiting areas, such as through an enclosed air-conditioned bus shelter. The new remote public car park facility will provide around 2200 parking bays when it is complete. On 30 June 2015 Brisbane Airport opened a new remote car parking facility with 1100 bays.</w:t>
      </w:r>
    </w:p>
    <w:p w:rsidR="009F0A92" w:rsidRDefault="009F0A92" w:rsidP="009F0A92">
      <w:pPr>
        <w:pStyle w:val="Numberedcharttitle"/>
      </w:pPr>
      <w:r w:rsidRPr="00882869">
        <w:t>Table 2.1.2:</w:t>
      </w:r>
      <w:r w:rsidRPr="00882869">
        <w:tab/>
        <w:t>Brisbane Airport—major investments in car parking and landside access services</w:t>
      </w:r>
    </w:p>
    <w:tbl>
      <w:tblPr>
        <w:tblStyle w:val="TableGrid"/>
        <w:tblW w:w="0" w:type="auto"/>
        <w:tblLayout w:type="fixed"/>
        <w:tblLook w:val="04A0" w:firstRow="1" w:lastRow="0" w:firstColumn="1" w:lastColumn="0" w:noHBand="0" w:noVBand="1"/>
      </w:tblPr>
      <w:tblGrid>
        <w:gridCol w:w="5070"/>
        <w:gridCol w:w="1185"/>
        <w:gridCol w:w="1185"/>
        <w:gridCol w:w="1186"/>
      </w:tblGrid>
      <w:tr w:rsidR="009F0A92" w:rsidTr="009543DB">
        <w:tc>
          <w:tcPr>
            <w:tcW w:w="5070" w:type="dxa"/>
            <w:tcBorders>
              <w:left w:val="nil"/>
              <w:bottom w:val="single" w:sz="4" w:space="0" w:color="auto"/>
              <w:right w:val="nil"/>
            </w:tcBorders>
            <w:shd w:val="clear" w:color="auto" w:fill="DFE0DC"/>
          </w:tcPr>
          <w:p w:rsidR="009F0A92" w:rsidRDefault="009F0A92" w:rsidP="009543DB">
            <w:pPr>
              <w:pStyle w:val="Tabletextheading"/>
            </w:pPr>
            <w:r>
              <w:t>Description of investment</w:t>
            </w:r>
          </w:p>
        </w:tc>
        <w:tc>
          <w:tcPr>
            <w:tcW w:w="1185" w:type="dxa"/>
            <w:tcBorders>
              <w:left w:val="nil"/>
              <w:bottom w:val="single" w:sz="4" w:space="0" w:color="auto"/>
              <w:right w:val="nil"/>
            </w:tcBorders>
            <w:shd w:val="clear" w:color="auto" w:fill="DFE0DC"/>
          </w:tcPr>
          <w:p w:rsidR="009F0A92" w:rsidRDefault="009F0A92" w:rsidP="009543DB">
            <w:pPr>
              <w:pStyle w:val="Tabletextheadingright"/>
            </w:pPr>
            <w:r>
              <w:t>Value ($m)</w:t>
            </w:r>
          </w:p>
        </w:tc>
        <w:tc>
          <w:tcPr>
            <w:tcW w:w="1185" w:type="dxa"/>
            <w:tcBorders>
              <w:left w:val="nil"/>
              <w:bottom w:val="single" w:sz="4" w:space="0" w:color="auto"/>
              <w:right w:val="nil"/>
            </w:tcBorders>
            <w:shd w:val="clear" w:color="auto" w:fill="DFE0DC"/>
          </w:tcPr>
          <w:p w:rsidR="009F0A92" w:rsidRDefault="009F0A92" w:rsidP="009543DB">
            <w:pPr>
              <w:pStyle w:val="Tabletextheadingright"/>
            </w:pPr>
            <w:r>
              <w:t>Started</w:t>
            </w:r>
          </w:p>
        </w:tc>
        <w:tc>
          <w:tcPr>
            <w:tcW w:w="1186" w:type="dxa"/>
            <w:tcBorders>
              <w:left w:val="nil"/>
              <w:bottom w:val="single" w:sz="4" w:space="0" w:color="auto"/>
              <w:right w:val="nil"/>
            </w:tcBorders>
            <w:shd w:val="clear" w:color="auto" w:fill="DFE0DC"/>
          </w:tcPr>
          <w:p w:rsidR="009F0A92" w:rsidRDefault="009F0A92" w:rsidP="009543DB">
            <w:pPr>
              <w:pStyle w:val="Tabletextheadingright"/>
            </w:pPr>
            <w:r>
              <w:t>Completed</w:t>
            </w:r>
          </w:p>
        </w:tc>
      </w:tr>
      <w:tr w:rsidR="009F0A92" w:rsidTr="009543DB">
        <w:tc>
          <w:tcPr>
            <w:tcW w:w="5070" w:type="dxa"/>
            <w:tcBorders>
              <w:left w:val="nil"/>
              <w:bottom w:val="nil"/>
              <w:right w:val="nil"/>
            </w:tcBorders>
          </w:tcPr>
          <w:p w:rsidR="009F0A92" w:rsidRDefault="009F0A92" w:rsidP="009543DB">
            <w:pPr>
              <w:pStyle w:val="Tabletextleft"/>
            </w:pPr>
            <w:r>
              <w:t>Stage 1 Staff car park (for temporary use as remote public parking)</w:t>
            </w:r>
          </w:p>
        </w:tc>
        <w:tc>
          <w:tcPr>
            <w:tcW w:w="1185" w:type="dxa"/>
            <w:tcBorders>
              <w:left w:val="nil"/>
              <w:bottom w:val="nil"/>
              <w:right w:val="nil"/>
            </w:tcBorders>
          </w:tcPr>
          <w:p w:rsidR="009F0A92" w:rsidRPr="00246394" w:rsidRDefault="009F0A92" w:rsidP="009543DB">
            <w:pPr>
              <w:pStyle w:val="Tabletextrightitalic"/>
              <w:rPr>
                <w:i w:val="0"/>
                <w:color w:val="auto"/>
              </w:rPr>
            </w:pPr>
            <w:r w:rsidRPr="00246394">
              <w:rPr>
                <w:i w:val="0"/>
                <w:color w:val="auto"/>
              </w:rPr>
              <w:t>8</w:t>
            </w:r>
          </w:p>
        </w:tc>
        <w:tc>
          <w:tcPr>
            <w:tcW w:w="1185" w:type="dxa"/>
            <w:tcBorders>
              <w:left w:val="nil"/>
              <w:bottom w:val="nil"/>
              <w:right w:val="nil"/>
            </w:tcBorders>
          </w:tcPr>
          <w:p w:rsidR="009F0A92" w:rsidRPr="00112C4F" w:rsidRDefault="009F0A92" w:rsidP="009543DB">
            <w:pPr>
              <w:pStyle w:val="Tabletextrightitalic"/>
            </w:pPr>
            <w:r w:rsidRPr="00112C4F">
              <w:t>2013</w:t>
            </w:r>
          </w:p>
        </w:tc>
        <w:tc>
          <w:tcPr>
            <w:tcW w:w="1186" w:type="dxa"/>
            <w:tcBorders>
              <w:left w:val="nil"/>
              <w:bottom w:val="nil"/>
              <w:right w:val="nil"/>
            </w:tcBorders>
          </w:tcPr>
          <w:p w:rsidR="009F0A92" w:rsidRPr="00112C4F" w:rsidRDefault="009F0A92" w:rsidP="009543DB">
            <w:pPr>
              <w:pStyle w:val="Tabletextrightitalic"/>
            </w:pPr>
            <w:r w:rsidRPr="00112C4F">
              <w:t>Jun-15</w:t>
            </w:r>
          </w:p>
        </w:tc>
      </w:tr>
      <w:tr w:rsidR="009F0A92" w:rsidTr="009543DB">
        <w:tc>
          <w:tcPr>
            <w:tcW w:w="5070" w:type="dxa"/>
            <w:tcBorders>
              <w:left w:val="nil"/>
              <w:bottom w:val="nil"/>
              <w:right w:val="nil"/>
            </w:tcBorders>
          </w:tcPr>
          <w:p w:rsidR="009F0A92" w:rsidRDefault="009F0A92" w:rsidP="009543DB">
            <w:pPr>
              <w:pStyle w:val="Tabletextleft"/>
            </w:pPr>
            <w:r>
              <w:t>Remote Public car park (permanent facility)</w:t>
            </w:r>
          </w:p>
        </w:tc>
        <w:tc>
          <w:tcPr>
            <w:tcW w:w="1185" w:type="dxa"/>
            <w:tcBorders>
              <w:left w:val="nil"/>
              <w:bottom w:val="nil"/>
              <w:right w:val="nil"/>
            </w:tcBorders>
          </w:tcPr>
          <w:p w:rsidR="009F0A92" w:rsidRPr="00246394" w:rsidRDefault="009F0A92" w:rsidP="009543DB">
            <w:pPr>
              <w:pStyle w:val="Tabletextrightitalic"/>
              <w:rPr>
                <w:i w:val="0"/>
                <w:color w:val="auto"/>
              </w:rPr>
            </w:pPr>
            <w:r w:rsidRPr="00246394">
              <w:rPr>
                <w:i w:val="0"/>
                <w:color w:val="auto"/>
              </w:rPr>
              <w:t>31</w:t>
            </w:r>
          </w:p>
        </w:tc>
        <w:tc>
          <w:tcPr>
            <w:tcW w:w="1185" w:type="dxa"/>
            <w:tcBorders>
              <w:left w:val="nil"/>
              <w:bottom w:val="nil"/>
              <w:right w:val="nil"/>
            </w:tcBorders>
          </w:tcPr>
          <w:p w:rsidR="009F0A92" w:rsidRPr="00112C4F" w:rsidRDefault="009F0A92" w:rsidP="009543DB">
            <w:pPr>
              <w:pStyle w:val="Tabletextrightitalic"/>
            </w:pPr>
            <w:r w:rsidRPr="00112C4F">
              <w:t>Ja</w:t>
            </w:r>
            <w:r>
              <w:t>n-1</w:t>
            </w:r>
            <w:r w:rsidRPr="00112C4F">
              <w:t>5</w:t>
            </w:r>
          </w:p>
        </w:tc>
        <w:tc>
          <w:tcPr>
            <w:tcW w:w="1186" w:type="dxa"/>
            <w:tcBorders>
              <w:left w:val="nil"/>
              <w:bottom w:val="nil"/>
              <w:right w:val="nil"/>
            </w:tcBorders>
          </w:tcPr>
          <w:p w:rsidR="009F0A92" w:rsidRPr="00AF2247" w:rsidRDefault="009F0A92" w:rsidP="009543DB">
            <w:pPr>
              <w:pStyle w:val="Tabletextrightitalic"/>
            </w:pPr>
            <w:r w:rsidRPr="00AF2247">
              <w:t>May</w:t>
            </w:r>
            <w:r>
              <w:t>-</w:t>
            </w:r>
            <w:r w:rsidRPr="00AF2247">
              <w:t>16</w:t>
            </w:r>
          </w:p>
        </w:tc>
      </w:tr>
      <w:tr w:rsidR="009F0A92" w:rsidTr="009543DB">
        <w:tc>
          <w:tcPr>
            <w:tcW w:w="5070" w:type="dxa"/>
            <w:tcBorders>
              <w:top w:val="nil"/>
              <w:left w:val="nil"/>
              <w:bottom w:val="single" w:sz="4" w:space="0" w:color="auto"/>
              <w:right w:val="nil"/>
            </w:tcBorders>
          </w:tcPr>
          <w:p w:rsidR="009F0A92" w:rsidRDefault="009F0A92" w:rsidP="009543DB">
            <w:pPr>
              <w:pStyle w:val="Tabletextleft"/>
            </w:pPr>
            <w:r>
              <w:t>Stage 2 Staff car park (for temporary use as remote public parking)</w:t>
            </w:r>
          </w:p>
        </w:tc>
        <w:tc>
          <w:tcPr>
            <w:tcW w:w="1185" w:type="dxa"/>
            <w:tcBorders>
              <w:top w:val="nil"/>
              <w:left w:val="nil"/>
              <w:bottom w:val="single" w:sz="4" w:space="0" w:color="auto"/>
              <w:right w:val="nil"/>
            </w:tcBorders>
          </w:tcPr>
          <w:p w:rsidR="009F0A92" w:rsidRPr="00246394" w:rsidRDefault="009F0A92" w:rsidP="009543DB">
            <w:pPr>
              <w:pStyle w:val="Tabletextrightitalic"/>
              <w:rPr>
                <w:i w:val="0"/>
                <w:color w:val="auto"/>
              </w:rPr>
            </w:pPr>
            <w:r w:rsidRPr="00246394">
              <w:rPr>
                <w:i w:val="0"/>
                <w:color w:val="auto"/>
              </w:rPr>
              <w:t>2</w:t>
            </w:r>
          </w:p>
        </w:tc>
        <w:tc>
          <w:tcPr>
            <w:tcW w:w="1185" w:type="dxa"/>
            <w:tcBorders>
              <w:top w:val="nil"/>
              <w:left w:val="nil"/>
              <w:bottom w:val="single" w:sz="4" w:space="0" w:color="auto"/>
              <w:right w:val="nil"/>
            </w:tcBorders>
          </w:tcPr>
          <w:p w:rsidR="009F0A92" w:rsidRPr="00112C4F" w:rsidRDefault="009F0A92" w:rsidP="009543DB">
            <w:pPr>
              <w:pStyle w:val="Tabletextrightitalic"/>
            </w:pPr>
            <w:r w:rsidRPr="00112C4F">
              <w:t>Aug-15</w:t>
            </w:r>
          </w:p>
        </w:tc>
        <w:tc>
          <w:tcPr>
            <w:tcW w:w="1186" w:type="dxa"/>
            <w:tcBorders>
              <w:top w:val="nil"/>
              <w:left w:val="nil"/>
              <w:bottom w:val="single" w:sz="4" w:space="0" w:color="auto"/>
              <w:right w:val="nil"/>
            </w:tcBorders>
          </w:tcPr>
          <w:p w:rsidR="009F0A92" w:rsidRPr="00AF2247" w:rsidRDefault="009F0A92" w:rsidP="009543DB">
            <w:pPr>
              <w:pStyle w:val="Tabletextrightitalic"/>
            </w:pPr>
            <w:r w:rsidRPr="00AF2247">
              <w:t>Dec-15</w:t>
            </w:r>
          </w:p>
        </w:tc>
      </w:tr>
      <w:tr w:rsidR="009F0A92" w:rsidRPr="00F04673" w:rsidTr="009543DB">
        <w:tc>
          <w:tcPr>
            <w:tcW w:w="5070" w:type="dxa"/>
            <w:tcBorders>
              <w:top w:val="single" w:sz="4" w:space="0" w:color="auto"/>
              <w:left w:val="nil"/>
              <w:bottom w:val="nil"/>
              <w:right w:val="nil"/>
            </w:tcBorders>
          </w:tcPr>
          <w:p w:rsidR="009F0A92" w:rsidRDefault="009F0A92" w:rsidP="009543DB">
            <w:pPr>
              <w:pStyle w:val="Tabletextleft"/>
            </w:pPr>
            <w:r>
              <w:t>All weather protection for dropping off passengers</w:t>
            </w:r>
          </w:p>
        </w:tc>
        <w:tc>
          <w:tcPr>
            <w:tcW w:w="1185" w:type="dxa"/>
            <w:tcBorders>
              <w:top w:val="single" w:sz="4" w:space="0" w:color="auto"/>
              <w:left w:val="nil"/>
              <w:bottom w:val="nil"/>
              <w:right w:val="nil"/>
            </w:tcBorders>
          </w:tcPr>
          <w:p w:rsidR="009F0A92" w:rsidRPr="00246394" w:rsidDel="009B358F" w:rsidRDefault="009F0A92" w:rsidP="009543DB">
            <w:pPr>
              <w:pStyle w:val="Tabletextrightitalic"/>
              <w:rPr>
                <w:i w:val="0"/>
                <w:color w:val="auto"/>
              </w:rPr>
            </w:pPr>
            <w:r w:rsidRPr="00246394">
              <w:rPr>
                <w:i w:val="0"/>
                <w:color w:val="auto"/>
              </w:rPr>
              <w:t>N/A</w:t>
            </w:r>
          </w:p>
        </w:tc>
        <w:tc>
          <w:tcPr>
            <w:tcW w:w="1185" w:type="dxa"/>
            <w:tcBorders>
              <w:top w:val="single" w:sz="4" w:space="0" w:color="auto"/>
              <w:left w:val="nil"/>
              <w:bottom w:val="nil"/>
              <w:right w:val="nil"/>
            </w:tcBorders>
          </w:tcPr>
          <w:p w:rsidR="009F0A92" w:rsidRPr="00AF2247" w:rsidDel="009B358F" w:rsidRDefault="009F0A92" w:rsidP="009543DB">
            <w:pPr>
              <w:pStyle w:val="Tabletextrightitalic"/>
            </w:pPr>
            <w:r w:rsidRPr="00AF2247">
              <w:t>N/A</w:t>
            </w:r>
          </w:p>
        </w:tc>
        <w:tc>
          <w:tcPr>
            <w:tcW w:w="1186" w:type="dxa"/>
            <w:tcBorders>
              <w:top w:val="single" w:sz="4" w:space="0" w:color="auto"/>
              <w:left w:val="nil"/>
              <w:bottom w:val="nil"/>
              <w:right w:val="nil"/>
            </w:tcBorders>
          </w:tcPr>
          <w:p w:rsidR="009F0A92" w:rsidRPr="00AF2247" w:rsidDel="009B358F" w:rsidRDefault="009F0A92" w:rsidP="009543DB">
            <w:pPr>
              <w:pStyle w:val="Tabletextrightitalic"/>
            </w:pPr>
            <w:r w:rsidRPr="00AF2247">
              <w:t>N/A</w:t>
            </w:r>
          </w:p>
        </w:tc>
      </w:tr>
      <w:tr w:rsidR="009F0A92" w:rsidRPr="00F04673" w:rsidTr="009543DB">
        <w:tc>
          <w:tcPr>
            <w:tcW w:w="5070" w:type="dxa"/>
            <w:tcBorders>
              <w:top w:val="nil"/>
              <w:left w:val="nil"/>
              <w:bottom w:val="single" w:sz="4" w:space="0" w:color="auto"/>
              <w:right w:val="nil"/>
            </w:tcBorders>
          </w:tcPr>
          <w:p w:rsidR="009F0A92" w:rsidDel="000426C7" w:rsidRDefault="009F0A92" w:rsidP="009543DB">
            <w:pPr>
              <w:pStyle w:val="Tabletextleft"/>
            </w:pPr>
            <w:r>
              <w:t>Upgrade of premium parking at the domestic terminal</w:t>
            </w:r>
          </w:p>
        </w:tc>
        <w:tc>
          <w:tcPr>
            <w:tcW w:w="1185" w:type="dxa"/>
            <w:tcBorders>
              <w:top w:val="nil"/>
              <w:left w:val="nil"/>
              <w:bottom w:val="single" w:sz="4" w:space="0" w:color="auto"/>
              <w:right w:val="nil"/>
            </w:tcBorders>
          </w:tcPr>
          <w:p w:rsidR="009F0A92" w:rsidRPr="00246394" w:rsidRDefault="009F0A92" w:rsidP="009543DB">
            <w:pPr>
              <w:pStyle w:val="Tabletextrightitalic"/>
              <w:rPr>
                <w:i w:val="0"/>
                <w:color w:val="auto"/>
              </w:rPr>
            </w:pPr>
            <w:r w:rsidRPr="00246394">
              <w:rPr>
                <w:i w:val="0"/>
                <w:color w:val="auto"/>
              </w:rPr>
              <w:t>N/A</w:t>
            </w:r>
          </w:p>
        </w:tc>
        <w:tc>
          <w:tcPr>
            <w:tcW w:w="1185" w:type="dxa"/>
            <w:tcBorders>
              <w:top w:val="nil"/>
              <w:left w:val="nil"/>
              <w:bottom w:val="single" w:sz="4" w:space="0" w:color="auto"/>
              <w:right w:val="nil"/>
            </w:tcBorders>
          </w:tcPr>
          <w:p w:rsidR="009F0A92" w:rsidRPr="00AF2247" w:rsidRDefault="009F0A92" w:rsidP="009543DB">
            <w:pPr>
              <w:pStyle w:val="Tabletextrightitalic"/>
            </w:pPr>
            <w:r w:rsidRPr="00AF2247">
              <w:t>N/A</w:t>
            </w:r>
          </w:p>
        </w:tc>
        <w:tc>
          <w:tcPr>
            <w:tcW w:w="1186" w:type="dxa"/>
            <w:tcBorders>
              <w:top w:val="nil"/>
              <w:left w:val="nil"/>
              <w:bottom w:val="single" w:sz="4" w:space="0" w:color="auto"/>
              <w:right w:val="nil"/>
            </w:tcBorders>
          </w:tcPr>
          <w:p w:rsidR="009F0A92" w:rsidRPr="00AF2247" w:rsidRDefault="009F0A92" w:rsidP="009543DB">
            <w:pPr>
              <w:pStyle w:val="Tabletextrightitalic"/>
            </w:pPr>
            <w:r w:rsidRPr="00AF2247">
              <w:t>N/A</w:t>
            </w:r>
          </w:p>
        </w:tc>
      </w:tr>
    </w:tbl>
    <w:p w:rsidR="009F0A92" w:rsidRDefault="009F0A92" w:rsidP="00114E05">
      <w:pPr>
        <w:pStyle w:val="Numberedheading2"/>
      </w:pPr>
      <w:r>
        <w:lastRenderedPageBreak/>
        <w:t>Aeronautical price monitoring and financial performance results</w:t>
      </w:r>
    </w:p>
    <w:p w:rsidR="009F0A92" w:rsidRDefault="009F0A92" w:rsidP="009F0A92">
      <w:r>
        <w:t>This section presents Brisbane Airport’s aeronautical price monitoring and financial reporting results. These results are categorised into prices (Section 2.2.1), revenues, costs and profits (Section 2.2.2), assets (Section 2.2.3), capital additions (Section 2.2.4) and rate of return on tangible non</w:t>
      </w:r>
      <w:r>
        <w:noBreakHyphen/>
        <w:t>current assets (Section 2.2.5).</w:t>
      </w:r>
    </w:p>
    <w:p w:rsidR="009F0A92" w:rsidRDefault="009F0A92" w:rsidP="009F0A92">
      <w:pPr>
        <w:pStyle w:val="Numberedheading3"/>
      </w:pPr>
      <w:r>
        <w:t>Prices</w:t>
      </w:r>
    </w:p>
    <w:p w:rsidR="009F0A92" w:rsidRDefault="009F0A92" w:rsidP="009F0A92">
      <w:r>
        <w:t>Brisbane Airport’s current pricing agreements with airlines came into effect from 1 September 2012. The runway system agreement is a 25</w:t>
      </w:r>
      <w:r>
        <w:noBreakHyphen/>
        <w:t>year agreement, while the ‘terminals, aprons and related infrastructure’ agreement is a five-year agreement. The pricing methodology used in setting charges under these agreements is a cost</w:t>
      </w:r>
      <w:r>
        <w:noBreakHyphen/>
        <w:t>based building block methodology where prices are adjusted as investment expenditure is incurred.</w:t>
      </w:r>
      <w:r w:rsidRPr="007239DC">
        <w:t xml:space="preserve"> </w:t>
      </w:r>
    </w:p>
    <w:p w:rsidR="009F0A92" w:rsidRDefault="009F0A92" w:rsidP="009F0A92">
      <w:r>
        <w:t>Table 2.2.1 presents Brisbane Airport’s average aeronautical charges in 2014</w:t>
      </w:r>
      <w:r>
        <w:noBreakHyphen/>
        <w:t>15, as well as the indexed average list prices in real terms between 2010</w:t>
      </w:r>
      <w:r>
        <w:noBreakHyphen/>
        <w:t>11 and 2014</w:t>
      </w:r>
      <w:r>
        <w:noBreakHyphen/>
        <w:t>15. Commercial agreements mean that airlines may pay less than the list prices.</w:t>
      </w:r>
    </w:p>
    <w:p w:rsidR="009F0A92" w:rsidRDefault="009F0A92" w:rsidP="009F0A92">
      <w:r>
        <w:t>The majority of aeronautical charges at Brisbane Airport increased in real terms during 2014</w:t>
      </w:r>
      <w:r>
        <w:noBreakHyphen/>
        <w:t>15. The international and domestic runway charges both increased by over 30 per cent in real terms during 2014-15. All landing fees increased by 14.9 per cent in real terms during 2014-15. This continues a trend in landing fee increases at Brisbane Airport, with price rises of more than 40 per cent in real terms since 2010</w:t>
      </w:r>
      <w:r>
        <w:noBreakHyphen/>
        <w:t xml:space="preserve">11. </w:t>
      </w:r>
    </w:p>
    <w:p w:rsidR="009F0A92" w:rsidRDefault="009F0A92" w:rsidP="009F0A92">
      <w:r>
        <w:t>Of the list prices that decreased in real terms, the majority remained unchanged in nominal terms.</w:t>
      </w:r>
      <w:r w:rsidRPr="00311C81">
        <w:t xml:space="preserve"> </w:t>
      </w:r>
      <w:r>
        <w:t>The only charge to decrease in nominal and real terms in 2014</w:t>
      </w:r>
      <w:r>
        <w:noBreakHyphen/>
        <w:t xml:space="preserve">15 was the international terminal passenger charge, which declined by 6.4 per cent in real terms. </w:t>
      </w:r>
    </w:p>
    <w:p w:rsidR="009F0A92" w:rsidRDefault="009F0A92" w:rsidP="009F0A92">
      <w:pPr>
        <w:pStyle w:val="Numberedcharttitle"/>
      </w:pPr>
      <w:r>
        <w:t>Table 2.2.1:</w:t>
      </w:r>
      <w:r>
        <w:tab/>
        <w:t>Brisbane Airport—schedule of average aeronautical charges in 2014</w:t>
      </w:r>
      <w:r>
        <w:noBreakHyphen/>
        <w:t>15 and indexed average list prices (including GST) in real terms from 2010</w:t>
      </w:r>
      <w:r>
        <w:noBreakHyphen/>
        <w:t>11 to 2014</w:t>
      </w:r>
      <w:r>
        <w:noBreakHyphen/>
        <w:t>15</w:t>
      </w:r>
    </w:p>
    <w:tbl>
      <w:tblPr>
        <w:tblStyle w:val="TableGrid"/>
        <w:tblW w:w="0" w:type="auto"/>
        <w:tblLook w:val="04A0" w:firstRow="1" w:lastRow="0" w:firstColumn="1" w:lastColumn="0" w:noHBand="0" w:noVBand="1"/>
      </w:tblPr>
      <w:tblGrid>
        <w:gridCol w:w="3085"/>
        <w:gridCol w:w="992"/>
        <w:gridCol w:w="917"/>
        <w:gridCol w:w="917"/>
        <w:gridCol w:w="918"/>
        <w:gridCol w:w="917"/>
        <w:gridCol w:w="918"/>
      </w:tblGrid>
      <w:tr w:rsidR="009F0A92" w:rsidTr="009543DB">
        <w:trPr>
          <w:tblHeader/>
        </w:trPr>
        <w:tc>
          <w:tcPr>
            <w:tcW w:w="3085" w:type="dxa"/>
            <w:tcBorders>
              <w:left w:val="nil"/>
              <w:bottom w:val="nil"/>
              <w:right w:val="nil"/>
            </w:tcBorders>
            <w:shd w:val="clear" w:color="auto" w:fill="DFE0DC"/>
          </w:tcPr>
          <w:p w:rsidR="009F0A92" w:rsidRDefault="009F0A92" w:rsidP="009543DB">
            <w:pPr>
              <w:pStyle w:val="Tabletextleft"/>
            </w:pPr>
          </w:p>
        </w:tc>
        <w:tc>
          <w:tcPr>
            <w:tcW w:w="992" w:type="dxa"/>
            <w:vMerge w:val="restart"/>
            <w:tcBorders>
              <w:left w:val="nil"/>
              <w:bottom w:val="single" w:sz="4" w:space="0" w:color="auto"/>
              <w:right w:val="single" w:sz="4" w:space="0" w:color="auto"/>
            </w:tcBorders>
            <w:shd w:val="clear" w:color="auto" w:fill="DFE0DC"/>
          </w:tcPr>
          <w:p w:rsidR="009F0A92" w:rsidRDefault="009F0A92" w:rsidP="009543DB">
            <w:pPr>
              <w:pStyle w:val="Tabletextheadingright"/>
            </w:pPr>
            <w:r>
              <w:t>Average charge per unit</w:t>
            </w:r>
            <w:r>
              <w:br/>
              <w:t>($)</w:t>
            </w:r>
          </w:p>
        </w:tc>
        <w:tc>
          <w:tcPr>
            <w:tcW w:w="4587" w:type="dxa"/>
            <w:gridSpan w:val="5"/>
            <w:tcBorders>
              <w:left w:val="single" w:sz="4" w:space="0" w:color="auto"/>
              <w:bottom w:val="nil"/>
              <w:right w:val="nil"/>
            </w:tcBorders>
            <w:shd w:val="clear" w:color="auto" w:fill="DFE0DC"/>
          </w:tcPr>
          <w:p w:rsidR="009F0A92" w:rsidRDefault="009F0A92" w:rsidP="009543DB">
            <w:pPr>
              <w:pStyle w:val="Tabletextheadingcentre"/>
              <w:keepNext w:val="0"/>
            </w:pPr>
            <w:r>
              <w:t>Indexed average list prices</w:t>
            </w:r>
            <w:r>
              <w:br/>
              <w:t>(2014-15 base year = 100)</w:t>
            </w:r>
          </w:p>
        </w:tc>
      </w:tr>
      <w:tr w:rsidR="009F0A92" w:rsidTr="009543DB">
        <w:trPr>
          <w:tblHeader/>
        </w:trPr>
        <w:tc>
          <w:tcPr>
            <w:tcW w:w="3085" w:type="dxa"/>
            <w:tcBorders>
              <w:top w:val="nil"/>
              <w:left w:val="nil"/>
              <w:bottom w:val="single" w:sz="4" w:space="0" w:color="auto"/>
              <w:right w:val="nil"/>
            </w:tcBorders>
            <w:shd w:val="clear" w:color="auto" w:fill="DFE0DC"/>
          </w:tcPr>
          <w:p w:rsidR="009F0A92" w:rsidRPr="0078295A" w:rsidRDefault="009F0A92" w:rsidP="009543DB">
            <w:pPr>
              <w:pStyle w:val="Tabletextleft"/>
            </w:pPr>
          </w:p>
        </w:tc>
        <w:tc>
          <w:tcPr>
            <w:tcW w:w="992" w:type="dxa"/>
            <w:vMerge/>
            <w:tcBorders>
              <w:top w:val="nil"/>
              <w:left w:val="nil"/>
              <w:bottom w:val="single" w:sz="4" w:space="0" w:color="auto"/>
              <w:right w:val="single" w:sz="4" w:space="0" w:color="auto"/>
            </w:tcBorders>
            <w:shd w:val="clear" w:color="auto" w:fill="DFE0DC"/>
          </w:tcPr>
          <w:p w:rsidR="009F0A92" w:rsidRDefault="009F0A92" w:rsidP="009543DB">
            <w:pPr>
              <w:pStyle w:val="Tabletextleft"/>
            </w:pPr>
          </w:p>
        </w:tc>
        <w:tc>
          <w:tcPr>
            <w:tcW w:w="917" w:type="dxa"/>
            <w:tcBorders>
              <w:top w:val="nil"/>
              <w:left w:val="single" w:sz="4" w:space="0" w:color="auto"/>
              <w:bottom w:val="single" w:sz="4" w:space="0" w:color="auto"/>
              <w:right w:val="nil"/>
            </w:tcBorders>
            <w:shd w:val="clear" w:color="auto" w:fill="DFE0DC"/>
          </w:tcPr>
          <w:p w:rsidR="009F0A92" w:rsidRDefault="009F0A92" w:rsidP="009543DB">
            <w:pPr>
              <w:pStyle w:val="Tabletextheadingright"/>
            </w:pPr>
            <w:r>
              <w:t>2010-11</w:t>
            </w:r>
          </w:p>
        </w:tc>
        <w:tc>
          <w:tcPr>
            <w:tcW w:w="917" w:type="dxa"/>
            <w:tcBorders>
              <w:top w:val="nil"/>
              <w:left w:val="nil"/>
              <w:bottom w:val="single" w:sz="4" w:space="0" w:color="auto"/>
              <w:right w:val="nil"/>
            </w:tcBorders>
            <w:shd w:val="clear" w:color="auto" w:fill="DFE0DC"/>
          </w:tcPr>
          <w:p w:rsidR="009F0A92" w:rsidRDefault="009F0A92" w:rsidP="009543DB">
            <w:pPr>
              <w:pStyle w:val="Tabletextheadingright"/>
            </w:pPr>
            <w:r>
              <w:t>2011-12</w:t>
            </w:r>
          </w:p>
        </w:tc>
        <w:tc>
          <w:tcPr>
            <w:tcW w:w="918" w:type="dxa"/>
            <w:tcBorders>
              <w:top w:val="nil"/>
              <w:left w:val="nil"/>
              <w:bottom w:val="single" w:sz="4" w:space="0" w:color="auto"/>
              <w:right w:val="nil"/>
            </w:tcBorders>
            <w:shd w:val="clear" w:color="auto" w:fill="DFE0DC"/>
          </w:tcPr>
          <w:p w:rsidR="009F0A92" w:rsidRDefault="009F0A92" w:rsidP="009543DB">
            <w:pPr>
              <w:pStyle w:val="Tabletextheadingright"/>
            </w:pPr>
            <w:r>
              <w:t>2012-13</w:t>
            </w:r>
          </w:p>
        </w:tc>
        <w:tc>
          <w:tcPr>
            <w:tcW w:w="917" w:type="dxa"/>
            <w:tcBorders>
              <w:top w:val="nil"/>
              <w:left w:val="nil"/>
              <w:bottom w:val="single" w:sz="4" w:space="0" w:color="auto"/>
              <w:right w:val="nil"/>
            </w:tcBorders>
            <w:shd w:val="clear" w:color="auto" w:fill="DFE0DC"/>
          </w:tcPr>
          <w:p w:rsidR="009F0A92" w:rsidRDefault="009F0A92" w:rsidP="009543DB">
            <w:pPr>
              <w:pStyle w:val="Tabletextheadingright"/>
            </w:pPr>
            <w:r>
              <w:t>2013-14</w:t>
            </w:r>
          </w:p>
        </w:tc>
        <w:tc>
          <w:tcPr>
            <w:tcW w:w="918" w:type="dxa"/>
            <w:tcBorders>
              <w:top w:val="nil"/>
              <w:left w:val="nil"/>
              <w:bottom w:val="single" w:sz="4" w:space="0" w:color="auto"/>
              <w:right w:val="nil"/>
            </w:tcBorders>
            <w:shd w:val="clear" w:color="auto" w:fill="DFE0DC"/>
          </w:tcPr>
          <w:p w:rsidR="009F0A92" w:rsidRDefault="009F0A92" w:rsidP="009543DB">
            <w:pPr>
              <w:pStyle w:val="Tabletextheadingright"/>
            </w:pPr>
            <w:r>
              <w:t>2014-15</w:t>
            </w:r>
          </w:p>
        </w:tc>
      </w:tr>
      <w:tr w:rsidR="009F0A92" w:rsidTr="009543DB">
        <w:trPr>
          <w:tblHeader/>
        </w:trPr>
        <w:tc>
          <w:tcPr>
            <w:tcW w:w="3085" w:type="dxa"/>
            <w:tcBorders>
              <w:left w:val="nil"/>
              <w:bottom w:val="single" w:sz="4" w:space="0" w:color="auto"/>
              <w:right w:val="nil"/>
            </w:tcBorders>
            <w:shd w:val="clear" w:color="auto" w:fill="DFE0DC"/>
          </w:tcPr>
          <w:p w:rsidR="009F0A92" w:rsidRDefault="009F0A92" w:rsidP="009543DB">
            <w:pPr>
              <w:pStyle w:val="Tabletextheading"/>
            </w:pPr>
            <w:r>
              <w:t>Landing fees</w:t>
            </w:r>
          </w:p>
        </w:tc>
        <w:tc>
          <w:tcPr>
            <w:tcW w:w="992" w:type="dxa"/>
            <w:tcBorders>
              <w:left w:val="nil"/>
              <w:bottom w:val="single" w:sz="4" w:space="0" w:color="auto"/>
            </w:tcBorders>
            <w:shd w:val="clear" w:color="auto" w:fill="DFE0DC"/>
          </w:tcPr>
          <w:p w:rsidR="009F0A92" w:rsidRDefault="009F0A92" w:rsidP="009543DB">
            <w:pPr>
              <w:pStyle w:val="Tabletextright"/>
            </w:pPr>
          </w:p>
        </w:tc>
        <w:tc>
          <w:tcPr>
            <w:tcW w:w="917" w:type="dxa"/>
            <w:tcBorders>
              <w:bottom w:val="single" w:sz="4" w:space="0" w:color="auto"/>
              <w:right w:val="nil"/>
            </w:tcBorders>
            <w:shd w:val="clear" w:color="auto" w:fill="DFE0DC"/>
          </w:tcPr>
          <w:p w:rsidR="009F0A92" w:rsidRDefault="009F0A92" w:rsidP="009543DB">
            <w:pPr>
              <w:pStyle w:val="Tabletextright"/>
            </w:pPr>
          </w:p>
        </w:tc>
        <w:tc>
          <w:tcPr>
            <w:tcW w:w="917" w:type="dxa"/>
            <w:tcBorders>
              <w:left w:val="nil"/>
              <w:bottom w:val="single" w:sz="4" w:space="0" w:color="auto"/>
              <w:right w:val="nil"/>
            </w:tcBorders>
            <w:shd w:val="clear" w:color="auto" w:fill="DFE0DC"/>
          </w:tcPr>
          <w:p w:rsidR="009F0A92" w:rsidRDefault="009F0A92" w:rsidP="009543DB">
            <w:pPr>
              <w:pStyle w:val="Tabletextright"/>
            </w:pPr>
          </w:p>
        </w:tc>
        <w:tc>
          <w:tcPr>
            <w:tcW w:w="918" w:type="dxa"/>
            <w:tcBorders>
              <w:left w:val="nil"/>
              <w:bottom w:val="single" w:sz="4" w:space="0" w:color="auto"/>
              <w:right w:val="nil"/>
            </w:tcBorders>
            <w:shd w:val="clear" w:color="auto" w:fill="DFE0DC"/>
          </w:tcPr>
          <w:p w:rsidR="009F0A92" w:rsidRDefault="009F0A92" w:rsidP="009543DB">
            <w:pPr>
              <w:pStyle w:val="Tabletextright"/>
            </w:pPr>
          </w:p>
        </w:tc>
        <w:tc>
          <w:tcPr>
            <w:tcW w:w="917" w:type="dxa"/>
            <w:tcBorders>
              <w:left w:val="nil"/>
              <w:bottom w:val="single" w:sz="4" w:space="0" w:color="auto"/>
              <w:right w:val="nil"/>
            </w:tcBorders>
            <w:shd w:val="clear" w:color="auto" w:fill="DFE0DC"/>
          </w:tcPr>
          <w:p w:rsidR="009F0A92" w:rsidRDefault="009F0A92" w:rsidP="009543DB">
            <w:pPr>
              <w:pStyle w:val="Tabletextright"/>
            </w:pPr>
          </w:p>
        </w:tc>
        <w:tc>
          <w:tcPr>
            <w:tcW w:w="918" w:type="dxa"/>
            <w:tcBorders>
              <w:left w:val="nil"/>
              <w:bottom w:val="single" w:sz="4" w:space="0" w:color="auto"/>
              <w:right w:val="nil"/>
            </w:tcBorders>
            <w:shd w:val="clear" w:color="auto" w:fill="DFE0DC"/>
          </w:tcPr>
          <w:p w:rsidR="009F0A92" w:rsidRDefault="009F0A92" w:rsidP="009543DB">
            <w:pPr>
              <w:pStyle w:val="Tabletextright"/>
            </w:pP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Freight landing fees (per MTOW)</w:t>
            </w:r>
          </w:p>
        </w:tc>
        <w:tc>
          <w:tcPr>
            <w:tcW w:w="992" w:type="dxa"/>
            <w:tcBorders>
              <w:top w:val="single" w:sz="4" w:space="0" w:color="auto"/>
              <w:left w:val="nil"/>
              <w:bottom w:val="single" w:sz="4" w:space="0" w:color="auto"/>
            </w:tcBorders>
          </w:tcPr>
          <w:p w:rsidR="009F0A92" w:rsidRDefault="009F0A92" w:rsidP="009543DB">
            <w:pPr>
              <w:pStyle w:val="Tabletextright"/>
            </w:pPr>
            <w:r>
              <w:t>19.24</w:t>
            </w:r>
          </w:p>
        </w:tc>
        <w:tc>
          <w:tcPr>
            <w:tcW w:w="917" w:type="dxa"/>
            <w:tcBorders>
              <w:top w:val="single" w:sz="4" w:space="0" w:color="auto"/>
              <w:bottom w:val="single" w:sz="4" w:space="0" w:color="auto"/>
              <w:right w:val="nil"/>
            </w:tcBorders>
          </w:tcPr>
          <w:p w:rsidR="009F0A92" w:rsidRDefault="009F0A92" w:rsidP="009543DB">
            <w:pPr>
              <w:pStyle w:val="Tabletextright"/>
            </w:pPr>
            <w:r>
              <w:t>68.6</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67.0</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70.3</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87.1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 xml:space="preserve">General aviation landing fees </w:t>
            </w:r>
            <w:r>
              <w:br/>
              <w:t>(per MTOW)</w:t>
            </w:r>
          </w:p>
        </w:tc>
        <w:tc>
          <w:tcPr>
            <w:tcW w:w="992" w:type="dxa"/>
            <w:tcBorders>
              <w:top w:val="single" w:sz="4" w:space="0" w:color="auto"/>
              <w:left w:val="nil"/>
              <w:bottom w:val="single" w:sz="4" w:space="0" w:color="auto"/>
            </w:tcBorders>
          </w:tcPr>
          <w:p w:rsidR="009F0A92" w:rsidRDefault="009F0A92" w:rsidP="009543DB">
            <w:pPr>
              <w:pStyle w:val="Tabletextright"/>
            </w:pPr>
            <w:r>
              <w:t>19.24</w:t>
            </w:r>
          </w:p>
        </w:tc>
        <w:tc>
          <w:tcPr>
            <w:tcW w:w="917" w:type="dxa"/>
            <w:tcBorders>
              <w:top w:val="single" w:sz="4" w:space="0" w:color="auto"/>
              <w:bottom w:val="single" w:sz="4" w:space="0" w:color="auto"/>
              <w:right w:val="nil"/>
            </w:tcBorders>
          </w:tcPr>
          <w:p w:rsidR="009F0A92" w:rsidRDefault="009F0A92" w:rsidP="009543DB">
            <w:pPr>
              <w:pStyle w:val="Tabletextright"/>
            </w:pPr>
            <w:r>
              <w:t>68.6</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67.0</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70.3</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87.1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Rotary wing landing fees</w:t>
            </w:r>
            <w:r>
              <w:br/>
              <w:t>(per MTOW)</w:t>
            </w:r>
          </w:p>
        </w:tc>
        <w:tc>
          <w:tcPr>
            <w:tcW w:w="992" w:type="dxa"/>
            <w:tcBorders>
              <w:top w:val="single" w:sz="4" w:space="0" w:color="auto"/>
              <w:left w:val="nil"/>
              <w:bottom w:val="single" w:sz="4" w:space="0" w:color="auto"/>
            </w:tcBorders>
          </w:tcPr>
          <w:p w:rsidR="009F0A92" w:rsidRDefault="009F0A92" w:rsidP="009543DB">
            <w:pPr>
              <w:pStyle w:val="Tabletextright"/>
            </w:pPr>
            <w:r>
              <w:t>11.55</w:t>
            </w:r>
          </w:p>
        </w:tc>
        <w:tc>
          <w:tcPr>
            <w:tcW w:w="917" w:type="dxa"/>
            <w:tcBorders>
              <w:top w:val="single" w:sz="4" w:space="0" w:color="auto"/>
              <w:bottom w:val="single" w:sz="4" w:space="0" w:color="auto"/>
              <w:right w:val="nil"/>
            </w:tcBorders>
          </w:tcPr>
          <w:p w:rsidR="009F0A92" w:rsidRDefault="009F0A92" w:rsidP="009543DB">
            <w:pPr>
              <w:pStyle w:val="Tabletextright"/>
            </w:pPr>
            <w:r>
              <w:t>71.0</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69.4</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70.3</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87.0</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International private charter and non</w:t>
            </w:r>
            <w:r>
              <w:noBreakHyphen/>
              <w:t>scheduled air service landing fee (per MTOW)</w:t>
            </w:r>
          </w:p>
        </w:tc>
        <w:tc>
          <w:tcPr>
            <w:tcW w:w="992" w:type="dxa"/>
            <w:tcBorders>
              <w:top w:val="single" w:sz="4" w:space="0" w:color="auto"/>
              <w:left w:val="nil"/>
              <w:bottom w:val="single" w:sz="4" w:space="0" w:color="auto"/>
            </w:tcBorders>
          </w:tcPr>
          <w:p w:rsidR="009F0A92" w:rsidRDefault="009F0A92" w:rsidP="009543DB">
            <w:pPr>
              <w:pStyle w:val="Tabletextright"/>
            </w:pPr>
            <w:r>
              <w:t>19.24</w:t>
            </w:r>
          </w:p>
        </w:tc>
        <w:tc>
          <w:tcPr>
            <w:tcW w:w="917" w:type="dxa"/>
            <w:tcBorders>
              <w:top w:val="single" w:sz="4" w:space="0" w:color="auto"/>
              <w:bottom w:val="single" w:sz="4" w:space="0" w:color="auto"/>
              <w:right w:val="nil"/>
            </w:tcBorders>
          </w:tcPr>
          <w:p w:rsidR="009F0A92" w:rsidRDefault="009F0A92" w:rsidP="009543DB">
            <w:pPr>
              <w:pStyle w:val="Tabletextright"/>
            </w:pPr>
            <w:r>
              <w:t>68.6</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67.0</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70.3</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87.1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Noise surcharge (applies to all aviation charges)</w:t>
            </w:r>
          </w:p>
        </w:tc>
        <w:tc>
          <w:tcPr>
            <w:tcW w:w="992" w:type="dxa"/>
            <w:tcBorders>
              <w:top w:val="single" w:sz="4" w:space="0" w:color="auto"/>
              <w:left w:val="nil"/>
              <w:bottom w:val="single" w:sz="4" w:space="0" w:color="auto"/>
            </w:tcBorders>
          </w:tcPr>
          <w:p w:rsidR="009F0A92" w:rsidRDefault="009F0A92" w:rsidP="009543DB">
            <w:pPr>
              <w:pStyle w:val="Tabletextright"/>
            </w:pPr>
            <w:r>
              <w:t>50%</w:t>
            </w:r>
          </w:p>
        </w:tc>
        <w:tc>
          <w:tcPr>
            <w:tcW w:w="917" w:type="dxa"/>
            <w:tcBorders>
              <w:top w:val="single" w:sz="4" w:space="0" w:color="auto"/>
              <w:bottom w:val="single" w:sz="4" w:space="0" w:color="auto"/>
              <w:right w:val="nil"/>
            </w:tcBorders>
          </w:tcPr>
          <w:p w:rsidR="009F0A92" w:rsidRDefault="009F0A92" w:rsidP="009543DB">
            <w:pPr>
              <w:pStyle w:val="Tabletextright"/>
            </w:pPr>
            <w:r>
              <w:t>50.0</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50.0</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91.5</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100.0</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shd w:val="clear" w:color="auto" w:fill="DFE0DC"/>
          </w:tcPr>
          <w:p w:rsidR="009F0A92" w:rsidRDefault="009F0A92" w:rsidP="009543DB">
            <w:pPr>
              <w:pStyle w:val="Tabletextheading"/>
            </w:pPr>
            <w:r>
              <w:t>Aircraft parking fees</w:t>
            </w:r>
          </w:p>
        </w:tc>
        <w:tc>
          <w:tcPr>
            <w:tcW w:w="992" w:type="dxa"/>
            <w:tcBorders>
              <w:top w:val="single" w:sz="4" w:space="0" w:color="auto"/>
              <w:left w:val="nil"/>
              <w:bottom w:val="single" w:sz="4" w:space="0" w:color="auto"/>
            </w:tcBorders>
            <w:shd w:val="clear" w:color="auto" w:fill="DFE0DC"/>
          </w:tcPr>
          <w:p w:rsidR="009F0A92" w:rsidRDefault="009F0A92" w:rsidP="009543DB">
            <w:pPr>
              <w:pStyle w:val="Tabletextright"/>
            </w:pPr>
          </w:p>
        </w:tc>
        <w:tc>
          <w:tcPr>
            <w:tcW w:w="917" w:type="dxa"/>
            <w:tcBorders>
              <w:top w:val="single" w:sz="4" w:space="0" w:color="auto"/>
              <w:bottom w:val="single" w:sz="4" w:space="0" w:color="auto"/>
              <w:right w:val="nil"/>
            </w:tcBorders>
            <w:shd w:val="clear" w:color="auto" w:fill="DFE0DC"/>
          </w:tcPr>
          <w:p w:rsidR="009F0A92" w:rsidRDefault="009F0A92"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0 to 5 000kg</w:t>
            </w:r>
          </w:p>
        </w:tc>
        <w:tc>
          <w:tcPr>
            <w:tcW w:w="992" w:type="dxa"/>
            <w:tcBorders>
              <w:top w:val="single" w:sz="4" w:space="0" w:color="auto"/>
              <w:left w:val="nil"/>
              <w:bottom w:val="single" w:sz="4" w:space="0" w:color="auto"/>
            </w:tcBorders>
          </w:tcPr>
          <w:p w:rsidR="009F0A92" w:rsidRDefault="009F0A92" w:rsidP="009543DB">
            <w:pPr>
              <w:pStyle w:val="Tabletextright"/>
            </w:pPr>
            <w:r>
              <w:t>36.30</w:t>
            </w:r>
          </w:p>
        </w:tc>
        <w:tc>
          <w:tcPr>
            <w:tcW w:w="917" w:type="dxa"/>
            <w:tcBorders>
              <w:top w:val="single" w:sz="4" w:space="0" w:color="auto"/>
              <w:bottom w:val="single" w:sz="4" w:space="0" w:color="auto"/>
              <w:right w:val="nil"/>
            </w:tcBorders>
          </w:tcPr>
          <w:p w:rsidR="009F0A92" w:rsidRDefault="009F0A92" w:rsidP="009543DB">
            <w:pPr>
              <w:pStyle w:val="Tabletextright"/>
            </w:pPr>
            <w:r>
              <w:t>99.4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5 001 to 20 000kg</w:t>
            </w:r>
          </w:p>
        </w:tc>
        <w:tc>
          <w:tcPr>
            <w:tcW w:w="992" w:type="dxa"/>
            <w:tcBorders>
              <w:top w:val="single" w:sz="4" w:space="0" w:color="auto"/>
              <w:left w:val="nil"/>
              <w:bottom w:val="single" w:sz="4" w:space="0" w:color="auto"/>
            </w:tcBorders>
          </w:tcPr>
          <w:p w:rsidR="009F0A92" w:rsidRDefault="009F0A92" w:rsidP="009543DB">
            <w:pPr>
              <w:pStyle w:val="Tabletextright"/>
            </w:pPr>
            <w:r>
              <w:t>60.50</w:t>
            </w:r>
          </w:p>
        </w:tc>
        <w:tc>
          <w:tcPr>
            <w:tcW w:w="917" w:type="dxa"/>
            <w:tcBorders>
              <w:top w:val="single" w:sz="4" w:space="0" w:color="auto"/>
              <w:bottom w:val="single" w:sz="4" w:space="0" w:color="auto"/>
              <w:right w:val="nil"/>
            </w:tcBorders>
          </w:tcPr>
          <w:p w:rsidR="009F0A92" w:rsidRDefault="009F0A92" w:rsidP="009543DB">
            <w:pPr>
              <w:pStyle w:val="Tabletextright"/>
            </w:pPr>
            <w:r>
              <w:t>99.4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20 001 to 40 000kg</w:t>
            </w:r>
          </w:p>
        </w:tc>
        <w:tc>
          <w:tcPr>
            <w:tcW w:w="992" w:type="dxa"/>
            <w:tcBorders>
              <w:top w:val="single" w:sz="4" w:space="0" w:color="auto"/>
              <w:left w:val="nil"/>
              <w:bottom w:val="single" w:sz="4" w:space="0" w:color="auto"/>
            </w:tcBorders>
          </w:tcPr>
          <w:p w:rsidR="009F0A92" w:rsidRDefault="009F0A92" w:rsidP="009543DB">
            <w:pPr>
              <w:pStyle w:val="Tabletextright"/>
            </w:pPr>
            <w:r>
              <w:t>90.75</w:t>
            </w:r>
          </w:p>
        </w:tc>
        <w:tc>
          <w:tcPr>
            <w:tcW w:w="917" w:type="dxa"/>
            <w:tcBorders>
              <w:top w:val="single" w:sz="4" w:space="0" w:color="auto"/>
              <w:bottom w:val="single" w:sz="4" w:space="0" w:color="auto"/>
              <w:right w:val="nil"/>
            </w:tcBorders>
          </w:tcPr>
          <w:p w:rsidR="009F0A92" w:rsidRDefault="009F0A92" w:rsidP="009543DB">
            <w:pPr>
              <w:pStyle w:val="Tabletextright"/>
            </w:pPr>
            <w:r>
              <w:t>99.4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40 001 to 100 000kg</w:t>
            </w:r>
          </w:p>
        </w:tc>
        <w:tc>
          <w:tcPr>
            <w:tcW w:w="992" w:type="dxa"/>
            <w:tcBorders>
              <w:top w:val="single" w:sz="4" w:space="0" w:color="auto"/>
              <w:left w:val="nil"/>
              <w:bottom w:val="single" w:sz="4" w:space="0" w:color="auto"/>
            </w:tcBorders>
          </w:tcPr>
          <w:p w:rsidR="009F0A92" w:rsidRDefault="009F0A92" w:rsidP="009543DB">
            <w:pPr>
              <w:pStyle w:val="Tabletextright"/>
            </w:pPr>
            <w:r>
              <w:t>145.75</w:t>
            </w:r>
          </w:p>
        </w:tc>
        <w:tc>
          <w:tcPr>
            <w:tcW w:w="917" w:type="dxa"/>
            <w:tcBorders>
              <w:top w:val="single" w:sz="4" w:space="0" w:color="auto"/>
              <w:bottom w:val="single" w:sz="4" w:space="0" w:color="auto"/>
              <w:right w:val="nil"/>
            </w:tcBorders>
          </w:tcPr>
          <w:p w:rsidR="009F0A92" w:rsidRDefault="009F0A92" w:rsidP="009543DB">
            <w:pPr>
              <w:pStyle w:val="Tabletextright"/>
            </w:pPr>
            <w:r>
              <w:t>99.0</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96.8</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104.0</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100 001 to 250 000kg</w:t>
            </w:r>
          </w:p>
        </w:tc>
        <w:tc>
          <w:tcPr>
            <w:tcW w:w="992" w:type="dxa"/>
            <w:tcBorders>
              <w:top w:val="single" w:sz="4" w:space="0" w:color="auto"/>
              <w:left w:val="nil"/>
              <w:bottom w:val="single" w:sz="4" w:space="0" w:color="auto"/>
            </w:tcBorders>
          </w:tcPr>
          <w:p w:rsidR="009F0A92" w:rsidRDefault="009F0A92" w:rsidP="009543DB">
            <w:pPr>
              <w:pStyle w:val="Tabletextright"/>
            </w:pPr>
            <w:r>
              <w:t>332.75</w:t>
            </w:r>
          </w:p>
        </w:tc>
        <w:tc>
          <w:tcPr>
            <w:tcW w:w="917" w:type="dxa"/>
            <w:tcBorders>
              <w:top w:val="single" w:sz="4" w:space="0" w:color="auto"/>
              <w:bottom w:val="single" w:sz="4" w:space="0" w:color="auto"/>
              <w:right w:val="nil"/>
            </w:tcBorders>
          </w:tcPr>
          <w:p w:rsidR="009F0A92" w:rsidRDefault="009F0A92" w:rsidP="009543DB">
            <w:pPr>
              <w:pStyle w:val="Tabletextright"/>
            </w:pPr>
            <w:r>
              <w:t>99.4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lastRenderedPageBreak/>
              <w:t>250 001 to 400 000kg</w:t>
            </w:r>
          </w:p>
        </w:tc>
        <w:tc>
          <w:tcPr>
            <w:tcW w:w="992" w:type="dxa"/>
            <w:tcBorders>
              <w:top w:val="single" w:sz="4" w:space="0" w:color="auto"/>
              <w:left w:val="nil"/>
              <w:bottom w:val="single" w:sz="4" w:space="0" w:color="auto"/>
            </w:tcBorders>
          </w:tcPr>
          <w:p w:rsidR="009F0A92" w:rsidRDefault="009F0A92" w:rsidP="009543DB">
            <w:pPr>
              <w:pStyle w:val="Tabletextright"/>
            </w:pPr>
            <w:r>
              <w:t>484.00</w:t>
            </w:r>
          </w:p>
        </w:tc>
        <w:tc>
          <w:tcPr>
            <w:tcW w:w="917" w:type="dxa"/>
            <w:tcBorders>
              <w:top w:val="single" w:sz="4" w:space="0" w:color="auto"/>
              <w:bottom w:val="single" w:sz="4" w:space="0" w:color="auto"/>
              <w:right w:val="nil"/>
            </w:tcBorders>
          </w:tcPr>
          <w:p w:rsidR="009F0A92" w:rsidRDefault="009F0A92" w:rsidP="009543DB">
            <w:pPr>
              <w:pStyle w:val="Tabletextright"/>
            </w:pPr>
            <w:r>
              <w:t>99.4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400 001kg+</w:t>
            </w:r>
          </w:p>
        </w:tc>
        <w:tc>
          <w:tcPr>
            <w:tcW w:w="992" w:type="dxa"/>
            <w:tcBorders>
              <w:top w:val="single" w:sz="4" w:space="0" w:color="auto"/>
              <w:left w:val="nil"/>
              <w:bottom w:val="single" w:sz="4" w:space="0" w:color="auto"/>
            </w:tcBorders>
          </w:tcPr>
          <w:p w:rsidR="009F0A92" w:rsidRDefault="009F0A92" w:rsidP="009543DB">
            <w:pPr>
              <w:pStyle w:val="Tabletextright"/>
            </w:pPr>
            <w:r>
              <w:t>641.30</w:t>
            </w:r>
          </w:p>
        </w:tc>
        <w:tc>
          <w:tcPr>
            <w:tcW w:w="917" w:type="dxa"/>
            <w:tcBorders>
              <w:top w:val="single" w:sz="4" w:space="0" w:color="auto"/>
              <w:bottom w:val="single" w:sz="4" w:space="0" w:color="auto"/>
              <w:right w:val="nil"/>
            </w:tcBorders>
          </w:tcPr>
          <w:p w:rsidR="009F0A92" w:rsidRDefault="009F0A92" w:rsidP="009543DB">
            <w:pPr>
              <w:pStyle w:val="Tabletextright"/>
            </w:pPr>
            <w:r>
              <w:t>99.4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97.1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shd w:val="clear" w:color="auto" w:fill="DFE0DC"/>
          </w:tcPr>
          <w:p w:rsidR="009F0A92" w:rsidRDefault="009F0A92" w:rsidP="009543DB">
            <w:pPr>
              <w:pStyle w:val="Tabletextheading"/>
            </w:pPr>
            <w:r>
              <w:t xml:space="preserve">Runway and terminal fees </w:t>
            </w:r>
            <w:r>
              <w:br/>
              <w:t>(RPT services)</w:t>
            </w:r>
          </w:p>
        </w:tc>
        <w:tc>
          <w:tcPr>
            <w:tcW w:w="992" w:type="dxa"/>
            <w:tcBorders>
              <w:top w:val="single" w:sz="4" w:space="0" w:color="auto"/>
              <w:left w:val="nil"/>
              <w:bottom w:val="single" w:sz="4" w:space="0" w:color="auto"/>
            </w:tcBorders>
            <w:shd w:val="clear" w:color="auto" w:fill="DFE0DC"/>
          </w:tcPr>
          <w:p w:rsidR="009F0A92" w:rsidRDefault="009F0A92" w:rsidP="009543DB">
            <w:pPr>
              <w:pStyle w:val="Tabletextright"/>
            </w:pPr>
          </w:p>
        </w:tc>
        <w:tc>
          <w:tcPr>
            <w:tcW w:w="917" w:type="dxa"/>
            <w:tcBorders>
              <w:top w:val="single" w:sz="4" w:space="0" w:color="auto"/>
              <w:bottom w:val="single" w:sz="4" w:space="0" w:color="auto"/>
              <w:right w:val="nil"/>
            </w:tcBorders>
            <w:shd w:val="clear" w:color="auto" w:fill="DFE0DC"/>
          </w:tcPr>
          <w:p w:rsidR="009F0A92" w:rsidRDefault="009F0A92"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r>
      <w:tr w:rsidR="009F0A92" w:rsidTr="009543DB">
        <w:tc>
          <w:tcPr>
            <w:tcW w:w="3085" w:type="dxa"/>
            <w:tcBorders>
              <w:top w:val="single" w:sz="4" w:space="0" w:color="auto"/>
              <w:left w:val="nil"/>
              <w:bottom w:val="single" w:sz="4" w:space="0" w:color="auto"/>
              <w:right w:val="nil"/>
            </w:tcBorders>
          </w:tcPr>
          <w:p w:rsidR="009F0A92" w:rsidRPr="00CF570A" w:rsidRDefault="009F0A92" w:rsidP="009543DB">
            <w:pPr>
              <w:pStyle w:val="Tabletextleft"/>
            </w:pPr>
            <w:r>
              <w:t>International runway charge</w:t>
            </w:r>
            <w:r>
              <w:br/>
              <w:t>(per passenger)</w:t>
            </w:r>
          </w:p>
        </w:tc>
        <w:tc>
          <w:tcPr>
            <w:tcW w:w="992" w:type="dxa"/>
            <w:tcBorders>
              <w:top w:val="single" w:sz="4" w:space="0" w:color="auto"/>
              <w:left w:val="nil"/>
              <w:bottom w:val="single" w:sz="4" w:space="0" w:color="auto"/>
            </w:tcBorders>
          </w:tcPr>
          <w:p w:rsidR="009F0A92" w:rsidRDefault="009F0A92" w:rsidP="009543DB">
            <w:pPr>
              <w:pStyle w:val="Tabletextright"/>
            </w:pPr>
            <w:r>
              <w:t>6.04</w:t>
            </w:r>
          </w:p>
        </w:tc>
        <w:tc>
          <w:tcPr>
            <w:tcW w:w="917" w:type="dxa"/>
            <w:tcBorders>
              <w:top w:val="single" w:sz="4" w:space="0" w:color="auto"/>
              <w:bottom w:val="single" w:sz="4" w:space="0" w:color="auto"/>
              <w:right w:val="nil"/>
            </w:tcBorders>
          </w:tcPr>
          <w:p w:rsidR="009F0A92" w:rsidRDefault="009F0A92" w:rsidP="009543DB">
            <w:pPr>
              <w:pStyle w:val="Tabletextrigh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52.3</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75.6</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Pr="00506399" w:rsidRDefault="009F0A92" w:rsidP="009543DB">
            <w:pPr>
              <w:pStyle w:val="Tabletextleft"/>
            </w:pPr>
            <w:r>
              <w:t>International passenger service charge (per passenger)</w:t>
            </w:r>
          </w:p>
        </w:tc>
        <w:tc>
          <w:tcPr>
            <w:tcW w:w="992" w:type="dxa"/>
            <w:tcBorders>
              <w:top w:val="single" w:sz="4" w:space="0" w:color="auto"/>
              <w:left w:val="nil"/>
              <w:bottom w:val="single" w:sz="4" w:space="0" w:color="auto"/>
            </w:tcBorders>
          </w:tcPr>
          <w:p w:rsidR="009F0A92" w:rsidRDefault="009F0A92" w:rsidP="009543DB">
            <w:pPr>
              <w:pStyle w:val="Tabletextright"/>
            </w:pPr>
            <w:r>
              <w:t>22.95</w:t>
            </w:r>
          </w:p>
        </w:tc>
        <w:tc>
          <w:tcPr>
            <w:tcW w:w="917" w:type="dxa"/>
            <w:tcBorders>
              <w:top w:val="single" w:sz="4" w:space="0" w:color="auto"/>
              <w:bottom w:val="single" w:sz="4" w:space="0" w:color="auto"/>
              <w:right w:val="nil"/>
            </w:tcBorders>
          </w:tcPr>
          <w:p w:rsidR="009F0A92" w:rsidRDefault="009F0A92" w:rsidP="009543DB">
            <w:pPr>
              <w:pStyle w:val="Tabletextrigh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113.0</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106.9</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Pr="00506399" w:rsidRDefault="009F0A92" w:rsidP="009543DB">
            <w:pPr>
              <w:pStyle w:val="Tabletextleft"/>
            </w:pPr>
            <w:r>
              <w:t>Domestic runway charge</w:t>
            </w:r>
            <w:r>
              <w:br/>
              <w:t>(per passenger)</w:t>
            </w:r>
          </w:p>
        </w:tc>
        <w:tc>
          <w:tcPr>
            <w:tcW w:w="992" w:type="dxa"/>
            <w:tcBorders>
              <w:top w:val="single" w:sz="4" w:space="0" w:color="auto"/>
              <w:left w:val="nil"/>
              <w:bottom w:val="single" w:sz="4" w:space="0" w:color="auto"/>
            </w:tcBorders>
          </w:tcPr>
          <w:p w:rsidR="009F0A92" w:rsidRDefault="009F0A92" w:rsidP="009543DB">
            <w:pPr>
              <w:pStyle w:val="Tabletextright"/>
            </w:pPr>
            <w:r>
              <w:t>3.49</w:t>
            </w:r>
          </w:p>
        </w:tc>
        <w:tc>
          <w:tcPr>
            <w:tcW w:w="917" w:type="dxa"/>
            <w:tcBorders>
              <w:top w:val="single" w:sz="4" w:space="0" w:color="auto"/>
              <w:bottom w:val="single" w:sz="4" w:space="0" w:color="auto"/>
              <w:right w:val="nil"/>
            </w:tcBorders>
          </w:tcPr>
          <w:p w:rsidR="009F0A92" w:rsidRDefault="009F0A92" w:rsidP="009543DB">
            <w:pPr>
              <w:pStyle w:val="Tabletextrigh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51.4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76.1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Pr="00CF570A" w:rsidRDefault="009F0A92" w:rsidP="009543DB">
            <w:pPr>
              <w:pStyle w:val="Tabletextleft"/>
            </w:pPr>
            <w:r>
              <w:t>Domestic leased terminal charge</w:t>
            </w:r>
            <w:r>
              <w:br/>
              <w:t>(per passenger)</w:t>
            </w:r>
          </w:p>
        </w:tc>
        <w:tc>
          <w:tcPr>
            <w:tcW w:w="992" w:type="dxa"/>
            <w:tcBorders>
              <w:top w:val="single" w:sz="4" w:space="0" w:color="auto"/>
              <w:left w:val="nil"/>
              <w:bottom w:val="single" w:sz="4" w:space="0" w:color="auto"/>
            </w:tcBorders>
          </w:tcPr>
          <w:p w:rsidR="009F0A92" w:rsidRDefault="009F0A92" w:rsidP="009543DB">
            <w:pPr>
              <w:pStyle w:val="Tabletextright"/>
            </w:pPr>
            <w:r>
              <w:t>4.62</w:t>
            </w:r>
          </w:p>
        </w:tc>
        <w:tc>
          <w:tcPr>
            <w:tcW w:w="917" w:type="dxa"/>
            <w:tcBorders>
              <w:top w:val="single" w:sz="4" w:space="0" w:color="auto"/>
              <w:bottom w:val="single" w:sz="4" w:space="0" w:color="auto"/>
              <w:right w:val="nil"/>
            </w:tcBorders>
          </w:tcPr>
          <w:p w:rsidR="009F0A92" w:rsidRDefault="009F0A92" w:rsidP="009543DB">
            <w:pPr>
              <w:pStyle w:val="Tabletextrigh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83.0</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90.5</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Domestic passenger service charge common</w:t>
            </w:r>
            <w:r>
              <w:noBreakHyphen/>
              <w:t>user terminal—including aerobridge (per passenger)</w:t>
            </w:r>
            <w:r w:rsidRPr="00E61DE6">
              <w:rPr>
                <w:vertAlign w:val="superscript"/>
              </w:rPr>
              <w:t>(b)</w:t>
            </w:r>
          </w:p>
        </w:tc>
        <w:tc>
          <w:tcPr>
            <w:tcW w:w="992" w:type="dxa"/>
            <w:tcBorders>
              <w:top w:val="single" w:sz="4" w:space="0" w:color="auto"/>
              <w:left w:val="nil"/>
              <w:bottom w:val="single" w:sz="4" w:space="0" w:color="auto"/>
            </w:tcBorders>
          </w:tcPr>
          <w:p w:rsidR="009F0A92" w:rsidRDefault="009F0A92" w:rsidP="009543DB">
            <w:pPr>
              <w:pStyle w:val="Tabletextright"/>
            </w:pPr>
            <w:r>
              <w:t>8.51</w:t>
            </w:r>
          </w:p>
        </w:tc>
        <w:tc>
          <w:tcPr>
            <w:tcW w:w="917" w:type="dxa"/>
            <w:tcBorders>
              <w:top w:val="single" w:sz="4" w:space="0" w:color="auto"/>
              <w:bottom w:val="single" w:sz="4" w:space="0" w:color="auto"/>
              <w:right w:val="nil"/>
            </w:tcBorders>
          </w:tcPr>
          <w:p w:rsidR="009F0A92" w:rsidRDefault="009F0A92" w:rsidP="009543DB">
            <w:pPr>
              <w:pStyle w:val="Tabletextrigh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97.6</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98.5</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Domestic passenger service charge common</w:t>
            </w:r>
            <w:r>
              <w:noBreakHyphen/>
              <w:t>user terminal—excluding aerobridge (per passenger )</w:t>
            </w:r>
            <w:r w:rsidRPr="00B013F6">
              <w:rPr>
                <w:vertAlign w:val="superscript"/>
              </w:rPr>
              <w:t>(b)</w:t>
            </w:r>
          </w:p>
        </w:tc>
        <w:tc>
          <w:tcPr>
            <w:tcW w:w="992" w:type="dxa"/>
            <w:tcBorders>
              <w:top w:val="single" w:sz="4" w:space="0" w:color="auto"/>
              <w:left w:val="nil"/>
              <w:bottom w:val="single" w:sz="4" w:space="0" w:color="auto"/>
            </w:tcBorders>
          </w:tcPr>
          <w:p w:rsidR="009F0A92" w:rsidRDefault="009F0A92" w:rsidP="009543DB">
            <w:pPr>
              <w:pStyle w:val="Tabletextright"/>
            </w:pPr>
            <w:r>
              <w:t>7.87</w:t>
            </w:r>
          </w:p>
        </w:tc>
        <w:tc>
          <w:tcPr>
            <w:tcW w:w="917" w:type="dxa"/>
            <w:tcBorders>
              <w:top w:val="single" w:sz="4" w:space="0" w:color="auto"/>
              <w:bottom w:val="single" w:sz="4" w:space="0" w:color="auto"/>
              <w:right w:val="nil"/>
            </w:tcBorders>
          </w:tcPr>
          <w:p w:rsidR="009F0A92" w:rsidRDefault="009F0A92" w:rsidP="009543DB">
            <w:pPr>
              <w:pStyle w:val="Tabletextrigh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96.2</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97.4</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Pr="00CF570A" w:rsidRDefault="009F0A92" w:rsidP="009543DB">
            <w:pPr>
              <w:pStyle w:val="Tabletextleft"/>
              <w:rPr>
                <w:vertAlign w:val="superscript"/>
              </w:rPr>
            </w:pPr>
            <w:r>
              <w:t>Peak period minimum movement charge</w:t>
            </w:r>
            <w:r>
              <w:rPr>
                <w:vertAlign w:val="superscript"/>
              </w:rPr>
              <w:t>(a)</w:t>
            </w:r>
          </w:p>
        </w:tc>
        <w:tc>
          <w:tcPr>
            <w:tcW w:w="992" w:type="dxa"/>
            <w:tcBorders>
              <w:top w:val="single" w:sz="4" w:space="0" w:color="auto"/>
              <w:left w:val="nil"/>
              <w:bottom w:val="single" w:sz="4" w:space="0" w:color="auto"/>
            </w:tcBorders>
          </w:tcPr>
          <w:p w:rsidR="009F0A92" w:rsidRDefault="009F0A92" w:rsidP="009543DB">
            <w:pPr>
              <w:pStyle w:val="Tabletextright"/>
            </w:pPr>
            <w:r>
              <w:t>220.00</w:t>
            </w:r>
          </w:p>
        </w:tc>
        <w:tc>
          <w:tcPr>
            <w:tcW w:w="917" w:type="dxa"/>
            <w:tcBorders>
              <w:top w:val="single" w:sz="4" w:space="0" w:color="auto"/>
              <w:bottom w:val="single" w:sz="4" w:space="0" w:color="auto"/>
              <w:right w:val="nil"/>
            </w:tcBorders>
          </w:tcPr>
          <w:p w:rsidR="009F0A92" w:rsidRDefault="009F0A92" w:rsidP="009543DB">
            <w:pPr>
              <w:pStyle w:val="Tabletextrigh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104.5</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101.7</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shd w:val="clear" w:color="auto" w:fill="DFE0DC"/>
          </w:tcPr>
          <w:p w:rsidR="009F0A92" w:rsidRDefault="009F0A92" w:rsidP="009543DB">
            <w:pPr>
              <w:pStyle w:val="Tabletextheading"/>
            </w:pPr>
            <w:r>
              <w:t>Government</w:t>
            </w:r>
            <w:r>
              <w:noBreakHyphen/>
              <w:t>mandated security charges</w:t>
            </w:r>
          </w:p>
        </w:tc>
        <w:tc>
          <w:tcPr>
            <w:tcW w:w="992" w:type="dxa"/>
            <w:tcBorders>
              <w:top w:val="single" w:sz="4" w:space="0" w:color="auto"/>
              <w:left w:val="nil"/>
              <w:bottom w:val="single" w:sz="4" w:space="0" w:color="auto"/>
            </w:tcBorders>
            <w:shd w:val="clear" w:color="auto" w:fill="DFE0DC"/>
          </w:tcPr>
          <w:p w:rsidR="009F0A92" w:rsidRDefault="009F0A92" w:rsidP="009543DB">
            <w:pPr>
              <w:pStyle w:val="Tabletextright"/>
            </w:pPr>
          </w:p>
        </w:tc>
        <w:tc>
          <w:tcPr>
            <w:tcW w:w="917" w:type="dxa"/>
            <w:tcBorders>
              <w:top w:val="single" w:sz="4" w:space="0" w:color="auto"/>
              <w:bottom w:val="single" w:sz="4" w:space="0" w:color="auto"/>
              <w:right w:val="nil"/>
            </w:tcBorders>
            <w:shd w:val="clear" w:color="auto" w:fill="DFE0DC"/>
          </w:tcPr>
          <w:p w:rsidR="009F0A92" w:rsidRDefault="009F0A92"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F0A92" w:rsidRDefault="009F0A92" w:rsidP="009543DB">
            <w:pPr>
              <w:pStyle w:val="Tabletextright"/>
            </w:pP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 xml:space="preserve">International charge </w:t>
            </w:r>
            <w:r>
              <w:br/>
              <w:t>(per passenger)</w:t>
            </w:r>
          </w:p>
        </w:tc>
        <w:tc>
          <w:tcPr>
            <w:tcW w:w="992" w:type="dxa"/>
            <w:tcBorders>
              <w:top w:val="single" w:sz="4" w:space="0" w:color="auto"/>
              <w:left w:val="nil"/>
              <w:bottom w:val="single" w:sz="4" w:space="0" w:color="auto"/>
            </w:tcBorders>
          </w:tcPr>
          <w:p w:rsidR="009F0A92" w:rsidRDefault="009F0A92" w:rsidP="009543DB">
            <w:pPr>
              <w:pStyle w:val="Tabletextright"/>
            </w:pPr>
            <w:r>
              <w:t>4.26</w:t>
            </w:r>
          </w:p>
        </w:tc>
        <w:tc>
          <w:tcPr>
            <w:tcW w:w="917" w:type="dxa"/>
            <w:tcBorders>
              <w:top w:val="single" w:sz="4" w:space="0" w:color="auto"/>
              <w:bottom w:val="single" w:sz="4" w:space="0" w:color="auto"/>
              <w:right w:val="nil"/>
            </w:tcBorders>
          </w:tcPr>
          <w:p w:rsidR="009F0A92" w:rsidRDefault="009F0A92" w:rsidP="009543DB">
            <w:pPr>
              <w:pStyle w:val="Tabletextright"/>
            </w:pPr>
            <w:r>
              <w:t>93.4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93.3</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91.1</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94.1</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Domestic common</w:t>
            </w:r>
            <w:r>
              <w:noBreakHyphen/>
              <w:t>user terminal charge (per passenger)</w:t>
            </w:r>
          </w:p>
        </w:tc>
        <w:tc>
          <w:tcPr>
            <w:tcW w:w="992" w:type="dxa"/>
            <w:tcBorders>
              <w:top w:val="single" w:sz="4" w:space="0" w:color="auto"/>
              <w:left w:val="nil"/>
              <w:bottom w:val="single" w:sz="4" w:space="0" w:color="auto"/>
            </w:tcBorders>
          </w:tcPr>
          <w:p w:rsidR="009F0A92" w:rsidRDefault="009F0A92" w:rsidP="009543DB">
            <w:pPr>
              <w:pStyle w:val="Tabletextright"/>
            </w:pPr>
            <w:r>
              <w:t>2.29</w:t>
            </w:r>
          </w:p>
        </w:tc>
        <w:tc>
          <w:tcPr>
            <w:tcW w:w="917" w:type="dxa"/>
            <w:tcBorders>
              <w:top w:val="single" w:sz="4" w:space="0" w:color="auto"/>
              <w:bottom w:val="single" w:sz="4" w:space="0" w:color="auto"/>
              <w:right w:val="nil"/>
            </w:tcBorders>
          </w:tcPr>
          <w:p w:rsidR="009F0A92" w:rsidRDefault="009F0A92" w:rsidP="009543DB">
            <w:pPr>
              <w:pStyle w:val="Tabletextright"/>
            </w:pPr>
            <w:r>
              <w:t>95.9</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80.3</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84.1</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84.4</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r w:rsidR="009F0A92" w:rsidTr="009543DB">
        <w:tc>
          <w:tcPr>
            <w:tcW w:w="3085" w:type="dxa"/>
            <w:tcBorders>
              <w:top w:val="single" w:sz="4" w:space="0" w:color="auto"/>
              <w:left w:val="nil"/>
              <w:bottom w:val="single" w:sz="4" w:space="0" w:color="auto"/>
              <w:right w:val="nil"/>
            </w:tcBorders>
          </w:tcPr>
          <w:p w:rsidR="009F0A92" w:rsidRDefault="009F0A92" w:rsidP="009543DB">
            <w:pPr>
              <w:pStyle w:val="Tabletextleft"/>
            </w:pPr>
            <w:r>
              <w:t>Domestic Qantas/Virgin terminal charge (per passenger)</w:t>
            </w:r>
          </w:p>
        </w:tc>
        <w:tc>
          <w:tcPr>
            <w:tcW w:w="992" w:type="dxa"/>
            <w:tcBorders>
              <w:top w:val="single" w:sz="4" w:space="0" w:color="auto"/>
              <w:left w:val="nil"/>
              <w:bottom w:val="single" w:sz="4" w:space="0" w:color="auto"/>
            </w:tcBorders>
          </w:tcPr>
          <w:p w:rsidR="009F0A92" w:rsidRDefault="009F0A92" w:rsidP="009543DB">
            <w:pPr>
              <w:pStyle w:val="Tabletextright"/>
            </w:pPr>
            <w:r>
              <w:t>0.18</w:t>
            </w:r>
          </w:p>
        </w:tc>
        <w:tc>
          <w:tcPr>
            <w:tcW w:w="917" w:type="dxa"/>
            <w:tcBorders>
              <w:top w:val="single" w:sz="4" w:space="0" w:color="auto"/>
              <w:bottom w:val="single" w:sz="4" w:space="0" w:color="auto"/>
              <w:right w:val="nil"/>
            </w:tcBorders>
          </w:tcPr>
          <w:p w:rsidR="009F0A92" w:rsidRDefault="009F0A92" w:rsidP="009543DB">
            <w:pPr>
              <w:pStyle w:val="Tabletextright"/>
            </w:pPr>
            <w:r>
              <w:t>83.5</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71.2</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78.4</w:t>
            </w:r>
          </w:p>
        </w:tc>
        <w:tc>
          <w:tcPr>
            <w:tcW w:w="917" w:type="dxa"/>
            <w:tcBorders>
              <w:top w:val="single" w:sz="4" w:space="0" w:color="auto"/>
              <w:left w:val="nil"/>
              <w:bottom w:val="single" w:sz="4" w:space="0" w:color="auto"/>
              <w:right w:val="nil"/>
            </w:tcBorders>
          </w:tcPr>
          <w:p w:rsidR="009F0A92" w:rsidRDefault="009F0A92" w:rsidP="009543DB">
            <w:pPr>
              <w:pStyle w:val="Tabletextright"/>
            </w:pPr>
            <w:r>
              <w:t>67.8</w:t>
            </w:r>
          </w:p>
        </w:tc>
        <w:tc>
          <w:tcPr>
            <w:tcW w:w="918" w:type="dxa"/>
            <w:tcBorders>
              <w:top w:val="single" w:sz="4" w:space="0" w:color="auto"/>
              <w:left w:val="nil"/>
              <w:bottom w:val="single" w:sz="4" w:space="0" w:color="auto"/>
              <w:right w:val="nil"/>
            </w:tcBorders>
          </w:tcPr>
          <w:p w:rsidR="009F0A92" w:rsidRDefault="009F0A92" w:rsidP="009543DB">
            <w:pPr>
              <w:pStyle w:val="Tabletextright"/>
            </w:pPr>
            <w:r>
              <w:t>100.0</w:t>
            </w:r>
          </w:p>
        </w:tc>
      </w:tr>
    </w:tbl>
    <w:p w:rsidR="009F0A92" w:rsidRDefault="009F0A92" w:rsidP="009F0A92">
      <w:pPr>
        <w:pStyle w:val="Sourceandnotes"/>
      </w:pPr>
      <w:r>
        <w:t>Notes:</w:t>
      </w:r>
      <w:r>
        <w:tab/>
        <w:t>Real indexed prices are in 2014</w:t>
      </w:r>
      <w:r>
        <w:noBreakHyphen/>
        <w:t>15 dollars.</w:t>
      </w:r>
      <w:r>
        <w:br/>
        <w:t>Where a list price changed during a financial year, the average of that charge has been presented in table 2.2.1.</w:t>
      </w:r>
      <w:r>
        <w:br/>
        <w:t>(a)</w:t>
      </w:r>
      <w:r>
        <w:tab/>
        <w:t>Peak period minimum charges apply to both arrival and departure movements. Peak periods are</w:t>
      </w:r>
      <w:r w:rsidR="00A0511B">
        <w:t xml:space="preserve"> </w:t>
      </w:r>
      <w:r>
        <w:t>defined as the periods 0700 to 1000 and 1600 to 1900 on Monday to Friday.</w:t>
      </w:r>
    </w:p>
    <w:p w:rsidR="009F0A92" w:rsidRDefault="009F0A92" w:rsidP="009F0A92">
      <w:pPr>
        <w:pStyle w:val="Sourceandnotes"/>
      </w:pPr>
      <w:r>
        <w:t>(b)</w:t>
      </w:r>
      <w:r>
        <w:tab/>
        <w:t>This charge also includes the Domestic leased terminal charge (per passenger)</w:t>
      </w:r>
    </w:p>
    <w:p w:rsidR="009F0A92" w:rsidRDefault="009F0A92" w:rsidP="009F0A92">
      <w:pPr>
        <w:pStyle w:val="Numberedheading3"/>
      </w:pPr>
      <w:r>
        <w:t>Revenues, costs and profits for aeronautical and total airport services</w:t>
      </w:r>
    </w:p>
    <w:p w:rsidR="009F0A92" w:rsidRDefault="009F0A92" w:rsidP="009F0A92">
      <w:r>
        <w:t>Table 2.2.2 presents the revenues, operating expenses and aggregate margins for aeronautical services, government mandated security services and the total airport in real terms from 2004</w:t>
      </w:r>
      <w:r>
        <w:noBreakHyphen/>
        <w:t>05 to 2014</w:t>
      </w:r>
      <w:r>
        <w:noBreakHyphen/>
        <w:t>15.</w:t>
      </w:r>
    </w:p>
    <w:p w:rsidR="009F0A92" w:rsidRDefault="009F0A92" w:rsidP="009F0A92">
      <w:r>
        <w:t>In 2014</w:t>
      </w:r>
      <w:r>
        <w:noBreakHyphen/>
        <w:t>15, Brisbane Airport’s aeronautical revenue increased by 10.7 per cent in real terms to $272.2 million. This increase was mainly driven by increased aeronautical charges, plus a slight shift in passenger mix from domestic travel towards international travel. This is the largest annual increase in Brisbane Airport’s aeronautical revenue since 2008</w:t>
      </w:r>
      <w:r>
        <w:noBreakHyphen/>
        <w:t>09. Since 2004</w:t>
      </w:r>
      <w:r>
        <w:noBreakHyphen/>
        <w:t>05, aeronautical revenue has increased by an average of 9.2 per cent per year in real terms.</w:t>
      </w:r>
    </w:p>
    <w:p w:rsidR="009F0A92" w:rsidRDefault="009F0A92" w:rsidP="009F0A92">
      <w:r>
        <w:t>Brisbane Airport also reported significant growth in aeronautical operating expenses during 2014</w:t>
      </w:r>
      <w:r>
        <w:noBreakHyphen/>
        <w:t xml:space="preserve">15, increasing by 9.1 per cent in real terms. The increase in aeronautical operating expenses was largely driven by increases in depreciation (20.3 per cent real increase), general administration (18.2 per cent real increase) and property/leasing maintenance (12.3 per cent </w:t>
      </w:r>
      <w:r>
        <w:lastRenderedPageBreak/>
        <w:t>real increase). Brisbane Airport also reported a decrease in a number of cost categories, such as consultants and advisors (51.2 per cent real decrease) and services and utilities (17.1 per cent real decrease).</w:t>
      </w:r>
    </w:p>
    <w:p w:rsidR="009F0A92" w:rsidRDefault="009F0A92" w:rsidP="009F0A92">
      <w:r>
        <w:t>Despite the large percentage increase in aeronautical operating expenses, Brisbane Airport reported strong growth in aeronautical aggregate margin in 2014</w:t>
      </w:r>
      <w:r>
        <w:noBreakHyphen/>
        <w:t>15, with an increase of 12.9 per cent in real terms to $118.6 million. Since 2004</w:t>
      </w:r>
      <w:r>
        <w:noBreakHyphen/>
        <w:t>05, aeronautical aggregate margin has increased by an average of 16.8 per cent per year in real terms. Brisbane Airport made a profit of 43.6 cents for each dollar in aeronautical revenue in 2014-15.</w:t>
      </w:r>
    </w:p>
    <w:p w:rsidR="009F0A92" w:rsidRDefault="009F0A92" w:rsidP="009F0A92">
      <w:r>
        <w:t>The significant increases in total aeronautical financial indicators during 2014</w:t>
      </w:r>
      <w:r>
        <w:noBreakHyphen/>
        <w:t>15 also occurred for Brisbane Airport’s aeronautical revenue, operating expenses and aggregate margin on a per passenger basis. This is because Brisbane Airport’s passenger growth was relatively flat during the year and changes in revenues and expenses were due to factors other than total passenger growth.</w:t>
      </w:r>
    </w:p>
    <w:p w:rsidR="009F0A92" w:rsidRDefault="009F0A92" w:rsidP="009F0A92">
      <w:r>
        <w:t>Since 2004</w:t>
      </w:r>
      <w:r>
        <w:noBreakHyphen/>
        <w:t>05, Brisbane Airport’s aeronautical revenue per passenger has increased by an average of 5.6 per cent per year in real terms. Aeronautical aggregate margin per passenger has increased by an average of 12.9 per cent per year in real terms to $5.33. Since 2004</w:t>
      </w:r>
      <w:r>
        <w:noBreakHyphen/>
        <w:t>05, Brisbane Airport has reported the largest increases in aeronautical revenue and aggregate margin on a per passenger basis of the monitored airports.</w:t>
      </w:r>
    </w:p>
    <w:p w:rsidR="009F0A92" w:rsidRDefault="009F0A92" w:rsidP="009F0A92">
      <w:pPr>
        <w:sectPr w:rsidR="009F0A92" w:rsidSect="001734F5">
          <w:headerReference w:type="even" r:id="rId53"/>
          <w:headerReference w:type="default" r:id="rId54"/>
          <w:footerReference w:type="even" r:id="rId55"/>
          <w:footerReference w:type="default" r:id="rId56"/>
          <w:type w:val="continuous"/>
          <w:pgSz w:w="11906" w:h="16838"/>
          <w:pgMar w:top="1440" w:right="1729" w:bottom="1582" w:left="1729" w:header="709" w:footer="709" w:gutter="0"/>
          <w:pgNumType w:start="47"/>
          <w:cols w:space="708"/>
          <w:docGrid w:linePitch="360"/>
        </w:sectPr>
      </w:pPr>
    </w:p>
    <w:p w:rsidR="009F0A92" w:rsidRDefault="009F0A92" w:rsidP="009F0A92">
      <w:pPr>
        <w:pStyle w:val="Numberedcharttitle"/>
      </w:pPr>
      <w:r>
        <w:lastRenderedPageBreak/>
        <w:t>Table 2.2.2:</w:t>
      </w:r>
      <w:r>
        <w:tab/>
        <w:t>Brisbane Airport—revenues, operating expenses and aggregate margins for aeronautical services, government</w:t>
      </w:r>
      <w:r>
        <w:noBreakHyphen/>
        <w:t>mandated security services, and total airport services in real terms: 2004</w:t>
      </w:r>
      <w:r>
        <w:noBreakHyphen/>
        <w:t>05 to 2014</w:t>
      </w:r>
      <w:r>
        <w:noBreakHyphen/>
        <w:t>15</w:t>
      </w:r>
    </w:p>
    <w:tbl>
      <w:tblPr>
        <w:tblStyle w:val="TableGrid"/>
        <w:tblW w:w="0" w:type="auto"/>
        <w:tblLook w:val="04A0" w:firstRow="1" w:lastRow="0" w:firstColumn="1" w:lastColumn="0" w:noHBand="0" w:noVBand="1"/>
      </w:tblPr>
      <w:tblGrid>
        <w:gridCol w:w="1526"/>
        <w:gridCol w:w="1701"/>
        <w:gridCol w:w="982"/>
        <w:gridCol w:w="982"/>
        <w:gridCol w:w="982"/>
        <w:gridCol w:w="983"/>
        <w:gridCol w:w="982"/>
        <w:gridCol w:w="982"/>
        <w:gridCol w:w="982"/>
        <w:gridCol w:w="983"/>
        <w:gridCol w:w="982"/>
        <w:gridCol w:w="982"/>
        <w:gridCol w:w="983"/>
      </w:tblGrid>
      <w:tr w:rsidR="009F0A92" w:rsidTr="009543DB">
        <w:tc>
          <w:tcPr>
            <w:tcW w:w="1526" w:type="dxa"/>
            <w:tcBorders>
              <w:left w:val="nil"/>
              <w:bottom w:val="single" w:sz="4" w:space="0" w:color="auto"/>
              <w:right w:val="nil"/>
            </w:tcBorders>
            <w:shd w:val="clear" w:color="auto" w:fill="DFE0DC"/>
          </w:tcPr>
          <w:p w:rsidR="009F0A92" w:rsidRDefault="009F0A92" w:rsidP="009543DB">
            <w:pPr>
              <w:pStyle w:val="Tabletextleft"/>
            </w:pPr>
          </w:p>
        </w:tc>
        <w:tc>
          <w:tcPr>
            <w:tcW w:w="1701" w:type="dxa"/>
            <w:tcBorders>
              <w:left w:val="nil"/>
              <w:right w:val="nil"/>
            </w:tcBorders>
            <w:shd w:val="clear" w:color="auto" w:fill="DFE0DC"/>
          </w:tcPr>
          <w:p w:rsidR="009F0A92" w:rsidRDefault="009F0A92" w:rsidP="009543DB">
            <w:pPr>
              <w:pStyle w:val="Tabletextleft"/>
            </w:pP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2004-05</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2005-06</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2006-07</w:t>
            </w:r>
          </w:p>
        </w:tc>
        <w:tc>
          <w:tcPr>
            <w:tcW w:w="983" w:type="dxa"/>
            <w:tcBorders>
              <w:left w:val="nil"/>
              <w:bottom w:val="single" w:sz="4" w:space="0" w:color="auto"/>
              <w:right w:val="nil"/>
            </w:tcBorders>
            <w:shd w:val="clear" w:color="auto" w:fill="DFE0DC"/>
          </w:tcPr>
          <w:p w:rsidR="009F0A92" w:rsidRDefault="009F0A92" w:rsidP="009543DB">
            <w:pPr>
              <w:pStyle w:val="Tabletextheadingright"/>
            </w:pPr>
            <w:r>
              <w:t>2007-08</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2008-09</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2009-10</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2010-11</w:t>
            </w:r>
          </w:p>
        </w:tc>
        <w:tc>
          <w:tcPr>
            <w:tcW w:w="983" w:type="dxa"/>
            <w:tcBorders>
              <w:left w:val="nil"/>
              <w:bottom w:val="single" w:sz="4" w:space="0" w:color="auto"/>
              <w:right w:val="nil"/>
            </w:tcBorders>
            <w:shd w:val="clear" w:color="auto" w:fill="DFE0DC"/>
          </w:tcPr>
          <w:p w:rsidR="009F0A92" w:rsidRDefault="009F0A92" w:rsidP="009543DB">
            <w:pPr>
              <w:pStyle w:val="Tabletextheadingright"/>
            </w:pPr>
            <w:r>
              <w:t>2011-12</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2012-13</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2013-14</w:t>
            </w:r>
          </w:p>
        </w:tc>
        <w:tc>
          <w:tcPr>
            <w:tcW w:w="983" w:type="dxa"/>
            <w:tcBorders>
              <w:left w:val="nil"/>
              <w:bottom w:val="single" w:sz="4" w:space="0" w:color="auto"/>
              <w:right w:val="nil"/>
            </w:tcBorders>
            <w:shd w:val="clear" w:color="auto" w:fill="DFE0DC"/>
          </w:tcPr>
          <w:p w:rsidR="009F0A92" w:rsidRDefault="009F0A92" w:rsidP="009543DB">
            <w:pPr>
              <w:pStyle w:val="Tabletextheadingright"/>
            </w:pPr>
            <w:r>
              <w:t>2014-15</w:t>
            </w:r>
          </w:p>
        </w:tc>
      </w:tr>
      <w:tr w:rsidR="009F0A92" w:rsidTr="009543DB">
        <w:tc>
          <w:tcPr>
            <w:tcW w:w="1526" w:type="dxa"/>
            <w:vMerge w:val="restart"/>
            <w:tcBorders>
              <w:left w:val="nil"/>
              <w:right w:val="nil"/>
            </w:tcBorders>
            <w:vAlign w:val="center"/>
          </w:tcPr>
          <w:p w:rsidR="009F0A92" w:rsidRPr="00434D61" w:rsidRDefault="009F0A92" w:rsidP="009543DB">
            <w:pPr>
              <w:pStyle w:val="Tabletextleft-centred"/>
            </w:pPr>
            <w:r w:rsidRPr="00434D61">
              <w:t>Revenue ($million)</w:t>
            </w:r>
          </w:p>
        </w:tc>
        <w:tc>
          <w:tcPr>
            <w:tcW w:w="1701" w:type="dxa"/>
            <w:tcBorders>
              <w:left w:val="nil"/>
              <w:right w:val="nil"/>
            </w:tcBorders>
          </w:tcPr>
          <w:p w:rsidR="009F0A92" w:rsidRDefault="009F0A92" w:rsidP="009543DB">
            <w:pPr>
              <w:pStyle w:val="Tabletextleft"/>
            </w:pPr>
            <w:r>
              <w:t>Total aeronautical</w:t>
            </w:r>
          </w:p>
        </w:tc>
        <w:tc>
          <w:tcPr>
            <w:tcW w:w="982" w:type="dxa"/>
            <w:tcBorders>
              <w:left w:val="nil"/>
              <w:right w:val="nil"/>
            </w:tcBorders>
          </w:tcPr>
          <w:p w:rsidR="009F0A92" w:rsidRDefault="009F0A92" w:rsidP="009543DB">
            <w:pPr>
              <w:pStyle w:val="Tabletextright"/>
            </w:pPr>
            <w:r>
              <w:t>112.7</w:t>
            </w:r>
          </w:p>
        </w:tc>
        <w:tc>
          <w:tcPr>
            <w:tcW w:w="982" w:type="dxa"/>
            <w:tcBorders>
              <w:left w:val="nil"/>
              <w:right w:val="nil"/>
            </w:tcBorders>
          </w:tcPr>
          <w:p w:rsidR="009F0A92" w:rsidRDefault="009F0A92" w:rsidP="009543DB">
            <w:pPr>
              <w:pStyle w:val="Tabletextright"/>
            </w:pPr>
            <w:r>
              <w:t>121.2</w:t>
            </w:r>
          </w:p>
        </w:tc>
        <w:tc>
          <w:tcPr>
            <w:tcW w:w="982" w:type="dxa"/>
            <w:tcBorders>
              <w:left w:val="nil"/>
              <w:right w:val="nil"/>
            </w:tcBorders>
          </w:tcPr>
          <w:p w:rsidR="009F0A92" w:rsidRDefault="009F0A92" w:rsidP="009543DB">
            <w:pPr>
              <w:pStyle w:val="Tabletextright"/>
            </w:pPr>
            <w:r>
              <w:t>130.3</w:t>
            </w:r>
          </w:p>
        </w:tc>
        <w:tc>
          <w:tcPr>
            <w:tcW w:w="983" w:type="dxa"/>
            <w:tcBorders>
              <w:left w:val="nil"/>
              <w:right w:val="nil"/>
            </w:tcBorders>
          </w:tcPr>
          <w:p w:rsidR="009F0A92" w:rsidRDefault="009F0A92" w:rsidP="009543DB">
            <w:pPr>
              <w:pStyle w:val="Tabletextright"/>
            </w:pPr>
            <w:r>
              <w:t>168.4</w:t>
            </w:r>
          </w:p>
        </w:tc>
        <w:tc>
          <w:tcPr>
            <w:tcW w:w="982" w:type="dxa"/>
            <w:tcBorders>
              <w:left w:val="nil"/>
              <w:right w:val="nil"/>
            </w:tcBorders>
          </w:tcPr>
          <w:p w:rsidR="009F0A92" w:rsidRDefault="009F0A92" w:rsidP="009543DB">
            <w:pPr>
              <w:pStyle w:val="Tabletextright"/>
            </w:pPr>
            <w:r>
              <w:t>188.6</w:t>
            </w:r>
          </w:p>
        </w:tc>
        <w:tc>
          <w:tcPr>
            <w:tcW w:w="982" w:type="dxa"/>
            <w:tcBorders>
              <w:left w:val="nil"/>
              <w:right w:val="nil"/>
            </w:tcBorders>
          </w:tcPr>
          <w:p w:rsidR="009F0A92" w:rsidRDefault="009F0A92" w:rsidP="009543DB">
            <w:pPr>
              <w:pStyle w:val="Tabletextright"/>
            </w:pPr>
            <w:r>
              <w:t>203.1</w:t>
            </w:r>
          </w:p>
        </w:tc>
        <w:tc>
          <w:tcPr>
            <w:tcW w:w="982" w:type="dxa"/>
            <w:tcBorders>
              <w:left w:val="nil"/>
              <w:right w:val="nil"/>
            </w:tcBorders>
          </w:tcPr>
          <w:p w:rsidR="009F0A92" w:rsidRDefault="009F0A92" w:rsidP="009543DB">
            <w:pPr>
              <w:pStyle w:val="Tabletextright"/>
            </w:pPr>
            <w:r>
              <w:t>217.0</w:t>
            </w:r>
          </w:p>
        </w:tc>
        <w:tc>
          <w:tcPr>
            <w:tcW w:w="983" w:type="dxa"/>
            <w:tcBorders>
              <w:left w:val="nil"/>
              <w:right w:val="nil"/>
            </w:tcBorders>
          </w:tcPr>
          <w:p w:rsidR="009F0A92" w:rsidRDefault="009F0A92" w:rsidP="009543DB">
            <w:pPr>
              <w:pStyle w:val="Tabletextright"/>
            </w:pPr>
            <w:r>
              <w:t>227.0</w:t>
            </w:r>
          </w:p>
        </w:tc>
        <w:tc>
          <w:tcPr>
            <w:tcW w:w="982" w:type="dxa"/>
            <w:tcBorders>
              <w:left w:val="nil"/>
              <w:right w:val="nil"/>
            </w:tcBorders>
          </w:tcPr>
          <w:p w:rsidR="009F0A92" w:rsidRDefault="009F0A92" w:rsidP="009543DB">
            <w:pPr>
              <w:pStyle w:val="Tabletextright"/>
            </w:pPr>
            <w:r>
              <w:t>237.5</w:t>
            </w:r>
          </w:p>
        </w:tc>
        <w:tc>
          <w:tcPr>
            <w:tcW w:w="982" w:type="dxa"/>
            <w:tcBorders>
              <w:left w:val="nil"/>
              <w:right w:val="nil"/>
            </w:tcBorders>
          </w:tcPr>
          <w:p w:rsidR="009F0A92" w:rsidRDefault="009F0A92" w:rsidP="009543DB">
            <w:pPr>
              <w:pStyle w:val="Tabletextright"/>
            </w:pPr>
            <w:r>
              <w:t>245.9</w:t>
            </w:r>
          </w:p>
        </w:tc>
        <w:tc>
          <w:tcPr>
            <w:tcW w:w="983" w:type="dxa"/>
            <w:tcBorders>
              <w:left w:val="nil"/>
              <w:right w:val="nil"/>
            </w:tcBorders>
          </w:tcPr>
          <w:p w:rsidR="009F0A92" w:rsidRDefault="009F0A92" w:rsidP="009543DB">
            <w:pPr>
              <w:pStyle w:val="Tabletextright"/>
            </w:pPr>
            <w:r>
              <w:t>272.2</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left"/>
            </w:pPr>
            <w:r>
              <w:t>Security services</w:t>
            </w:r>
          </w:p>
        </w:tc>
        <w:tc>
          <w:tcPr>
            <w:tcW w:w="982" w:type="dxa"/>
            <w:tcBorders>
              <w:left w:val="nil"/>
              <w:right w:val="nil"/>
            </w:tcBorders>
          </w:tcPr>
          <w:p w:rsidR="009F0A92" w:rsidRDefault="009F0A92" w:rsidP="009543DB">
            <w:pPr>
              <w:pStyle w:val="Tabletextright"/>
            </w:pPr>
            <w:r>
              <w:t>21.6</w:t>
            </w:r>
          </w:p>
        </w:tc>
        <w:tc>
          <w:tcPr>
            <w:tcW w:w="982" w:type="dxa"/>
            <w:tcBorders>
              <w:left w:val="nil"/>
              <w:right w:val="nil"/>
            </w:tcBorders>
          </w:tcPr>
          <w:p w:rsidR="009F0A92" w:rsidRDefault="009F0A92" w:rsidP="009543DB">
            <w:pPr>
              <w:pStyle w:val="Tabletextright"/>
            </w:pPr>
            <w:r>
              <w:t>22.5</w:t>
            </w:r>
          </w:p>
        </w:tc>
        <w:tc>
          <w:tcPr>
            <w:tcW w:w="982" w:type="dxa"/>
            <w:tcBorders>
              <w:left w:val="nil"/>
              <w:right w:val="nil"/>
            </w:tcBorders>
          </w:tcPr>
          <w:p w:rsidR="009F0A92" w:rsidRDefault="009F0A92" w:rsidP="009543DB">
            <w:pPr>
              <w:pStyle w:val="Tabletextright"/>
            </w:pPr>
            <w:r>
              <w:t>21.2</w:t>
            </w:r>
          </w:p>
        </w:tc>
        <w:tc>
          <w:tcPr>
            <w:tcW w:w="983" w:type="dxa"/>
            <w:tcBorders>
              <w:left w:val="nil"/>
              <w:right w:val="nil"/>
            </w:tcBorders>
          </w:tcPr>
          <w:p w:rsidR="009F0A92" w:rsidRDefault="009F0A92" w:rsidP="009543DB">
            <w:pPr>
              <w:pStyle w:val="Tabletextright"/>
            </w:pPr>
            <w:r>
              <w:t>30.6</w:t>
            </w:r>
          </w:p>
        </w:tc>
        <w:tc>
          <w:tcPr>
            <w:tcW w:w="982" w:type="dxa"/>
            <w:tcBorders>
              <w:left w:val="nil"/>
              <w:right w:val="nil"/>
            </w:tcBorders>
          </w:tcPr>
          <w:p w:rsidR="009F0A92" w:rsidRDefault="009F0A92" w:rsidP="009543DB">
            <w:pPr>
              <w:pStyle w:val="Tabletextright"/>
            </w:pPr>
            <w:r>
              <w:t>30.8</w:t>
            </w:r>
          </w:p>
        </w:tc>
        <w:tc>
          <w:tcPr>
            <w:tcW w:w="982" w:type="dxa"/>
            <w:tcBorders>
              <w:left w:val="nil"/>
              <w:right w:val="nil"/>
            </w:tcBorders>
          </w:tcPr>
          <w:p w:rsidR="009F0A92" w:rsidRDefault="009F0A92" w:rsidP="009543DB">
            <w:pPr>
              <w:pStyle w:val="Tabletextright"/>
            </w:pPr>
            <w:r>
              <w:t>27.1</w:t>
            </w:r>
          </w:p>
        </w:tc>
        <w:tc>
          <w:tcPr>
            <w:tcW w:w="982" w:type="dxa"/>
            <w:tcBorders>
              <w:left w:val="nil"/>
              <w:right w:val="nil"/>
            </w:tcBorders>
          </w:tcPr>
          <w:p w:rsidR="009F0A92" w:rsidRDefault="009F0A92" w:rsidP="009543DB">
            <w:pPr>
              <w:pStyle w:val="Tabletextright"/>
            </w:pPr>
            <w:r>
              <w:t>23.0</w:t>
            </w:r>
          </w:p>
        </w:tc>
        <w:tc>
          <w:tcPr>
            <w:tcW w:w="983" w:type="dxa"/>
            <w:tcBorders>
              <w:left w:val="nil"/>
              <w:right w:val="nil"/>
            </w:tcBorders>
          </w:tcPr>
          <w:p w:rsidR="009F0A92" w:rsidRDefault="009F0A92" w:rsidP="009543DB">
            <w:pPr>
              <w:pStyle w:val="Tabletextright"/>
            </w:pPr>
            <w:r>
              <w:t>23.1</w:t>
            </w:r>
          </w:p>
        </w:tc>
        <w:tc>
          <w:tcPr>
            <w:tcW w:w="982" w:type="dxa"/>
            <w:tcBorders>
              <w:left w:val="nil"/>
              <w:right w:val="nil"/>
            </w:tcBorders>
          </w:tcPr>
          <w:p w:rsidR="009F0A92" w:rsidRDefault="009F0A92" w:rsidP="009543DB">
            <w:pPr>
              <w:pStyle w:val="Tabletextright"/>
            </w:pPr>
            <w:r>
              <w:t>25.5</w:t>
            </w:r>
          </w:p>
        </w:tc>
        <w:tc>
          <w:tcPr>
            <w:tcW w:w="982" w:type="dxa"/>
            <w:tcBorders>
              <w:left w:val="nil"/>
              <w:right w:val="nil"/>
            </w:tcBorders>
          </w:tcPr>
          <w:p w:rsidR="009F0A92" w:rsidRDefault="009F0A92" w:rsidP="009543DB">
            <w:pPr>
              <w:pStyle w:val="Tabletextright"/>
            </w:pPr>
            <w:r>
              <w:t>27.6</w:t>
            </w:r>
          </w:p>
        </w:tc>
        <w:tc>
          <w:tcPr>
            <w:tcW w:w="983" w:type="dxa"/>
            <w:tcBorders>
              <w:left w:val="nil"/>
              <w:right w:val="nil"/>
            </w:tcBorders>
          </w:tcPr>
          <w:p w:rsidR="009F0A92" w:rsidRDefault="009F0A92" w:rsidP="009543DB">
            <w:pPr>
              <w:pStyle w:val="Tabletextright"/>
            </w:pPr>
            <w:r>
              <w:t>27.0</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left"/>
            </w:pPr>
            <w:r>
              <w:t>Security % of total aeronautical</w:t>
            </w:r>
          </w:p>
        </w:tc>
        <w:tc>
          <w:tcPr>
            <w:tcW w:w="982" w:type="dxa"/>
            <w:tcBorders>
              <w:left w:val="nil"/>
              <w:right w:val="nil"/>
            </w:tcBorders>
            <w:vAlign w:val="center"/>
          </w:tcPr>
          <w:p w:rsidR="009F0A92" w:rsidRDefault="009F0A92" w:rsidP="009543DB">
            <w:pPr>
              <w:pStyle w:val="Tabletext-centred"/>
            </w:pPr>
            <w:r>
              <w:t>19.2</w:t>
            </w:r>
          </w:p>
        </w:tc>
        <w:tc>
          <w:tcPr>
            <w:tcW w:w="982" w:type="dxa"/>
            <w:tcBorders>
              <w:left w:val="nil"/>
              <w:right w:val="nil"/>
            </w:tcBorders>
            <w:vAlign w:val="center"/>
          </w:tcPr>
          <w:p w:rsidR="009F0A92" w:rsidRDefault="009F0A92" w:rsidP="009543DB">
            <w:pPr>
              <w:pStyle w:val="tabletextcentred-right"/>
            </w:pPr>
            <w:r>
              <w:t>18.5</w:t>
            </w:r>
          </w:p>
        </w:tc>
        <w:tc>
          <w:tcPr>
            <w:tcW w:w="982" w:type="dxa"/>
            <w:tcBorders>
              <w:left w:val="nil"/>
              <w:right w:val="nil"/>
            </w:tcBorders>
            <w:vAlign w:val="center"/>
          </w:tcPr>
          <w:p w:rsidR="009F0A92" w:rsidRDefault="009F0A92" w:rsidP="009543DB">
            <w:pPr>
              <w:pStyle w:val="tabletextcentred-right"/>
            </w:pPr>
            <w:r>
              <w:t>16.3</w:t>
            </w:r>
          </w:p>
        </w:tc>
        <w:tc>
          <w:tcPr>
            <w:tcW w:w="983" w:type="dxa"/>
            <w:tcBorders>
              <w:left w:val="nil"/>
              <w:right w:val="nil"/>
            </w:tcBorders>
            <w:vAlign w:val="center"/>
          </w:tcPr>
          <w:p w:rsidR="009F0A92" w:rsidRDefault="009F0A92" w:rsidP="009543DB">
            <w:pPr>
              <w:pStyle w:val="tabletextcentred-right"/>
            </w:pPr>
            <w:r>
              <w:t>18.1</w:t>
            </w:r>
          </w:p>
        </w:tc>
        <w:tc>
          <w:tcPr>
            <w:tcW w:w="982" w:type="dxa"/>
            <w:tcBorders>
              <w:left w:val="nil"/>
              <w:right w:val="nil"/>
            </w:tcBorders>
            <w:vAlign w:val="center"/>
          </w:tcPr>
          <w:p w:rsidR="009F0A92" w:rsidRDefault="009F0A92" w:rsidP="009543DB">
            <w:pPr>
              <w:pStyle w:val="tabletextcentred-right"/>
            </w:pPr>
            <w:r>
              <w:t>16.3</w:t>
            </w:r>
          </w:p>
        </w:tc>
        <w:tc>
          <w:tcPr>
            <w:tcW w:w="982" w:type="dxa"/>
            <w:tcBorders>
              <w:left w:val="nil"/>
              <w:right w:val="nil"/>
            </w:tcBorders>
            <w:vAlign w:val="center"/>
          </w:tcPr>
          <w:p w:rsidR="009F0A92" w:rsidRDefault="009F0A92" w:rsidP="009543DB">
            <w:pPr>
              <w:pStyle w:val="tabletextcentred-right"/>
            </w:pPr>
            <w:r>
              <w:t>13.3</w:t>
            </w:r>
          </w:p>
        </w:tc>
        <w:tc>
          <w:tcPr>
            <w:tcW w:w="982" w:type="dxa"/>
            <w:tcBorders>
              <w:left w:val="nil"/>
              <w:right w:val="nil"/>
            </w:tcBorders>
            <w:vAlign w:val="center"/>
          </w:tcPr>
          <w:p w:rsidR="009F0A92" w:rsidRDefault="009F0A92" w:rsidP="009543DB">
            <w:pPr>
              <w:pStyle w:val="tabletextcentred-right"/>
            </w:pPr>
            <w:r>
              <w:t>10.6</w:t>
            </w:r>
          </w:p>
        </w:tc>
        <w:tc>
          <w:tcPr>
            <w:tcW w:w="983" w:type="dxa"/>
            <w:tcBorders>
              <w:left w:val="nil"/>
              <w:right w:val="nil"/>
            </w:tcBorders>
            <w:vAlign w:val="center"/>
          </w:tcPr>
          <w:p w:rsidR="009F0A92" w:rsidRDefault="009F0A92" w:rsidP="009543DB">
            <w:pPr>
              <w:pStyle w:val="tabletextcentred-right"/>
            </w:pPr>
            <w:r>
              <w:t>10.2</w:t>
            </w:r>
          </w:p>
        </w:tc>
        <w:tc>
          <w:tcPr>
            <w:tcW w:w="982" w:type="dxa"/>
            <w:tcBorders>
              <w:left w:val="nil"/>
              <w:right w:val="nil"/>
            </w:tcBorders>
            <w:vAlign w:val="center"/>
          </w:tcPr>
          <w:p w:rsidR="009F0A92" w:rsidRDefault="009F0A92" w:rsidP="009543DB">
            <w:pPr>
              <w:pStyle w:val="tabletextcentred-right"/>
            </w:pPr>
            <w:r>
              <w:t>10.7</w:t>
            </w:r>
          </w:p>
        </w:tc>
        <w:tc>
          <w:tcPr>
            <w:tcW w:w="982" w:type="dxa"/>
            <w:tcBorders>
              <w:left w:val="nil"/>
              <w:right w:val="nil"/>
            </w:tcBorders>
            <w:vAlign w:val="center"/>
          </w:tcPr>
          <w:p w:rsidR="009F0A92" w:rsidRDefault="009F0A92" w:rsidP="009543DB">
            <w:pPr>
              <w:pStyle w:val="tabletextcentred-right"/>
            </w:pPr>
            <w:r>
              <w:t>11.2</w:t>
            </w:r>
          </w:p>
        </w:tc>
        <w:tc>
          <w:tcPr>
            <w:tcW w:w="983" w:type="dxa"/>
            <w:tcBorders>
              <w:left w:val="nil"/>
              <w:right w:val="nil"/>
            </w:tcBorders>
            <w:vAlign w:val="center"/>
          </w:tcPr>
          <w:p w:rsidR="009F0A92" w:rsidRDefault="009F0A92" w:rsidP="009543DB">
            <w:pPr>
              <w:pStyle w:val="tabletextcentred-right"/>
            </w:pPr>
            <w:r>
              <w:t>9.9</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heading"/>
            </w:pPr>
            <w:r>
              <w:t>Total airport</w:t>
            </w:r>
          </w:p>
        </w:tc>
        <w:tc>
          <w:tcPr>
            <w:tcW w:w="982" w:type="dxa"/>
            <w:tcBorders>
              <w:left w:val="nil"/>
              <w:right w:val="nil"/>
            </w:tcBorders>
          </w:tcPr>
          <w:p w:rsidR="009F0A92" w:rsidRDefault="009F0A92" w:rsidP="009543DB">
            <w:pPr>
              <w:pStyle w:val="Tabletextheadingright"/>
            </w:pPr>
            <w:r>
              <w:t>320.1</w:t>
            </w:r>
          </w:p>
        </w:tc>
        <w:tc>
          <w:tcPr>
            <w:tcW w:w="982" w:type="dxa"/>
            <w:tcBorders>
              <w:left w:val="nil"/>
              <w:right w:val="nil"/>
            </w:tcBorders>
          </w:tcPr>
          <w:p w:rsidR="009F0A92" w:rsidRDefault="009F0A92" w:rsidP="009543DB">
            <w:pPr>
              <w:pStyle w:val="Tabletextheadingright"/>
            </w:pPr>
            <w:r>
              <w:t>398.8</w:t>
            </w:r>
          </w:p>
        </w:tc>
        <w:tc>
          <w:tcPr>
            <w:tcW w:w="982" w:type="dxa"/>
            <w:tcBorders>
              <w:left w:val="nil"/>
              <w:right w:val="nil"/>
            </w:tcBorders>
          </w:tcPr>
          <w:p w:rsidR="009F0A92" w:rsidRDefault="009F0A92" w:rsidP="009543DB">
            <w:pPr>
              <w:pStyle w:val="Tabletextheadingright"/>
            </w:pPr>
            <w:r>
              <w:t>408.8</w:t>
            </w:r>
          </w:p>
        </w:tc>
        <w:tc>
          <w:tcPr>
            <w:tcW w:w="983" w:type="dxa"/>
            <w:tcBorders>
              <w:left w:val="nil"/>
              <w:right w:val="nil"/>
            </w:tcBorders>
          </w:tcPr>
          <w:p w:rsidR="009F0A92" w:rsidRDefault="009F0A92" w:rsidP="009543DB">
            <w:pPr>
              <w:pStyle w:val="Tabletextheadingright"/>
            </w:pPr>
            <w:r>
              <w:t>467.8</w:t>
            </w:r>
          </w:p>
        </w:tc>
        <w:tc>
          <w:tcPr>
            <w:tcW w:w="982" w:type="dxa"/>
            <w:tcBorders>
              <w:left w:val="nil"/>
              <w:right w:val="nil"/>
            </w:tcBorders>
          </w:tcPr>
          <w:p w:rsidR="009F0A92" w:rsidRDefault="009F0A92" w:rsidP="009543DB">
            <w:pPr>
              <w:pStyle w:val="Tabletextheadingright"/>
            </w:pPr>
            <w:r>
              <w:t>440.4</w:t>
            </w:r>
          </w:p>
        </w:tc>
        <w:tc>
          <w:tcPr>
            <w:tcW w:w="982" w:type="dxa"/>
            <w:tcBorders>
              <w:left w:val="nil"/>
              <w:right w:val="nil"/>
            </w:tcBorders>
          </w:tcPr>
          <w:p w:rsidR="009F0A92" w:rsidRDefault="009F0A92" w:rsidP="009543DB">
            <w:pPr>
              <w:pStyle w:val="Tabletextheadingright"/>
            </w:pPr>
            <w:r>
              <w:t>477.6</w:t>
            </w:r>
          </w:p>
        </w:tc>
        <w:tc>
          <w:tcPr>
            <w:tcW w:w="982" w:type="dxa"/>
            <w:tcBorders>
              <w:left w:val="nil"/>
              <w:right w:val="nil"/>
            </w:tcBorders>
          </w:tcPr>
          <w:p w:rsidR="009F0A92" w:rsidRDefault="009F0A92" w:rsidP="009543DB">
            <w:pPr>
              <w:pStyle w:val="Tabletextheadingright"/>
            </w:pPr>
            <w:r>
              <w:t>499.0</w:t>
            </w:r>
          </w:p>
        </w:tc>
        <w:tc>
          <w:tcPr>
            <w:tcW w:w="983" w:type="dxa"/>
            <w:tcBorders>
              <w:left w:val="nil"/>
              <w:right w:val="nil"/>
            </w:tcBorders>
          </w:tcPr>
          <w:p w:rsidR="009F0A92" w:rsidRDefault="009F0A92" w:rsidP="009543DB">
            <w:pPr>
              <w:pStyle w:val="Tabletextheadingright"/>
            </w:pPr>
            <w:r>
              <w:t>519.4</w:t>
            </w:r>
          </w:p>
        </w:tc>
        <w:tc>
          <w:tcPr>
            <w:tcW w:w="982" w:type="dxa"/>
            <w:tcBorders>
              <w:left w:val="nil"/>
              <w:right w:val="nil"/>
            </w:tcBorders>
          </w:tcPr>
          <w:p w:rsidR="009F0A92" w:rsidRDefault="009F0A92" w:rsidP="009543DB">
            <w:pPr>
              <w:pStyle w:val="Tabletextheadingright"/>
            </w:pPr>
            <w:r>
              <w:t>550.5</w:t>
            </w:r>
          </w:p>
        </w:tc>
        <w:tc>
          <w:tcPr>
            <w:tcW w:w="982" w:type="dxa"/>
            <w:tcBorders>
              <w:left w:val="nil"/>
              <w:right w:val="nil"/>
            </w:tcBorders>
          </w:tcPr>
          <w:p w:rsidR="009F0A92" w:rsidRDefault="009F0A92" w:rsidP="009543DB">
            <w:pPr>
              <w:pStyle w:val="Tabletextheadingright"/>
            </w:pPr>
            <w:r>
              <w:t>573.7</w:t>
            </w:r>
          </w:p>
        </w:tc>
        <w:tc>
          <w:tcPr>
            <w:tcW w:w="983" w:type="dxa"/>
            <w:tcBorders>
              <w:left w:val="nil"/>
              <w:right w:val="nil"/>
            </w:tcBorders>
          </w:tcPr>
          <w:p w:rsidR="009F0A92" w:rsidRDefault="009F0A92" w:rsidP="009543DB">
            <w:pPr>
              <w:pStyle w:val="Tabletextheadingright"/>
            </w:pPr>
            <w:r>
              <w:t>610.7</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left"/>
            </w:pPr>
            <w:r>
              <w:t>Aeronautical % of total airport</w:t>
            </w:r>
          </w:p>
        </w:tc>
        <w:tc>
          <w:tcPr>
            <w:tcW w:w="982" w:type="dxa"/>
            <w:tcBorders>
              <w:left w:val="nil"/>
              <w:right w:val="nil"/>
            </w:tcBorders>
            <w:vAlign w:val="center"/>
          </w:tcPr>
          <w:p w:rsidR="009F0A92" w:rsidRDefault="009F0A92" w:rsidP="009543DB">
            <w:pPr>
              <w:pStyle w:val="tabletextcentred-right"/>
            </w:pPr>
            <w:r>
              <w:t>35.2</w:t>
            </w:r>
          </w:p>
        </w:tc>
        <w:tc>
          <w:tcPr>
            <w:tcW w:w="982" w:type="dxa"/>
            <w:tcBorders>
              <w:left w:val="nil"/>
              <w:right w:val="nil"/>
            </w:tcBorders>
            <w:vAlign w:val="center"/>
          </w:tcPr>
          <w:p w:rsidR="009F0A92" w:rsidRDefault="009F0A92" w:rsidP="009543DB">
            <w:pPr>
              <w:pStyle w:val="tabletextcentred-right"/>
            </w:pPr>
            <w:r>
              <w:t>30.4</w:t>
            </w:r>
          </w:p>
        </w:tc>
        <w:tc>
          <w:tcPr>
            <w:tcW w:w="982" w:type="dxa"/>
            <w:tcBorders>
              <w:left w:val="nil"/>
              <w:right w:val="nil"/>
            </w:tcBorders>
            <w:vAlign w:val="center"/>
          </w:tcPr>
          <w:p w:rsidR="009F0A92" w:rsidRDefault="009F0A92" w:rsidP="009543DB">
            <w:pPr>
              <w:pStyle w:val="tabletextcentred-right"/>
            </w:pPr>
            <w:r>
              <w:t>31.9</w:t>
            </w:r>
          </w:p>
        </w:tc>
        <w:tc>
          <w:tcPr>
            <w:tcW w:w="983" w:type="dxa"/>
            <w:tcBorders>
              <w:left w:val="nil"/>
              <w:right w:val="nil"/>
            </w:tcBorders>
            <w:vAlign w:val="center"/>
          </w:tcPr>
          <w:p w:rsidR="009F0A92" w:rsidRDefault="009F0A92" w:rsidP="009543DB">
            <w:pPr>
              <w:pStyle w:val="tabletextcentred-right"/>
            </w:pPr>
            <w:r>
              <w:t>36.0</w:t>
            </w:r>
          </w:p>
        </w:tc>
        <w:tc>
          <w:tcPr>
            <w:tcW w:w="982" w:type="dxa"/>
            <w:tcBorders>
              <w:left w:val="nil"/>
              <w:right w:val="nil"/>
            </w:tcBorders>
            <w:vAlign w:val="center"/>
          </w:tcPr>
          <w:p w:rsidR="009F0A92" w:rsidRDefault="009F0A92" w:rsidP="009543DB">
            <w:pPr>
              <w:pStyle w:val="tabletextcentred-right"/>
            </w:pPr>
            <w:r>
              <w:t>42.8</w:t>
            </w:r>
          </w:p>
        </w:tc>
        <w:tc>
          <w:tcPr>
            <w:tcW w:w="982" w:type="dxa"/>
            <w:tcBorders>
              <w:left w:val="nil"/>
              <w:right w:val="nil"/>
            </w:tcBorders>
            <w:vAlign w:val="center"/>
          </w:tcPr>
          <w:p w:rsidR="009F0A92" w:rsidRDefault="009F0A92" w:rsidP="009543DB">
            <w:pPr>
              <w:pStyle w:val="tabletextcentred-right"/>
            </w:pPr>
            <w:r>
              <w:t>42.5</w:t>
            </w:r>
          </w:p>
        </w:tc>
        <w:tc>
          <w:tcPr>
            <w:tcW w:w="982" w:type="dxa"/>
            <w:tcBorders>
              <w:left w:val="nil"/>
              <w:right w:val="nil"/>
            </w:tcBorders>
            <w:vAlign w:val="center"/>
          </w:tcPr>
          <w:p w:rsidR="009F0A92" w:rsidRDefault="009F0A92" w:rsidP="009543DB">
            <w:pPr>
              <w:pStyle w:val="tabletextcentred-right"/>
            </w:pPr>
            <w:r>
              <w:t>43.5</w:t>
            </w:r>
          </w:p>
        </w:tc>
        <w:tc>
          <w:tcPr>
            <w:tcW w:w="983" w:type="dxa"/>
            <w:tcBorders>
              <w:left w:val="nil"/>
              <w:right w:val="nil"/>
            </w:tcBorders>
            <w:vAlign w:val="center"/>
          </w:tcPr>
          <w:p w:rsidR="009F0A92" w:rsidRDefault="009F0A92" w:rsidP="009543DB">
            <w:pPr>
              <w:pStyle w:val="tabletextcentred-right"/>
            </w:pPr>
            <w:r>
              <w:t>43.7</w:t>
            </w:r>
          </w:p>
        </w:tc>
        <w:tc>
          <w:tcPr>
            <w:tcW w:w="982" w:type="dxa"/>
            <w:tcBorders>
              <w:left w:val="nil"/>
              <w:right w:val="nil"/>
            </w:tcBorders>
            <w:vAlign w:val="center"/>
          </w:tcPr>
          <w:p w:rsidR="009F0A92" w:rsidRDefault="009F0A92" w:rsidP="009543DB">
            <w:pPr>
              <w:pStyle w:val="tabletextcentred-right"/>
            </w:pPr>
            <w:r>
              <w:t>43.1</w:t>
            </w:r>
          </w:p>
        </w:tc>
        <w:tc>
          <w:tcPr>
            <w:tcW w:w="982" w:type="dxa"/>
            <w:tcBorders>
              <w:left w:val="nil"/>
              <w:right w:val="nil"/>
            </w:tcBorders>
            <w:vAlign w:val="center"/>
          </w:tcPr>
          <w:p w:rsidR="009F0A92" w:rsidRDefault="009F0A92" w:rsidP="009543DB">
            <w:pPr>
              <w:pStyle w:val="tabletextcentred-right"/>
            </w:pPr>
            <w:r>
              <w:t>42.9</w:t>
            </w:r>
          </w:p>
        </w:tc>
        <w:tc>
          <w:tcPr>
            <w:tcW w:w="983" w:type="dxa"/>
            <w:tcBorders>
              <w:left w:val="nil"/>
              <w:right w:val="nil"/>
            </w:tcBorders>
            <w:vAlign w:val="center"/>
          </w:tcPr>
          <w:p w:rsidR="009F0A92" w:rsidRDefault="009F0A92" w:rsidP="009543DB">
            <w:pPr>
              <w:pStyle w:val="tabletextcentred-right"/>
            </w:pPr>
            <w:r>
              <w:t>44.6</w:t>
            </w:r>
          </w:p>
        </w:tc>
      </w:tr>
      <w:tr w:rsidR="009F0A92" w:rsidTr="009543DB">
        <w:tc>
          <w:tcPr>
            <w:tcW w:w="1526" w:type="dxa"/>
            <w:vMerge w:val="restart"/>
            <w:tcBorders>
              <w:left w:val="nil"/>
              <w:right w:val="nil"/>
            </w:tcBorders>
            <w:vAlign w:val="center"/>
          </w:tcPr>
          <w:p w:rsidR="009F0A92" w:rsidRDefault="009F0A92" w:rsidP="009543DB">
            <w:pPr>
              <w:pStyle w:val="Tabletextleft-centred"/>
            </w:pPr>
            <w:r>
              <w:t>Operating expenses ($million)</w:t>
            </w:r>
          </w:p>
        </w:tc>
        <w:tc>
          <w:tcPr>
            <w:tcW w:w="1701" w:type="dxa"/>
            <w:tcBorders>
              <w:left w:val="nil"/>
              <w:right w:val="nil"/>
            </w:tcBorders>
          </w:tcPr>
          <w:p w:rsidR="009F0A92" w:rsidRDefault="009F0A92" w:rsidP="009543DB">
            <w:pPr>
              <w:pStyle w:val="Tabletextleft"/>
            </w:pPr>
            <w:r>
              <w:t>Total aeronautical</w:t>
            </w:r>
          </w:p>
        </w:tc>
        <w:tc>
          <w:tcPr>
            <w:tcW w:w="982" w:type="dxa"/>
            <w:tcBorders>
              <w:left w:val="nil"/>
              <w:right w:val="nil"/>
            </w:tcBorders>
          </w:tcPr>
          <w:p w:rsidR="009F0A92" w:rsidRDefault="009F0A92" w:rsidP="009543DB">
            <w:pPr>
              <w:pStyle w:val="Tabletextright"/>
            </w:pPr>
            <w:r>
              <w:t>87.6</w:t>
            </w:r>
          </w:p>
        </w:tc>
        <w:tc>
          <w:tcPr>
            <w:tcW w:w="982" w:type="dxa"/>
            <w:tcBorders>
              <w:left w:val="nil"/>
              <w:right w:val="nil"/>
            </w:tcBorders>
          </w:tcPr>
          <w:p w:rsidR="009F0A92" w:rsidRDefault="009F0A92" w:rsidP="009543DB">
            <w:pPr>
              <w:pStyle w:val="Tabletextright"/>
            </w:pPr>
            <w:r>
              <w:t>91.8</w:t>
            </w:r>
          </w:p>
        </w:tc>
        <w:tc>
          <w:tcPr>
            <w:tcW w:w="982" w:type="dxa"/>
            <w:tcBorders>
              <w:left w:val="nil"/>
              <w:right w:val="nil"/>
            </w:tcBorders>
          </w:tcPr>
          <w:p w:rsidR="009F0A92" w:rsidRDefault="009F0A92" w:rsidP="009543DB">
            <w:pPr>
              <w:pStyle w:val="Tabletextright"/>
            </w:pPr>
            <w:r>
              <w:t>89.7</w:t>
            </w:r>
          </w:p>
        </w:tc>
        <w:tc>
          <w:tcPr>
            <w:tcW w:w="983" w:type="dxa"/>
            <w:tcBorders>
              <w:left w:val="nil"/>
              <w:right w:val="nil"/>
            </w:tcBorders>
          </w:tcPr>
          <w:p w:rsidR="009F0A92" w:rsidRDefault="009F0A92" w:rsidP="009543DB">
            <w:pPr>
              <w:pStyle w:val="Tabletextright"/>
            </w:pPr>
            <w:r>
              <w:t>103.9</w:t>
            </w:r>
          </w:p>
        </w:tc>
        <w:tc>
          <w:tcPr>
            <w:tcW w:w="982" w:type="dxa"/>
            <w:tcBorders>
              <w:left w:val="nil"/>
              <w:right w:val="nil"/>
            </w:tcBorders>
          </w:tcPr>
          <w:p w:rsidR="009F0A92" w:rsidRDefault="009F0A92" w:rsidP="009543DB">
            <w:pPr>
              <w:pStyle w:val="Tabletextright"/>
            </w:pPr>
            <w:r>
              <w:t>121.6</w:t>
            </w:r>
          </w:p>
        </w:tc>
        <w:tc>
          <w:tcPr>
            <w:tcW w:w="982" w:type="dxa"/>
            <w:tcBorders>
              <w:left w:val="nil"/>
              <w:right w:val="nil"/>
            </w:tcBorders>
          </w:tcPr>
          <w:p w:rsidR="009F0A92" w:rsidRDefault="009F0A92" w:rsidP="009543DB">
            <w:pPr>
              <w:pStyle w:val="Tabletextright"/>
            </w:pPr>
            <w:r>
              <w:t>123.7</w:t>
            </w:r>
          </w:p>
        </w:tc>
        <w:tc>
          <w:tcPr>
            <w:tcW w:w="982" w:type="dxa"/>
            <w:tcBorders>
              <w:left w:val="nil"/>
              <w:right w:val="nil"/>
            </w:tcBorders>
          </w:tcPr>
          <w:p w:rsidR="009F0A92" w:rsidRDefault="009F0A92" w:rsidP="009543DB">
            <w:pPr>
              <w:pStyle w:val="Tabletextright"/>
            </w:pPr>
            <w:r>
              <w:t>126.3</w:t>
            </w:r>
          </w:p>
        </w:tc>
        <w:tc>
          <w:tcPr>
            <w:tcW w:w="983" w:type="dxa"/>
            <w:tcBorders>
              <w:left w:val="nil"/>
              <w:right w:val="nil"/>
            </w:tcBorders>
          </w:tcPr>
          <w:p w:rsidR="009F0A92" w:rsidRDefault="009F0A92" w:rsidP="009543DB">
            <w:pPr>
              <w:pStyle w:val="Tabletextright"/>
            </w:pPr>
            <w:r>
              <w:t>125.6</w:t>
            </w:r>
          </w:p>
        </w:tc>
        <w:tc>
          <w:tcPr>
            <w:tcW w:w="982" w:type="dxa"/>
            <w:tcBorders>
              <w:left w:val="nil"/>
              <w:right w:val="nil"/>
            </w:tcBorders>
          </w:tcPr>
          <w:p w:rsidR="009F0A92" w:rsidRDefault="009F0A92" w:rsidP="009543DB">
            <w:pPr>
              <w:pStyle w:val="Tabletextright"/>
            </w:pPr>
            <w:r>
              <w:t>132.9</w:t>
            </w:r>
          </w:p>
        </w:tc>
        <w:tc>
          <w:tcPr>
            <w:tcW w:w="982" w:type="dxa"/>
            <w:tcBorders>
              <w:left w:val="nil"/>
              <w:right w:val="nil"/>
            </w:tcBorders>
          </w:tcPr>
          <w:p w:rsidR="009F0A92" w:rsidRDefault="009F0A92" w:rsidP="009543DB">
            <w:pPr>
              <w:pStyle w:val="Tabletextright"/>
            </w:pPr>
            <w:r>
              <w:t>140.8</w:t>
            </w:r>
          </w:p>
        </w:tc>
        <w:tc>
          <w:tcPr>
            <w:tcW w:w="983" w:type="dxa"/>
            <w:tcBorders>
              <w:left w:val="nil"/>
              <w:right w:val="nil"/>
            </w:tcBorders>
          </w:tcPr>
          <w:p w:rsidR="009F0A92" w:rsidRDefault="009F0A92" w:rsidP="009543DB">
            <w:pPr>
              <w:pStyle w:val="Tabletextright"/>
            </w:pPr>
            <w:r>
              <w:t>153.6</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left"/>
            </w:pPr>
            <w:r>
              <w:t>Security services</w:t>
            </w:r>
          </w:p>
        </w:tc>
        <w:tc>
          <w:tcPr>
            <w:tcW w:w="982" w:type="dxa"/>
            <w:tcBorders>
              <w:left w:val="nil"/>
              <w:right w:val="nil"/>
            </w:tcBorders>
          </w:tcPr>
          <w:p w:rsidR="009F0A92" w:rsidRDefault="009F0A92" w:rsidP="009543DB">
            <w:pPr>
              <w:pStyle w:val="Tabletextright"/>
            </w:pPr>
            <w:r>
              <w:t>21.2</w:t>
            </w:r>
          </w:p>
        </w:tc>
        <w:tc>
          <w:tcPr>
            <w:tcW w:w="982" w:type="dxa"/>
            <w:tcBorders>
              <w:left w:val="nil"/>
              <w:right w:val="nil"/>
            </w:tcBorders>
          </w:tcPr>
          <w:p w:rsidR="009F0A92" w:rsidRDefault="009F0A92" w:rsidP="009543DB">
            <w:pPr>
              <w:pStyle w:val="Tabletextright"/>
            </w:pPr>
            <w:r>
              <w:t>26.0</w:t>
            </w:r>
          </w:p>
        </w:tc>
        <w:tc>
          <w:tcPr>
            <w:tcW w:w="982" w:type="dxa"/>
            <w:tcBorders>
              <w:left w:val="nil"/>
              <w:right w:val="nil"/>
            </w:tcBorders>
          </w:tcPr>
          <w:p w:rsidR="009F0A92" w:rsidRDefault="009F0A92" w:rsidP="009543DB">
            <w:pPr>
              <w:pStyle w:val="Tabletextright"/>
            </w:pPr>
            <w:r>
              <w:t>21.6</w:t>
            </w:r>
          </w:p>
        </w:tc>
        <w:tc>
          <w:tcPr>
            <w:tcW w:w="983" w:type="dxa"/>
            <w:tcBorders>
              <w:left w:val="nil"/>
              <w:right w:val="nil"/>
            </w:tcBorders>
          </w:tcPr>
          <w:p w:rsidR="009F0A92" w:rsidRDefault="009F0A92" w:rsidP="009543DB">
            <w:pPr>
              <w:pStyle w:val="Tabletextright"/>
            </w:pPr>
            <w:r>
              <w:t>27.4</w:t>
            </w:r>
          </w:p>
        </w:tc>
        <w:tc>
          <w:tcPr>
            <w:tcW w:w="982" w:type="dxa"/>
            <w:tcBorders>
              <w:left w:val="nil"/>
              <w:right w:val="nil"/>
            </w:tcBorders>
          </w:tcPr>
          <w:p w:rsidR="009F0A92" w:rsidRDefault="009F0A92" w:rsidP="009543DB">
            <w:pPr>
              <w:pStyle w:val="Tabletextright"/>
            </w:pPr>
            <w:r>
              <w:t>30.8</w:t>
            </w:r>
          </w:p>
        </w:tc>
        <w:tc>
          <w:tcPr>
            <w:tcW w:w="982" w:type="dxa"/>
            <w:tcBorders>
              <w:left w:val="nil"/>
              <w:right w:val="nil"/>
            </w:tcBorders>
          </w:tcPr>
          <w:p w:rsidR="009F0A92" w:rsidRDefault="009F0A92" w:rsidP="009543DB">
            <w:pPr>
              <w:pStyle w:val="Tabletextright"/>
            </w:pPr>
            <w:r>
              <w:t>23.4</w:t>
            </w:r>
          </w:p>
        </w:tc>
        <w:tc>
          <w:tcPr>
            <w:tcW w:w="982" w:type="dxa"/>
            <w:tcBorders>
              <w:left w:val="nil"/>
              <w:right w:val="nil"/>
            </w:tcBorders>
          </w:tcPr>
          <w:p w:rsidR="009F0A92" w:rsidRDefault="009F0A92" w:rsidP="009543DB">
            <w:pPr>
              <w:pStyle w:val="Tabletextright"/>
            </w:pPr>
            <w:r>
              <w:t>23.0</w:t>
            </w:r>
          </w:p>
        </w:tc>
        <w:tc>
          <w:tcPr>
            <w:tcW w:w="983" w:type="dxa"/>
            <w:tcBorders>
              <w:left w:val="nil"/>
              <w:right w:val="nil"/>
            </w:tcBorders>
          </w:tcPr>
          <w:p w:rsidR="009F0A92" w:rsidRDefault="009F0A92" w:rsidP="009543DB">
            <w:pPr>
              <w:pStyle w:val="Tabletextright"/>
            </w:pPr>
            <w:r>
              <w:t>23.1</w:t>
            </w:r>
          </w:p>
        </w:tc>
        <w:tc>
          <w:tcPr>
            <w:tcW w:w="982" w:type="dxa"/>
            <w:tcBorders>
              <w:left w:val="nil"/>
              <w:right w:val="nil"/>
            </w:tcBorders>
          </w:tcPr>
          <w:p w:rsidR="009F0A92" w:rsidRDefault="009F0A92" w:rsidP="009543DB">
            <w:pPr>
              <w:pStyle w:val="Tabletextright"/>
            </w:pPr>
            <w:r>
              <w:t>25.5</w:t>
            </w:r>
          </w:p>
        </w:tc>
        <w:tc>
          <w:tcPr>
            <w:tcW w:w="982" w:type="dxa"/>
            <w:tcBorders>
              <w:left w:val="nil"/>
              <w:right w:val="nil"/>
            </w:tcBorders>
          </w:tcPr>
          <w:p w:rsidR="009F0A92" w:rsidRDefault="009F0A92" w:rsidP="009543DB">
            <w:pPr>
              <w:pStyle w:val="Tabletextright"/>
            </w:pPr>
            <w:r>
              <w:t>27.6</w:t>
            </w:r>
          </w:p>
        </w:tc>
        <w:tc>
          <w:tcPr>
            <w:tcW w:w="983" w:type="dxa"/>
            <w:tcBorders>
              <w:left w:val="nil"/>
              <w:right w:val="nil"/>
            </w:tcBorders>
          </w:tcPr>
          <w:p w:rsidR="009F0A92" w:rsidRDefault="009F0A92" w:rsidP="009543DB">
            <w:pPr>
              <w:pStyle w:val="Tabletextright"/>
            </w:pPr>
            <w:r>
              <w:t>27.0</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heading"/>
            </w:pPr>
            <w:r>
              <w:t>Total airport</w:t>
            </w:r>
          </w:p>
        </w:tc>
        <w:tc>
          <w:tcPr>
            <w:tcW w:w="982" w:type="dxa"/>
            <w:tcBorders>
              <w:left w:val="nil"/>
              <w:right w:val="nil"/>
            </w:tcBorders>
          </w:tcPr>
          <w:p w:rsidR="009F0A92" w:rsidRDefault="009F0A92" w:rsidP="009543DB">
            <w:pPr>
              <w:pStyle w:val="Tabletextheadingright"/>
            </w:pPr>
            <w:r>
              <w:t>132.8</w:t>
            </w:r>
          </w:p>
        </w:tc>
        <w:tc>
          <w:tcPr>
            <w:tcW w:w="982" w:type="dxa"/>
            <w:tcBorders>
              <w:left w:val="nil"/>
              <w:right w:val="nil"/>
            </w:tcBorders>
          </w:tcPr>
          <w:p w:rsidR="009F0A92" w:rsidRDefault="009F0A92" w:rsidP="009543DB">
            <w:pPr>
              <w:pStyle w:val="Tabletextheadingright"/>
            </w:pPr>
            <w:r>
              <w:t>139.4</w:t>
            </w:r>
          </w:p>
        </w:tc>
        <w:tc>
          <w:tcPr>
            <w:tcW w:w="982" w:type="dxa"/>
            <w:tcBorders>
              <w:left w:val="nil"/>
              <w:right w:val="nil"/>
            </w:tcBorders>
          </w:tcPr>
          <w:p w:rsidR="009F0A92" w:rsidRDefault="009F0A92" w:rsidP="009543DB">
            <w:pPr>
              <w:pStyle w:val="Tabletextheadingright"/>
            </w:pPr>
            <w:r>
              <w:t>143.4</w:t>
            </w:r>
          </w:p>
        </w:tc>
        <w:tc>
          <w:tcPr>
            <w:tcW w:w="983" w:type="dxa"/>
            <w:tcBorders>
              <w:left w:val="nil"/>
              <w:right w:val="nil"/>
            </w:tcBorders>
          </w:tcPr>
          <w:p w:rsidR="009F0A92" w:rsidRDefault="009F0A92" w:rsidP="009543DB">
            <w:pPr>
              <w:pStyle w:val="Tabletextheadingright"/>
            </w:pPr>
            <w:r>
              <w:t>164.6</w:t>
            </w:r>
          </w:p>
        </w:tc>
        <w:tc>
          <w:tcPr>
            <w:tcW w:w="982" w:type="dxa"/>
            <w:tcBorders>
              <w:left w:val="nil"/>
              <w:right w:val="nil"/>
            </w:tcBorders>
          </w:tcPr>
          <w:p w:rsidR="009F0A92" w:rsidRDefault="009F0A92" w:rsidP="009543DB">
            <w:pPr>
              <w:pStyle w:val="Tabletextheadingright"/>
            </w:pPr>
            <w:r>
              <w:t>194.7</w:t>
            </w:r>
          </w:p>
        </w:tc>
        <w:tc>
          <w:tcPr>
            <w:tcW w:w="982" w:type="dxa"/>
            <w:tcBorders>
              <w:left w:val="nil"/>
              <w:right w:val="nil"/>
            </w:tcBorders>
          </w:tcPr>
          <w:p w:rsidR="009F0A92" w:rsidRDefault="009F0A92" w:rsidP="009543DB">
            <w:pPr>
              <w:pStyle w:val="Tabletextheadingright"/>
            </w:pPr>
            <w:r>
              <w:t>198.1</w:t>
            </w:r>
          </w:p>
        </w:tc>
        <w:tc>
          <w:tcPr>
            <w:tcW w:w="982" w:type="dxa"/>
            <w:tcBorders>
              <w:left w:val="nil"/>
              <w:right w:val="nil"/>
            </w:tcBorders>
          </w:tcPr>
          <w:p w:rsidR="009F0A92" w:rsidRDefault="009F0A92" w:rsidP="009543DB">
            <w:pPr>
              <w:pStyle w:val="Tabletextheadingright"/>
            </w:pPr>
            <w:r>
              <w:t>207.0</w:t>
            </w:r>
          </w:p>
        </w:tc>
        <w:tc>
          <w:tcPr>
            <w:tcW w:w="983" w:type="dxa"/>
            <w:tcBorders>
              <w:left w:val="nil"/>
              <w:right w:val="nil"/>
            </w:tcBorders>
          </w:tcPr>
          <w:p w:rsidR="009F0A92" w:rsidRDefault="009F0A92" w:rsidP="009543DB">
            <w:pPr>
              <w:pStyle w:val="Tabletextheadingright"/>
            </w:pPr>
            <w:r>
              <w:t>211.6</w:t>
            </w:r>
          </w:p>
        </w:tc>
        <w:tc>
          <w:tcPr>
            <w:tcW w:w="982" w:type="dxa"/>
            <w:tcBorders>
              <w:left w:val="nil"/>
              <w:right w:val="nil"/>
            </w:tcBorders>
          </w:tcPr>
          <w:p w:rsidR="009F0A92" w:rsidRDefault="009F0A92" w:rsidP="009543DB">
            <w:pPr>
              <w:pStyle w:val="Tabletextheadingright"/>
            </w:pPr>
            <w:r>
              <w:t>229.6</w:t>
            </w:r>
          </w:p>
        </w:tc>
        <w:tc>
          <w:tcPr>
            <w:tcW w:w="982" w:type="dxa"/>
            <w:tcBorders>
              <w:left w:val="nil"/>
              <w:right w:val="nil"/>
            </w:tcBorders>
          </w:tcPr>
          <w:p w:rsidR="009F0A92" w:rsidRDefault="009F0A92" w:rsidP="009543DB">
            <w:pPr>
              <w:pStyle w:val="Tabletextheadingright"/>
            </w:pPr>
            <w:r>
              <w:t>240.9</w:t>
            </w:r>
          </w:p>
        </w:tc>
        <w:tc>
          <w:tcPr>
            <w:tcW w:w="983" w:type="dxa"/>
            <w:tcBorders>
              <w:left w:val="nil"/>
              <w:right w:val="nil"/>
            </w:tcBorders>
          </w:tcPr>
          <w:p w:rsidR="009F0A92" w:rsidRDefault="009F0A92" w:rsidP="009543DB">
            <w:pPr>
              <w:pStyle w:val="Tabletextheadingright"/>
            </w:pPr>
            <w:r>
              <w:t>259.0</w:t>
            </w:r>
          </w:p>
        </w:tc>
      </w:tr>
      <w:tr w:rsidR="009F0A92" w:rsidTr="009543DB">
        <w:tc>
          <w:tcPr>
            <w:tcW w:w="1526" w:type="dxa"/>
            <w:vMerge w:val="restart"/>
            <w:tcBorders>
              <w:left w:val="nil"/>
              <w:right w:val="nil"/>
            </w:tcBorders>
            <w:vAlign w:val="center"/>
          </w:tcPr>
          <w:p w:rsidR="009F0A92" w:rsidRDefault="009F0A92" w:rsidP="009543DB">
            <w:pPr>
              <w:pStyle w:val="Tabletextleft-centred"/>
            </w:pPr>
            <w:r>
              <w:t>Aggregate</w:t>
            </w:r>
          </w:p>
          <w:p w:rsidR="009F0A92" w:rsidRDefault="009F0A92" w:rsidP="009543DB">
            <w:pPr>
              <w:pStyle w:val="Tabletextleft-centred"/>
            </w:pPr>
            <w:r>
              <w:t>margin ($million)</w:t>
            </w:r>
          </w:p>
        </w:tc>
        <w:tc>
          <w:tcPr>
            <w:tcW w:w="1701" w:type="dxa"/>
            <w:tcBorders>
              <w:left w:val="nil"/>
              <w:right w:val="nil"/>
            </w:tcBorders>
          </w:tcPr>
          <w:p w:rsidR="009F0A92" w:rsidRDefault="009F0A92" w:rsidP="009543DB">
            <w:pPr>
              <w:pStyle w:val="Tabletextleft"/>
            </w:pPr>
            <w:r>
              <w:t>Total aeronautical</w:t>
            </w:r>
          </w:p>
        </w:tc>
        <w:tc>
          <w:tcPr>
            <w:tcW w:w="982" w:type="dxa"/>
            <w:tcBorders>
              <w:left w:val="nil"/>
              <w:right w:val="nil"/>
            </w:tcBorders>
          </w:tcPr>
          <w:p w:rsidR="009F0A92" w:rsidRDefault="009F0A92" w:rsidP="009543DB">
            <w:pPr>
              <w:pStyle w:val="Tabletextright"/>
            </w:pPr>
            <w:r>
              <w:t>25.1</w:t>
            </w:r>
          </w:p>
        </w:tc>
        <w:tc>
          <w:tcPr>
            <w:tcW w:w="982" w:type="dxa"/>
            <w:tcBorders>
              <w:left w:val="nil"/>
              <w:right w:val="nil"/>
            </w:tcBorders>
          </w:tcPr>
          <w:p w:rsidR="009F0A92" w:rsidRDefault="009F0A92" w:rsidP="009543DB">
            <w:pPr>
              <w:pStyle w:val="Tabletextright"/>
            </w:pPr>
            <w:r>
              <w:t>29.4</w:t>
            </w:r>
          </w:p>
        </w:tc>
        <w:tc>
          <w:tcPr>
            <w:tcW w:w="982" w:type="dxa"/>
            <w:tcBorders>
              <w:left w:val="nil"/>
              <w:right w:val="nil"/>
            </w:tcBorders>
          </w:tcPr>
          <w:p w:rsidR="009F0A92" w:rsidRDefault="009F0A92" w:rsidP="009543DB">
            <w:pPr>
              <w:pStyle w:val="Tabletextright"/>
            </w:pPr>
            <w:r>
              <w:t>40.6</w:t>
            </w:r>
          </w:p>
        </w:tc>
        <w:tc>
          <w:tcPr>
            <w:tcW w:w="983" w:type="dxa"/>
            <w:tcBorders>
              <w:left w:val="nil"/>
              <w:right w:val="nil"/>
            </w:tcBorders>
          </w:tcPr>
          <w:p w:rsidR="009F0A92" w:rsidRDefault="009F0A92" w:rsidP="009543DB">
            <w:pPr>
              <w:pStyle w:val="Tabletextright"/>
            </w:pPr>
            <w:r>
              <w:t>64.5</w:t>
            </w:r>
          </w:p>
        </w:tc>
        <w:tc>
          <w:tcPr>
            <w:tcW w:w="982" w:type="dxa"/>
            <w:tcBorders>
              <w:left w:val="nil"/>
              <w:right w:val="nil"/>
            </w:tcBorders>
          </w:tcPr>
          <w:p w:rsidR="009F0A92" w:rsidRDefault="009F0A92" w:rsidP="009543DB">
            <w:pPr>
              <w:pStyle w:val="Tabletextright"/>
            </w:pPr>
            <w:r>
              <w:t>67.0</w:t>
            </w:r>
          </w:p>
        </w:tc>
        <w:tc>
          <w:tcPr>
            <w:tcW w:w="982" w:type="dxa"/>
            <w:tcBorders>
              <w:left w:val="nil"/>
              <w:right w:val="nil"/>
            </w:tcBorders>
          </w:tcPr>
          <w:p w:rsidR="009F0A92" w:rsidRDefault="009F0A92" w:rsidP="009543DB">
            <w:pPr>
              <w:pStyle w:val="Tabletextright"/>
            </w:pPr>
            <w:r>
              <w:t>79.4</w:t>
            </w:r>
          </w:p>
        </w:tc>
        <w:tc>
          <w:tcPr>
            <w:tcW w:w="982" w:type="dxa"/>
            <w:tcBorders>
              <w:left w:val="nil"/>
              <w:right w:val="nil"/>
            </w:tcBorders>
          </w:tcPr>
          <w:p w:rsidR="009F0A92" w:rsidRDefault="009F0A92" w:rsidP="009543DB">
            <w:pPr>
              <w:pStyle w:val="Tabletextright"/>
            </w:pPr>
            <w:r>
              <w:t>90.7</w:t>
            </w:r>
          </w:p>
        </w:tc>
        <w:tc>
          <w:tcPr>
            <w:tcW w:w="983" w:type="dxa"/>
            <w:tcBorders>
              <w:left w:val="nil"/>
              <w:right w:val="nil"/>
            </w:tcBorders>
          </w:tcPr>
          <w:p w:rsidR="009F0A92" w:rsidRDefault="009F0A92" w:rsidP="009543DB">
            <w:pPr>
              <w:pStyle w:val="Tabletextright"/>
            </w:pPr>
            <w:r>
              <w:t>101.3</w:t>
            </w:r>
          </w:p>
        </w:tc>
        <w:tc>
          <w:tcPr>
            <w:tcW w:w="982" w:type="dxa"/>
            <w:tcBorders>
              <w:left w:val="nil"/>
              <w:right w:val="nil"/>
            </w:tcBorders>
          </w:tcPr>
          <w:p w:rsidR="009F0A92" w:rsidRDefault="009F0A92" w:rsidP="009543DB">
            <w:pPr>
              <w:pStyle w:val="Tabletextright"/>
            </w:pPr>
            <w:r>
              <w:t>104.6</w:t>
            </w:r>
          </w:p>
        </w:tc>
        <w:tc>
          <w:tcPr>
            <w:tcW w:w="982" w:type="dxa"/>
            <w:tcBorders>
              <w:left w:val="nil"/>
              <w:right w:val="nil"/>
            </w:tcBorders>
          </w:tcPr>
          <w:p w:rsidR="009F0A92" w:rsidRDefault="009F0A92" w:rsidP="009543DB">
            <w:pPr>
              <w:pStyle w:val="Tabletextright"/>
            </w:pPr>
            <w:r>
              <w:t>105.1</w:t>
            </w:r>
          </w:p>
        </w:tc>
        <w:tc>
          <w:tcPr>
            <w:tcW w:w="983" w:type="dxa"/>
            <w:tcBorders>
              <w:left w:val="nil"/>
              <w:right w:val="nil"/>
            </w:tcBorders>
          </w:tcPr>
          <w:p w:rsidR="009F0A92" w:rsidRDefault="009F0A92" w:rsidP="009543DB">
            <w:pPr>
              <w:pStyle w:val="Tabletextright"/>
            </w:pPr>
            <w:r>
              <w:t>118.6</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left"/>
            </w:pPr>
            <w:r>
              <w:t>Security services</w:t>
            </w:r>
          </w:p>
        </w:tc>
        <w:tc>
          <w:tcPr>
            <w:tcW w:w="982" w:type="dxa"/>
            <w:tcBorders>
              <w:left w:val="nil"/>
              <w:right w:val="nil"/>
            </w:tcBorders>
          </w:tcPr>
          <w:p w:rsidR="009F0A92" w:rsidRDefault="009F0A92" w:rsidP="009543DB">
            <w:pPr>
              <w:pStyle w:val="Tabletextright"/>
            </w:pPr>
            <w:r>
              <w:t>0.4</w:t>
            </w:r>
          </w:p>
        </w:tc>
        <w:tc>
          <w:tcPr>
            <w:tcW w:w="982" w:type="dxa"/>
            <w:tcBorders>
              <w:left w:val="nil"/>
              <w:right w:val="nil"/>
            </w:tcBorders>
          </w:tcPr>
          <w:p w:rsidR="009F0A92" w:rsidRDefault="009F0A92" w:rsidP="009543DB">
            <w:pPr>
              <w:pStyle w:val="Tabletextright"/>
            </w:pPr>
            <w:r>
              <w:t>(3.6)</w:t>
            </w:r>
          </w:p>
        </w:tc>
        <w:tc>
          <w:tcPr>
            <w:tcW w:w="982" w:type="dxa"/>
            <w:tcBorders>
              <w:left w:val="nil"/>
              <w:right w:val="nil"/>
            </w:tcBorders>
          </w:tcPr>
          <w:p w:rsidR="009F0A92" w:rsidRDefault="009F0A92" w:rsidP="009543DB">
            <w:pPr>
              <w:pStyle w:val="Tabletextright"/>
            </w:pPr>
            <w:r>
              <w:t>(0.4)</w:t>
            </w:r>
          </w:p>
        </w:tc>
        <w:tc>
          <w:tcPr>
            <w:tcW w:w="983" w:type="dxa"/>
            <w:tcBorders>
              <w:left w:val="nil"/>
              <w:right w:val="nil"/>
            </w:tcBorders>
          </w:tcPr>
          <w:p w:rsidR="009F0A92" w:rsidRDefault="009F0A92" w:rsidP="009543DB">
            <w:pPr>
              <w:pStyle w:val="Tabletextright"/>
            </w:pPr>
            <w:r>
              <w:t>3.2</w:t>
            </w:r>
          </w:p>
        </w:tc>
        <w:tc>
          <w:tcPr>
            <w:tcW w:w="982" w:type="dxa"/>
            <w:tcBorders>
              <w:left w:val="nil"/>
              <w:right w:val="nil"/>
            </w:tcBorders>
          </w:tcPr>
          <w:p w:rsidR="009F0A92" w:rsidRDefault="009F0A92" w:rsidP="009543DB">
            <w:pPr>
              <w:pStyle w:val="Tabletextright"/>
            </w:pPr>
            <w:r>
              <w:t>0.0</w:t>
            </w:r>
          </w:p>
        </w:tc>
        <w:tc>
          <w:tcPr>
            <w:tcW w:w="982" w:type="dxa"/>
            <w:tcBorders>
              <w:left w:val="nil"/>
              <w:right w:val="nil"/>
            </w:tcBorders>
          </w:tcPr>
          <w:p w:rsidR="009F0A92" w:rsidRDefault="009F0A92" w:rsidP="009543DB">
            <w:pPr>
              <w:pStyle w:val="Tabletextright"/>
            </w:pPr>
            <w:r>
              <w:t>3.7</w:t>
            </w:r>
          </w:p>
        </w:tc>
        <w:tc>
          <w:tcPr>
            <w:tcW w:w="982" w:type="dxa"/>
            <w:tcBorders>
              <w:left w:val="nil"/>
              <w:right w:val="nil"/>
            </w:tcBorders>
          </w:tcPr>
          <w:p w:rsidR="009F0A92" w:rsidRDefault="009F0A92" w:rsidP="009543DB">
            <w:pPr>
              <w:pStyle w:val="Tabletextright"/>
            </w:pPr>
            <w:r>
              <w:t>0.0</w:t>
            </w:r>
          </w:p>
        </w:tc>
        <w:tc>
          <w:tcPr>
            <w:tcW w:w="983" w:type="dxa"/>
            <w:tcBorders>
              <w:left w:val="nil"/>
              <w:right w:val="nil"/>
            </w:tcBorders>
          </w:tcPr>
          <w:p w:rsidR="009F0A92" w:rsidRDefault="009F0A92" w:rsidP="009543DB">
            <w:pPr>
              <w:pStyle w:val="Tabletextright"/>
            </w:pPr>
            <w:r>
              <w:t>0.0</w:t>
            </w:r>
          </w:p>
        </w:tc>
        <w:tc>
          <w:tcPr>
            <w:tcW w:w="982" w:type="dxa"/>
            <w:tcBorders>
              <w:left w:val="nil"/>
              <w:right w:val="nil"/>
            </w:tcBorders>
          </w:tcPr>
          <w:p w:rsidR="009F0A92" w:rsidRDefault="009F0A92" w:rsidP="009543DB">
            <w:pPr>
              <w:pStyle w:val="Tabletextright"/>
            </w:pPr>
            <w:r>
              <w:t>0.0</w:t>
            </w:r>
          </w:p>
        </w:tc>
        <w:tc>
          <w:tcPr>
            <w:tcW w:w="982" w:type="dxa"/>
            <w:tcBorders>
              <w:left w:val="nil"/>
              <w:right w:val="nil"/>
            </w:tcBorders>
          </w:tcPr>
          <w:p w:rsidR="009F0A92" w:rsidRDefault="009F0A92" w:rsidP="009543DB">
            <w:pPr>
              <w:pStyle w:val="Tabletextright"/>
            </w:pPr>
            <w:r>
              <w:t>0.0</w:t>
            </w:r>
          </w:p>
        </w:tc>
        <w:tc>
          <w:tcPr>
            <w:tcW w:w="983" w:type="dxa"/>
            <w:tcBorders>
              <w:left w:val="nil"/>
              <w:right w:val="nil"/>
            </w:tcBorders>
          </w:tcPr>
          <w:p w:rsidR="009F0A92" w:rsidRDefault="009F0A92" w:rsidP="009543DB">
            <w:pPr>
              <w:pStyle w:val="Tabletextright"/>
            </w:pPr>
            <w:r>
              <w:t>0.0</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heading"/>
            </w:pPr>
            <w:r>
              <w:t>Total airport</w:t>
            </w:r>
          </w:p>
        </w:tc>
        <w:tc>
          <w:tcPr>
            <w:tcW w:w="982" w:type="dxa"/>
            <w:tcBorders>
              <w:left w:val="nil"/>
              <w:right w:val="nil"/>
            </w:tcBorders>
          </w:tcPr>
          <w:p w:rsidR="009F0A92" w:rsidRDefault="009F0A92" w:rsidP="009543DB">
            <w:pPr>
              <w:pStyle w:val="Tabletextheadingright"/>
            </w:pPr>
            <w:r>
              <w:t>187.4</w:t>
            </w:r>
          </w:p>
        </w:tc>
        <w:tc>
          <w:tcPr>
            <w:tcW w:w="982" w:type="dxa"/>
            <w:tcBorders>
              <w:left w:val="nil"/>
              <w:right w:val="nil"/>
            </w:tcBorders>
          </w:tcPr>
          <w:p w:rsidR="009F0A92" w:rsidRDefault="009F0A92" w:rsidP="009543DB">
            <w:pPr>
              <w:pStyle w:val="Tabletextheadingright"/>
            </w:pPr>
            <w:r>
              <w:t>259.4</w:t>
            </w:r>
          </w:p>
        </w:tc>
        <w:tc>
          <w:tcPr>
            <w:tcW w:w="982" w:type="dxa"/>
            <w:tcBorders>
              <w:left w:val="nil"/>
              <w:right w:val="nil"/>
            </w:tcBorders>
          </w:tcPr>
          <w:p w:rsidR="009F0A92" w:rsidRDefault="009F0A92" w:rsidP="009543DB">
            <w:pPr>
              <w:pStyle w:val="Tabletextheadingright"/>
            </w:pPr>
            <w:r>
              <w:t>265.4</w:t>
            </w:r>
          </w:p>
        </w:tc>
        <w:tc>
          <w:tcPr>
            <w:tcW w:w="983" w:type="dxa"/>
            <w:tcBorders>
              <w:left w:val="nil"/>
              <w:right w:val="nil"/>
            </w:tcBorders>
          </w:tcPr>
          <w:p w:rsidR="009F0A92" w:rsidRDefault="009F0A92" w:rsidP="009543DB">
            <w:pPr>
              <w:pStyle w:val="Tabletextheadingright"/>
            </w:pPr>
            <w:r>
              <w:t>303.2</w:t>
            </w:r>
          </w:p>
        </w:tc>
        <w:tc>
          <w:tcPr>
            <w:tcW w:w="982" w:type="dxa"/>
            <w:tcBorders>
              <w:left w:val="nil"/>
              <w:right w:val="nil"/>
            </w:tcBorders>
          </w:tcPr>
          <w:p w:rsidR="009F0A92" w:rsidRDefault="009F0A92" w:rsidP="009543DB">
            <w:pPr>
              <w:pStyle w:val="Tabletextheadingright"/>
            </w:pPr>
            <w:r>
              <w:t>245.7</w:t>
            </w:r>
          </w:p>
        </w:tc>
        <w:tc>
          <w:tcPr>
            <w:tcW w:w="982" w:type="dxa"/>
            <w:tcBorders>
              <w:left w:val="nil"/>
              <w:right w:val="nil"/>
            </w:tcBorders>
          </w:tcPr>
          <w:p w:rsidR="009F0A92" w:rsidRDefault="009F0A92" w:rsidP="009543DB">
            <w:pPr>
              <w:pStyle w:val="Tabletextheadingright"/>
            </w:pPr>
            <w:r>
              <w:t>279.4</w:t>
            </w:r>
          </w:p>
        </w:tc>
        <w:tc>
          <w:tcPr>
            <w:tcW w:w="982" w:type="dxa"/>
            <w:tcBorders>
              <w:left w:val="nil"/>
              <w:right w:val="nil"/>
            </w:tcBorders>
          </w:tcPr>
          <w:p w:rsidR="009F0A92" w:rsidRDefault="009F0A92" w:rsidP="009543DB">
            <w:pPr>
              <w:pStyle w:val="Tabletextheadingright"/>
            </w:pPr>
            <w:r>
              <w:t>292.1</w:t>
            </w:r>
          </w:p>
        </w:tc>
        <w:tc>
          <w:tcPr>
            <w:tcW w:w="983" w:type="dxa"/>
            <w:tcBorders>
              <w:left w:val="nil"/>
              <w:right w:val="nil"/>
            </w:tcBorders>
          </w:tcPr>
          <w:p w:rsidR="009F0A92" w:rsidRDefault="009F0A92" w:rsidP="009543DB">
            <w:pPr>
              <w:pStyle w:val="Tabletextheadingright"/>
            </w:pPr>
            <w:r>
              <w:t>307.7</w:t>
            </w:r>
          </w:p>
        </w:tc>
        <w:tc>
          <w:tcPr>
            <w:tcW w:w="982" w:type="dxa"/>
            <w:tcBorders>
              <w:left w:val="nil"/>
              <w:right w:val="nil"/>
            </w:tcBorders>
          </w:tcPr>
          <w:p w:rsidR="009F0A92" w:rsidRDefault="009F0A92" w:rsidP="009543DB">
            <w:pPr>
              <w:pStyle w:val="Tabletextheadingright"/>
            </w:pPr>
            <w:r>
              <w:t>320.9</w:t>
            </w:r>
          </w:p>
        </w:tc>
        <w:tc>
          <w:tcPr>
            <w:tcW w:w="982" w:type="dxa"/>
            <w:tcBorders>
              <w:left w:val="nil"/>
              <w:right w:val="nil"/>
            </w:tcBorders>
          </w:tcPr>
          <w:p w:rsidR="009F0A92" w:rsidRDefault="009F0A92" w:rsidP="009543DB">
            <w:pPr>
              <w:pStyle w:val="Tabletextheadingright"/>
            </w:pPr>
            <w:r>
              <w:t>332.9</w:t>
            </w:r>
          </w:p>
        </w:tc>
        <w:tc>
          <w:tcPr>
            <w:tcW w:w="983" w:type="dxa"/>
            <w:tcBorders>
              <w:left w:val="nil"/>
              <w:right w:val="nil"/>
            </w:tcBorders>
          </w:tcPr>
          <w:p w:rsidR="009F0A92" w:rsidRDefault="009F0A92" w:rsidP="009543DB">
            <w:pPr>
              <w:pStyle w:val="Tabletextheadingright"/>
            </w:pPr>
            <w:r>
              <w:t>351.7</w:t>
            </w:r>
          </w:p>
        </w:tc>
      </w:tr>
      <w:tr w:rsidR="009F0A92" w:rsidTr="009543DB">
        <w:tc>
          <w:tcPr>
            <w:tcW w:w="1526" w:type="dxa"/>
            <w:vMerge w:val="restart"/>
            <w:tcBorders>
              <w:left w:val="nil"/>
              <w:right w:val="nil"/>
            </w:tcBorders>
            <w:vAlign w:val="center"/>
          </w:tcPr>
          <w:p w:rsidR="009F0A92" w:rsidRDefault="009F0A92" w:rsidP="009543DB">
            <w:pPr>
              <w:pStyle w:val="Tabletextleft-centred"/>
            </w:pPr>
            <w:r>
              <w:t xml:space="preserve">Aggregate </w:t>
            </w:r>
            <w:r w:rsidRPr="00434D61">
              <w:t>margin</w:t>
            </w:r>
            <w:r>
              <w:t xml:space="preserve"> % of total revenue</w:t>
            </w:r>
          </w:p>
        </w:tc>
        <w:tc>
          <w:tcPr>
            <w:tcW w:w="1701" w:type="dxa"/>
            <w:tcBorders>
              <w:left w:val="nil"/>
              <w:right w:val="nil"/>
            </w:tcBorders>
          </w:tcPr>
          <w:p w:rsidR="009F0A92" w:rsidRDefault="009F0A92" w:rsidP="009543DB">
            <w:pPr>
              <w:pStyle w:val="Tabletextleft"/>
            </w:pPr>
            <w:r>
              <w:t>Aeronautical</w:t>
            </w:r>
          </w:p>
        </w:tc>
        <w:tc>
          <w:tcPr>
            <w:tcW w:w="982" w:type="dxa"/>
            <w:tcBorders>
              <w:left w:val="nil"/>
              <w:right w:val="nil"/>
            </w:tcBorders>
          </w:tcPr>
          <w:p w:rsidR="009F0A92" w:rsidRDefault="009F0A92" w:rsidP="009543DB">
            <w:pPr>
              <w:pStyle w:val="Tabletextright"/>
            </w:pPr>
            <w:r>
              <w:t>22.3</w:t>
            </w:r>
          </w:p>
        </w:tc>
        <w:tc>
          <w:tcPr>
            <w:tcW w:w="982" w:type="dxa"/>
            <w:tcBorders>
              <w:left w:val="nil"/>
              <w:right w:val="nil"/>
            </w:tcBorders>
          </w:tcPr>
          <w:p w:rsidR="009F0A92" w:rsidRDefault="009F0A92" w:rsidP="009543DB">
            <w:pPr>
              <w:pStyle w:val="Tabletextright"/>
            </w:pPr>
            <w:r>
              <w:t>24.2</w:t>
            </w:r>
          </w:p>
        </w:tc>
        <w:tc>
          <w:tcPr>
            <w:tcW w:w="982" w:type="dxa"/>
            <w:tcBorders>
              <w:left w:val="nil"/>
              <w:right w:val="nil"/>
            </w:tcBorders>
          </w:tcPr>
          <w:p w:rsidR="009F0A92" w:rsidRDefault="009F0A92" w:rsidP="009543DB">
            <w:pPr>
              <w:pStyle w:val="Tabletextright"/>
            </w:pPr>
            <w:r>
              <w:t>31.2</w:t>
            </w:r>
          </w:p>
        </w:tc>
        <w:tc>
          <w:tcPr>
            <w:tcW w:w="983" w:type="dxa"/>
            <w:tcBorders>
              <w:left w:val="nil"/>
              <w:right w:val="nil"/>
            </w:tcBorders>
          </w:tcPr>
          <w:p w:rsidR="009F0A92" w:rsidRDefault="009F0A92" w:rsidP="009543DB">
            <w:pPr>
              <w:pStyle w:val="Tabletextright"/>
            </w:pPr>
            <w:r>
              <w:t>38.3</w:t>
            </w:r>
          </w:p>
        </w:tc>
        <w:tc>
          <w:tcPr>
            <w:tcW w:w="982" w:type="dxa"/>
            <w:tcBorders>
              <w:left w:val="nil"/>
              <w:right w:val="nil"/>
            </w:tcBorders>
          </w:tcPr>
          <w:p w:rsidR="009F0A92" w:rsidRDefault="009F0A92" w:rsidP="009543DB">
            <w:pPr>
              <w:pStyle w:val="Tabletextright"/>
            </w:pPr>
            <w:r>
              <w:t>35.5</w:t>
            </w:r>
          </w:p>
        </w:tc>
        <w:tc>
          <w:tcPr>
            <w:tcW w:w="982" w:type="dxa"/>
            <w:tcBorders>
              <w:left w:val="nil"/>
              <w:right w:val="nil"/>
            </w:tcBorders>
          </w:tcPr>
          <w:p w:rsidR="009F0A92" w:rsidRDefault="009F0A92" w:rsidP="009543DB">
            <w:pPr>
              <w:pStyle w:val="Tabletextright"/>
            </w:pPr>
            <w:r>
              <w:t>39.1</w:t>
            </w:r>
          </w:p>
        </w:tc>
        <w:tc>
          <w:tcPr>
            <w:tcW w:w="982" w:type="dxa"/>
            <w:tcBorders>
              <w:left w:val="nil"/>
              <w:right w:val="nil"/>
            </w:tcBorders>
          </w:tcPr>
          <w:p w:rsidR="009F0A92" w:rsidRDefault="009F0A92" w:rsidP="009543DB">
            <w:pPr>
              <w:pStyle w:val="Tabletextright"/>
            </w:pPr>
            <w:r>
              <w:t>41.8</w:t>
            </w:r>
          </w:p>
        </w:tc>
        <w:tc>
          <w:tcPr>
            <w:tcW w:w="983" w:type="dxa"/>
            <w:tcBorders>
              <w:left w:val="nil"/>
              <w:right w:val="nil"/>
            </w:tcBorders>
          </w:tcPr>
          <w:p w:rsidR="009F0A92" w:rsidRDefault="009F0A92" w:rsidP="009543DB">
            <w:pPr>
              <w:pStyle w:val="Tabletextright"/>
            </w:pPr>
            <w:r>
              <w:t>44.6</w:t>
            </w:r>
          </w:p>
        </w:tc>
        <w:tc>
          <w:tcPr>
            <w:tcW w:w="982" w:type="dxa"/>
            <w:tcBorders>
              <w:left w:val="nil"/>
              <w:right w:val="nil"/>
            </w:tcBorders>
          </w:tcPr>
          <w:p w:rsidR="009F0A92" w:rsidRDefault="009F0A92" w:rsidP="009543DB">
            <w:pPr>
              <w:pStyle w:val="Tabletextright"/>
            </w:pPr>
            <w:r>
              <w:t>44.0</w:t>
            </w:r>
          </w:p>
        </w:tc>
        <w:tc>
          <w:tcPr>
            <w:tcW w:w="982" w:type="dxa"/>
            <w:tcBorders>
              <w:left w:val="nil"/>
              <w:right w:val="nil"/>
            </w:tcBorders>
          </w:tcPr>
          <w:p w:rsidR="009F0A92" w:rsidRDefault="009F0A92" w:rsidP="009543DB">
            <w:pPr>
              <w:pStyle w:val="Tabletextright"/>
            </w:pPr>
            <w:r>
              <w:t>42.7</w:t>
            </w:r>
          </w:p>
        </w:tc>
        <w:tc>
          <w:tcPr>
            <w:tcW w:w="983" w:type="dxa"/>
            <w:tcBorders>
              <w:left w:val="nil"/>
              <w:right w:val="nil"/>
            </w:tcBorders>
          </w:tcPr>
          <w:p w:rsidR="009F0A92" w:rsidRDefault="009F0A92" w:rsidP="009543DB">
            <w:pPr>
              <w:pStyle w:val="Tabletextright"/>
            </w:pPr>
            <w:r>
              <w:t>43.6</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vAlign w:val="center"/>
          </w:tcPr>
          <w:p w:rsidR="009F0A92" w:rsidRPr="00434D61" w:rsidRDefault="009F0A92" w:rsidP="009543DB">
            <w:pPr>
              <w:pStyle w:val="Tabletextleft-centred"/>
            </w:pPr>
            <w:r w:rsidRPr="00434D61">
              <w:t>Total airport</w:t>
            </w:r>
          </w:p>
        </w:tc>
        <w:tc>
          <w:tcPr>
            <w:tcW w:w="982" w:type="dxa"/>
            <w:tcBorders>
              <w:left w:val="nil"/>
              <w:right w:val="nil"/>
            </w:tcBorders>
            <w:vAlign w:val="center"/>
          </w:tcPr>
          <w:p w:rsidR="009F0A92" w:rsidRDefault="009F0A92" w:rsidP="009543DB">
            <w:pPr>
              <w:pStyle w:val="Tabletextright-centred"/>
            </w:pPr>
            <w:r>
              <w:t>58.5</w:t>
            </w:r>
          </w:p>
        </w:tc>
        <w:tc>
          <w:tcPr>
            <w:tcW w:w="982" w:type="dxa"/>
            <w:tcBorders>
              <w:left w:val="nil"/>
              <w:right w:val="nil"/>
            </w:tcBorders>
            <w:vAlign w:val="center"/>
          </w:tcPr>
          <w:p w:rsidR="009F0A92" w:rsidRDefault="009F0A92" w:rsidP="009543DB">
            <w:pPr>
              <w:pStyle w:val="Tabletextright-centred"/>
            </w:pPr>
            <w:r>
              <w:t>65.1</w:t>
            </w:r>
          </w:p>
        </w:tc>
        <w:tc>
          <w:tcPr>
            <w:tcW w:w="982" w:type="dxa"/>
            <w:tcBorders>
              <w:left w:val="nil"/>
              <w:right w:val="nil"/>
            </w:tcBorders>
            <w:vAlign w:val="center"/>
          </w:tcPr>
          <w:p w:rsidR="009F0A92" w:rsidRDefault="009F0A92" w:rsidP="009543DB">
            <w:pPr>
              <w:pStyle w:val="Tabletextright-centred"/>
            </w:pPr>
            <w:r>
              <w:t>64.9</w:t>
            </w:r>
          </w:p>
        </w:tc>
        <w:tc>
          <w:tcPr>
            <w:tcW w:w="983" w:type="dxa"/>
            <w:tcBorders>
              <w:left w:val="nil"/>
              <w:right w:val="nil"/>
            </w:tcBorders>
            <w:vAlign w:val="center"/>
          </w:tcPr>
          <w:p w:rsidR="009F0A92" w:rsidRDefault="009F0A92" w:rsidP="009543DB">
            <w:pPr>
              <w:pStyle w:val="Tabletextright-centred"/>
            </w:pPr>
            <w:r>
              <w:t>64.8</w:t>
            </w:r>
          </w:p>
        </w:tc>
        <w:tc>
          <w:tcPr>
            <w:tcW w:w="982" w:type="dxa"/>
            <w:tcBorders>
              <w:left w:val="nil"/>
              <w:right w:val="nil"/>
            </w:tcBorders>
            <w:vAlign w:val="center"/>
          </w:tcPr>
          <w:p w:rsidR="009F0A92" w:rsidRDefault="009F0A92" w:rsidP="009543DB">
            <w:pPr>
              <w:pStyle w:val="Tabletextright-centred"/>
            </w:pPr>
            <w:r>
              <w:t>55.8</w:t>
            </w:r>
          </w:p>
        </w:tc>
        <w:tc>
          <w:tcPr>
            <w:tcW w:w="982" w:type="dxa"/>
            <w:tcBorders>
              <w:left w:val="nil"/>
              <w:right w:val="nil"/>
            </w:tcBorders>
            <w:vAlign w:val="center"/>
          </w:tcPr>
          <w:p w:rsidR="009F0A92" w:rsidRDefault="009F0A92" w:rsidP="009543DB">
            <w:pPr>
              <w:pStyle w:val="Tabletextright-centred"/>
            </w:pPr>
            <w:r>
              <w:t>58.5</w:t>
            </w:r>
          </w:p>
        </w:tc>
        <w:tc>
          <w:tcPr>
            <w:tcW w:w="982" w:type="dxa"/>
            <w:tcBorders>
              <w:left w:val="nil"/>
              <w:right w:val="nil"/>
            </w:tcBorders>
            <w:vAlign w:val="center"/>
          </w:tcPr>
          <w:p w:rsidR="009F0A92" w:rsidRDefault="009F0A92" w:rsidP="009543DB">
            <w:pPr>
              <w:pStyle w:val="Tabletextright-centred"/>
            </w:pPr>
            <w:r>
              <w:t>58.5</w:t>
            </w:r>
          </w:p>
        </w:tc>
        <w:tc>
          <w:tcPr>
            <w:tcW w:w="983" w:type="dxa"/>
            <w:tcBorders>
              <w:left w:val="nil"/>
              <w:right w:val="nil"/>
            </w:tcBorders>
            <w:vAlign w:val="center"/>
          </w:tcPr>
          <w:p w:rsidR="009F0A92" w:rsidRDefault="009F0A92" w:rsidP="009543DB">
            <w:pPr>
              <w:pStyle w:val="Tabletextright-centred"/>
            </w:pPr>
            <w:r>
              <w:t>59.3</w:t>
            </w:r>
          </w:p>
        </w:tc>
        <w:tc>
          <w:tcPr>
            <w:tcW w:w="982" w:type="dxa"/>
            <w:tcBorders>
              <w:left w:val="nil"/>
              <w:right w:val="nil"/>
            </w:tcBorders>
            <w:vAlign w:val="center"/>
          </w:tcPr>
          <w:p w:rsidR="009F0A92" w:rsidRDefault="009F0A92" w:rsidP="009543DB">
            <w:pPr>
              <w:pStyle w:val="Tabletextright-centred"/>
            </w:pPr>
            <w:r>
              <w:t>58.3</w:t>
            </w:r>
          </w:p>
        </w:tc>
        <w:tc>
          <w:tcPr>
            <w:tcW w:w="982" w:type="dxa"/>
            <w:tcBorders>
              <w:left w:val="nil"/>
              <w:right w:val="nil"/>
            </w:tcBorders>
            <w:vAlign w:val="center"/>
          </w:tcPr>
          <w:p w:rsidR="009F0A92" w:rsidRDefault="009F0A92" w:rsidP="009543DB">
            <w:pPr>
              <w:pStyle w:val="Tabletextright-centred"/>
            </w:pPr>
            <w:r>
              <w:t>58.0</w:t>
            </w:r>
          </w:p>
        </w:tc>
        <w:tc>
          <w:tcPr>
            <w:tcW w:w="983" w:type="dxa"/>
            <w:tcBorders>
              <w:left w:val="nil"/>
              <w:right w:val="nil"/>
            </w:tcBorders>
            <w:vAlign w:val="center"/>
          </w:tcPr>
          <w:p w:rsidR="009F0A92" w:rsidRDefault="009F0A92" w:rsidP="009543DB">
            <w:pPr>
              <w:pStyle w:val="Tabletextright-centred"/>
            </w:pPr>
            <w:r>
              <w:t>57.6</w:t>
            </w:r>
          </w:p>
        </w:tc>
      </w:tr>
      <w:tr w:rsidR="009F0A92" w:rsidTr="009543DB">
        <w:tc>
          <w:tcPr>
            <w:tcW w:w="1526" w:type="dxa"/>
            <w:vMerge w:val="restart"/>
            <w:tcBorders>
              <w:left w:val="nil"/>
              <w:right w:val="nil"/>
            </w:tcBorders>
            <w:vAlign w:val="center"/>
          </w:tcPr>
          <w:p w:rsidR="009F0A92" w:rsidRDefault="009F0A92" w:rsidP="009543DB">
            <w:pPr>
              <w:pStyle w:val="Tabletextleft-centred"/>
            </w:pPr>
            <w:r>
              <w:t>Revenue per passenger ($)</w:t>
            </w:r>
          </w:p>
        </w:tc>
        <w:tc>
          <w:tcPr>
            <w:tcW w:w="1701" w:type="dxa"/>
            <w:tcBorders>
              <w:left w:val="nil"/>
              <w:right w:val="nil"/>
            </w:tcBorders>
          </w:tcPr>
          <w:p w:rsidR="009F0A92" w:rsidRDefault="009F0A92" w:rsidP="009543DB">
            <w:pPr>
              <w:pStyle w:val="Tabletextleft"/>
            </w:pPr>
            <w:r>
              <w:t>Total aeronautical</w:t>
            </w:r>
          </w:p>
        </w:tc>
        <w:tc>
          <w:tcPr>
            <w:tcW w:w="982" w:type="dxa"/>
            <w:tcBorders>
              <w:left w:val="nil"/>
              <w:right w:val="nil"/>
            </w:tcBorders>
          </w:tcPr>
          <w:p w:rsidR="009F0A92" w:rsidRDefault="009F0A92" w:rsidP="009543DB">
            <w:pPr>
              <w:pStyle w:val="Tabletextright"/>
            </w:pPr>
            <w:r>
              <w:t>7.10</w:t>
            </w:r>
          </w:p>
        </w:tc>
        <w:tc>
          <w:tcPr>
            <w:tcW w:w="982" w:type="dxa"/>
            <w:tcBorders>
              <w:left w:val="nil"/>
              <w:right w:val="nil"/>
            </w:tcBorders>
          </w:tcPr>
          <w:p w:rsidR="009F0A92" w:rsidRDefault="009F0A92" w:rsidP="009543DB">
            <w:pPr>
              <w:pStyle w:val="Tabletextright"/>
            </w:pPr>
            <w:r>
              <w:t>7.38</w:t>
            </w:r>
          </w:p>
        </w:tc>
        <w:tc>
          <w:tcPr>
            <w:tcW w:w="982" w:type="dxa"/>
            <w:tcBorders>
              <w:left w:val="nil"/>
              <w:right w:val="nil"/>
            </w:tcBorders>
          </w:tcPr>
          <w:p w:rsidR="009F0A92" w:rsidRDefault="009F0A92" w:rsidP="009543DB">
            <w:pPr>
              <w:pStyle w:val="Tabletextright"/>
            </w:pPr>
            <w:r>
              <w:t>7.30</w:t>
            </w:r>
          </w:p>
        </w:tc>
        <w:tc>
          <w:tcPr>
            <w:tcW w:w="983" w:type="dxa"/>
            <w:tcBorders>
              <w:left w:val="nil"/>
              <w:right w:val="nil"/>
            </w:tcBorders>
          </w:tcPr>
          <w:p w:rsidR="009F0A92" w:rsidRDefault="009F0A92" w:rsidP="009543DB">
            <w:pPr>
              <w:pStyle w:val="Tabletextright"/>
            </w:pPr>
            <w:r>
              <w:t>8.96</w:t>
            </w:r>
          </w:p>
        </w:tc>
        <w:tc>
          <w:tcPr>
            <w:tcW w:w="982" w:type="dxa"/>
            <w:tcBorders>
              <w:left w:val="nil"/>
              <w:right w:val="nil"/>
            </w:tcBorders>
          </w:tcPr>
          <w:p w:rsidR="009F0A92" w:rsidRDefault="009F0A92" w:rsidP="009543DB">
            <w:pPr>
              <w:pStyle w:val="Tabletextright"/>
            </w:pPr>
            <w:r>
              <w:t>9.87</w:t>
            </w:r>
          </w:p>
        </w:tc>
        <w:tc>
          <w:tcPr>
            <w:tcW w:w="982" w:type="dxa"/>
            <w:tcBorders>
              <w:left w:val="nil"/>
              <w:right w:val="nil"/>
            </w:tcBorders>
          </w:tcPr>
          <w:p w:rsidR="009F0A92" w:rsidRDefault="009F0A92" w:rsidP="009543DB">
            <w:pPr>
              <w:pStyle w:val="Tabletextright"/>
            </w:pPr>
            <w:r>
              <w:t>10.55</w:t>
            </w:r>
          </w:p>
        </w:tc>
        <w:tc>
          <w:tcPr>
            <w:tcW w:w="982" w:type="dxa"/>
            <w:tcBorders>
              <w:left w:val="nil"/>
              <w:right w:val="nil"/>
            </w:tcBorders>
          </w:tcPr>
          <w:p w:rsidR="009F0A92" w:rsidRDefault="009F0A92" w:rsidP="009543DB">
            <w:pPr>
              <w:pStyle w:val="Tabletextright"/>
            </w:pPr>
            <w:r>
              <w:t>10.71</w:t>
            </w:r>
          </w:p>
        </w:tc>
        <w:tc>
          <w:tcPr>
            <w:tcW w:w="983" w:type="dxa"/>
            <w:tcBorders>
              <w:left w:val="nil"/>
              <w:right w:val="nil"/>
            </w:tcBorders>
          </w:tcPr>
          <w:p w:rsidR="009F0A92" w:rsidRDefault="009F0A92" w:rsidP="009543DB">
            <w:pPr>
              <w:pStyle w:val="Tabletextright"/>
            </w:pPr>
            <w:r>
              <w:t>10.71</w:t>
            </w:r>
          </w:p>
        </w:tc>
        <w:tc>
          <w:tcPr>
            <w:tcW w:w="982" w:type="dxa"/>
            <w:tcBorders>
              <w:left w:val="nil"/>
              <w:right w:val="nil"/>
            </w:tcBorders>
          </w:tcPr>
          <w:p w:rsidR="009F0A92" w:rsidRDefault="009F0A92" w:rsidP="009543DB">
            <w:pPr>
              <w:pStyle w:val="Tabletextright"/>
            </w:pPr>
            <w:r>
              <w:t>10.99</w:t>
            </w:r>
          </w:p>
        </w:tc>
        <w:tc>
          <w:tcPr>
            <w:tcW w:w="982" w:type="dxa"/>
            <w:tcBorders>
              <w:left w:val="nil"/>
              <w:right w:val="nil"/>
            </w:tcBorders>
          </w:tcPr>
          <w:p w:rsidR="009F0A92" w:rsidRDefault="009F0A92" w:rsidP="009543DB">
            <w:pPr>
              <w:pStyle w:val="Tabletextright"/>
            </w:pPr>
            <w:r>
              <w:t>11.13</w:t>
            </w:r>
          </w:p>
        </w:tc>
        <w:tc>
          <w:tcPr>
            <w:tcW w:w="983" w:type="dxa"/>
            <w:tcBorders>
              <w:left w:val="nil"/>
              <w:right w:val="nil"/>
            </w:tcBorders>
          </w:tcPr>
          <w:p w:rsidR="009F0A92" w:rsidRDefault="009F0A92" w:rsidP="009543DB">
            <w:pPr>
              <w:pStyle w:val="Tabletextright"/>
            </w:pPr>
            <w:r>
              <w:t>12.22</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tcPr>
          <w:p w:rsidR="009F0A92" w:rsidRDefault="009F0A92" w:rsidP="009543DB">
            <w:pPr>
              <w:pStyle w:val="Tabletextleft"/>
            </w:pPr>
            <w:r>
              <w:t>Security services</w:t>
            </w:r>
          </w:p>
        </w:tc>
        <w:tc>
          <w:tcPr>
            <w:tcW w:w="982" w:type="dxa"/>
            <w:tcBorders>
              <w:left w:val="nil"/>
              <w:right w:val="nil"/>
            </w:tcBorders>
          </w:tcPr>
          <w:p w:rsidR="009F0A92" w:rsidRDefault="009F0A92" w:rsidP="009543DB">
            <w:pPr>
              <w:pStyle w:val="Tabletextright"/>
            </w:pPr>
            <w:r>
              <w:t>1.36</w:t>
            </w:r>
          </w:p>
        </w:tc>
        <w:tc>
          <w:tcPr>
            <w:tcW w:w="982" w:type="dxa"/>
            <w:tcBorders>
              <w:left w:val="nil"/>
              <w:right w:val="nil"/>
            </w:tcBorders>
          </w:tcPr>
          <w:p w:rsidR="009F0A92" w:rsidRDefault="009F0A92" w:rsidP="009543DB">
            <w:pPr>
              <w:pStyle w:val="Tabletextright"/>
            </w:pPr>
            <w:r>
              <w:t>1.37</w:t>
            </w:r>
          </w:p>
        </w:tc>
        <w:tc>
          <w:tcPr>
            <w:tcW w:w="982" w:type="dxa"/>
            <w:tcBorders>
              <w:left w:val="nil"/>
              <w:right w:val="nil"/>
            </w:tcBorders>
          </w:tcPr>
          <w:p w:rsidR="009F0A92" w:rsidRDefault="009F0A92" w:rsidP="009543DB">
            <w:pPr>
              <w:pStyle w:val="Tabletextright"/>
            </w:pPr>
            <w:r>
              <w:t>1.19</w:t>
            </w:r>
          </w:p>
        </w:tc>
        <w:tc>
          <w:tcPr>
            <w:tcW w:w="983" w:type="dxa"/>
            <w:tcBorders>
              <w:left w:val="nil"/>
              <w:right w:val="nil"/>
            </w:tcBorders>
          </w:tcPr>
          <w:p w:rsidR="009F0A92" w:rsidRDefault="009F0A92" w:rsidP="009543DB">
            <w:pPr>
              <w:pStyle w:val="Tabletextright"/>
            </w:pPr>
            <w:r>
              <w:t>1.63</w:t>
            </w:r>
          </w:p>
        </w:tc>
        <w:tc>
          <w:tcPr>
            <w:tcW w:w="982" w:type="dxa"/>
            <w:tcBorders>
              <w:left w:val="nil"/>
              <w:right w:val="nil"/>
            </w:tcBorders>
          </w:tcPr>
          <w:p w:rsidR="009F0A92" w:rsidRDefault="009F0A92" w:rsidP="009543DB">
            <w:pPr>
              <w:pStyle w:val="Tabletextright"/>
            </w:pPr>
            <w:r>
              <w:t>1.61</w:t>
            </w:r>
          </w:p>
        </w:tc>
        <w:tc>
          <w:tcPr>
            <w:tcW w:w="982" w:type="dxa"/>
            <w:tcBorders>
              <w:left w:val="nil"/>
              <w:right w:val="nil"/>
            </w:tcBorders>
          </w:tcPr>
          <w:p w:rsidR="009F0A92" w:rsidRDefault="009F0A92" w:rsidP="009543DB">
            <w:pPr>
              <w:pStyle w:val="Tabletextright"/>
            </w:pPr>
            <w:r>
              <w:t>1.41</w:t>
            </w:r>
          </w:p>
        </w:tc>
        <w:tc>
          <w:tcPr>
            <w:tcW w:w="982" w:type="dxa"/>
            <w:tcBorders>
              <w:left w:val="nil"/>
              <w:right w:val="nil"/>
            </w:tcBorders>
          </w:tcPr>
          <w:p w:rsidR="009F0A92" w:rsidRDefault="009F0A92" w:rsidP="009543DB">
            <w:pPr>
              <w:pStyle w:val="Tabletextright"/>
            </w:pPr>
            <w:r>
              <w:t>1.13</w:t>
            </w:r>
          </w:p>
        </w:tc>
        <w:tc>
          <w:tcPr>
            <w:tcW w:w="983" w:type="dxa"/>
            <w:tcBorders>
              <w:left w:val="nil"/>
              <w:right w:val="nil"/>
            </w:tcBorders>
          </w:tcPr>
          <w:p w:rsidR="009F0A92" w:rsidRDefault="009F0A92" w:rsidP="009543DB">
            <w:pPr>
              <w:pStyle w:val="Tabletextright"/>
            </w:pPr>
            <w:r>
              <w:t>1.09</w:t>
            </w:r>
          </w:p>
        </w:tc>
        <w:tc>
          <w:tcPr>
            <w:tcW w:w="982" w:type="dxa"/>
            <w:tcBorders>
              <w:left w:val="nil"/>
              <w:right w:val="nil"/>
            </w:tcBorders>
          </w:tcPr>
          <w:p w:rsidR="009F0A92" w:rsidRDefault="009F0A92" w:rsidP="009543DB">
            <w:pPr>
              <w:pStyle w:val="Tabletextright"/>
            </w:pPr>
            <w:r>
              <w:t>1.18</w:t>
            </w:r>
          </w:p>
        </w:tc>
        <w:tc>
          <w:tcPr>
            <w:tcW w:w="982" w:type="dxa"/>
            <w:tcBorders>
              <w:left w:val="nil"/>
              <w:right w:val="nil"/>
            </w:tcBorders>
          </w:tcPr>
          <w:p w:rsidR="009F0A92" w:rsidRDefault="009F0A92" w:rsidP="009543DB">
            <w:pPr>
              <w:pStyle w:val="Tabletextright"/>
            </w:pPr>
            <w:r>
              <w:t>1.25</w:t>
            </w:r>
          </w:p>
        </w:tc>
        <w:tc>
          <w:tcPr>
            <w:tcW w:w="983" w:type="dxa"/>
            <w:tcBorders>
              <w:left w:val="nil"/>
              <w:right w:val="nil"/>
            </w:tcBorders>
          </w:tcPr>
          <w:p w:rsidR="009F0A92" w:rsidRDefault="009F0A92" w:rsidP="009543DB">
            <w:pPr>
              <w:pStyle w:val="Tabletextright"/>
            </w:pPr>
            <w:r>
              <w:t>1.21</w:t>
            </w:r>
          </w:p>
        </w:tc>
      </w:tr>
      <w:tr w:rsidR="009F0A92" w:rsidTr="009543DB">
        <w:tc>
          <w:tcPr>
            <w:tcW w:w="1526" w:type="dxa"/>
            <w:vMerge w:val="restart"/>
            <w:tcBorders>
              <w:left w:val="nil"/>
              <w:right w:val="nil"/>
            </w:tcBorders>
            <w:vAlign w:val="center"/>
          </w:tcPr>
          <w:p w:rsidR="009F0A92" w:rsidRDefault="009F0A92" w:rsidP="009543DB">
            <w:pPr>
              <w:pStyle w:val="Tabletextleft-centred"/>
            </w:pPr>
            <w:r>
              <w:t>Operating expenses per passenger ($)</w:t>
            </w:r>
          </w:p>
        </w:tc>
        <w:tc>
          <w:tcPr>
            <w:tcW w:w="1701" w:type="dxa"/>
            <w:tcBorders>
              <w:left w:val="nil"/>
              <w:right w:val="nil"/>
            </w:tcBorders>
          </w:tcPr>
          <w:p w:rsidR="009F0A92" w:rsidRDefault="009F0A92" w:rsidP="009543DB">
            <w:pPr>
              <w:pStyle w:val="Tabletextleft"/>
            </w:pPr>
            <w:r>
              <w:t>Total aeronautical</w:t>
            </w:r>
          </w:p>
        </w:tc>
        <w:tc>
          <w:tcPr>
            <w:tcW w:w="982" w:type="dxa"/>
            <w:tcBorders>
              <w:left w:val="nil"/>
              <w:right w:val="nil"/>
            </w:tcBorders>
          </w:tcPr>
          <w:p w:rsidR="009F0A92" w:rsidRDefault="009F0A92" w:rsidP="009543DB">
            <w:pPr>
              <w:pStyle w:val="Tabletextright"/>
            </w:pPr>
            <w:r>
              <w:t>5.52</w:t>
            </w:r>
          </w:p>
        </w:tc>
        <w:tc>
          <w:tcPr>
            <w:tcW w:w="982" w:type="dxa"/>
            <w:tcBorders>
              <w:left w:val="nil"/>
              <w:right w:val="nil"/>
            </w:tcBorders>
          </w:tcPr>
          <w:p w:rsidR="009F0A92" w:rsidRDefault="009F0A92" w:rsidP="009543DB">
            <w:pPr>
              <w:pStyle w:val="Tabletextright"/>
            </w:pPr>
            <w:r>
              <w:t>5.60</w:t>
            </w:r>
          </w:p>
        </w:tc>
        <w:tc>
          <w:tcPr>
            <w:tcW w:w="982" w:type="dxa"/>
            <w:tcBorders>
              <w:left w:val="nil"/>
              <w:right w:val="nil"/>
            </w:tcBorders>
          </w:tcPr>
          <w:p w:rsidR="009F0A92" w:rsidRDefault="009F0A92" w:rsidP="009543DB">
            <w:pPr>
              <w:pStyle w:val="Tabletextright"/>
            </w:pPr>
            <w:r>
              <w:t>5.03</w:t>
            </w:r>
          </w:p>
        </w:tc>
        <w:tc>
          <w:tcPr>
            <w:tcW w:w="983" w:type="dxa"/>
            <w:tcBorders>
              <w:left w:val="nil"/>
              <w:right w:val="nil"/>
            </w:tcBorders>
          </w:tcPr>
          <w:p w:rsidR="009F0A92" w:rsidRDefault="009F0A92" w:rsidP="009543DB">
            <w:pPr>
              <w:pStyle w:val="Tabletextright"/>
            </w:pPr>
            <w:r>
              <w:t>5.53</w:t>
            </w:r>
          </w:p>
        </w:tc>
        <w:tc>
          <w:tcPr>
            <w:tcW w:w="982" w:type="dxa"/>
            <w:tcBorders>
              <w:left w:val="nil"/>
              <w:right w:val="nil"/>
            </w:tcBorders>
          </w:tcPr>
          <w:p w:rsidR="009F0A92" w:rsidRDefault="009F0A92" w:rsidP="009543DB">
            <w:pPr>
              <w:pStyle w:val="Tabletextright"/>
            </w:pPr>
            <w:r>
              <w:t>6.36</w:t>
            </w:r>
          </w:p>
        </w:tc>
        <w:tc>
          <w:tcPr>
            <w:tcW w:w="982" w:type="dxa"/>
            <w:tcBorders>
              <w:left w:val="nil"/>
              <w:right w:val="nil"/>
            </w:tcBorders>
          </w:tcPr>
          <w:p w:rsidR="009F0A92" w:rsidRDefault="009F0A92" w:rsidP="009543DB">
            <w:pPr>
              <w:pStyle w:val="Tabletextright"/>
            </w:pPr>
            <w:r>
              <w:t>6.43</w:t>
            </w:r>
          </w:p>
        </w:tc>
        <w:tc>
          <w:tcPr>
            <w:tcW w:w="982" w:type="dxa"/>
            <w:tcBorders>
              <w:left w:val="nil"/>
              <w:right w:val="nil"/>
            </w:tcBorders>
          </w:tcPr>
          <w:p w:rsidR="009F0A92" w:rsidRDefault="009F0A92" w:rsidP="009543DB">
            <w:pPr>
              <w:pStyle w:val="Tabletextright"/>
            </w:pPr>
            <w:r>
              <w:t>6.23</w:t>
            </w:r>
          </w:p>
        </w:tc>
        <w:tc>
          <w:tcPr>
            <w:tcW w:w="983" w:type="dxa"/>
            <w:tcBorders>
              <w:left w:val="nil"/>
              <w:right w:val="nil"/>
            </w:tcBorders>
          </w:tcPr>
          <w:p w:rsidR="009F0A92" w:rsidRDefault="009F0A92" w:rsidP="009543DB">
            <w:pPr>
              <w:pStyle w:val="Tabletextright"/>
            </w:pPr>
            <w:r>
              <w:t>5.93</w:t>
            </w:r>
          </w:p>
        </w:tc>
        <w:tc>
          <w:tcPr>
            <w:tcW w:w="982" w:type="dxa"/>
            <w:tcBorders>
              <w:left w:val="nil"/>
              <w:right w:val="nil"/>
            </w:tcBorders>
          </w:tcPr>
          <w:p w:rsidR="009F0A92" w:rsidRDefault="009F0A92" w:rsidP="009543DB">
            <w:pPr>
              <w:pStyle w:val="Tabletextright"/>
            </w:pPr>
            <w:r>
              <w:t>6.15</w:t>
            </w:r>
          </w:p>
        </w:tc>
        <w:tc>
          <w:tcPr>
            <w:tcW w:w="982" w:type="dxa"/>
            <w:tcBorders>
              <w:left w:val="nil"/>
              <w:right w:val="nil"/>
            </w:tcBorders>
          </w:tcPr>
          <w:p w:rsidR="009F0A92" w:rsidRDefault="009F0A92" w:rsidP="009543DB">
            <w:pPr>
              <w:pStyle w:val="Tabletextright"/>
            </w:pPr>
            <w:r>
              <w:t>6.37</w:t>
            </w:r>
          </w:p>
        </w:tc>
        <w:tc>
          <w:tcPr>
            <w:tcW w:w="983" w:type="dxa"/>
            <w:tcBorders>
              <w:left w:val="nil"/>
              <w:right w:val="nil"/>
            </w:tcBorders>
          </w:tcPr>
          <w:p w:rsidR="009F0A92" w:rsidRDefault="009F0A92" w:rsidP="009543DB">
            <w:pPr>
              <w:pStyle w:val="Tabletextright"/>
            </w:pPr>
            <w:r>
              <w:t>6.89</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vAlign w:val="center"/>
          </w:tcPr>
          <w:p w:rsidR="009F0A92" w:rsidRPr="00434D61" w:rsidRDefault="009F0A92" w:rsidP="009543DB">
            <w:pPr>
              <w:pStyle w:val="Tabletextleft"/>
            </w:pPr>
            <w:r w:rsidRPr="00434D61">
              <w:t>Security services</w:t>
            </w:r>
          </w:p>
        </w:tc>
        <w:tc>
          <w:tcPr>
            <w:tcW w:w="982" w:type="dxa"/>
            <w:tcBorders>
              <w:left w:val="nil"/>
              <w:right w:val="nil"/>
            </w:tcBorders>
            <w:vAlign w:val="center"/>
          </w:tcPr>
          <w:p w:rsidR="009F0A92" w:rsidRDefault="009F0A92" w:rsidP="009543DB">
            <w:pPr>
              <w:pStyle w:val="Tabletextright"/>
            </w:pPr>
            <w:r>
              <w:t>1.33</w:t>
            </w:r>
          </w:p>
        </w:tc>
        <w:tc>
          <w:tcPr>
            <w:tcW w:w="982" w:type="dxa"/>
            <w:tcBorders>
              <w:left w:val="nil"/>
              <w:right w:val="nil"/>
            </w:tcBorders>
            <w:vAlign w:val="center"/>
          </w:tcPr>
          <w:p w:rsidR="009F0A92" w:rsidRDefault="009F0A92" w:rsidP="009543DB">
            <w:pPr>
              <w:pStyle w:val="Tabletextright"/>
            </w:pPr>
            <w:r>
              <w:t>1.59</w:t>
            </w:r>
          </w:p>
        </w:tc>
        <w:tc>
          <w:tcPr>
            <w:tcW w:w="982" w:type="dxa"/>
            <w:tcBorders>
              <w:left w:val="nil"/>
              <w:right w:val="nil"/>
            </w:tcBorders>
            <w:vAlign w:val="center"/>
          </w:tcPr>
          <w:p w:rsidR="009F0A92" w:rsidRDefault="009F0A92" w:rsidP="009543DB">
            <w:pPr>
              <w:pStyle w:val="Tabletextright"/>
            </w:pPr>
            <w:r>
              <w:t>1.21</w:t>
            </w:r>
          </w:p>
        </w:tc>
        <w:tc>
          <w:tcPr>
            <w:tcW w:w="983" w:type="dxa"/>
            <w:tcBorders>
              <w:left w:val="nil"/>
              <w:right w:val="nil"/>
            </w:tcBorders>
            <w:vAlign w:val="center"/>
          </w:tcPr>
          <w:p w:rsidR="009F0A92" w:rsidRDefault="009F0A92" w:rsidP="009543DB">
            <w:pPr>
              <w:pStyle w:val="Tabletextright"/>
            </w:pPr>
            <w:r>
              <w:t>1.46</w:t>
            </w:r>
          </w:p>
        </w:tc>
        <w:tc>
          <w:tcPr>
            <w:tcW w:w="982" w:type="dxa"/>
            <w:tcBorders>
              <w:left w:val="nil"/>
              <w:right w:val="nil"/>
            </w:tcBorders>
            <w:vAlign w:val="center"/>
          </w:tcPr>
          <w:p w:rsidR="009F0A92" w:rsidRDefault="009F0A92" w:rsidP="009543DB">
            <w:pPr>
              <w:pStyle w:val="Tabletextright"/>
            </w:pPr>
            <w:r>
              <w:t>1.61</w:t>
            </w:r>
          </w:p>
        </w:tc>
        <w:tc>
          <w:tcPr>
            <w:tcW w:w="982" w:type="dxa"/>
            <w:tcBorders>
              <w:left w:val="nil"/>
              <w:right w:val="nil"/>
            </w:tcBorders>
            <w:vAlign w:val="center"/>
          </w:tcPr>
          <w:p w:rsidR="009F0A92" w:rsidRDefault="009F0A92" w:rsidP="009543DB">
            <w:pPr>
              <w:pStyle w:val="Tabletextright"/>
            </w:pPr>
            <w:r>
              <w:t>1.21</w:t>
            </w:r>
          </w:p>
        </w:tc>
        <w:tc>
          <w:tcPr>
            <w:tcW w:w="982" w:type="dxa"/>
            <w:tcBorders>
              <w:left w:val="nil"/>
              <w:right w:val="nil"/>
            </w:tcBorders>
            <w:vAlign w:val="center"/>
          </w:tcPr>
          <w:p w:rsidR="009F0A92" w:rsidRDefault="009F0A92" w:rsidP="009543DB">
            <w:pPr>
              <w:pStyle w:val="Tabletextright"/>
            </w:pPr>
            <w:r>
              <w:t>1.13</w:t>
            </w:r>
          </w:p>
        </w:tc>
        <w:tc>
          <w:tcPr>
            <w:tcW w:w="983" w:type="dxa"/>
            <w:tcBorders>
              <w:left w:val="nil"/>
              <w:right w:val="nil"/>
            </w:tcBorders>
            <w:vAlign w:val="center"/>
          </w:tcPr>
          <w:p w:rsidR="009F0A92" w:rsidRDefault="009F0A92" w:rsidP="009543DB">
            <w:pPr>
              <w:pStyle w:val="Tabletextright"/>
            </w:pPr>
            <w:r>
              <w:t>1.09</w:t>
            </w:r>
          </w:p>
        </w:tc>
        <w:tc>
          <w:tcPr>
            <w:tcW w:w="982" w:type="dxa"/>
            <w:tcBorders>
              <w:left w:val="nil"/>
              <w:right w:val="nil"/>
            </w:tcBorders>
            <w:vAlign w:val="center"/>
          </w:tcPr>
          <w:p w:rsidR="009F0A92" w:rsidRDefault="009F0A92" w:rsidP="009543DB">
            <w:pPr>
              <w:pStyle w:val="Tabletextright"/>
            </w:pPr>
            <w:r>
              <w:t>1.18</w:t>
            </w:r>
          </w:p>
        </w:tc>
        <w:tc>
          <w:tcPr>
            <w:tcW w:w="982" w:type="dxa"/>
            <w:tcBorders>
              <w:left w:val="nil"/>
              <w:right w:val="nil"/>
            </w:tcBorders>
            <w:vAlign w:val="center"/>
          </w:tcPr>
          <w:p w:rsidR="009F0A92" w:rsidRDefault="009F0A92" w:rsidP="009543DB">
            <w:pPr>
              <w:pStyle w:val="Tabletextright"/>
            </w:pPr>
            <w:r>
              <w:t>1.25</w:t>
            </w:r>
          </w:p>
        </w:tc>
        <w:tc>
          <w:tcPr>
            <w:tcW w:w="983" w:type="dxa"/>
            <w:tcBorders>
              <w:left w:val="nil"/>
              <w:right w:val="nil"/>
            </w:tcBorders>
            <w:vAlign w:val="center"/>
          </w:tcPr>
          <w:p w:rsidR="009F0A92" w:rsidRDefault="009F0A92" w:rsidP="009543DB">
            <w:pPr>
              <w:pStyle w:val="Tabletextright"/>
            </w:pPr>
            <w:r>
              <w:t>1.21</w:t>
            </w:r>
          </w:p>
        </w:tc>
      </w:tr>
      <w:tr w:rsidR="009F0A92" w:rsidTr="009543DB">
        <w:tc>
          <w:tcPr>
            <w:tcW w:w="1526" w:type="dxa"/>
            <w:vMerge w:val="restart"/>
            <w:tcBorders>
              <w:left w:val="nil"/>
              <w:right w:val="nil"/>
            </w:tcBorders>
            <w:vAlign w:val="center"/>
          </w:tcPr>
          <w:p w:rsidR="009F0A92" w:rsidRDefault="009F0A92" w:rsidP="009543DB">
            <w:pPr>
              <w:pStyle w:val="Tabletextleft-centred"/>
            </w:pPr>
            <w:r>
              <w:t xml:space="preserve">Aggregate </w:t>
            </w:r>
          </w:p>
          <w:p w:rsidR="009F0A92" w:rsidRDefault="009F0A92" w:rsidP="009543DB">
            <w:pPr>
              <w:pStyle w:val="Tabletextleft-centred"/>
            </w:pPr>
            <w:r>
              <w:t>margin per passenger ($)</w:t>
            </w:r>
          </w:p>
        </w:tc>
        <w:tc>
          <w:tcPr>
            <w:tcW w:w="1701" w:type="dxa"/>
            <w:tcBorders>
              <w:left w:val="nil"/>
              <w:right w:val="nil"/>
            </w:tcBorders>
          </w:tcPr>
          <w:p w:rsidR="009F0A92" w:rsidRDefault="009F0A92" w:rsidP="009543DB">
            <w:pPr>
              <w:pStyle w:val="Tabletextleft"/>
            </w:pPr>
            <w:r>
              <w:t>Total aeronautical</w:t>
            </w:r>
          </w:p>
        </w:tc>
        <w:tc>
          <w:tcPr>
            <w:tcW w:w="982" w:type="dxa"/>
            <w:tcBorders>
              <w:left w:val="nil"/>
              <w:right w:val="nil"/>
            </w:tcBorders>
          </w:tcPr>
          <w:p w:rsidR="009F0A92" w:rsidRDefault="009F0A92" w:rsidP="009543DB">
            <w:pPr>
              <w:pStyle w:val="Tabletextright"/>
            </w:pPr>
            <w:r>
              <w:t>1.58</w:t>
            </w:r>
          </w:p>
        </w:tc>
        <w:tc>
          <w:tcPr>
            <w:tcW w:w="982" w:type="dxa"/>
            <w:tcBorders>
              <w:left w:val="nil"/>
              <w:right w:val="nil"/>
            </w:tcBorders>
          </w:tcPr>
          <w:p w:rsidR="009F0A92" w:rsidRDefault="009F0A92" w:rsidP="009543DB">
            <w:pPr>
              <w:pStyle w:val="Tabletextright"/>
            </w:pPr>
            <w:r>
              <w:t>1.79</w:t>
            </w:r>
          </w:p>
        </w:tc>
        <w:tc>
          <w:tcPr>
            <w:tcW w:w="982" w:type="dxa"/>
            <w:tcBorders>
              <w:left w:val="nil"/>
              <w:right w:val="nil"/>
            </w:tcBorders>
          </w:tcPr>
          <w:p w:rsidR="009F0A92" w:rsidRDefault="009F0A92" w:rsidP="009543DB">
            <w:pPr>
              <w:pStyle w:val="Tabletextright"/>
            </w:pPr>
            <w:r>
              <w:t>2.27</w:t>
            </w:r>
          </w:p>
        </w:tc>
        <w:tc>
          <w:tcPr>
            <w:tcW w:w="983" w:type="dxa"/>
            <w:tcBorders>
              <w:left w:val="nil"/>
              <w:right w:val="nil"/>
            </w:tcBorders>
          </w:tcPr>
          <w:p w:rsidR="009F0A92" w:rsidRDefault="009F0A92" w:rsidP="009543DB">
            <w:pPr>
              <w:pStyle w:val="Tabletextright"/>
            </w:pPr>
            <w:r>
              <w:t>3.43</w:t>
            </w:r>
          </w:p>
        </w:tc>
        <w:tc>
          <w:tcPr>
            <w:tcW w:w="982" w:type="dxa"/>
            <w:tcBorders>
              <w:left w:val="nil"/>
              <w:right w:val="nil"/>
            </w:tcBorders>
          </w:tcPr>
          <w:p w:rsidR="009F0A92" w:rsidRDefault="009F0A92" w:rsidP="009543DB">
            <w:pPr>
              <w:pStyle w:val="Tabletextright"/>
            </w:pPr>
            <w:r>
              <w:t>3.51</w:t>
            </w:r>
          </w:p>
        </w:tc>
        <w:tc>
          <w:tcPr>
            <w:tcW w:w="982" w:type="dxa"/>
            <w:tcBorders>
              <w:left w:val="nil"/>
              <w:right w:val="nil"/>
            </w:tcBorders>
          </w:tcPr>
          <w:p w:rsidR="009F0A92" w:rsidRDefault="009F0A92" w:rsidP="009543DB">
            <w:pPr>
              <w:pStyle w:val="Tabletextright"/>
            </w:pPr>
            <w:r>
              <w:t>4.12</w:t>
            </w:r>
          </w:p>
        </w:tc>
        <w:tc>
          <w:tcPr>
            <w:tcW w:w="982" w:type="dxa"/>
            <w:tcBorders>
              <w:left w:val="nil"/>
              <w:right w:val="nil"/>
            </w:tcBorders>
          </w:tcPr>
          <w:p w:rsidR="009F0A92" w:rsidRDefault="009F0A92" w:rsidP="009543DB">
            <w:pPr>
              <w:pStyle w:val="Tabletextright"/>
            </w:pPr>
            <w:r>
              <w:t>4.48</w:t>
            </w:r>
          </w:p>
        </w:tc>
        <w:tc>
          <w:tcPr>
            <w:tcW w:w="983" w:type="dxa"/>
            <w:tcBorders>
              <w:left w:val="nil"/>
              <w:right w:val="nil"/>
            </w:tcBorders>
          </w:tcPr>
          <w:p w:rsidR="009F0A92" w:rsidRDefault="009F0A92" w:rsidP="009543DB">
            <w:pPr>
              <w:pStyle w:val="Tabletextright"/>
            </w:pPr>
            <w:r>
              <w:t>4.78</w:t>
            </w:r>
          </w:p>
        </w:tc>
        <w:tc>
          <w:tcPr>
            <w:tcW w:w="982" w:type="dxa"/>
            <w:tcBorders>
              <w:left w:val="nil"/>
              <w:right w:val="nil"/>
            </w:tcBorders>
          </w:tcPr>
          <w:p w:rsidR="009F0A92" w:rsidRDefault="009F0A92" w:rsidP="009543DB">
            <w:pPr>
              <w:pStyle w:val="Tabletextright"/>
            </w:pPr>
            <w:r>
              <w:t>4.84</w:t>
            </w:r>
          </w:p>
        </w:tc>
        <w:tc>
          <w:tcPr>
            <w:tcW w:w="982" w:type="dxa"/>
            <w:tcBorders>
              <w:left w:val="nil"/>
              <w:right w:val="nil"/>
            </w:tcBorders>
          </w:tcPr>
          <w:p w:rsidR="009F0A92" w:rsidRDefault="009F0A92" w:rsidP="009543DB">
            <w:pPr>
              <w:pStyle w:val="Tabletextright"/>
            </w:pPr>
            <w:r>
              <w:t>4.75</w:t>
            </w:r>
          </w:p>
        </w:tc>
        <w:tc>
          <w:tcPr>
            <w:tcW w:w="983" w:type="dxa"/>
            <w:tcBorders>
              <w:left w:val="nil"/>
              <w:right w:val="nil"/>
            </w:tcBorders>
          </w:tcPr>
          <w:p w:rsidR="009F0A92" w:rsidRDefault="009F0A92" w:rsidP="009543DB">
            <w:pPr>
              <w:pStyle w:val="Tabletextright"/>
            </w:pPr>
            <w:r>
              <w:t>5.33</w:t>
            </w:r>
          </w:p>
        </w:tc>
      </w:tr>
      <w:tr w:rsidR="009F0A92" w:rsidTr="009543DB">
        <w:tc>
          <w:tcPr>
            <w:tcW w:w="1526" w:type="dxa"/>
            <w:vMerge/>
            <w:tcBorders>
              <w:left w:val="nil"/>
              <w:right w:val="nil"/>
            </w:tcBorders>
          </w:tcPr>
          <w:p w:rsidR="009F0A92" w:rsidRDefault="009F0A92" w:rsidP="009543DB">
            <w:pPr>
              <w:pStyle w:val="Tabletextheading"/>
            </w:pPr>
          </w:p>
        </w:tc>
        <w:tc>
          <w:tcPr>
            <w:tcW w:w="1701" w:type="dxa"/>
            <w:tcBorders>
              <w:left w:val="nil"/>
              <w:right w:val="nil"/>
            </w:tcBorders>
            <w:vAlign w:val="center"/>
          </w:tcPr>
          <w:p w:rsidR="009F0A92" w:rsidRDefault="009F0A92" w:rsidP="009543DB">
            <w:pPr>
              <w:pStyle w:val="Tabletextleft"/>
            </w:pPr>
            <w:r>
              <w:t>Security services</w:t>
            </w:r>
          </w:p>
        </w:tc>
        <w:tc>
          <w:tcPr>
            <w:tcW w:w="982" w:type="dxa"/>
            <w:tcBorders>
              <w:left w:val="nil"/>
              <w:right w:val="nil"/>
            </w:tcBorders>
            <w:vAlign w:val="center"/>
          </w:tcPr>
          <w:p w:rsidR="009F0A92" w:rsidRDefault="009F0A92" w:rsidP="009543DB">
            <w:pPr>
              <w:pStyle w:val="Tabletextright"/>
            </w:pPr>
            <w:r>
              <w:t>0.03</w:t>
            </w:r>
          </w:p>
        </w:tc>
        <w:tc>
          <w:tcPr>
            <w:tcW w:w="982" w:type="dxa"/>
            <w:tcBorders>
              <w:left w:val="nil"/>
              <w:right w:val="nil"/>
            </w:tcBorders>
            <w:vAlign w:val="center"/>
          </w:tcPr>
          <w:p w:rsidR="009F0A92" w:rsidRDefault="009F0A92" w:rsidP="009543DB">
            <w:pPr>
              <w:pStyle w:val="Tabletextright"/>
            </w:pPr>
            <w:r>
              <w:t>(0.22)</w:t>
            </w:r>
          </w:p>
        </w:tc>
        <w:tc>
          <w:tcPr>
            <w:tcW w:w="982" w:type="dxa"/>
            <w:tcBorders>
              <w:left w:val="nil"/>
              <w:right w:val="nil"/>
            </w:tcBorders>
            <w:vAlign w:val="center"/>
          </w:tcPr>
          <w:p w:rsidR="009F0A92" w:rsidRDefault="009F0A92" w:rsidP="009543DB">
            <w:pPr>
              <w:pStyle w:val="Tabletextright"/>
            </w:pPr>
            <w:r>
              <w:t>(0.02)</w:t>
            </w:r>
          </w:p>
        </w:tc>
        <w:tc>
          <w:tcPr>
            <w:tcW w:w="983" w:type="dxa"/>
            <w:tcBorders>
              <w:left w:val="nil"/>
              <w:right w:val="nil"/>
            </w:tcBorders>
            <w:vAlign w:val="center"/>
          </w:tcPr>
          <w:p w:rsidR="009F0A92" w:rsidRDefault="009F0A92" w:rsidP="009543DB">
            <w:pPr>
              <w:pStyle w:val="Tabletextright"/>
            </w:pPr>
            <w:r>
              <w:t>0.17</w:t>
            </w:r>
          </w:p>
        </w:tc>
        <w:tc>
          <w:tcPr>
            <w:tcW w:w="982" w:type="dxa"/>
            <w:tcBorders>
              <w:left w:val="nil"/>
              <w:right w:val="nil"/>
            </w:tcBorders>
            <w:vAlign w:val="center"/>
          </w:tcPr>
          <w:p w:rsidR="009F0A92" w:rsidRDefault="009F0A92" w:rsidP="009543DB">
            <w:pPr>
              <w:pStyle w:val="Tabletextright"/>
            </w:pPr>
            <w:r>
              <w:t>0.00</w:t>
            </w:r>
          </w:p>
        </w:tc>
        <w:tc>
          <w:tcPr>
            <w:tcW w:w="982" w:type="dxa"/>
            <w:tcBorders>
              <w:left w:val="nil"/>
              <w:right w:val="nil"/>
            </w:tcBorders>
            <w:vAlign w:val="center"/>
          </w:tcPr>
          <w:p w:rsidR="009F0A92" w:rsidRDefault="009F0A92" w:rsidP="009543DB">
            <w:pPr>
              <w:pStyle w:val="Tabletextright"/>
            </w:pPr>
            <w:r>
              <w:t>0.19</w:t>
            </w:r>
          </w:p>
        </w:tc>
        <w:tc>
          <w:tcPr>
            <w:tcW w:w="982" w:type="dxa"/>
            <w:tcBorders>
              <w:left w:val="nil"/>
              <w:right w:val="nil"/>
            </w:tcBorders>
            <w:vAlign w:val="center"/>
          </w:tcPr>
          <w:p w:rsidR="009F0A92" w:rsidRDefault="009F0A92" w:rsidP="009543DB">
            <w:pPr>
              <w:pStyle w:val="Tabletextright"/>
            </w:pPr>
            <w:r>
              <w:t>0.00</w:t>
            </w:r>
          </w:p>
        </w:tc>
        <w:tc>
          <w:tcPr>
            <w:tcW w:w="983" w:type="dxa"/>
            <w:tcBorders>
              <w:left w:val="nil"/>
              <w:right w:val="nil"/>
            </w:tcBorders>
            <w:vAlign w:val="center"/>
          </w:tcPr>
          <w:p w:rsidR="009F0A92" w:rsidRDefault="009F0A92" w:rsidP="009543DB">
            <w:pPr>
              <w:pStyle w:val="Tabletextright"/>
            </w:pPr>
            <w:r>
              <w:t>0.00</w:t>
            </w:r>
          </w:p>
        </w:tc>
        <w:tc>
          <w:tcPr>
            <w:tcW w:w="982" w:type="dxa"/>
            <w:tcBorders>
              <w:left w:val="nil"/>
              <w:right w:val="nil"/>
            </w:tcBorders>
            <w:vAlign w:val="center"/>
          </w:tcPr>
          <w:p w:rsidR="009F0A92" w:rsidRDefault="009F0A92" w:rsidP="009543DB">
            <w:pPr>
              <w:pStyle w:val="Tabletextright"/>
            </w:pPr>
            <w:r>
              <w:t>0.00</w:t>
            </w:r>
          </w:p>
        </w:tc>
        <w:tc>
          <w:tcPr>
            <w:tcW w:w="982" w:type="dxa"/>
            <w:tcBorders>
              <w:left w:val="nil"/>
              <w:right w:val="nil"/>
            </w:tcBorders>
            <w:vAlign w:val="center"/>
          </w:tcPr>
          <w:p w:rsidR="009F0A92" w:rsidRDefault="009F0A92" w:rsidP="009543DB">
            <w:pPr>
              <w:pStyle w:val="Tabletextright"/>
            </w:pPr>
            <w:r>
              <w:t>0.00</w:t>
            </w:r>
          </w:p>
        </w:tc>
        <w:tc>
          <w:tcPr>
            <w:tcW w:w="983" w:type="dxa"/>
            <w:tcBorders>
              <w:left w:val="nil"/>
              <w:right w:val="nil"/>
            </w:tcBorders>
            <w:vAlign w:val="center"/>
          </w:tcPr>
          <w:p w:rsidR="009F0A92" w:rsidRDefault="009F0A92" w:rsidP="009543DB">
            <w:pPr>
              <w:pStyle w:val="Tabletextright"/>
            </w:pPr>
            <w:r>
              <w:t>0.00</w:t>
            </w:r>
          </w:p>
        </w:tc>
      </w:tr>
    </w:tbl>
    <w:p w:rsidR="009F0A92" w:rsidRDefault="009F0A92" w:rsidP="009F0A92">
      <w:pPr>
        <w:pStyle w:val="Sourceandnotes"/>
        <w:sectPr w:rsidR="009F0A92" w:rsidSect="009543DB">
          <w:headerReference w:type="even" r:id="rId57"/>
          <w:headerReference w:type="default" r:id="rId58"/>
          <w:footnotePr>
            <w:numStart w:val="93"/>
          </w:footnotePr>
          <w:pgSz w:w="16838" w:h="11906" w:orient="landscape"/>
          <w:pgMar w:top="1191" w:right="1440" w:bottom="1191" w:left="1582" w:header="709" w:footer="709" w:gutter="0"/>
          <w:cols w:space="708"/>
          <w:docGrid w:linePitch="360"/>
        </w:sectPr>
      </w:pPr>
      <w:r>
        <w:t>Note:</w:t>
      </w:r>
      <w:r>
        <w:tab/>
        <w:t>Real values in 2014-15 dollars</w:t>
      </w:r>
    </w:p>
    <w:p w:rsidR="009F0A92" w:rsidRDefault="009F0A92" w:rsidP="009F0A92">
      <w:pPr>
        <w:pStyle w:val="Standardheading"/>
      </w:pPr>
      <w:r>
        <w:lastRenderedPageBreak/>
        <w:t>Line in the sand values for aeronautical services</w:t>
      </w:r>
    </w:p>
    <w:p w:rsidR="009F0A92" w:rsidRDefault="009F0A92" w:rsidP="009F0A92">
      <w:r>
        <w:t>Since 2007</w:t>
      </w:r>
      <w:r>
        <w:noBreakHyphen/>
        <w:t>08, the ACCC has required airport operators to provide additional information relating to the aeronautical asset base under the ‘line in the sand’ (LIS) approach. Under this approach, the value of an airport’s aeronautical asset base for monitoring purposes is the value of tangible non</w:t>
      </w:r>
      <w:r>
        <w:noBreakHyphen/>
        <w:t>current aeronautical assets reported to the ACCC as at 30 June 2005, plus new investments, less depreciation and disposals. This chapter separately reports LIS measures for Brisbane Airport where applicable. In particular, Brisbane Airport’s LIS asset base is lower than its non</w:t>
      </w:r>
      <w:r>
        <w:noBreakHyphen/>
        <w:t>LIS value, resulting in a higher return on assets under the LIS approach.</w:t>
      </w:r>
    </w:p>
    <w:p w:rsidR="009F0A92" w:rsidRDefault="009F0A92" w:rsidP="009F0A92">
      <w:r>
        <w:t>Table 2.2.3 presents the revenues, operating expenses and aggregate margin for aeronautical services under the LIS approach from 2007</w:t>
      </w:r>
      <w:r>
        <w:noBreakHyphen/>
        <w:t>08 to 2014</w:t>
      </w:r>
      <w:r>
        <w:noBreakHyphen/>
        <w:t>15.</w:t>
      </w:r>
      <w:r w:rsidRPr="00CD712E">
        <w:t xml:space="preserve"> </w:t>
      </w:r>
      <w:r>
        <w:t xml:space="preserve">Under the LIS approach, aeronautical operating expenses were around 148.8 million in </w:t>
      </w:r>
      <w:proofErr w:type="gramStart"/>
      <w:r>
        <w:t>2014</w:t>
      </w:r>
      <w:r>
        <w:noBreakHyphen/>
        <w:t>15,</w:t>
      </w:r>
      <w:proofErr w:type="gramEnd"/>
      <w:r>
        <w:t xml:space="preserve"> or around 3.1 per cent lower than the non</w:t>
      </w:r>
      <w:r>
        <w:noBreakHyphen/>
        <w:t>LIS figure (shown in Table 2.2.2). This difference is due to lower depreciation expenses under the LIS approach.</w:t>
      </w:r>
    </w:p>
    <w:p w:rsidR="009F0A92" w:rsidRDefault="009F0A92" w:rsidP="009F0A92">
      <w:pPr>
        <w:pStyle w:val="Numberedcharttitle"/>
      </w:pPr>
      <w:r>
        <w:t>Table 2.2.3:</w:t>
      </w:r>
      <w:r>
        <w:tab/>
        <w:t>Brisbane Airport—revenues, operating expenses and aggregate margin for aeronautical services under the LIS approach in real terms</w:t>
      </w:r>
      <w:proofErr w:type="gramStart"/>
      <w:r>
        <w:t>:</w:t>
      </w:r>
      <w:proofErr w:type="gramEnd"/>
      <w:r>
        <w:br/>
        <w:t>2007</w:t>
      </w:r>
      <w:r>
        <w:noBreakHyphen/>
        <w:t>08 to 2014</w:t>
      </w:r>
      <w:r>
        <w:noBreakHyphen/>
        <w:t>15</w:t>
      </w:r>
    </w:p>
    <w:tbl>
      <w:tblPr>
        <w:tblStyle w:val="TableGrid"/>
        <w:tblW w:w="0" w:type="auto"/>
        <w:tblLook w:val="04A0" w:firstRow="1" w:lastRow="0" w:firstColumn="1" w:lastColumn="0" w:noHBand="0" w:noVBand="1"/>
      </w:tblPr>
      <w:tblGrid>
        <w:gridCol w:w="1526"/>
        <w:gridCol w:w="892"/>
        <w:gridCol w:w="892"/>
        <w:gridCol w:w="892"/>
        <w:gridCol w:w="893"/>
        <w:gridCol w:w="892"/>
        <w:gridCol w:w="892"/>
        <w:gridCol w:w="892"/>
        <w:gridCol w:w="893"/>
      </w:tblGrid>
      <w:tr w:rsidR="009F0A92" w:rsidTr="009543DB">
        <w:tc>
          <w:tcPr>
            <w:tcW w:w="1526" w:type="dxa"/>
            <w:tcBorders>
              <w:left w:val="nil"/>
              <w:bottom w:val="single" w:sz="4" w:space="0" w:color="auto"/>
              <w:right w:val="nil"/>
            </w:tcBorders>
            <w:shd w:val="clear" w:color="auto" w:fill="DFE0DC"/>
          </w:tcPr>
          <w:p w:rsidR="009F0A92" w:rsidRDefault="009F0A92" w:rsidP="009543DB">
            <w:pPr>
              <w:pStyle w:val="Tabletextleft"/>
            </w:pPr>
          </w:p>
        </w:tc>
        <w:tc>
          <w:tcPr>
            <w:tcW w:w="892" w:type="dxa"/>
            <w:tcBorders>
              <w:left w:val="nil"/>
              <w:bottom w:val="single" w:sz="4" w:space="0" w:color="auto"/>
              <w:right w:val="nil"/>
            </w:tcBorders>
            <w:shd w:val="clear" w:color="auto" w:fill="DFE0DC"/>
          </w:tcPr>
          <w:p w:rsidR="009F0A92" w:rsidRDefault="009F0A92" w:rsidP="009543DB">
            <w:pPr>
              <w:pStyle w:val="Tabletextheadingright"/>
            </w:pPr>
            <w:r>
              <w:t>2007-08</w:t>
            </w:r>
          </w:p>
        </w:tc>
        <w:tc>
          <w:tcPr>
            <w:tcW w:w="892" w:type="dxa"/>
            <w:tcBorders>
              <w:left w:val="nil"/>
              <w:bottom w:val="single" w:sz="4" w:space="0" w:color="auto"/>
              <w:right w:val="nil"/>
            </w:tcBorders>
            <w:shd w:val="clear" w:color="auto" w:fill="DFE0DC"/>
          </w:tcPr>
          <w:p w:rsidR="009F0A92" w:rsidRDefault="009F0A92" w:rsidP="009543DB">
            <w:pPr>
              <w:pStyle w:val="Tabletextheadingright"/>
            </w:pPr>
            <w:r>
              <w:t>2008-09</w:t>
            </w:r>
          </w:p>
        </w:tc>
        <w:tc>
          <w:tcPr>
            <w:tcW w:w="892" w:type="dxa"/>
            <w:tcBorders>
              <w:left w:val="nil"/>
              <w:bottom w:val="single" w:sz="4" w:space="0" w:color="auto"/>
              <w:right w:val="nil"/>
            </w:tcBorders>
            <w:shd w:val="clear" w:color="auto" w:fill="DFE0DC"/>
          </w:tcPr>
          <w:p w:rsidR="009F0A92" w:rsidRDefault="009F0A92" w:rsidP="009543DB">
            <w:pPr>
              <w:pStyle w:val="Tabletextheadingright"/>
            </w:pPr>
            <w:r>
              <w:t>2009-10</w:t>
            </w:r>
          </w:p>
        </w:tc>
        <w:tc>
          <w:tcPr>
            <w:tcW w:w="893" w:type="dxa"/>
            <w:tcBorders>
              <w:left w:val="nil"/>
              <w:bottom w:val="single" w:sz="4" w:space="0" w:color="auto"/>
              <w:right w:val="nil"/>
            </w:tcBorders>
            <w:shd w:val="clear" w:color="auto" w:fill="DFE0DC"/>
          </w:tcPr>
          <w:p w:rsidR="009F0A92" w:rsidRDefault="009F0A92" w:rsidP="009543DB">
            <w:pPr>
              <w:pStyle w:val="Tabletextheadingright"/>
            </w:pPr>
            <w:r>
              <w:t>2010-11</w:t>
            </w:r>
          </w:p>
        </w:tc>
        <w:tc>
          <w:tcPr>
            <w:tcW w:w="892" w:type="dxa"/>
            <w:tcBorders>
              <w:left w:val="nil"/>
              <w:bottom w:val="single" w:sz="4" w:space="0" w:color="auto"/>
              <w:right w:val="nil"/>
            </w:tcBorders>
            <w:shd w:val="clear" w:color="auto" w:fill="DFE0DC"/>
          </w:tcPr>
          <w:p w:rsidR="009F0A92" w:rsidRDefault="009F0A92" w:rsidP="009543DB">
            <w:pPr>
              <w:pStyle w:val="Tabletextheadingright"/>
            </w:pPr>
            <w:r>
              <w:t>2011-12</w:t>
            </w:r>
          </w:p>
        </w:tc>
        <w:tc>
          <w:tcPr>
            <w:tcW w:w="892" w:type="dxa"/>
            <w:tcBorders>
              <w:left w:val="nil"/>
              <w:bottom w:val="single" w:sz="4" w:space="0" w:color="auto"/>
              <w:right w:val="nil"/>
            </w:tcBorders>
            <w:shd w:val="clear" w:color="auto" w:fill="DFE0DC"/>
          </w:tcPr>
          <w:p w:rsidR="009F0A92" w:rsidRDefault="009F0A92" w:rsidP="009543DB">
            <w:pPr>
              <w:pStyle w:val="Tabletextheadingright"/>
            </w:pPr>
            <w:r>
              <w:t>2012-13</w:t>
            </w:r>
          </w:p>
        </w:tc>
        <w:tc>
          <w:tcPr>
            <w:tcW w:w="892" w:type="dxa"/>
            <w:tcBorders>
              <w:left w:val="nil"/>
              <w:bottom w:val="single" w:sz="4" w:space="0" w:color="auto"/>
              <w:right w:val="nil"/>
            </w:tcBorders>
            <w:shd w:val="clear" w:color="auto" w:fill="DFE0DC"/>
          </w:tcPr>
          <w:p w:rsidR="009F0A92" w:rsidRDefault="009F0A92" w:rsidP="009543DB">
            <w:pPr>
              <w:pStyle w:val="Tabletextheadingright"/>
            </w:pPr>
            <w:r>
              <w:t>2013-14</w:t>
            </w:r>
          </w:p>
        </w:tc>
        <w:tc>
          <w:tcPr>
            <w:tcW w:w="893" w:type="dxa"/>
            <w:tcBorders>
              <w:left w:val="nil"/>
              <w:bottom w:val="single" w:sz="4" w:space="0" w:color="auto"/>
              <w:right w:val="nil"/>
            </w:tcBorders>
            <w:shd w:val="clear" w:color="auto" w:fill="DFE0DC"/>
          </w:tcPr>
          <w:p w:rsidR="009F0A92" w:rsidRDefault="009F0A92" w:rsidP="009543DB">
            <w:pPr>
              <w:pStyle w:val="Tabletextheadingright"/>
            </w:pPr>
            <w:r>
              <w:t>2014-15</w:t>
            </w:r>
          </w:p>
        </w:tc>
      </w:tr>
      <w:tr w:rsidR="009F0A92" w:rsidTr="009543DB">
        <w:tc>
          <w:tcPr>
            <w:tcW w:w="1526" w:type="dxa"/>
            <w:tcBorders>
              <w:left w:val="nil"/>
              <w:bottom w:val="single" w:sz="4" w:space="0" w:color="auto"/>
              <w:right w:val="nil"/>
            </w:tcBorders>
          </w:tcPr>
          <w:p w:rsidR="009F0A92" w:rsidRDefault="009F0A92" w:rsidP="009543DB">
            <w:pPr>
              <w:pStyle w:val="Tabletextheading"/>
            </w:pPr>
            <w:r>
              <w:t xml:space="preserve">Revenue </w:t>
            </w:r>
            <w:r>
              <w:br/>
              <w:t>($million)</w:t>
            </w:r>
          </w:p>
        </w:tc>
        <w:tc>
          <w:tcPr>
            <w:tcW w:w="892" w:type="dxa"/>
            <w:tcBorders>
              <w:left w:val="nil"/>
              <w:bottom w:val="single" w:sz="4" w:space="0" w:color="auto"/>
              <w:right w:val="nil"/>
            </w:tcBorders>
          </w:tcPr>
          <w:p w:rsidR="009F0A92" w:rsidRDefault="009F0A92" w:rsidP="009543DB">
            <w:pPr>
              <w:pStyle w:val="Tabletextright"/>
            </w:pPr>
            <w:r>
              <w:t>168.4</w:t>
            </w:r>
          </w:p>
        </w:tc>
        <w:tc>
          <w:tcPr>
            <w:tcW w:w="892" w:type="dxa"/>
            <w:tcBorders>
              <w:left w:val="nil"/>
              <w:bottom w:val="single" w:sz="4" w:space="0" w:color="auto"/>
              <w:right w:val="nil"/>
            </w:tcBorders>
          </w:tcPr>
          <w:p w:rsidR="009F0A92" w:rsidRDefault="009F0A92" w:rsidP="009543DB">
            <w:pPr>
              <w:pStyle w:val="Tabletextright"/>
            </w:pPr>
            <w:r>
              <w:t>188.6</w:t>
            </w:r>
          </w:p>
        </w:tc>
        <w:tc>
          <w:tcPr>
            <w:tcW w:w="892" w:type="dxa"/>
            <w:tcBorders>
              <w:left w:val="nil"/>
              <w:bottom w:val="single" w:sz="4" w:space="0" w:color="auto"/>
              <w:right w:val="nil"/>
            </w:tcBorders>
          </w:tcPr>
          <w:p w:rsidR="009F0A92" w:rsidRDefault="009F0A92" w:rsidP="009543DB">
            <w:pPr>
              <w:pStyle w:val="Tabletextright"/>
            </w:pPr>
            <w:r>
              <w:t>203.1</w:t>
            </w:r>
          </w:p>
        </w:tc>
        <w:tc>
          <w:tcPr>
            <w:tcW w:w="893" w:type="dxa"/>
            <w:tcBorders>
              <w:left w:val="nil"/>
              <w:bottom w:val="single" w:sz="4" w:space="0" w:color="auto"/>
              <w:right w:val="nil"/>
            </w:tcBorders>
          </w:tcPr>
          <w:p w:rsidR="009F0A92" w:rsidRDefault="009F0A92" w:rsidP="009543DB">
            <w:pPr>
              <w:pStyle w:val="Tabletextright"/>
            </w:pPr>
            <w:r>
              <w:t>217.0</w:t>
            </w:r>
          </w:p>
        </w:tc>
        <w:tc>
          <w:tcPr>
            <w:tcW w:w="892" w:type="dxa"/>
            <w:tcBorders>
              <w:left w:val="nil"/>
              <w:bottom w:val="single" w:sz="4" w:space="0" w:color="auto"/>
              <w:right w:val="nil"/>
            </w:tcBorders>
          </w:tcPr>
          <w:p w:rsidR="009F0A92" w:rsidRDefault="009F0A92" w:rsidP="009543DB">
            <w:pPr>
              <w:pStyle w:val="Tabletextright"/>
            </w:pPr>
            <w:r>
              <w:t>227.0</w:t>
            </w:r>
          </w:p>
        </w:tc>
        <w:tc>
          <w:tcPr>
            <w:tcW w:w="892" w:type="dxa"/>
            <w:tcBorders>
              <w:left w:val="nil"/>
              <w:bottom w:val="single" w:sz="4" w:space="0" w:color="auto"/>
              <w:right w:val="nil"/>
            </w:tcBorders>
          </w:tcPr>
          <w:p w:rsidR="009F0A92" w:rsidRDefault="009F0A92" w:rsidP="009543DB">
            <w:pPr>
              <w:pStyle w:val="Tabletextright"/>
            </w:pPr>
            <w:r>
              <w:t>237.5</w:t>
            </w:r>
          </w:p>
        </w:tc>
        <w:tc>
          <w:tcPr>
            <w:tcW w:w="892" w:type="dxa"/>
            <w:tcBorders>
              <w:left w:val="nil"/>
              <w:bottom w:val="single" w:sz="4" w:space="0" w:color="auto"/>
              <w:right w:val="nil"/>
            </w:tcBorders>
          </w:tcPr>
          <w:p w:rsidR="009F0A92" w:rsidRDefault="009F0A92" w:rsidP="009543DB">
            <w:pPr>
              <w:pStyle w:val="Tabletextright"/>
            </w:pPr>
            <w:r>
              <w:t>245.9</w:t>
            </w:r>
          </w:p>
        </w:tc>
        <w:tc>
          <w:tcPr>
            <w:tcW w:w="893" w:type="dxa"/>
            <w:tcBorders>
              <w:left w:val="nil"/>
              <w:bottom w:val="single" w:sz="4" w:space="0" w:color="auto"/>
              <w:right w:val="nil"/>
            </w:tcBorders>
          </w:tcPr>
          <w:p w:rsidR="009F0A92" w:rsidRDefault="009F0A92" w:rsidP="009543DB">
            <w:pPr>
              <w:pStyle w:val="Tabletextright"/>
            </w:pPr>
            <w:r>
              <w:t>272.2</w:t>
            </w:r>
          </w:p>
        </w:tc>
      </w:tr>
      <w:tr w:rsidR="009F0A92" w:rsidTr="009543DB">
        <w:tc>
          <w:tcPr>
            <w:tcW w:w="1526" w:type="dxa"/>
            <w:tcBorders>
              <w:top w:val="single" w:sz="4" w:space="0" w:color="auto"/>
              <w:left w:val="nil"/>
              <w:bottom w:val="single" w:sz="4" w:space="0" w:color="auto"/>
              <w:right w:val="nil"/>
            </w:tcBorders>
          </w:tcPr>
          <w:p w:rsidR="009F0A92" w:rsidRDefault="009F0A92" w:rsidP="009543DB">
            <w:pPr>
              <w:pStyle w:val="Tabletextheading"/>
            </w:pPr>
            <w:r>
              <w:t>Operating expenses ($million)</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97.9</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117.4</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119.6</w:t>
            </w:r>
          </w:p>
        </w:tc>
        <w:tc>
          <w:tcPr>
            <w:tcW w:w="893" w:type="dxa"/>
            <w:tcBorders>
              <w:top w:val="single" w:sz="4" w:space="0" w:color="auto"/>
              <w:left w:val="nil"/>
              <w:bottom w:val="single" w:sz="4" w:space="0" w:color="auto"/>
              <w:right w:val="nil"/>
            </w:tcBorders>
          </w:tcPr>
          <w:p w:rsidR="009F0A92" w:rsidRDefault="009F0A92" w:rsidP="009543DB">
            <w:pPr>
              <w:pStyle w:val="Tabletextright"/>
            </w:pPr>
            <w:r>
              <w:t>121.0</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120.6</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130.0</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138.7</w:t>
            </w:r>
          </w:p>
        </w:tc>
        <w:tc>
          <w:tcPr>
            <w:tcW w:w="893" w:type="dxa"/>
            <w:tcBorders>
              <w:top w:val="single" w:sz="4" w:space="0" w:color="auto"/>
              <w:left w:val="nil"/>
              <w:bottom w:val="single" w:sz="4" w:space="0" w:color="auto"/>
              <w:right w:val="nil"/>
            </w:tcBorders>
          </w:tcPr>
          <w:p w:rsidR="009F0A92" w:rsidRDefault="009F0A92" w:rsidP="009543DB">
            <w:pPr>
              <w:pStyle w:val="Tabletextright"/>
            </w:pPr>
            <w:r>
              <w:t>148.8</w:t>
            </w:r>
          </w:p>
        </w:tc>
      </w:tr>
      <w:tr w:rsidR="009F0A92" w:rsidTr="009543DB">
        <w:tc>
          <w:tcPr>
            <w:tcW w:w="1526" w:type="dxa"/>
            <w:tcBorders>
              <w:top w:val="single" w:sz="4" w:space="0" w:color="auto"/>
              <w:left w:val="nil"/>
              <w:bottom w:val="single" w:sz="4" w:space="0" w:color="auto"/>
              <w:right w:val="nil"/>
            </w:tcBorders>
          </w:tcPr>
          <w:p w:rsidR="009F0A92" w:rsidRDefault="009F0A92" w:rsidP="009543DB">
            <w:pPr>
              <w:pStyle w:val="Tabletextheading"/>
            </w:pPr>
            <w:r>
              <w:t>Aggregate margin ($million)</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70.5</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71.1</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83.4</w:t>
            </w:r>
          </w:p>
        </w:tc>
        <w:tc>
          <w:tcPr>
            <w:tcW w:w="893" w:type="dxa"/>
            <w:tcBorders>
              <w:top w:val="single" w:sz="4" w:space="0" w:color="auto"/>
              <w:left w:val="nil"/>
              <w:bottom w:val="single" w:sz="4" w:space="0" w:color="auto"/>
              <w:right w:val="nil"/>
            </w:tcBorders>
          </w:tcPr>
          <w:p w:rsidR="009F0A92" w:rsidRDefault="009F0A92" w:rsidP="009543DB">
            <w:pPr>
              <w:pStyle w:val="Tabletextright"/>
            </w:pPr>
            <w:r>
              <w:t>96.1</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106.4</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107.4</w:t>
            </w:r>
          </w:p>
        </w:tc>
        <w:tc>
          <w:tcPr>
            <w:tcW w:w="892" w:type="dxa"/>
            <w:tcBorders>
              <w:top w:val="single" w:sz="4" w:space="0" w:color="auto"/>
              <w:left w:val="nil"/>
              <w:bottom w:val="single" w:sz="4" w:space="0" w:color="auto"/>
              <w:right w:val="nil"/>
            </w:tcBorders>
          </w:tcPr>
          <w:p w:rsidR="009F0A92" w:rsidRDefault="009F0A92" w:rsidP="009543DB">
            <w:pPr>
              <w:pStyle w:val="Tabletextright"/>
            </w:pPr>
            <w:r>
              <w:t>107.2</w:t>
            </w:r>
          </w:p>
        </w:tc>
        <w:tc>
          <w:tcPr>
            <w:tcW w:w="893" w:type="dxa"/>
            <w:tcBorders>
              <w:top w:val="single" w:sz="4" w:space="0" w:color="auto"/>
              <w:left w:val="nil"/>
              <w:bottom w:val="single" w:sz="4" w:space="0" w:color="auto"/>
              <w:right w:val="nil"/>
            </w:tcBorders>
          </w:tcPr>
          <w:p w:rsidR="009F0A92" w:rsidRDefault="009F0A92" w:rsidP="009543DB">
            <w:pPr>
              <w:pStyle w:val="Tabletextright"/>
            </w:pPr>
            <w:r>
              <w:t>123.4</w:t>
            </w:r>
          </w:p>
        </w:tc>
      </w:tr>
      <w:tr w:rsidR="009F0A92" w:rsidTr="009543DB">
        <w:tc>
          <w:tcPr>
            <w:tcW w:w="1526" w:type="dxa"/>
            <w:tcBorders>
              <w:top w:val="single" w:sz="4" w:space="0" w:color="auto"/>
              <w:left w:val="nil"/>
              <w:right w:val="nil"/>
            </w:tcBorders>
          </w:tcPr>
          <w:p w:rsidR="009F0A92" w:rsidRDefault="009F0A92" w:rsidP="009543DB">
            <w:pPr>
              <w:pStyle w:val="Tabletextheading"/>
            </w:pPr>
            <w:r>
              <w:t>Aggregate margin as a % of revenue</w:t>
            </w:r>
          </w:p>
        </w:tc>
        <w:tc>
          <w:tcPr>
            <w:tcW w:w="892" w:type="dxa"/>
            <w:tcBorders>
              <w:top w:val="single" w:sz="4" w:space="0" w:color="auto"/>
              <w:left w:val="nil"/>
              <w:right w:val="nil"/>
            </w:tcBorders>
          </w:tcPr>
          <w:p w:rsidR="009F0A92" w:rsidRDefault="009F0A92" w:rsidP="009543DB">
            <w:pPr>
              <w:pStyle w:val="Tabletextright"/>
            </w:pPr>
            <w:r>
              <w:t>41.8</w:t>
            </w:r>
          </w:p>
        </w:tc>
        <w:tc>
          <w:tcPr>
            <w:tcW w:w="892" w:type="dxa"/>
            <w:tcBorders>
              <w:top w:val="single" w:sz="4" w:space="0" w:color="auto"/>
              <w:left w:val="nil"/>
              <w:right w:val="nil"/>
            </w:tcBorders>
          </w:tcPr>
          <w:p w:rsidR="009F0A92" w:rsidRDefault="009F0A92" w:rsidP="009543DB">
            <w:pPr>
              <w:pStyle w:val="Tabletextright"/>
            </w:pPr>
            <w:r>
              <w:t>37.7</w:t>
            </w:r>
          </w:p>
        </w:tc>
        <w:tc>
          <w:tcPr>
            <w:tcW w:w="892" w:type="dxa"/>
            <w:tcBorders>
              <w:top w:val="single" w:sz="4" w:space="0" w:color="auto"/>
              <w:left w:val="nil"/>
              <w:right w:val="nil"/>
            </w:tcBorders>
          </w:tcPr>
          <w:p w:rsidR="009F0A92" w:rsidRDefault="009F0A92" w:rsidP="009543DB">
            <w:pPr>
              <w:pStyle w:val="Tabletextright"/>
            </w:pPr>
            <w:r>
              <w:t>41.1</w:t>
            </w:r>
          </w:p>
        </w:tc>
        <w:tc>
          <w:tcPr>
            <w:tcW w:w="893" w:type="dxa"/>
            <w:tcBorders>
              <w:top w:val="single" w:sz="4" w:space="0" w:color="auto"/>
              <w:left w:val="nil"/>
              <w:right w:val="nil"/>
            </w:tcBorders>
          </w:tcPr>
          <w:p w:rsidR="009F0A92" w:rsidRDefault="009F0A92" w:rsidP="009543DB">
            <w:pPr>
              <w:pStyle w:val="Tabletextright"/>
            </w:pPr>
            <w:r>
              <w:t>44.3</w:t>
            </w:r>
          </w:p>
        </w:tc>
        <w:tc>
          <w:tcPr>
            <w:tcW w:w="892" w:type="dxa"/>
            <w:tcBorders>
              <w:top w:val="single" w:sz="4" w:space="0" w:color="auto"/>
              <w:left w:val="nil"/>
              <w:right w:val="nil"/>
            </w:tcBorders>
          </w:tcPr>
          <w:p w:rsidR="009F0A92" w:rsidRDefault="009F0A92" w:rsidP="009543DB">
            <w:pPr>
              <w:pStyle w:val="Tabletextright"/>
            </w:pPr>
            <w:r>
              <w:t>46.9</w:t>
            </w:r>
          </w:p>
        </w:tc>
        <w:tc>
          <w:tcPr>
            <w:tcW w:w="892" w:type="dxa"/>
            <w:tcBorders>
              <w:top w:val="single" w:sz="4" w:space="0" w:color="auto"/>
              <w:left w:val="nil"/>
              <w:right w:val="nil"/>
            </w:tcBorders>
          </w:tcPr>
          <w:p w:rsidR="009F0A92" w:rsidRDefault="009F0A92" w:rsidP="009543DB">
            <w:pPr>
              <w:pStyle w:val="Tabletextright"/>
            </w:pPr>
            <w:r>
              <w:t>45.2</w:t>
            </w:r>
          </w:p>
        </w:tc>
        <w:tc>
          <w:tcPr>
            <w:tcW w:w="892" w:type="dxa"/>
            <w:tcBorders>
              <w:top w:val="single" w:sz="4" w:space="0" w:color="auto"/>
              <w:left w:val="nil"/>
              <w:right w:val="nil"/>
            </w:tcBorders>
          </w:tcPr>
          <w:p w:rsidR="009F0A92" w:rsidRDefault="009F0A92" w:rsidP="009543DB">
            <w:pPr>
              <w:pStyle w:val="Tabletextright"/>
            </w:pPr>
            <w:r>
              <w:t>43.6</w:t>
            </w:r>
          </w:p>
        </w:tc>
        <w:tc>
          <w:tcPr>
            <w:tcW w:w="893" w:type="dxa"/>
            <w:tcBorders>
              <w:top w:val="single" w:sz="4" w:space="0" w:color="auto"/>
              <w:left w:val="nil"/>
              <w:right w:val="nil"/>
            </w:tcBorders>
          </w:tcPr>
          <w:p w:rsidR="009F0A92" w:rsidRDefault="009F0A92" w:rsidP="009543DB">
            <w:pPr>
              <w:pStyle w:val="Tabletextright"/>
            </w:pPr>
            <w:r>
              <w:t>45.3</w:t>
            </w:r>
          </w:p>
        </w:tc>
      </w:tr>
    </w:tbl>
    <w:p w:rsidR="009F0A92" w:rsidRDefault="009F0A92" w:rsidP="009F0A92">
      <w:pPr>
        <w:pStyle w:val="Sourceandnotes"/>
      </w:pPr>
      <w:r>
        <w:t>Note:</w:t>
      </w:r>
      <w:r>
        <w:tab/>
        <w:t>Real values in 2014</w:t>
      </w:r>
      <w:r>
        <w:noBreakHyphen/>
        <w:t>15 dollars</w:t>
      </w:r>
    </w:p>
    <w:p w:rsidR="009F0A92" w:rsidRDefault="009F0A92" w:rsidP="009F0A92">
      <w:r>
        <w:t>As aeronautical operating expenses are lower under the LIS approach, aeronautical aggregate margin under the LIS approach was $123.4 million in 2014</w:t>
      </w:r>
      <w:r>
        <w:noBreakHyphen/>
        <w:t>15, or around 4.0 per cent higher than the non</w:t>
      </w:r>
      <w:r>
        <w:noBreakHyphen/>
        <w:t>LIS figure.</w:t>
      </w:r>
    </w:p>
    <w:p w:rsidR="009F0A92" w:rsidRDefault="009F0A92" w:rsidP="009F0A92">
      <w:pPr>
        <w:pStyle w:val="Numberedheading3"/>
      </w:pPr>
      <w:r>
        <w:t>Assets for aeronautical and total airport services</w:t>
      </w:r>
    </w:p>
    <w:p w:rsidR="009F0A92" w:rsidRDefault="009F0A92" w:rsidP="009F0A92">
      <w:r>
        <w:t>Table 2.2.4 outlines Brisbane Airport’s tangible non</w:t>
      </w:r>
      <w:r>
        <w:noBreakHyphen/>
        <w:t>current assets for aeronautical and total airport services from 2004</w:t>
      </w:r>
      <w:r>
        <w:noBreakHyphen/>
        <w:t>05 to 2014</w:t>
      </w:r>
      <w:r>
        <w:noBreakHyphen/>
        <w:t>15. Brisbane Airport’s tangible non</w:t>
      </w:r>
      <w:r>
        <w:noBreakHyphen/>
        <w:t>current assets for aeronautical services under the LIS approach are presented in Table 2.2.5.</w:t>
      </w:r>
    </w:p>
    <w:p w:rsidR="009F0A92" w:rsidRPr="00112C4F" w:rsidRDefault="009F0A92" w:rsidP="009F0A92">
      <w:pPr>
        <w:rPr>
          <w:b/>
          <w:i/>
          <w:color w:val="FF0000"/>
          <w:u w:val="single"/>
        </w:rPr>
      </w:pPr>
      <w:r>
        <w:t>In 2014</w:t>
      </w:r>
      <w:r>
        <w:noBreakHyphen/>
        <w:t>15, the value of aeronautical tangible non</w:t>
      </w:r>
      <w:r>
        <w:noBreakHyphen/>
        <w:t>current assets at Brisbane Airport increased by 16.8 per cent in real terms to around $2.0 billion. This increase was driven by an increase in the value of all asset categories, but particularly ‘non</w:t>
      </w:r>
      <w:r>
        <w:noBreakHyphen/>
        <w:t>current portion of lease and hedge assets’ which were more than three times larger than in 2013</w:t>
      </w:r>
      <w:r>
        <w:noBreakHyphen/>
        <w:t>14. Since 2004</w:t>
      </w:r>
      <w:r>
        <w:noBreakHyphen/>
        <w:t>05, aeronautical tangible non</w:t>
      </w:r>
      <w:r>
        <w:noBreakHyphen/>
        <w:t>current assets have increased in value by 75.9 per cent in real terms</w:t>
      </w:r>
      <w:r w:rsidRPr="003561F7">
        <w:t xml:space="preserve">. </w:t>
      </w:r>
    </w:p>
    <w:p w:rsidR="009F0A92" w:rsidRDefault="009F0A92" w:rsidP="009F0A92">
      <w:r>
        <w:t>Tangible non</w:t>
      </w:r>
      <w:r>
        <w:noBreakHyphen/>
        <w:t>current assets for the total airport increased in value by 12.8 per cent in real terms to $4.2 billion in 2014</w:t>
      </w:r>
      <w:r>
        <w:noBreakHyphen/>
        <w:t xml:space="preserve">15, which was also mostly driven by an increase in the value of the </w:t>
      </w:r>
      <w:r w:rsidRPr="00E61DE6">
        <w:t>‘non</w:t>
      </w:r>
      <w:r w:rsidRPr="00E61DE6">
        <w:noBreakHyphen/>
        <w:t>current portion of lease and hedge assets’</w:t>
      </w:r>
      <w:r w:rsidRPr="00B40A42">
        <w:t>.</w:t>
      </w:r>
    </w:p>
    <w:p w:rsidR="009F0A92" w:rsidRDefault="009F0A92" w:rsidP="009F0A92">
      <w:r w:rsidRPr="00343569">
        <w:t>Under the LIS approach, the value of aeronautical tangible non</w:t>
      </w:r>
      <w:r w:rsidRPr="00343569">
        <w:noBreakHyphen/>
        <w:t>current assets was $1.7 billion in 2014</w:t>
      </w:r>
      <w:r w:rsidRPr="00343569">
        <w:noBreakHyphen/>
        <w:t>15, or around 15.7 per cent lower than the non</w:t>
      </w:r>
      <w:r w:rsidRPr="00343569">
        <w:noBreakHyphen/>
        <w:t>LIS figure. This is mainly due to the LIS value of property, plant and equipment being around 17.4 per cent lower than the non</w:t>
      </w:r>
      <w:r w:rsidRPr="00343569">
        <w:noBreakHyphen/>
        <w:t>LIS value.</w:t>
      </w:r>
    </w:p>
    <w:p w:rsidR="009F0A92" w:rsidRDefault="009F0A92" w:rsidP="009F0A92">
      <w:pPr>
        <w:sectPr w:rsidR="009F0A92" w:rsidSect="009543DB">
          <w:headerReference w:type="even" r:id="rId59"/>
          <w:headerReference w:type="default" r:id="rId60"/>
          <w:footnotePr>
            <w:numStart w:val="93"/>
          </w:footnotePr>
          <w:pgSz w:w="11906" w:h="16838"/>
          <w:pgMar w:top="1440" w:right="1729" w:bottom="1582" w:left="1729" w:header="709" w:footer="709" w:gutter="0"/>
          <w:cols w:space="708"/>
          <w:docGrid w:linePitch="360"/>
        </w:sectPr>
      </w:pPr>
    </w:p>
    <w:p w:rsidR="009F0A92" w:rsidRDefault="009F0A92" w:rsidP="009F0A92">
      <w:pPr>
        <w:pStyle w:val="Numberedcharttitle"/>
      </w:pPr>
      <w:r>
        <w:lastRenderedPageBreak/>
        <w:t>Table 2.2.4:</w:t>
      </w:r>
      <w:r>
        <w:tab/>
        <w:t>Brisbane Airport—non-current assets for aeronautical services and total airport services in real terms: 2004-05 to 2014-15</w:t>
      </w:r>
    </w:p>
    <w:tbl>
      <w:tblPr>
        <w:tblStyle w:val="TableGrid"/>
        <w:tblW w:w="0" w:type="auto"/>
        <w:tblLayout w:type="fixed"/>
        <w:tblLook w:val="04A0" w:firstRow="1" w:lastRow="0" w:firstColumn="1" w:lastColumn="0" w:noHBand="0" w:noVBand="1"/>
      </w:tblPr>
      <w:tblGrid>
        <w:gridCol w:w="1951"/>
        <w:gridCol w:w="1560"/>
        <w:gridCol w:w="956"/>
        <w:gridCol w:w="956"/>
        <w:gridCol w:w="957"/>
        <w:gridCol w:w="956"/>
        <w:gridCol w:w="957"/>
        <w:gridCol w:w="956"/>
        <w:gridCol w:w="957"/>
        <w:gridCol w:w="956"/>
        <w:gridCol w:w="957"/>
        <w:gridCol w:w="956"/>
        <w:gridCol w:w="957"/>
      </w:tblGrid>
      <w:tr w:rsidR="009F0A92" w:rsidTr="009543DB">
        <w:tc>
          <w:tcPr>
            <w:tcW w:w="1951" w:type="dxa"/>
            <w:tcBorders>
              <w:left w:val="nil"/>
              <w:bottom w:val="single" w:sz="4" w:space="0" w:color="auto"/>
              <w:right w:val="nil"/>
            </w:tcBorders>
            <w:shd w:val="clear" w:color="auto" w:fill="DFE0DC"/>
          </w:tcPr>
          <w:p w:rsidR="009F0A92" w:rsidRDefault="009F0A92" w:rsidP="009543DB">
            <w:pPr>
              <w:pStyle w:val="Tabletextleft"/>
            </w:pPr>
          </w:p>
        </w:tc>
        <w:tc>
          <w:tcPr>
            <w:tcW w:w="1560" w:type="dxa"/>
            <w:tcBorders>
              <w:left w:val="nil"/>
              <w:bottom w:val="single" w:sz="4" w:space="0" w:color="auto"/>
              <w:right w:val="nil"/>
            </w:tcBorders>
            <w:shd w:val="clear" w:color="auto" w:fill="DFE0DC"/>
          </w:tcPr>
          <w:p w:rsidR="009F0A92" w:rsidRDefault="009F0A92" w:rsidP="009543DB">
            <w:pPr>
              <w:pStyle w:val="Tabletextleft"/>
            </w:pP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2004-05</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2005-06</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2006-07</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2007-08</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2008-09</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2009-10</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2010-11</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2011-12</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2012-13</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2013-14</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2014-15</w:t>
            </w:r>
          </w:p>
        </w:tc>
      </w:tr>
      <w:tr w:rsidR="009F0A92" w:rsidTr="009543DB">
        <w:tc>
          <w:tcPr>
            <w:tcW w:w="1951" w:type="dxa"/>
            <w:vMerge w:val="restart"/>
            <w:tcBorders>
              <w:left w:val="nil"/>
              <w:right w:val="nil"/>
            </w:tcBorders>
          </w:tcPr>
          <w:p w:rsidR="009F0A92" w:rsidRDefault="009F0A92" w:rsidP="009543DB">
            <w:pPr>
              <w:pStyle w:val="Tabletextheading"/>
            </w:pPr>
            <w:r>
              <w:t>Investment property</w:t>
            </w:r>
            <w:r>
              <w:br/>
              <w:t>($million)</w:t>
            </w:r>
          </w:p>
        </w:tc>
        <w:tc>
          <w:tcPr>
            <w:tcW w:w="1560" w:type="dxa"/>
            <w:tcBorders>
              <w:left w:val="nil"/>
              <w:bottom w:val="nil"/>
              <w:right w:val="nil"/>
            </w:tcBorders>
          </w:tcPr>
          <w:p w:rsidR="009F0A92" w:rsidRDefault="009F0A92" w:rsidP="009543DB">
            <w:pPr>
              <w:pStyle w:val="Tabletextleft"/>
            </w:pPr>
            <w:r>
              <w:t>Aeronautical</w:t>
            </w:r>
          </w:p>
        </w:tc>
        <w:tc>
          <w:tcPr>
            <w:tcW w:w="956"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r>
      <w:tr w:rsidR="009F0A92" w:rsidTr="009543DB">
        <w:tc>
          <w:tcPr>
            <w:tcW w:w="1951" w:type="dxa"/>
            <w:vMerge/>
            <w:tcBorders>
              <w:left w:val="nil"/>
              <w:right w:val="nil"/>
            </w:tcBorders>
          </w:tcPr>
          <w:p w:rsidR="009F0A92" w:rsidRDefault="009F0A92" w:rsidP="009543DB">
            <w:pPr>
              <w:pStyle w:val="Tabletextheading"/>
            </w:pPr>
          </w:p>
        </w:tc>
        <w:tc>
          <w:tcPr>
            <w:tcW w:w="1560" w:type="dxa"/>
            <w:tcBorders>
              <w:top w:val="nil"/>
              <w:left w:val="nil"/>
              <w:bottom w:val="single" w:sz="4" w:space="0" w:color="auto"/>
              <w:right w:val="nil"/>
            </w:tcBorders>
          </w:tcPr>
          <w:p w:rsidR="009F0A92" w:rsidRDefault="009F0A92" w:rsidP="009543DB">
            <w:pPr>
              <w:pStyle w:val="Tabletextheading"/>
            </w:pPr>
            <w:r>
              <w:t>Total airport</w:t>
            </w:r>
          </w:p>
        </w:tc>
        <w:tc>
          <w:tcPr>
            <w:tcW w:w="956" w:type="dxa"/>
            <w:tcBorders>
              <w:top w:val="nil"/>
              <w:left w:val="nil"/>
              <w:bottom w:val="single" w:sz="4" w:space="0" w:color="auto"/>
              <w:right w:val="nil"/>
            </w:tcBorders>
          </w:tcPr>
          <w:p w:rsidR="009F0A92" w:rsidRDefault="009F0A92" w:rsidP="009543DB">
            <w:pPr>
              <w:pStyle w:val="Tabletextheadingright"/>
            </w:pPr>
            <w:r>
              <w:t>418.6</w:t>
            </w:r>
          </w:p>
        </w:tc>
        <w:tc>
          <w:tcPr>
            <w:tcW w:w="956" w:type="dxa"/>
            <w:tcBorders>
              <w:top w:val="nil"/>
              <w:left w:val="nil"/>
              <w:bottom w:val="single" w:sz="4" w:space="0" w:color="auto"/>
              <w:right w:val="nil"/>
            </w:tcBorders>
          </w:tcPr>
          <w:p w:rsidR="009F0A92" w:rsidRDefault="009F0A92" w:rsidP="009543DB">
            <w:pPr>
              <w:pStyle w:val="Tabletextheadingright"/>
            </w:pPr>
            <w:r>
              <w:t>523.1</w:t>
            </w:r>
          </w:p>
        </w:tc>
        <w:tc>
          <w:tcPr>
            <w:tcW w:w="957" w:type="dxa"/>
            <w:tcBorders>
              <w:top w:val="nil"/>
              <w:left w:val="nil"/>
              <w:bottom w:val="single" w:sz="4" w:space="0" w:color="auto"/>
              <w:right w:val="nil"/>
            </w:tcBorders>
          </w:tcPr>
          <w:p w:rsidR="009F0A92" w:rsidRDefault="009F0A92" w:rsidP="009543DB">
            <w:pPr>
              <w:pStyle w:val="Tabletextheadingright"/>
            </w:pPr>
            <w:r>
              <w:t>584.3</w:t>
            </w:r>
          </w:p>
        </w:tc>
        <w:tc>
          <w:tcPr>
            <w:tcW w:w="956" w:type="dxa"/>
            <w:tcBorders>
              <w:top w:val="nil"/>
              <w:left w:val="nil"/>
              <w:bottom w:val="single" w:sz="4" w:space="0" w:color="auto"/>
              <w:right w:val="nil"/>
            </w:tcBorders>
          </w:tcPr>
          <w:p w:rsidR="009F0A92" w:rsidRDefault="009F0A92" w:rsidP="009543DB">
            <w:pPr>
              <w:pStyle w:val="Tabletextheadingright"/>
            </w:pPr>
            <w:r>
              <w:t>682.6</w:t>
            </w:r>
          </w:p>
        </w:tc>
        <w:tc>
          <w:tcPr>
            <w:tcW w:w="957" w:type="dxa"/>
            <w:tcBorders>
              <w:top w:val="nil"/>
              <w:left w:val="nil"/>
              <w:bottom w:val="single" w:sz="4" w:space="0" w:color="auto"/>
              <w:right w:val="nil"/>
            </w:tcBorders>
          </w:tcPr>
          <w:p w:rsidR="009F0A92" w:rsidRDefault="009F0A92" w:rsidP="009543DB">
            <w:pPr>
              <w:pStyle w:val="Tabletextheadingright"/>
            </w:pPr>
            <w:r>
              <w:t>768.9</w:t>
            </w:r>
          </w:p>
        </w:tc>
        <w:tc>
          <w:tcPr>
            <w:tcW w:w="956" w:type="dxa"/>
            <w:tcBorders>
              <w:top w:val="nil"/>
              <w:left w:val="nil"/>
              <w:bottom w:val="single" w:sz="4" w:space="0" w:color="auto"/>
              <w:right w:val="nil"/>
            </w:tcBorders>
          </w:tcPr>
          <w:p w:rsidR="009F0A92" w:rsidRDefault="009F0A92" w:rsidP="009543DB">
            <w:pPr>
              <w:pStyle w:val="Tabletextheadingright"/>
            </w:pPr>
            <w:r>
              <w:t>795.3</w:t>
            </w:r>
          </w:p>
        </w:tc>
        <w:tc>
          <w:tcPr>
            <w:tcW w:w="957" w:type="dxa"/>
            <w:tcBorders>
              <w:top w:val="nil"/>
              <w:left w:val="nil"/>
              <w:bottom w:val="single" w:sz="4" w:space="0" w:color="auto"/>
              <w:right w:val="nil"/>
            </w:tcBorders>
          </w:tcPr>
          <w:p w:rsidR="009F0A92" w:rsidRDefault="009F0A92" w:rsidP="009543DB">
            <w:pPr>
              <w:pStyle w:val="Tabletextheadingright"/>
            </w:pPr>
            <w:r>
              <w:t>867.3</w:t>
            </w:r>
          </w:p>
        </w:tc>
        <w:tc>
          <w:tcPr>
            <w:tcW w:w="956" w:type="dxa"/>
            <w:tcBorders>
              <w:top w:val="nil"/>
              <w:left w:val="nil"/>
              <w:bottom w:val="single" w:sz="4" w:space="0" w:color="auto"/>
              <w:right w:val="nil"/>
            </w:tcBorders>
          </w:tcPr>
          <w:p w:rsidR="009F0A92" w:rsidRDefault="009F0A92" w:rsidP="009543DB">
            <w:pPr>
              <w:pStyle w:val="Tabletextheadingright"/>
            </w:pPr>
            <w:r>
              <w:t>953.6</w:t>
            </w:r>
          </w:p>
        </w:tc>
        <w:tc>
          <w:tcPr>
            <w:tcW w:w="957" w:type="dxa"/>
            <w:tcBorders>
              <w:top w:val="nil"/>
              <w:left w:val="nil"/>
              <w:bottom w:val="single" w:sz="4" w:space="0" w:color="auto"/>
              <w:right w:val="nil"/>
            </w:tcBorders>
          </w:tcPr>
          <w:p w:rsidR="009F0A92" w:rsidRDefault="009F0A92" w:rsidP="009543DB">
            <w:pPr>
              <w:pStyle w:val="Tabletextheadingright"/>
            </w:pPr>
            <w:r>
              <w:t>1 047.7</w:t>
            </w:r>
          </w:p>
        </w:tc>
        <w:tc>
          <w:tcPr>
            <w:tcW w:w="956" w:type="dxa"/>
            <w:tcBorders>
              <w:top w:val="nil"/>
              <w:left w:val="nil"/>
              <w:bottom w:val="single" w:sz="4" w:space="0" w:color="auto"/>
              <w:right w:val="nil"/>
            </w:tcBorders>
          </w:tcPr>
          <w:p w:rsidR="009F0A92" w:rsidRDefault="009F0A92" w:rsidP="009543DB">
            <w:pPr>
              <w:pStyle w:val="Tabletextheadingright"/>
            </w:pPr>
            <w:r>
              <w:t>1 085.2</w:t>
            </w:r>
          </w:p>
        </w:tc>
        <w:tc>
          <w:tcPr>
            <w:tcW w:w="957" w:type="dxa"/>
            <w:tcBorders>
              <w:top w:val="nil"/>
              <w:left w:val="nil"/>
              <w:bottom w:val="single" w:sz="4" w:space="0" w:color="auto"/>
              <w:right w:val="nil"/>
            </w:tcBorders>
          </w:tcPr>
          <w:p w:rsidR="009F0A92" w:rsidRDefault="009F0A92" w:rsidP="009543DB">
            <w:pPr>
              <w:pStyle w:val="Tabletextheadingright"/>
            </w:pPr>
            <w:r>
              <w:t>1 137.2</w:t>
            </w:r>
          </w:p>
        </w:tc>
      </w:tr>
      <w:tr w:rsidR="009F0A92" w:rsidTr="009543DB">
        <w:tc>
          <w:tcPr>
            <w:tcW w:w="1951" w:type="dxa"/>
            <w:vMerge w:val="restart"/>
            <w:tcBorders>
              <w:left w:val="nil"/>
              <w:right w:val="nil"/>
            </w:tcBorders>
          </w:tcPr>
          <w:p w:rsidR="009F0A92" w:rsidRDefault="009F0A92" w:rsidP="009543DB">
            <w:pPr>
              <w:pStyle w:val="Tabletextheading"/>
            </w:pPr>
            <w:r>
              <w:t xml:space="preserve">Land </w:t>
            </w:r>
            <w:r>
              <w:br/>
              <w:t>($million)</w:t>
            </w:r>
          </w:p>
        </w:tc>
        <w:tc>
          <w:tcPr>
            <w:tcW w:w="1560" w:type="dxa"/>
            <w:tcBorders>
              <w:left w:val="nil"/>
              <w:bottom w:val="nil"/>
              <w:right w:val="nil"/>
            </w:tcBorders>
          </w:tcPr>
          <w:p w:rsidR="009F0A92" w:rsidRDefault="009F0A92" w:rsidP="009543DB">
            <w:pPr>
              <w:pStyle w:val="Tabletextleft"/>
            </w:pPr>
            <w:r>
              <w:t>Aeronautical</w:t>
            </w:r>
          </w:p>
        </w:tc>
        <w:tc>
          <w:tcPr>
            <w:tcW w:w="956" w:type="dxa"/>
            <w:tcBorders>
              <w:left w:val="nil"/>
              <w:bottom w:val="nil"/>
              <w:right w:val="nil"/>
            </w:tcBorders>
          </w:tcPr>
          <w:p w:rsidR="009F0A92" w:rsidRDefault="009F0A92" w:rsidP="009543DB">
            <w:pPr>
              <w:pStyle w:val="Tabletextright"/>
            </w:pPr>
            <w:r>
              <w:t>23.4</w:t>
            </w:r>
          </w:p>
        </w:tc>
        <w:tc>
          <w:tcPr>
            <w:tcW w:w="956" w:type="dxa"/>
            <w:tcBorders>
              <w:left w:val="nil"/>
              <w:bottom w:val="nil"/>
              <w:right w:val="nil"/>
            </w:tcBorders>
          </w:tcPr>
          <w:p w:rsidR="009F0A92" w:rsidRDefault="009F0A92" w:rsidP="009543DB">
            <w:pPr>
              <w:pStyle w:val="Tabletextright"/>
            </w:pPr>
            <w:r>
              <w:t>22.4</w:t>
            </w:r>
          </w:p>
        </w:tc>
        <w:tc>
          <w:tcPr>
            <w:tcW w:w="957" w:type="dxa"/>
            <w:tcBorders>
              <w:left w:val="nil"/>
              <w:bottom w:val="nil"/>
              <w:right w:val="nil"/>
            </w:tcBorders>
          </w:tcPr>
          <w:p w:rsidR="009F0A92" w:rsidRDefault="009F0A92" w:rsidP="009543DB">
            <w:pPr>
              <w:pStyle w:val="Tabletextright"/>
            </w:pPr>
            <w:r>
              <w:t>22.4</w:t>
            </w:r>
          </w:p>
        </w:tc>
        <w:tc>
          <w:tcPr>
            <w:tcW w:w="956" w:type="dxa"/>
            <w:tcBorders>
              <w:left w:val="nil"/>
              <w:bottom w:val="nil"/>
              <w:right w:val="nil"/>
            </w:tcBorders>
          </w:tcPr>
          <w:p w:rsidR="009F0A92" w:rsidRDefault="009F0A92" w:rsidP="009543DB">
            <w:pPr>
              <w:pStyle w:val="Tabletextright"/>
            </w:pPr>
            <w:r>
              <w:t>21.4</w:t>
            </w:r>
          </w:p>
        </w:tc>
        <w:tc>
          <w:tcPr>
            <w:tcW w:w="957" w:type="dxa"/>
            <w:tcBorders>
              <w:left w:val="nil"/>
              <w:bottom w:val="nil"/>
              <w:right w:val="nil"/>
            </w:tcBorders>
          </w:tcPr>
          <w:p w:rsidR="009F0A92" w:rsidRDefault="009F0A92" w:rsidP="009543DB">
            <w:pPr>
              <w:pStyle w:val="Tabletextright"/>
            </w:pPr>
            <w:r>
              <w:t>21.1</w:t>
            </w:r>
          </w:p>
        </w:tc>
        <w:tc>
          <w:tcPr>
            <w:tcW w:w="956" w:type="dxa"/>
            <w:tcBorders>
              <w:left w:val="nil"/>
              <w:bottom w:val="nil"/>
              <w:right w:val="nil"/>
            </w:tcBorders>
          </w:tcPr>
          <w:p w:rsidR="009F0A92" w:rsidRDefault="009F0A92" w:rsidP="009543DB">
            <w:pPr>
              <w:pStyle w:val="Tabletextright"/>
            </w:pPr>
            <w:r>
              <w:t>20.2</w:t>
            </w:r>
          </w:p>
        </w:tc>
        <w:tc>
          <w:tcPr>
            <w:tcW w:w="957" w:type="dxa"/>
            <w:tcBorders>
              <w:left w:val="nil"/>
              <w:bottom w:val="nil"/>
              <w:right w:val="nil"/>
            </w:tcBorders>
          </w:tcPr>
          <w:p w:rsidR="009F0A92" w:rsidRDefault="009F0A92" w:rsidP="009543DB">
            <w:pPr>
              <w:pStyle w:val="Tabletextright"/>
            </w:pPr>
            <w:r>
              <w:t>19.3</w:t>
            </w:r>
          </w:p>
        </w:tc>
        <w:tc>
          <w:tcPr>
            <w:tcW w:w="956" w:type="dxa"/>
            <w:tcBorders>
              <w:left w:val="nil"/>
              <w:bottom w:val="nil"/>
              <w:right w:val="nil"/>
            </w:tcBorders>
          </w:tcPr>
          <w:p w:rsidR="009F0A92" w:rsidRDefault="009F0A92" w:rsidP="009543DB">
            <w:pPr>
              <w:pStyle w:val="Tabletextright"/>
            </w:pPr>
            <w:r>
              <w:t>19.5</w:t>
            </w:r>
          </w:p>
        </w:tc>
        <w:tc>
          <w:tcPr>
            <w:tcW w:w="957" w:type="dxa"/>
            <w:tcBorders>
              <w:left w:val="nil"/>
              <w:bottom w:val="nil"/>
              <w:right w:val="nil"/>
            </w:tcBorders>
          </w:tcPr>
          <w:p w:rsidR="009F0A92" w:rsidRDefault="009F0A92" w:rsidP="009543DB">
            <w:pPr>
              <w:pStyle w:val="Tabletextright"/>
            </w:pPr>
            <w:r>
              <w:t>49.9</w:t>
            </w:r>
          </w:p>
        </w:tc>
        <w:tc>
          <w:tcPr>
            <w:tcW w:w="956" w:type="dxa"/>
            <w:tcBorders>
              <w:left w:val="nil"/>
              <w:bottom w:val="nil"/>
              <w:right w:val="nil"/>
            </w:tcBorders>
          </w:tcPr>
          <w:p w:rsidR="009F0A92" w:rsidRDefault="009F0A92" w:rsidP="009543DB">
            <w:pPr>
              <w:pStyle w:val="Tabletextright"/>
            </w:pPr>
            <w:r>
              <w:t>47.6</w:t>
            </w:r>
          </w:p>
        </w:tc>
        <w:tc>
          <w:tcPr>
            <w:tcW w:w="957" w:type="dxa"/>
            <w:tcBorders>
              <w:left w:val="nil"/>
              <w:bottom w:val="nil"/>
              <w:right w:val="nil"/>
            </w:tcBorders>
          </w:tcPr>
          <w:p w:rsidR="009F0A92" w:rsidRDefault="009F0A92" w:rsidP="009543DB">
            <w:pPr>
              <w:pStyle w:val="Tabletextright"/>
            </w:pPr>
            <w:r>
              <w:t>47.7</w:t>
            </w:r>
          </w:p>
        </w:tc>
      </w:tr>
      <w:tr w:rsidR="009F0A92" w:rsidTr="009543DB">
        <w:tc>
          <w:tcPr>
            <w:tcW w:w="1951" w:type="dxa"/>
            <w:vMerge/>
            <w:tcBorders>
              <w:left w:val="nil"/>
              <w:right w:val="nil"/>
            </w:tcBorders>
          </w:tcPr>
          <w:p w:rsidR="009F0A92" w:rsidRDefault="009F0A92" w:rsidP="009543DB">
            <w:pPr>
              <w:pStyle w:val="Tabletextheading"/>
            </w:pPr>
          </w:p>
        </w:tc>
        <w:tc>
          <w:tcPr>
            <w:tcW w:w="1560" w:type="dxa"/>
            <w:tcBorders>
              <w:top w:val="nil"/>
              <w:left w:val="nil"/>
              <w:bottom w:val="single" w:sz="4" w:space="0" w:color="auto"/>
              <w:right w:val="nil"/>
            </w:tcBorders>
          </w:tcPr>
          <w:p w:rsidR="009F0A92" w:rsidRDefault="009F0A92" w:rsidP="009543DB">
            <w:pPr>
              <w:pStyle w:val="Tabletextheading"/>
            </w:pPr>
            <w:r>
              <w:t>Total airport</w:t>
            </w:r>
          </w:p>
        </w:tc>
        <w:tc>
          <w:tcPr>
            <w:tcW w:w="956" w:type="dxa"/>
            <w:tcBorders>
              <w:top w:val="nil"/>
              <w:left w:val="nil"/>
              <w:bottom w:val="single" w:sz="4" w:space="0" w:color="auto"/>
              <w:right w:val="nil"/>
            </w:tcBorders>
          </w:tcPr>
          <w:p w:rsidR="009F0A92" w:rsidRDefault="009F0A92" w:rsidP="009543DB">
            <w:pPr>
              <w:pStyle w:val="Tabletextheadingright"/>
            </w:pPr>
            <w:r>
              <w:t>78.5</w:t>
            </w:r>
          </w:p>
        </w:tc>
        <w:tc>
          <w:tcPr>
            <w:tcW w:w="956" w:type="dxa"/>
            <w:tcBorders>
              <w:top w:val="nil"/>
              <w:left w:val="nil"/>
              <w:bottom w:val="single" w:sz="4" w:space="0" w:color="auto"/>
              <w:right w:val="nil"/>
            </w:tcBorders>
          </w:tcPr>
          <w:p w:rsidR="009F0A92" w:rsidRDefault="009F0A92" w:rsidP="009543DB">
            <w:pPr>
              <w:pStyle w:val="Tabletextheadingright"/>
            </w:pPr>
            <w:r>
              <w:t>75.3</w:t>
            </w:r>
          </w:p>
        </w:tc>
        <w:tc>
          <w:tcPr>
            <w:tcW w:w="957" w:type="dxa"/>
            <w:tcBorders>
              <w:top w:val="nil"/>
              <w:left w:val="nil"/>
              <w:bottom w:val="single" w:sz="4" w:space="0" w:color="auto"/>
              <w:right w:val="nil"/>
            </w:tcBorders>
          </w:tcPr>
          <w:p w:rsidR="009F0A92" w:rsidRDefault="009F0A92" w:rsidP="009543DB">
            <w:pPr>
              <w:pStyle w:val="Tabletextheadingright"/>
            </w:pPr>
            <w:r>
              <w:t>72.3</w:t>
            </w:r>
          </w:p>
        </w:tc>
        <w:tc>
          <w:tcPr>
            <w:tcW w:w="956" w:type="dxa"/>
            <w:tcBorders>
              <w:top w:val="nil"/>
              <w:left w:val="nil"/>
              <w:bottom w:val="single" w:sz="4" w:space="0" w:color="auto"/>
              <w:right w:val="nil"/>
            </w:tcBorders>
          </w:tcPr>
          <w:p w:rsidR="009F0A92" w:rsidRDefault="009F0A92" w:rsidP="009543DB">
            <w:pPr>
              <w:pStyle w:val="Tabletextheadingright"/>
            </w:pPr>
            <w:r>
              <w:t>69.1</w:t>
            </w:r>
          </w:p>
        </w:tc>
        <w:tc>
          <w:tcPr>
            <w:tcW w:w="957" w:type="dxa"/>
            <w:tcBorders>
              <w:top w:val="nil"/>
              <w:left w:val="nil"/>
              <w:bottom w:val="single" w:sz="4" w:space="0" w:color="auto"/>
              <w:right w:val="nil"/>
            </w:tcBorders>
          </w:tcPr>
          <w:p w:rsidR="009F0A92" w:rsidRDefault="009F0A92" w:rsidP="009543DB">
            <w:pPr>
              <w:pStyle w:val="Tabletextheadingright"/>
            </w:pPr>
            <w:r>
              <w:t>66.3</w:t>
            </w:r>
          </w:p>
        </w:tc>
        <w:tc>
          <w:tcPr>
            <w:tcW w:w="956" w:type="dxa"/>
            <w:tcBorders>
              <w:top w:val="nil"/>
              <w:left w:val="nil"/>
              <w:bottom w:val="single" w:sz="4" w:space="0" w:color="auto"/>
              <w:right w:val="nil"/>
            </w:tcBorders>
          </w:tcPr>
          <w:p w:rsidR="009F0A92" w:rsidRDefault="009F0A92" w:rsidP="009543DB">
            <w:pPr>
              <w:pStyle w:val="Tabletextheadingright"/>
            </w:pPr>
            <w:r>
              <w:t>64.0</w:t>
            </w:r>
          </w:p>
        </w:tc>
        <w:tc>
          <w:tcPr>
            <w:tcW w:w="957" w:type="dxa"/>
            <w:tcBorders>
              <w:top w:val="nil"/>
              <w:left w:val="nil"/>
              <w:bottom w:val="single" w:sz="4" w:space="0" w:color="auto"/>
              <w:right w:val="nil"/>
            </w:tcBorders>
          </w:tcPr>
          <w:p w:rsidR="009F0A92" w:rsidRDefault="009F0A92" w:rsidP="009543DB">
            <w:pPr>
              <w:pStyle w:val="Tabletextheadingright"/>
            </w:pPr>
            <w:r>
              <w:t>61.4</w:t>
            </w:r>
          </w:p>
        </w:tc>
        <w:tc>
          <w:tcPr>
            <w:tcW w:w="956" w:type="dxa"/>
            <w:tcBorders>
              <w:top w:val="nil"/>
              <w:left w:val="nil"/>
              <w:bottom w:val="single" w:sz="4" w:space="0" w:color="auto"/>
              <w:right w:val="nil"/>
            </w:tcBorders>
          </w:tcPr>
          <w:p w:rsidR="009F0A92" w:rsidRDefault="009F0A92" w:rsidP="009543DB">
            <w:pPr>
              <w:pStyle w:val="Tabletextheadingright"/>
            </w:pPr>
            <w:r>
              <w:t>59.0</w:t>
            </w:r>
          </w:p>
        </w:tc>
        <w:tc>
          <w:tcPr>
            <w:tcW w:w="957" w:type="dxa"/>
            <w:tcBorders>
              <w:top w:val="nil"/>
              <w:left w:val="nil"/>
              <w:bottom w:val="single" w:sz="4" w:space="0" w:color="auto"/>
              <w:right w:val="nil"/>
            </w:tcBorders>
          </w:tcPr>
          <w:p w:rsidR="009F0A92" w:rsidRDefault="009F0A92" w:rsidP="009543DB">
            <w:pPr>
              <w:pStyle w:val="Tabletextheadingright"/>
            </w:pPr>
            <w:r>
              <w:t>90.5</w:t>
            </w:r>
          </w:p>
        </w:tc>
        <w:tc>
          <w:tcPr>
            <w:tcW w:w="956" w:type="dxa"/>
            <w:tcBorders>
              <w:top w:val="nil"/>
              <w:left w:val="nil"/>
              <w:bottom w:val="single" w:sz="4" w:space="0" w:color="auto"/>
              <w:right w:val="nil"/>
            </w:tcBorders>
          </w:tcPr>
          <w:p w:rsidR="009F0A92" w:rsidRDefault="009F0A92" w:rsidP="009543DB">
            <w:pPr>
              <w:pStyle w:val="Tabletextheadingright"/>
            </w:pPr>
            <w:r>
              <w:t>87.7</w:t>
            </w:r>
          </w:p>
        </w:tc>
        <w:tc>
          <w:tcPr>
            <w:tcW w:w="957" w:type="dxa"/>
            <w:tcBorders>
              <w:top w:val="nil"/>
              <w:left w:val="nil"/>
              <w:bottom w:val="single" w:sz="4" w:space="0" w:color="auto"/>
              <w:right w:val="nil"/>
            </w:tcBorders>
          </w:tcPr>
          <w:p w:rsidR="009F0A92" w:rsidRDefault="009F0A92" w:rsidP="009543DB">
            <w:pPr>
              <w:pStyle w:val="Tabletextheadingright"/>
            </w:pPr>
            <w:r>
              <w:t>85.2</w:t>
            </w:r>
          </w:p>
        </w:tc>
      </w:tr>
      <w:tr w:rsidR="009F0A92" w:rsidTr="009543DB">
        <w:tc>
          <w:tcPr>
            <w:tcW w:w="1951" w:type="dxa"/>
            <w:vMerge w:val="restart"/>
            <w:tcBorders>
              <w:left w:val="nil"/>
              <w:right w:val="nil"/>
            </w:tcBorders>
          </w:tcPr>
          <w:p w:rsidR="009F0A92" w:rsidRDefault="009F0A92" w:rsidP="009543DB">
            <w:pPr>
              <w:pStyle w:val="Tabletextheading"/>
            </w:pPr>
            <w:r>
              <w:t>Property, plant and equipment</w:t>
            </w:r>
            <w:r>
              <w:br/>
              <w:t>($million)</w:t>
            </w:r>
          </w:p>
        </w:tc>
        <w:tc>
          <w:tcPr>
            <w:tcW w:w="1560" w:type="dxa"/>
            <w:tcBorders>
              <w:left w:val="nil"/>
              <w:bottom w:val="nil"/>
              <w:right w:val="nil"/>
            </w:tcBorders>
          </w:tcPr>
          <w:p w:rsidR="009F0A92" w:rsidRDefault="009F0A92" w:rsidP="009543DB">
            <w:pPr>
              <w:pStyle w:val="Tabletextleft"/>
            </w:pPr>
            <w:r>
              <w:t>Aeronautical</w:t>
            </w:r>
          </w:p>
        </w:tc>
        <w:tc>
          <w:tcPr>
            <w:tcW w:w="956" w:type="dxa"/>
            <w:tcBorders>
              <w:left w:val="nil"/>
              <w:bottom w:val="nil"/>
              <w:right w:val="nil"/>
            </w:tcBorders>
          </w:tcPr>
          <w:p w:rsidR="009F0A92" w:rsidRDefault="009F0A92" w:rsidP="009543DB">
            <w:pPr>
              <w:pStyle w:val="Tabletextright"/>
            </w:pPr>
            <w:r>
              <w:t>1 167.1</w:t>
            </w:r>
          </w:p>
        </w:tc>
        <w:tc>
          <w:tcPr>
            <w:tcW w:w="956" w:type="dxa"/>
            <w:tcBorders>
              <w:left w:val="nil"/>
              <w:bottom w:val="nil"/>
              <w:right w:val="nil"/>
            </w:tcBorders>
          </w:tcPr>
          <w:p w:rsidR="009F0A92" w:rsidRDefault="009F0A92" w:rsidP="009543DB">
            <w:pPr>
              <w:pStyle w:val="Tabletextright"/>
            </w:pPr>
            <w:r>
              <w:t>1 139.5</w:t>
            </w:r>
          </w:p>
        </w:tc>
        <w:tc>
          <w:tcPr>
            <w:tcW w:w="957" w:type="dxa"/>
            <w:tcBorders>
              <w:left w:val="nil"/>
              <w:bottom w:val="nil"/>
              <w:right w:val="nil"/>
            </w:tcBorders>
          </w:tcPr>
          <w:p w:rsidR="009F0A92" w:rsidRDefault="009F0A92" w:rsidP="009543DB">
            <w:pPr>
              <w:pStyle w:val="Tabletextright"/>
            </w:pPr>
            <w:r>
              <w:t>1 184.9</w:t>
            </w:r>
          </w:p>
        </w:tc>
        <w:tc>
          <w:tcPr>
            <w:tcW w:w="956" w:type="dxa"/>
            <w:tcBorders>
              <w:left w:val="nil"/>
              <w:bottom w:val="nil"/>
              <w:right w:val="nil"/>
            </w:tcBorders>
          </w:tcPr>
          <w:p w:rsidR="009F0A92" w:rsidRDefault="009F0A92" w:rsidP="009543DB">
            <w:pPr>
              <w:pStyle w:val="Tabletextright"/>
            </w:pPr>
            <w:r>
              <w:t>1 412.9</w:t>
            </w:r>
          </w:p>
        </w:tc>
        <w:tc>
          <w:tcPr>
            <w:tcW w:w="957" w:type="dxa"/>
            <w:tcBorders>
              <w:left w:val="nil"/>
              <w:bottom w:val="nil"/>
              <w:right w:val="nil"/>
            </w:tcBorders>
          </w:tcPr>
          <w:p w:rsidR="009F0A92" w:rsidRDefault="009F0A92" w:rsidP="009543DB">
            <w:pPr>
              <w:pStyle w:val="Tabletextright"/>
            </w:pPr>
            <w:r>
              <w:t>1 548.0</w:t>
            </w:r>
          </w:p>
        </w:tc>
        <w:tc>
          <w:tcPr>
            <w:tcW w:w="956" w:type="dxa"/>
            <w:tcBorders>
              <w:left w:val="nil"/>
              <w:bottom w:val="nil"/>
              <w:right w:val="nil"/>
            </w:tcBorders>
          </w:tcPr>
          <w:p w:rsidR="009F0A92" w:rsidRDefault="009F0A92" w:rsidP="009543DB">
            <w:pPr>
              <w:pStyle w:val="Tabletextright"/>
            </w:pPr>
            <w:r>
              <w:t>1 465.2</w:t>
            </w:r>
          </w:p>
        </w:tc>
        <w:tc>
          <w:tcPr>
            <w:tcW w:w="957" w:type="dxa"/>
            <w:tcBorders>
              <w:left w:val="nil"/>
              <w:bottom w:val="nil"/>
              <w:right w:val="nil"/>
            </w:tcBorders>
          </w:tcPr>
          <w:p w:rsidR="009F0A92" w:rsidRDefault="009F0A92" w:rsidP="009543DB">
            <w:pPr>
              <w:pStyle w:val="Tabletextright"/>
            </w:pPr>
            <w:r>
              <w:t>1 438.0</w:t>
            </w:r>
          </w:p>
        </w:tc>
        <w:tc>
          <w:tcPr>
            <w:tcW w:w="956" w:type="dxa"/>
            <w:tcBorders>
              <w:left w:val="nil"/>
              <w:bottom w:val="nil"/>
              <w:right w:val="nil"/>
            </w:tcBorders>
          </w:tcPr>
          <w:p w:rsidR="009F0A92" w:rsidRDefault="009F0A92" w:rsidP="009543DB">
            <w:pPr>
              <w:pStyle w:val="Tabletextright"/>
            </w:pPr>
            <w:r>
              <w:t>1 516.1</w:t>
            </w:r>
          </w:p>
        </w:tc>
        <w:tc>
          <w:tcPr>
            <w:tcW w:w="957" w:type="dxa"/>
            <w:tcBorders>
              <w:left w:val="nil"/>
              <w:bottom w:val="nil"/>
              <w:right w:val="nil"/>
            </w:tcBorders>
          </w:tcPr>
          <w:p w:rsidR="009F0A92" w:rsidRDefault="009F0A92" w:rsidP="009543DB">
            <w:pPr>
              <w:pStyle w:val="Tabletextright"/>
            </w:pPr>
            <w:r>
              <w:t>1 558.5</w:t>
            </w:r>
          </w:p>
        </w:tc>
        <w:tc>
          <w:tcPr>
            <w:tcW w:w="956" w:type="dxa"/>
            <w:tcBorders>
              <w:left w:val="nil"/>
              <w:bottom w:val="nil"/>
              <w:right w:val="nil"/>
            </w:tcBorders>
          </w:tcPr>
          <w:p w:rsidR="009F0A92" w:rsidRDefault="009F0A92" w:rsidP="009543DB">
            <w:pPr>
              <w:pStyle w:val="Tabletextright"/>
            </w:pPr>
            <w:r>
              <w:t>1 690.7</w:t>
            </w:r>
          </w:p>
        </w:tc>
        <w:tc>
          <w:tcPr>
            <w:tcW w:w="957" w:type="dxa"/>
            <w:tcBorders>
              <w:left w:val="nil"/>
              <w:bottom w:val="nil"/>
              <w:right w:val="nil"/>
            </w:tcBorders>
          </w:tcPr>
          <w:p w:rsidR="009F0A92" w:rsidRDefault="009F0A92" w:rsidP="009543DB">
            <w:pPr>
              <w:pStyle w:val="Tabletextright"/>
            </w:pPr>
            <w:r>
              <w:t>1 925.1</w:t>
            </w:r>
          </w:p>
        </w:tc>
      </w:tr>
      <w:tr w:rsidR="009F0A92" w:rsidTr="009543DB">
        <w:tc>
          <w:tcPr>
            <w:tcW w:w="1951" w:type="dxa"/>
            <w:vMerge/>
            <w:tcBorders>
              <w:left w:val="nil"/>
              <w:right w:val="nil"/>
            </w:tcBorders>
          </w:tcPr>
          <w:p w:rsidR="009F0A92" w:rsidRDefault="009F0A92" w:rsidP="009543DB">
            <w:pPr>
              <w:pStyle w:val="Tabletextheading"/>
            </w:pPr>
          </w:p>
        </w:tc>
        <w:tc>
          <w:tcPr>
            <w:tcW w:w="1560" w:type="dxa"/>
            <w:tcBorders>
              <w:top w:val="nil"/>
              <w:left w:val="nil"/>
              <w:bottom w:val="single" w:sz="4" w:space="0" w:color="auto"/>
              <w:right w:val="nil"/>
            </w:tcBorders>
            <w:vAlign w:val="center"/>
          </w:tcPr>
          <w:p w:rsidR="009F0A92" w:rsidRDefault="009F0A92" w:rsidP="009543DB">
            <w:pPr>
              <w:pStyle w:val="Tabletextleft-centred"/>
            </w:pPr>
            <w:r>
              <w:t>Total airport</w:t>
            </w:r>
          </w:p>
        </w:tc>
        <w:tc>
          <w:tcPr>
            <w:tcW w:w="956" w:type="dxa"/>
            <w:tcBorders>
              <w:top w:val="nil"/>
              <w:left w:val="nil"/>
              <w:bottom w:val="single" w:sz="4" w:space="0" w:color="auto"/>
              <w:right w:val="nil"/>
            </w:tcBorders>
            <w:vAlign w:val="center"/>
          </w:tcPr>
          <w:p w:rsidR="009F0A92" w:rsidRPr="00BE625C" w:rsidRDefault="009F0A92" w:rsidP="009543DB">
            <w:pPr>
              <w:pStyle w:val="Tabletextright-centred"/>
            </w:pPr>
            <w:r>
              <w:t>1 440.4</w:t>
            </w:r>
          </w:p>
        </w:tc>
        <w:tc>
          <w:tcPr>
            <w:tcW w:w="956" w:type="dxa"/>
            <w:tcBorders>
              <w:top w:val="nil"/>
              <w:left w:val="nil"/>
              <w:bottom w:val="single" w:sz="4" w:space="0" w:color="auto"/>
              <w:right w:val="nil"/>
            </w:tcBorders>
            <w:vAlign w:val="center"/>
          </w:tcPr>
          <w:p w:rsidR="009F0A92" w:rsidRPr="00BE625C" w:rsidRDefault="009F0A92" w:rsidP="009543DB">
            <w:pPr>
              <w:pStyle w:val="Tabletextright-centred"/>
            </w:pPr>
            <w:r>
              <w:t>1 385.5</w:t>
            </w:r>
          </w:p>
        </w:tc>
        <w:tc>
          <w:tcPr>
            <w:tcW w:w="957" w:type="dxa"/>
            <w:tcBorders>
              <w:top w:val="nil"/>
              <w:left w:val="nil"/>
              <w:bottom w:val="single" w:sz="4" w:space="0" w:color="auto"/>
              <w:right w:val="nil"/>
            </w:tcBorders>
            <w:vAlign w:val="center"/>
          </w:tcPr>
          <w:p w:rsidR="009F0A92" w:rsidRPr="00BE625C" w:rsidRDefault="009F0A92" w:rsidP="009543DB">
            <w:pPr>
              <w:pStyle w:val="Tabletextright-centred"/>
            </w:pPr>
            <w:r>
              <w:t>1 511.9</w:t>
            </w:r>
          </w:p>
        </w:tc>
        <w:tc>
          <w:tcPr>
            <w:tcW w:w="956" w:type="dxa"/>
            <w:tcBorders>
              <w:top w:val="nil"/>
              <w:left w:val="nil"/>
              <w:bottom w:val="single" w:sz="4" w:space="0" w:color="auto"/>
              <w:right w:val="nil"/>
            </w:tcBorders>
            <w:vAlign w:val="center"/>
          </w:tcPr>
          <w:p w:rsidR="009F0A92" w:rsidRPr="00BE625C" w:rsidRDefault="009F0A92" w:rsidP="009543DB">
            <w:pPr>
              <w:pStyle w:val="Tabletextright-centred"/>
            </w:pPr>
            <w:r>
              <w:t>1 863.8</w:t>
            </w:r>
          </w:p>
        </w:tc>
        <w:tc>
          <w:tcPr>
            <w:tcW w:w="957" w:type="dxa"/>
            <w:tcBorders>
              <w:top w:val="nil"/>
              <w:left w:val="nil"/>
              <w:bottom w:val="single" w:sz="4" w:space="0" w:color="auto"/>
              <w:right w:val="nil"/>
            </w:tcBorders>
            <w:vAlign w:val="center"/>
          </w:tcPr>
          <w:p w:rsidR="009F0A92" w:rsidRPr="00BE625C" w:rsidRDefault="009F0A92" w:rsidP="009543DB">
            <w:pPr>
              <w:pStyle w:val="Tabletextright-centred"/>
            </w:pPr>
            <w:r>
              <w:t>1 988.0</w:t>
            </w:r>
          </w:p>
        </w:tc>
        <w:tc>
          <w:tcPr>
            <w:tcW w:w="956" w:type="dxa"/>
            <w:tcBorders>
              <w:top w:val="nil"/>
              <w:left w:val="nil"/>
              <w:bottom w:val="single" w:sz="4" w:space="0" w:color="auto"/>
              <w:right w:val="nil"/>
            </w:tcBorders>
            <w:vAlign w:val="center"/>
          </w:tcPr>
          <w:p w:rsidR="009F0A92" w:rsidRPr="00BE625C" w:rsidRDefault="009F0A92" w:rsidP="009543DB">
            <w:pPr>
              <w:pStyle w:val="Tabletextright-centred"/>
            </w:pPr>
            <w:r>
              <w:t>2 009.5</w:t>
            </w:r>
          </w:p>
        </w:tc>
        <w:tc>
          <w:tcPr>
            <w:tcW w:w="957" w:type="dxa"/>
            <w:tcBorders>
              <w:top w:val="nil"/>
              <w:left w:val="nil"/>
              <w:bottom w:val="single" w:sz="4" w:space="0" w:color="auto"/>
              <w:right w:val="nil"/>
            </w:tcBorders>
            <w:vAlign w:val="center"/>
          </w:tcPr>
          <w:p w:rsidR="009F0A92" w:rsidRPr="00BE625C" w:rsidRDefault="009F0A92" w:rsidP="009543DB">
            <w:pPr>
              <w:pStyle w:val="Tabletextright-centred"/>
            </w:pPr>
            <w:r>
              <w:t>2 064.3</w:t>
            </w:r>
          </w:p>
        </w:tc>
        <w:tc>
          <w:tcPr>
            <w:tcW w:w="956" w:type="dxa"/>
            <w:tcBorders>
              <w:top w:val="nil"/>
              <w:left w:val="nil"/>
              <w:bottom w:val="single" w:sz="4" w:space="0" w:color="auto"/>
              <w:right w:val="nil"/>
            </w:tcBorders>
            <w:vAlign w:val="center"/>
          </w:tcPr>
          <w:p w:rsidR="009F0A92" w:rsidRPr="00BE625C" w:rsidRDefault="009F0A92" w:rsidP="009543DB">
            <w:pPr>
              <w:pStyle w:val="Tabletextright-centred"/>
            </w:pPr>
            <w:r>
              <w:t>2 173.7</w:t>
            </w:r>
          </w:p>
        </w:tc>
        <w:tc>
          <w:tcPr>
            <w:tcW w:w="957" w:type="dxa"/>
            <w:tcBorders>
              <w:top w:val="nil"/>
              <w:left w:val="nil"/>
              <w:bottom w:val="single" w:sz="4" w:space="0" w:color="auto"/>
              <w:right w:val="nil"/>
            </w:tcBorders>
            <w:vAlign w:val="center"/>
          </w:tcPr>
          <w:p w:rsidR="009F0A92" w:rsidRPr="00BE625C" w:rsidRDefault="009F0A92" w:rsidP="009543DB">
            <w:pPr>
              <w:pStyle w:val="Tabletextright-centred"/>
            </w:pPr>
            <w:r>
              <w:t>2 192.9</w:t>
            </w:r>
          </w:p>
        </w:tc>
        <w:tc>
          <w:tcPr>
            <w:tcW w:w="956" w:type="dxa"/>
            <w:tcBorders>
              <w:top w:val="nil"/>
              <w:left w:val="nil"/>
              <w:bottom w:val="single" w:sz="4" w:space="0" w:color="auto"/>
              <w:right w:val="nil"/>
            </w:tcBorders>
            <w:vAlign w:val="center"/>
          </w:tcPr>
          <w:p w:rsidR="009F0A92" w:rsidRPr="00BE625C" w:rsidRDefault="009F0A92" w:rsidP="009543DB">
            <w:pPr>
              <w:pStyle w:val="Tabletextright-centred"/>
            </w:pPr>
            <w:r>
              <w:t>2 399.0</w:t>
            </w:r>
          </w:p>
        </w:tc>
        <w:tc>
          <w:tcPr>
            <w:tcW w:w="957" w:type="dxa"/>
            <w:tcBorders>
              <w:top w:val="nil"/>
              <w:left w:val="nil"/>
              <w:bottom w:val="single" w:sz="4" w:space="0" w:color="auto"/>
              <w:right w:val="nil"/>
            </w:tcBorders>
            <w:vAlign w:val="center"/>
          </w:tcPr>
          <w:p w:rsidR="009F0A92" w:rsidRPr="00BE625C" w:rsidRDefault="009F0A92" w:rsidP="009543DB">
            <w:pPr>
              <w:pStyle w:val="Tabletextright-centred"/>
            </w:pPr>
            <w:r>
              <w:t>2 685.9</w:t>
            </w:r>
          </w:p>
        </w:tc>
      </w:tr>
      <w:tr w:rsidR="009F0A92" w:rsidTr="009543DB">
        <w:tc>
          <w:tcPr>
            <w:tcW w:w="1951" w:type="dxa"/>
            <w:vMerge w:val="restart"/>
            <w:tcBorders>
              <w:left w:val="nil"/>
              <w:right w:val="nil"/>
            </w:tcBorders>
          </w:tcPr>
          <w:p w:rsidR="009F0A92" w:rsidRDefault="009F0A92" w:rsidP="009543DB">
            <w:pPr>
              <w:pStyle w:val="Tabletextheading"/>
            </w:pPr>
            <w:r>
              <w:t>Intangibles</w:t>
            </w:r>
            <w:r>
              <w:br/>
              <w:t>($million)</w:t>
            </w:r>
          </w:p>
        </w:tc>
        <w:tc>
          <w:tcPr>
            <w:tcW w:w="1560" w:type="dxa"/>
            <w:tcBorders>
              <w:left w:val="nil"/>
              <w:bottom w:val="nil"/>
              <w:right w:val="nil"/>
            </w:tcBorders>
          </w:tcPr>
          <w:p w:rsidR="009F0A92" w:rsidRDefault="009F0A92" w:rsidP="009543DB">
            <w:pPr>
              <w:pStyle w:val="Tabletextleft"/>
            </w:pPr>
            <w:r>
              <w:t>Aeronautical</w:t>
            </w:r>
          </w:p>
        </w:tc>
        <w:tc>
          <w:tcPr>
            <w:tcW w:w="956"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0.0</w:t>
            </w:r>
          </w:p>
        </w:tc>
      </w:tr>
      <w:tr w:rsidR="009F0A92" w:rsidTr="009543DB">
        <w:tc>
          <w:tcPr>
            <w:tcW w:w="1951" w:type="dxa"/>
            <w:vMerge/>
            <w:tcBorders>
              <w:left w:val="nil"/>
              <w:right w:val="nil"/>
            </w:tcBorders>
          </w:tcPr>
          <w:p w:rsidR="009F0A92" w:rsidRDefault="009F0A92" w:rsidP="009543DB">
            <w:pPr>
              <w:pStyle w:val="Tabletextheading"/>
            </w:pPr>
          </w:p>
        </w:tc>
        <w:tc>
          <w:tcPr>
            <w:tcW w:w="1560" w:type="dxa"/>
            <w:tcBorders>
              <w:top w:val="nil"/>
              <w:left w:val="nil"/>
              <w:bottom w:val="single" w:sz="4" w:space="0" w:color="auto"/>
              <w:right w:val="nil"/>
            </w:tcBorders>
          </w:tcPr>
          <w:p w:rsidR="009F0A92" w:rsidRDefault="009F0A92" w:rsidP="009543DB">
            <w:pPr>
              <w:pStyle w:val="Tabletextheading"/>
            </w:pPr>
            <w:r>
              <w:t>Total airport</w:t>
            </w:r>
          </w:p>
        </w:tc>
        <w:tc>
          <w:tcPr>
            <w:tcW w:w="956" w:type="dxa"/>
            <w:tcBorders>
              <w:top w:val="nil"/>
              <w:left w:val="nil"/>
              <w:bottom w:val="single" w:sz="4" w:space="0" w:color="auto"/>
              <w:right w:val="nil"/>
            </w:tcBorders>
          </w:tcPr>
          <w:p w:rsidR="009F0A92" w:rsidRDefault="009F0A92" w:rsidP="009543DB">
            <w:pPr>
              <w:pStyle w:val="Tabletextheadingright"/>
            </w:pPr>
            <w:r>
              <w:t>1 075.1</w:t>
            </w:r>
          </w:p>
        </w:tc>
        <w:tc>
          <w:tcPr>
            <w:tcW w:w="956" w:type="dxa"/>
            <w:tcBorders>
              <w:top w:val="nil"/>
              <w:left w:val="nil"/>
              <w:bottom w:val="single" w:sz="4" w:space="0" w:color="auto"/>
              <w:right w:val="nil"/>
            </w:tcBorders>
          </w:tcPr>
          <w:p w:rsidR="009F0A92" w:rsidRDefault="009F0A92" w:rsidP="009543DB">
            <w:pPr>
              <w:pStyle w:val="Tabletextheadingright"/>
            </w:pPr>
            <w:r>
              <w:t>1 041.7</w:t>
            </w:r>
          </w:p>
        </w:tc>
        <w:tc>
          <w:tcPr>
            <w:tcW w:w="957" w:type="dxa"/>
            <w:tcBorders>
              <w:top w:val="nil"/>
              <w:left w:val="nil"/>
              <w:bottom w:val="single" w:sz="4" w:space="0" w:color="auto"/>
              <w:right w:val="nil"/>
            </w:tcBorders>
          </w:tcPr>
          <w:p w:rsidR="009F0A92" w:rsidRDefault="009F0A92" w:rsidP="009543DB">
            <w:pPr>
              <w:pStyle w:val="Tabletextheadingright"/>
            </w:pPr>
            <w:r>
              <w:t>1 011.7</w:t>
            </w:r>
          </w:p>
        </w:tc>
        <w:tc>
          <w:tcPr>
            <w:tcW w:w="956" w:type="dxa"/>
            <w:tcBorders>
              <w:top w:val="nil"/>
              <w:left w:val="nil"/>
              <w:bottom w:val="single" w:sz="4" w:space="0" w:color="auto"/>
              <w:right w:val="nil"/>
            </w:tcBorders>
          </w:tcPr>
          <w:p w:rsidR="009F0A92" w:rsidRDefault="009F0A92" w:rsidP="009543DB">
            <w:pPr>
              <w:pStyle w:val="Tabletextheadingright"/>
            </w:pPr>
            <w:r>
              <w:t>978.8</w:t>
            </w:r>
          </w:p>
        </w:tc>
        <w:tc>
          <w:tcPr>
            <w:tcW w:w="957" w:type="dxa"/>
            <w:tcBorders>
              <w:top w:val="nil"/>
              <w:left w:val="nil"/>
              <w:bottom w:val="single" w:sz="4" w:space="0" w:color="auto"/>
              <w:right w:val="nil"/>
            </w:tcBorders>
          </w:tcPr>
          <w:p w:rsidR="009F0A92" w:rsidRDefault="009F0A92" w:rsidP="009543DB">
            <w:pPr>
              <w:pStyle w:val="Tabletextheadingright"/>
            </w:pPr>
            <w:r>
              <w:t>949.2</w:t>
            </w:r>
          </w:p>
        </w:tc>
        <w:tc>
          <w:tcPr>
            <w:tcW w:w="956" w:type="dxa"/>
            <w:tcBorders>
              <w:top w:val="nil"/>
              <w:left w:val="nil"/>
              <w:bottom w:val="single" w:sz="4" w:space="0" w:color="auto"/>
              <w:right w:val="nil"/>
            </w:tcBorders>
          </w:tcPr>
          <w:p w:rsidR="009F0A92" w:rsidRDefault="009F0A92" w:rsidP="009543DB">
            <w:pPr>
              <w:pStyle w:val="Tabletextheadingright"/>
            </w:pPr>
            <w:r>
              <w:t>927.7</w:t>
            </w:r>
          </w:p>
        </w:tc>
        <w:tc>
          <w:tcPr>
            <w:tcW w:w="957" w:type="dxa"/>
            <w:tcBorders>
              <w:top w:val="nil"/>
              <w:left w:val="nil"/>
              <w:bottom w:val="single" w:sz="4" w:space="0" w:color="auto"/>
              <w:right w:val="nil"/>
            </w:tcBorders>
          </w:tcPr>
          <w:p w:rsidR="009F0A92" w:rsidRDefault="009F0A92" w:rsidP="009543DB">
            <w:pPr>
              <w:pStyle w:val="Tabletextheadingright"/>
            </w:pPr>
            <w:r>
              <w:t>899.7</w:t>
            </w:r>
          </w:p>
        </w:tc>
        <w:tc>
          <w:tcPr>
            <w:tcW w:w="956" w:type="dxa"/>
            <w:tcBorders>
              <w:top w:val="nil"/>
              <w:left w:val="nil"/>
              <w:bottom w:val="single" w:sz="4" w:space="0" w:color="auto"/>
              <w:right w:val="nil"/>
            </w:tcBorders>
          </w:tcPr>
          <w:p w:rsidR="009F0A92" w:rsidRDefault="009F0A92" w:rsidP="009543DB">
            <w:pPr>
              <w:pStyle w:val="Tabletextheadingright"/>
            </w:pPr>
            <w:r>
              <w:t>879.4</w:t>
            </w:r>
          </w:p>
        </w:tc>
        <w:tc>
          <w:tcPr>
            <w:tcW w:w="957" w:type="dxa"/>
            <w:tcBorders>
              <w:top w:val="nil"/>
              <w:left w:val="nil"/>
              <w:bottom w:val="single" w:sz="4" w:space="0" w:color="auto"/>
              <w:right w:val="nil"/>
            </w:tcBorders>
          </w:tcPr>
          <w:p w:rsidR="009F0A92" w:rsidRDefault="009F0A92" w:rsidP="009543DB">
            <w:pPr>
              <w:pStyle w:val="Tabletextheadingright"/>
            </w:pPr>
            <w:r>
              <w:t>859.8</w:t>
            </w:r>
          </w:p>
        </w:tc>
        <w:tc>
          <w:tcPr>
            <w:tcW w:w="956" w:type="dxa"/>
            <w:tcBorders>
              <w:top w:val="nil"/>
              <w:left w:val="nil"/>
              <w:bottom w:val="single" w:sz="4" w:space="0" w:color="auto"/>
              <w:right w:val="nil"/>
            </w:tcBorders>
          </w:tcPr>
          <w:p w:rsidR="009F0A92" w:rsidRDefault="009F0A92" w:rsidP="009543DB">
            <w:pPr>
              <w:pStyle w:val="Tabletextheadingright"/>
            </w:pPr>
            <w:r>
              <w:t>837.1</w:t>
            </w:r>
          </w:p>
        </w:tc>
        <w:tc>
          <w:tcPr>
            <w:tcW w:w="957" w:type="dxa"/>
            <w:tcBorders>
              <w:top w:val="nil"/>
              <w:left w:val="nil"/>
              <w:bottom w:val="single" w:sz="4" w:space="0" w:color="auto"/>
              <w:right w:val="nil"/>
            </w:tcBorders>
          </w:tcPr>
          <w:p w:rsidR="009F0A92" w:rsidRDefault="009F0A92" w:rsidP="009543DB">
            <w:pPr>
              <w:pStyle w:val="Tabletextheadingright"/>
            </w:pPr>
            <w:r>
              <w:t>823.0</w:t>
            </w:r>
          </w:p>
        </w:tc>
      </w:tr>
      <w:tr w:rsidR="009F0A92" w:rsidTr="009543DB">
        <w:tc>
          <w:tcPr>
            <w:tcW w:w="1951" w:type="dxa"/>
            <w:vMerge w:val="restart"/>
            <w:tcBorders>
              <w:left w:val="nil"/>
              <w:right w:val="nil"/>
            </w:tcBorders>
          </w:tcPr>
          <w:p w:rsidR="009F0A92" w:rsidRDefault="009F0A92" w:rsidP="009543DB">
            <w:pPr>
              <w:pStyle w:val="Tabletextheading"/>
            </w:pPr>
            <w:r>
              <w:t>Other tangible non</w:t>
            </w:r>
            <w:r>
              <w:noBreakHyphen/>
              <w:t>current assets</w:t>
            </w:r>
            <w:r>
              <w:br/>
              <w:t>($million)</w:t>
            </w:r>
          </w:p>
        </w:tc>
        <w:tc>
          <w:tcPr>
            <w:tcW w:w="1560" w:type="dxa"/>
            <w:tcBorders>
              <w:left w:val="nil"/>
              <w:bottom w:val="nil"/>
              <w:right w:val="nil"/>
            </w:tcBorders>
          </w:tcPr>
          <w:p w:rsidR="009F0A92" w:rsidRDefault="009F0A92" w:rsidP="009543DB">
            <w:pPr>
              <w:pStyle w:val="Tabletextleft"/>
            </w:pPr>
            <w:r>
              <w:t>Aeronautical</w:t>
            </w:r>
          </w:p>
        </w:tc>
        <w:tc>
          <w:tcPr>
            <w:tcW w:w="956" w:type="dxa"/>
            <w:tcBorders>
              <w:left w:val="nil"/>
              <w:bottom w:val="nil"/>
              <w:right w:val="nil"/>
            </w:tcBorders>
          </w:tcPr>
          <w:p w:rsidR="009F0A92" w:rsidRDefault="009F0A92" w:rsidP="009543DB">
            <w:pPr>
              <w:pStyle w:val="Tabletextright"/>
            </w:pPr>
            <w:r>
              <w:t>(25.3)</w:t>
            </w:r>
          </w:p>
        </w:tc>
        <w:tc>
          <w:tcPr>
            <w:tcW w:w="956" w:type="dxa"/>
            <w:tcBorders>
              <w:left w:val="nil"/>
              <w:bottom w:val="nil"/>
              <w:right w:val="nil"/>
            </w:tcBorders>
          </w:tcPr>
          <w:p w:rsidR="009F0A92" w:rsidRDefault="009F0A92" w:rsidP="009543DB">
            <w:pPr>
              <w:pStyle w:val="Tabletextright"/>
            </w:pPr>
            <w:r>
              <w:t>3.7</w:t>
            </w:r>
          </w:p>
        </w:tc>
        <w:tc>
          <w:tcPr>
            <w:tcW w:w="957" w:type="dxa"/>
            <w:tcBorders>
              <w:left w:val="nil"/>
              <w:bottom w:val="nil"/>
              <w:right w:val="nil"/>
            </w:tcBorders>
          </w:tcPr>
          <w:p w:rsidR="009F0A92" w:rsidRDefault="009F0A92" w:rsidP="009543DB">
            <w:pPr>
              <w:pStyle w:val="Tabletextright"/>
            </w:pPr>
            <w:r>
              <w:t>45.0</w:t>
            </w:r>
          </w:p>
        </w:tc>
        <w:tc>
          <w:tcPr>
            <w:tcW w:w="956" w:type="dxa"/>
            <w:tcBorders>
              <w:left w:val="nil"/>
              <w:bottom w:val="nil"/>
              <w:right w:val="nil"/>
            </w:tcBorders>
          </w:tcPr>
          <w:p w:rsidR="009F0A92" w:rsidRDefault="009F0A92" w:rsidP="009543DB">
            <w:pPr>
              <w:pStyle w:val="Tabletextright"/>
            </w:pPr>
            <w:r>
              <w:t>74.0</w:t>
            </w:r>
          </w:p>
        </w:tc>
        <w:tc>
          <w:tcPr>
            <w:tcW w:w="957" w:type="dxa"/>
            <w:tcBorders>
              <w:left w:val="nil"/>
              <w:bottom w:val="nil"/>
              <w:right w:val="nil"/>
            </w:tcBorders>
          </w:tcPr>
          <w:p w:rsidR="009F0A92" w:rsidRDefault="009F0A92" w:rsidP="009543DB">
            <w:pPr>
              <w:pStyle w:val="Tabletextright"/>
            </w:pPr>
            <w:r>
              <w:t>47.3</w:t>
            </w:r>
          </w:p>
        </w:tc>
        <w:tc>
          <w:tcPr>
            <w:tcW w:w="956" w:type="dxa"/>
            <w:tcBorders>
              <w:left w:val="nil"/>
              <w:bottom w:val="nil"/>
              <w:right w:val="nil"/>
            </w:tcBorders>
          </w:tcPr>
          <w:p w:rsidR="009F0A92" w:rsidRDefault="009F0A92" w:rsidP="009543DB">
            <w:pPr>
              <w:pStyle w:val="Tabletextright"/>
            </w:pPr>
            <w:r>
              <w:t>4.3</w:t>
            </w:r>
          </w:p>
        </w:tc>
        <w:tc>
          <w:tcPr>
            <w:tcW w:w="957" w:type="dxa"/>
            <w:tcBorders>
              <w:left w:val="nil"/>
              <w:bottom w:val="nil"/>
              <w:right w:val="nil"/>
            </w:tcBorders>
          </w:tcPr>
          <w:p w:rsidR="009F0A92" w:rsidRDefault="009F0A92" w:rsidP="009543DB">
            <w:pPr>
              <w:pStyle w:val="Tabletextright"/>
            </w:pPr>
            <w:r>
              <w:t>17.8</w:t>
            </w:r>
          </w:p>
        </w:tc>
        <w:tc>
          <w:tcPr>
            <w:tcW w:w="956" w:type="dxa"/>
            <w:tcBorders>
              <w:left w:val="nil"/>
              <w:bottom w:val="nil"/>
              <w:right w:val="nil"/>
            </w:tcBorders>
          </w:tcPr>
          <w:p w:rsidR="009F0A92" w:rsidRDefault="009F0A92" w:rsidP="009543DB">
            <w:pPr>
              <w:pStyle w:val="Tabletextright"/>
            </w:pPr>
            <w:r>
              <w:t>0.0</w:t>
            </w:r>
          </w:p>
        </w:tc>
        <w:tc>
          <w:tcPr>
            <w:tcW w:w="957" w:type="dxa"/>
            <w:tcBorders>
              <w:left w:val="nil"/>
              <w:bottom w:val="nil"/>
              <w:right w:val="nil"/>
            </w:tcBorders>
          </w:tcPr>
          <w:p w:rsidR="009F0A92" w:rsidRDefault="009F0A92" w:rsidP="009543DB">
            <w:pPr>
              <w:pStyle w:val="Tabletextright"/>
            </w:pPr>
            <w:r>
              <w:t>23.1</w:t>
            </w:r>
          </w:p>
        </w:tc>
        <w:tc>
          <w:tcPr>
            <w:tcW w:w="956" w:type="dxa"/>
            <w:tcBorders>
              <w:left w:val="nil"/>
              <w:bottom w:val="nil"/>
              <w:right w:val="nil"/>
            </w:tcBorders>
          </w:tcPr>
          <w:p w:rsidR="009F0A92" w:rsidRDefault="009F0A92" w:rsidP="009543DB">
            <w:pPr>
              <w:pStyle w:val="Tabletextright"/>
            </w:pPr>
            <w:r>
              <w:t>16.3</w:t>
            </w:r>
          </w:p>
        </w:tc>
        <w:tc>
          <w:tcPr>
            <w:tcW w:w="957" w:type="dxa"/>
            <w:tcBorders>
              <w:left w:val="nil"/>
              <w:bottom w:val="nil"/>
              <w:right w:val="nil"/>
            </w:tcBorders>
          </w:tcPr>
          <w:p w:rsidR="009F0A92" w:rsidRDefault="009F0A92" w:rsidP="009543DB">
            <w:pPr>
              <w:pStyle w:val="Tabletextright"/>
            </w:pPr>
            <w:r>
              <w:t>76.2</w:t>
            </w:r>
          </w:p>
        </w:tc>
      </w:tr>
      <w:tr w:rsidR="009F0A92" w:rsidTr="009543DB">
        <w:tc>
          <w:tcPr>
            <w:tcW w:w="1951" w:type="dxa"/>
            <w:vMerge/>
            <w:tcBorders>
              <w:left w:val="nil"/>
              <w:bottom w:val="double" w:sz="4" w:space="0" w:color="auto"/>
              <w:right w:val="nil"/>
            </w:tcBorders>
          </w:tcPr>
          <w:p w:rsidR="009F0A92" w:rsidRDefault="009F0A92" w:rsidP="009543DB">
            <w:pPr>
              <w:pStyle w:val="Tabletextheading"/>
            </w:pPr>
          </w:p>
        </w:tc>
        <w:tc>
          <w:tcPr>
            <w:tcW w:w="1560" w:type="dxa"/>
            <w:tcBorders>
              <w:top w:val="nil"/>
              <w:left w:val="nil"/>
              <w:bottom w:val="double" w:sz="4" w:space="0" w:color="auto"/>
              <w:right w:val="nil"/>
            </w:tcBorders>
            <w:vAlign w:val="center"/>
          </w:tcPr>
          <w:p w:rsidR="009F0A92" w:rsidRDefault="009F0A92" w:rsidP="009543DB">
            <w:pPr>
              <w:pStyle w:val="Tabletextleft-centred"/>
            </w:pPr>
            <w:r>
              <w:t>Total airport</w:t>
            </w:r>
          </w:p>
        </w:tc>
        <w:tc>
          <w:tcPr>
            <w:tcW w:w="956" w:type="dxa"/>
            <w:tcBorders>
              <w:top w:val="nil"/>
              <w:left w:val="nil"/>
              <w:bottom w:val="double" w:sz="4" w:space="0" w:color="auto"/>
              <w:right w:val="nil"/>
            </w:tcBorders>
            <w:vAlign w:val="center"/>
          </w:tcPr>
          <w:p w:rsidR="009F0A92" w:rsidRDefault="009F0A92" w:rsidP="009543DB">
            <w:pPr>
              <w:pStyle w:val="Tabletextright-centred"/>
            </w:pPr>
            <w:r>
              <w:t>(57.9)</w:t>
            </w:r>
          </w:p>
        </w:tc>
        <w:tc>
          <w:tcPr>
            <w:tcW w:w="956" w:type="dxa"/>
            <w:tcBorders>
              <w:top w:val="nil"/>
              <w:left w:val="nil"/>
              <w:bottom w:val="double" w:sz="4" w:space="0" w:color="auto"/>
              <w:right w:val="nil"/>
            </w:tcBorders>
            <w:vAlign w:val="center"/>
          </w:tcPr>
          <w:p w:rsidR="009F0A92" w:rsidRDefault="009F0A92" w:rsidP="009543DB">
            <w:pPr>
              <w:pStyle w:val="Tabletextright-centred"/>
            </w:pPr>
            <w:r>
              <w:t>9.7</w:t>
            </w:r>
          </w:p>
        </w:tc>
        <w:tc>
          <w:tcPr>
            <w:tcW w:w="957" w:type="dxa"/>
            <w:tcBorders>
              <w:top w:val="nil"/>
              <w:left w:val="nil"/>
              <w:bottom w:val="double" w:sz="4" w:space="0" w:color="auto"/>
              <w:right w:val="nil"/>
            </w:tcBorders>
            <w:vAlign w:val="center"/>
          </w:tcPr>
          <w:p w:rsidR="009F0A92" w:rsidRDefault="009F0A92" w:rsidP="009543DB">
            <w:pPr>
              <w:pStyle w:val="Tabletextright-centred"/>
            </w:pPr>
            <w:r>
              <w:t>118.9</w:t>
            </w:r>
          </w:p>
        </w:tc>
        <w:tc>
          <w:tcPr>
            <w:tcW w:w="956" w:type="dxa"/>
            <w:tcBorders>
              <w:top w:val="nil"/>
              <w:left w:val="nil"/>
              <w:bottom w:val="double" w:sz="4" w:space="0" w:color="auto"/>
              <w:right w:val="nil"/>
            </w:tcBorders>
            <w:vAlign w:val="center"/>
          </w:tcPr>
          <w:p w:rsidR="009F0A92" w:rsidRDefault="009F0A92" w:rsidP="009543DB">
            <w:pPr>
              <w:pStyle w:val="Tabletextright-centred"/>
            </w:pPr>
            <w:r>
              <w:t>187.2</w:t>
            </w:r>
          </w:p>
        </w:tc>
        <w:tc>
          <w:tcPr>
            <w:tcW w:w="957" w:type="dxa"/>
            <w:tcBorders>
              <w:top w:val="nil"/>
              <w:left w:val="nil"/>
              <w:bottom w:val="double" w:sz="4" w:space="0" w:color="auto"/>
              <w:right w:val="nil"/>
            </w:tcBorders>
            <w:vAlign w:val="center"/>
          </w:tcPr>
          <w:p w:rsidR="009F0A92" w:rsidRDefault="009F0A92" w:rsidP="009543DB">
            <w:pPr>
              <w:pStyle w:val="Tabletextright-centred"/>
            </w:pPr>
            <w:r>
              <w:t>117.5</w:t>
            </w:r>
          </w:p>
        </w:tc>
        <w:tc>
          <w:tcPr>
            <w:tcW w:w="956" w:type="dxa"/>
            <w:tcBorders>
              <w:top w:val="nil"/>
              <w:left w:val="nil"/>
              <w:bottom w:val="double" w:sz="4" w:space="0" w:color="auto"/>
              <w:right w:val="nil"/>
            </w:tcBorders>
            <w:vAlign w:val="center"/>
          </w:tcPr>
          <w:p w:rsidR="009F0A92" w:rsidRDefault="009F0A92" w:rsidP="009543DB">
            <w:pPr>
              <w:pStyle w:val="Tabletextright-centred"/>
            </w:pPr>
            <w:r>
              <w:t>10.5</w:t>
            </w:r>
          </w:p>
        </w:tc>
        <w:tc>
          <w:tcPr>
            <w:tcW w:w="957" w:type="dxa"/>
            <w:tcBorders>
              <w:top w:val="nil"/>
              <w:left w:val="nil"/>
              <w:bottom w:val="double" w:sz="4" w:space="0" w:color="auto"/>
              <w:right w:val="nil"/>
            </w:tcBorders>
            <w:vAlign w:val="center"/>
          </w:tcPr>
          <w:p w:rsidR="009F0A92" w:rsidRDefault="009F0A92" w:rsidP="009543DB">
            <w:pPr>
              <w:pStyle w:val="Tabletextright-centred"/>
            </w:pPr>
            <w:r>
              <w:t>46.5</w:t>
            </w:r>
          </w:p>
        </w:tc>
        <w:tc>
          <w:tcPr>
            <w:tcW w:w="956" w:type="dxa"/>
            <w:tcBorders>
              <w:top w:val="nil"/>
              <w:left w:val="nil"/>
              <w:bottom w:val="double" w:sz="4" w:space="0" w:color="auto"/>
              <w:right w:val="nil"/>
            </w:tcBorders>
            <w:vAlign w:val="center"/>
          </w:tcPr>
          <w:p w:rsidR="009F0A92" w:rsidRDefault="009F0A92" w:rsidP="009543DB">
            <w:pPr>
              <w:pStyle w:val="Tabletextright-centred"/>
            </w:pPr>
            <w:r>
              <w:t>0.0</w:t>
            </w:r>
          </w:p>
        </w:tc>
        <w:tc>
          <w:tcPr>
            <w:tcW w:w="957" w:type="dxa"/>
            <w:tcBorders>
              <w:top w:val="nil"/>
              <w:left w:val="nil"/>
              <w:bottom w:val="double" w:sz="4" w:space="0" w:color="auto"/>
              <w:right w:val="nil"/>
            </w:tcBorders>
            <w:vAlign w:val="center"/>
          </w:tcPr>
          <w:p w:rsidR="009F0A92" w:rsidRDefault="009F0A92" w:rsidP="009543DB">
            <w:pPr>
              <w:pStyle w:val="Tabletextright-centred"/>
            </w:pPr>
            <w:r>
              <w:t>85.7</w:t>
            </w:r>
          </w:p>
        </w:tc>
        <w:tc>
          <w:tcPr>
            <w:tcW w:w="956" w:type="dxa"/>
            <w:tcBorders>
              <w:top w:val="nil"/>
              <w:left w:val="nil"/>
              <w:bottom w:val="double" w:sz="4" w:space="0" w:color="auto"/>
              <w:right w:val="nil"/>
            </w:tcBorders>
            <w:vAlign w:val="center"/>
          </w:tcPr>
          <w:p w:rsidR="009F0A92" w:rsidRDefault="009F0A92" w:rsidP="009543DB">
            <w:pPr>
              <w:pStyle w:val="Tabletextright-centred"/>
            </w:pPr>
            <w:r>
              <w:t>108.1</w:t>
            </w:r>
          </w:p>
        </w:tc>
        <w:tc>
          <w:tcPr>
            <w:tcW w:w="957" w:type="dxa"/>
            <w:tcBorders>
              <w:top w:val="nil"/>
              <w:left w:val="nil"/>
              <w:bottom w:val="double" w:sz="4" w:space="0" w:color="auto"/>
              <w:right w:val="nil"/>
            </w:tcBorders>
            <w:vAlign w:val="center"/>
          </w:tcPr>
          <w:p w:rsidR="009F0A92" w:rsidRDefault="009F0A92" w:rsidP="009543DB">
            <w:pPr>
              <w:pStyle w:val="Tabletextright-centred"/>
            </w:pPr>
            <w:r>
              <w:t>243.6</w:t>
            </w:r>
          </w:p>
        </w:tc>
      </w:tr>
      <w:tr w:rsidR="009F0A92" w:rsidTr="009543DB">
        <w:tc>
          <w:tcPr>
            <w:tcW w:w="1951" w:type="dxa"/>
            <w:vMerge w:val="restart"/>
            <w:tcBorders>
              <w:top w:val="double" w:sz="4" w:space="0" w:color="auto"/>
              <w:left w:val="nil"/>
              <w:right w:val="nil"/>
            </w:tcBorders>
          </w:tcPr>
          <w:p w:rsidR="009F0A92" w:rsidRDefault="009F0A92" w:rsidP="009543DB">
            <w:pPr>
              <w:pStyle w:val="Tabletextheading"/>
            </w:pPr>
            <w:r>
              <w:t>Total tangible non</w:t>
            </w:r>
            <w:r>
              <w:noBreakHyphen/>
              <w:t>current assets</w:t>
            </w:r>
            <w:r>
              <w:br/>
              <w:t>($million)</w:t>
            </w:r>
          </w:p>
        </w:tc>
        <w:tc>
          <w:tcPr>
            <w:tcW w:w="1560" w:type="dxa"/>
            <w:tcBorders>
              <w:top w:val="double" w:sz="4" w:space="0" w:color="auto"/>
              <w:left w:val="nil"/>
              <w:bottom w:val="nil"/>
              <w:right w:val="nil"/>
            </w:tcBorders>
          </w:tcPr>
          <w:p w:rsidR="009F0A92" w:rsidRDefault="009F0A92" w:rsidP="009543DB">
            <w:pPr>
              <w:pStyle w:val="Tabletextleft"/>
            </w:pPr>
            <w:r>
              <w:t>Aeronautical</w:t>
            </w:r>
          </w:p>
        </w:tc>
        <w:tc>
          <w:tcPr>
            <w:tcW w:w="956" w:type="dxa"/>
            <w:tcBorders>
              <w:top w:val="double" w:sz="4" w:space="0" w:color="auto"/>
              <w:left w:val="nil"/>
              <w:bottom w:val="nil"/>
              <w:right w:val="nil"/>
            </w:tcBorders>
          </w:tcPr>
          <w:p w:rsidR="009F0A92" w:rsidRDefault="009F0A92" w:rsidP="009543DB">
            <w:pPr>
              <w:pStyle w:val="Tabletextright"/>
            </w:pPr>
            <w:r>
              <w:t>1 165.1</w:t>
            </w:r>
          </w:p>
        </w:tc>
        <w:tc>
          <w:tcPr>
            <w:tcW w:w="956" w:type="dxa"/>
            <w:tcBorders>
              <w:top w:val="double" w:sz="4" w:space="0" w:color="auto"/>
              <w:left w:val="nil"/>
              <w:bottom w:val="nil"/>
              <w:right w:val="nil"/>
            </w:tcBorders>
          </w:tcPr>
          <w:p w:rsidR="009F0A92" w:rsidRDefault="009F0A92" w:rsidP="009543DB">
            <w:pPr>
              <w:pStyle w:val="Tabletextright"/>
            </w:pPr>
            <w:r>
              <w:t>1 165.6</w:t>
            </w:r>
          </w:p>
        </w:tc>
        <w:tc>
          <w:tcPr>
            <w:tcW w:w="957" w:type="dxa"/>
            <w:tcBorders>
              <w:top w:val="double" w:sz="4" w:space="0" w:color="auto"/>
              <w:left w:val="nil"/>
              <w:bottom w:val="nil"/>
              <w:right w:val="nil"/>
            </w:tcBorders>
          </w:tcPr>
          <w:p w:rsidR="009F0A92" w:rsidRDefault="009F0A92" w:rsidP="009543DB">
            <w:pPr>
              <w:pStyle w:val="Tabletextright"/>
            </w:pPr>
            <w:r>
              <w:t>1 252.3</w:t>
            </w:r>
          </w:p>
        </w:tc>
        <w:tc>
          <w:tcPr>
            <w:tcW w:w="956" w:type="dxa"/>
            <w:tcBorders>
              <w:top w:val="double" w:sz="4" w:space="0" w:color="auto"/>
              <w:left w:val="nil"/>
              <w:bottom w:val="nil"/>
              <w:right w:val="nil"/>
            </w:tcBorders>
          </w:tcPr>
          <w:p w:rsidR="009F0A92" w:rsidRDefault="009F0A92" w:rsidP="009543DB">
            <w:pPr>
              <w:pStyle w:val="Tabletextright"/>
            </w:pPr>
            <w:r>
              <w:t>1 508.2</w:t>
            </w:r>
          </w:p>
        </w:tc>
        <w:tc>
          <w:tcPr>
            <w:tcW w:w="957" w:type="dxa"/>
            <w:tcBorders>
              <w:top w:val="double" w:sz="4" w:space="0" w:color="auto"/>
              <w:left w:val="nil"/>
              <w:bottom w:val="nil"/>
              <w:right w:val="nil"/>
            </w:tcBorders>
          </w:tcPr>
          <w:p w:rsidR="009F0A92" w:rsidRDefault="009F0A92" w:rsidP="009543DB">
            <w:pPr>
              <w:pStyle w:val="Tabletextright"/>
            </w:pPr>
            <w:r>
              <w:t>1 616.3</w:t>
            </w:r>
          </w:p>
        </w:tc>
        <w:tc>
          <w:tcPr>
            <w:tcW w:w="956" w:type="dxa"/>
            <w:tcBorders>
              <w:top w:val="double" w:sz="4" w:space="0" w:color="auto"/>
              <w:left w:val="nil"/>
              <w:bottom w:val="nil"/>
              <w:right w:val="nil"/>
            </w:tcBorders>
          </w:tcPr>
          <w:p w:rsidR="009F0A92" w:rsidRDefault="009F0A92" w:rsidP="009543DB">
            <w:pPr>
              <w:pStyle w:val="Tabletextright"/>
            </w:pPr>
            <w:r>
              <w:t>1 489.7</w:t>
            </w:r>
          </w:p>
        </w:tc>
        <w:tc>
          <w:tcPr>
            <w:tcW w:w="957" w:type="dxa"/>
            <w:tcBorders>
              <w:top w:val="double" w:sz="4" w:space="0" w:color="auto"/>
              <w:left w:val="nil"/>
              <w:bottom w:val="nil"/>
              <w:right w:val="nil"/>
            </w:tcBorders>
          </w:tcPr>
          <w:p w:rsidR="009F0A92" w:rsidRDefault="009F0A92" w:rsidP="009543DB">
            <w:pPr>
              <w:pStyle w:val="Tabletextright"/>
            </w:pPr>
            <w:r>
              <w:t>1 475.1</w:t>
            </w:r>
          </w:p>
        </w:tc>
        <w:tc>
          <w:tcPr>
            <w:tcW w:w="956" w:type="dxa"/>
            <w:tcBorders>
              <w:top w:val="double" w:sz="4" w:space="0" w:color="auto"/>
              <w:left w:val="nil"/>
              <w:bottom w:val="nil"/>
              <w:right w:val="nil"/>
            </w:tcBorders>
          </w:tcPr>
          <w:p w:rsidR="009F0A92" w:rsidRDefault="009F0A92" w:rsidP="009543DB">
            <w:pPr>
              <w:pStyle w:val="Tabletextright"/>
            </w:pPr>
            <w:r>
              <w:t>1 535.6</w:t>
            </w:r>
          </w:p>
        </w:tc>
        <w:tc>
          <w:tcPr>
            <w:tcW w:w="957" w:type="dxa"/>
            <w:tcBorders>
              <w:top w:val="double" w:sz="4" w:space="0" w:color="auto"/>
              <w:left w:val="nil"/>
              <w:bottom w:val="nil"/>
              <w:right w:val="nil"/>
            </w:tcBorders>
          </w:tcPr>
          <w:p w:rsidR="009F0A92" w:rsidRDefault="009F0A92" w:rsidP="009543DB">
            <w:pPr>
              <w:pStyle w:val="Tabletextright"/>
            </w:pPr>
            <w:r>
              <w:t>1 631.6</w:t>
            </w:r>
          </w:p>
        </w:tc>
        <w:tc>
          <w:tcPr>
            <w:tcW w:w="956" w:type="dxa"/>
            <w:tcBorders>
              <w:top w:val="double" w:sz="4" w:space="0" w:color="auto"/>
              <w:left w:val="nil"/>
              <w:bottom w:val="nil"/>
              <w:right w:val="nil"/>
            </w:tcBorders>
          </w:tcPr>
          <w:p w:rsidR="009F0A92" w:rsidRDefault="009F0A92" w:rsidP="009543DB">
            <w:pPr>
              <w:pStyle w:val="Tabletextright"/>
            </w:pPr>
            <w:r>
              <w:t>1 754.6</w:t>
            </w:r>
          </w:p>
        </w:tc>
        <w:tc>
          <w:tcPr>
            <w:tcW w:w="957" w:type="dxa"/>
            <w:tcBorders>
              <w:top w:val="double" w:sz="4" w:space="0" w:color="auto"/>
              <w:left w:val="nil"/>
              <w:bottom w:val="nil"/>
              <w:right w:val="nil"/>
            </w:tcBorders>
          </w:tcPr>
          <w:p w:rsidR="009F0A92" w:rsidRDefault="009F0A92" w:rsidP="009543DB">
            <w:pPr>
              <w:pStyle w:val="Tabletextright"/>
            </w:pPr>
            <w:r>
              <w:t>2 049.1</w:t>
            </w:r>
          </w:p>
        </w:tc>
      </w:tr>
      <w:tr w:rsidR="009F0A92" w:rsidTr="009543DB">
        <w:tc>
          <w:tcPr>
            <w:tcW w:w="1951" w:type="dxa"/>
            <w:vMerge/>
            <w:tcBorders>
              <w:left w:val="nil"/>
              <w:bottom w:val="double" w:sz="4" w:space="0" w:color="auto"/>
              <w:right w:val="nil"/>
            </w:tcBorders>
          </w:tcPr>
          <w:p w:rsidR="009F0A92" w:rsidRDefault="009F0A92" w:rsidP="009543DB">
            <w:pPr>
              <w:pStyle w:val="Tabletextheading"/>
            </w:pPr>
          </w:p>
        </w:tc>
        <w:tc>
          <w:tcPr>
            <w:tcW w:w="1560" w:type="dxa"/>
            <w:tcBorders>
              <w:top w:val="nil"/>
              <w:left w:val="nil"/>
              <w:bottom w:val="double" w:sz="4" w:space="0" w:color="auto"/>
              <w:right w:val="nil"/>
            </w:tcBorders>
            <w:vAlign w:val="center"/>
          </w:tcPr>
          <w:p w:rsidR="009F0A92" w:rsidRPr="00BE625C" w:rsidRDefault="009F0A92" w:rsidP="009543DB">
            <w:pPr>
              <w:pStyle w:val="Tabletextleft-centred"/>
            </w:pPr>
            <w:r>
              <w:t>Total airport</w:t>
            </w:r>
          </w:p>
        </w:tc>
        <w:tc>
          <w:tcPr>
            <w:tcW w:w="956" w:type="dxa"/>
            <w:tcBorders>
              <w:top w:val="nil"/>
              <w:left w:val="nil"/>
              <w:bottom w:val="double" w:sz="4" w:space="0" w:color="auto"/>
              <w:right w:val="nil"/>
            </w:tcBorders>
            <w:vAlign w:val="center"/>
          </w:tcPr>
          <w:p w:rsidR="009F0A92" w:rsidRDefault="009F0A92" w:rsidP="009543DB">
            <w:pPr>
              <w:pStyle w:val="Tabletextright-centred"/>
            </w:pPr>
            <w:r>
              <w:t>1 879.6</w:t>
            </w:r>
          </w:p>
        </w:tc>
        <w:tc>
          <w:tcPr>
            <w:tcW w:w="956" w:type="dxa"/>
            <w:tcBorders>
              <w:top w:val="nil"/>
              <w:left w:val="nil"/>
              <w:bottom w:val="double" w:sz="4" w:space="0" w:color="auto"/>
              <w:right w:val="nil"/>
            </w:tcBorders>
            <w:vAlign w:val="center"/>
          </w:tcPr>
          <w:p w:rsidR="009F0A92" w:rsidRDefault="009F0A92" w:rsidP="009543DB">
            <w:pPr>
              <w:pStyle w:val="Tabletextright-centred"/>
            </w:pPr>
            <w:r>
              <w:t>1 993.6</w:t>
            </w:r>
          </w:p>
        </w:tc>
        <w:tc>
          <w:tcPr>
            <w:tcW w:w="957" w:type="dxa"/>
            <w:tcBorders>
              <w:top w:val="nil"/>
              <w:left w:val="nil"/>
              <w:bottom w:val="double" w:sz="4" w:space="0" w:color="auto"/>
              <w:right w:val="nil"/>
            </w:tcBorders>
            <w:vAlign w:val="center"/>
          </w:tcPr>
          <w:p w:rsidR="009F0A92" w:rsidRDefault="009F0A92" w:rsidP="009543DB">
            <w:pPr>
              <w:pStyle w:val="Tabletextright-centred"/>
            </w:pPr>
            <w:r>
              <w:t>2 287.4</w:t>
            </w:r>
          </w:p>
        </w:tc>
        <w:tc>
          <w:tcPr>
            <w:tcW w:w="956" w:type="dxa"/>
            <w:tcBorders>
              <w:top w:val="nil"/>
              <w:left w:val="nil"/>
              <w:bottom w:val="double" w:sz="4" w:space="0" w:color="auto"/>
              <w:right w:val="nil"/>
            </w:tcBorders>
            <w:vAlign w:val="center"/>
          </w:tcPr>
          <w:p w:rsidR="009F0A92" w:rsidRDefault="009F0A92" w:rsidP="009543DB">
            <w:pPr>
              <w:pStyle w:val="Tabletextright-centred"/>
            </w:pPr>
            <w:r>
              <w:t>2 802.8</w:t>
            </w:r>
          </w:p>
        </w:tc>
        <w:tc>
          <w:tcPr>
            <w:tcW w:w="957" w:type="dxa"/>
            <w:tcBorders>
              <w:top w:val="nil"/>
              <w:left w:val="nil"/>
              <w:bottom w:val="double" w:sz="4" w:space="0" w:color="auto"/>
              <w:right w:val="nil"/>
            </w:tcBorders>
            <w:vAlign w:val="center"/>
          </w:tcPr>
          <w:p w:rsidR="009F0A92" w:rsidRDefault="009F0A92" w:rsidP="009543DB">
            <w:pPr>
              <w:pStyle w:val="Tabletextright-centred"/>
            </w:pPr>
            <w:r>
              <w:t>2 940.7</w:t>
            </w:r>
          </w:p>
        </w:tc>
        <w:tc>
          <w:tcPr>
            <w:tcW w:w="956" w:type="dxa"/>
            <w:tcBorders>
              <w:top w:val="nil"/>
              <w:left w:val="nil"/>
              <w:bottom w:val="double" w:sz="4" w:space="0" w:color="auto"/>
              <w:right w:val="nil"/>
            </w:tcBorders>
            <w:vAlign w:val="center"/>
          </w:tcPr>
          <w:p w:rsidR="009F0A92" w:rsidRDefault="009F0A92" w:rsidP="009543DB">
            <w:pPr>
              <w:pStyle w:val="Tabletextright-centred"/>
            </w:pPr>
            <w:r>
              <w:t>2 879.3</w:t>
            </w:r>
          </w:p>
        </w:tc>
        <w:tc>
          <w:tcPr>
            <w:tcW w:w="957" w:type="dxa"/>
            <w:tcBorders>
              <w:top w:val="nil"/>
              <w:left w:val="nil"/>
              <w:bottom w:val="double" w:sz="4" w:space="0" w:color="auto"/>
              <w:right w:val="nil"/>
            </w:tcBorders>
            <w:vAlign w:val="center"/>
          </w:tcPr>
          <w:p w:rsidR="009F0A92" w:rsidRDefault="009F0A92" w:rsidP="009543DB">
            <w:pPr>
              <w:pStyle w:val="Tabletextright-centred"/>
            </w:pPr>
            <w:r>
              <w:t>3 039.5</w:t>
            </w:r>
          </w:p>
        </w:tc>
        <w:tc>
          <w:tcPr>
            <w:tcW w:w="956" w:type="dxa"/>
            <w:tcBorders>
              <w:top w:val="nil"/>
              <w:left w:val="nil"/>
              <w:bottom w:val="double" w:sz="4" w:space="0" w:color="auto"/>
              <w:right w:val="nil"/>
            </w:tcBorders>
            <w:vAlign w:val="center"/>
          </w:tcPr>
          <w:p w:rsidR="009F0A92" w:rsidRDefault="009F0A92" w:rsidP="009543DB">
            <w:pPr>
              <w:pStyle w:val="Tabletextright-centred"/>
            </w:pPr>
            <w:r>
              <w:t>3 186.4</w:t>
            </w:r>
          </w:p>
        </w:tc>
        <w:tc>
          <w:tcPr>
            <w:tcW w:w="957" w:type="dxa"/>
            <w:tcBorders>
              <w:top w:val="nil"/>
              <w:left w:val="nil"/>
              <w:bottom w:val="double" w:sz="4" w:space="0" w:color="auto"/>
              <w:right w:val="nil"/>
            </w:tcBorders>
            <w:vAlign w:val="center"/>
          </w:tcPr>
          <w:p w:rsidR="009F0A92" w:rsidRDefault="009F0A92" w:rsidP="009543DB">
            <w:pPr>
              <w:pStyle w:val="Tabletextright-centred"/>
            </w:pPr>
            <w:r>
              <w:t>3 416.7</w:t>
            </w:r>
          </w:p>
        </w:tc>
        <w:tc>
          <w:tcPr>
            <w:tcW w:w="956" w:type="dxa"/>
            <w:tcBorders>
              <w:top w:val="nil"/>
              <w:left w:val="nil"/>
              <w:bottom w:val="double" w:sz="4" w:space="0" w:color="auto"/>
              <w:right w:val="nil"/>
            </w:tcBorders>
            <w:vAlign w:val="center"/>
          </w:tcPr>
          <w:p w:rsidR="009F0A92" w:rsidRDefault="009F0A92" w:rsidP="009543DB">
            <w:pPr>
              <w:pStyle w:val="Tabletextright-centred"/>
            </w:pPr>
            <w:r>
              <w:t>3 679.9</w:t>
            </w:r>
          </w:p>
        </w:tc>
        <w:tc>
          <w:tcPr>
            <w:tcW w:w="957" w:type="dxa"/>
            <w:tcBorders>
              <w:top w:val="nil"/>
              <w:left w:val="nil"/>
              <w:bottom w:val="double" w:sz="4" w:space="0" w:color="auto"/>
              <w:right w:val="nil"/>
            </w:tcBorders>
            <w:vAlign w:val="center"/>
          </w:tcPr>
          <w:p w:rsidR="009F0A92" w:rsidRDefault="009F0A92" w:rsidP="009543DB">
            <w:pPr>
              <w:pStyle w:val="Tabletextright-centred"/>
            </w:pPr>
            <w:r>
              <w:t>4 151.9</w:t>
            </w:r>
          </w:p>
        </w:tc>
      </w:tr>
      <w:tr w:rsidR="009F0A92" w:rsidTr="009543DB">
        <w:tc>
          <w:tcPr>
            <w:tcW w:w="1951" w:type="dxa"/>
            <w:vMerge w:val="restart"/>
            <w:tcBorders>
              <w:top w:val="double" w:sz="4" w:space="0" w:color="auto"/>
              <w:left w:val="nil"/>
              <w:right w:val="nil"/>
            </w:tcBorders>
          </w:tcPr>
          <w:p w:rsidR="009F0A92" w:rsidRDefault="009F0A92" w:rsidP="009543DB">
            <w:pPr>
              <w:pStyle w:val="Tabletextheading"/>
            </w:pPr>
            <w:r>
              <w:t>Total non</w:t>
            </w:r>
            <w:r>
              <w:noBreakHyphen/>
              <w:t>current assets</w:t>
            </w:r>
            <w:r>
              <w:br/>
              <w:t>($million)</w:t>
            </w:r>
          </w:p>
        </w:tc>
        <w:tc>
          <w:tcPr>
            <w:tcW w:w="1560" w:type="dxa"/>
            <w:tcBorders>
              <w:top w:val="double" w:sz="4" w:space="0" w:color="auto"/>
              <w:left w:val="nil"/>
              <w:bottom w:val="nil"/>
              <w:right w:val="nil"/>
            </w:tcBorders>
          </w:tcPr>
          <w:p w:rsidR="009F0A92" w:rsidRDefault="009F0A92" w:rsidP="009543DB">
            <w:pPr>
              <w:pStyle w:val="Tabletextleft"/>
            </w:pPr>
            <w:r>
              <w:t>Aeronautical</w:t>
            </w:r>
          </w:p>
        </w:tc>
        <w:tc>
          <w:tcPr>
            <w:tcW w:w="956" w:type="dxa"/>
            <w:tcBorders>
              <w:top w:val="double" w:sz="4" w:space="0" w:color="auto"/>
              <w:left w:val="nil"/>
              <w:bottom w:val="nil"/>
              <w:right w:val="nil"/>
            </w:tcBorders>
          </w:tcPr>
          <w:p w:rsidR="009F0A92" w:rsidRDefault="009F0A92" w:rsidP="009543DB">
            <w:pPr>
              <w:pStyle w:val="Tabletextright"/>
            </w:pPr>
            <w:r>
              <w:t>1 165.1</w:t>
            </w:r>
          </w:p>
        </w:tc>
        <w:tc>
          <w:tcPr>
            <w:tcW w:w="956" w:type="dxa"/>
            <w:tcBorders>
              <w:top w:val="double" w:sz="4" w:space="0" w:color="auto"/>
              <w:left w:val="nil"/>
              <w:bottom w:val="nil"/>
              <w:right w:val="nil"/>
            </w:tcBorders>
          </w:tcPr>
          <w:p w:rsidR="009F0A92" w:rsidRDefault="009F0A92" w:rsidP="009543DB">
            <w:pPr>
              <w:pStyle w:val="Tabletextright"/>
            </w:pPr>
            <w:r>
              <w:t>1 165.6</w:t>
            </w:r>
          </w:p>
        </w:tc>
        <w:tc>
          <w:tcPr>
            <w:tcW w:w="957" w:type="dxa"/>
            <w:tcBorders>
              <w:top w:val="double" w:sz="4" w:space="0" w:color="auto"/>
              <w:left w:val="nil"/>
              <w:bottom w:val="nil"/>
              <w:right w:val="nil"/>
            </w:tcBorders>
          </w:tcPr>
          <w:p w:rsidR="009F0A92" w:rsidRDefault="009F0A92" w:rsidP="009543DB">
            <w:pPr>
              <w:pStyle w:val="Tabletextright"/>
            </w:pPr>
            <w:r>
              <w:t>1 252.3</w:t>
            </w:r>
          </w:p>
        </w:tc>
        <w:tc>
          <w:tcPr>
            <w:tcW w:w="956" w:type="dxa"/>
            <w:tcBorders>
              <w:top w:val="double" w:sz="4" w:space="0" w:color="auto"/>
              <w:left w:val="nil"/>
              <w:bottom w:val="nil"/>
              <w:right w:val="nil"/>
            </w:tcBorders>
          </w:tcPr>
          <w:p w:rsidR="009F0A92" w:rsidRDefault="009F0A92" w:rsidP="009543DB">
            <w:pPr>
              <w:pStyle w:val="Tabletextright"/>
            </w:pPr>
            <w:r>
              <w:t>1 508.2</w:t>
            </w:r>
          </w:p>
        </w:tc>
        <w:tc>
          <w:tcPr>
            <w:tcW w:w="957" w:type="dxa"/>
            <w:tcBorders>
              <w:top w:val="double" w:sz="4" w:space="0" w:color="auto"/>
              <w:left w:val="nil"/>
              <w:bottom w:val="nil"/>
              <w:right w:val="nil"/>
            </w:tcBorders>
          </w:tcPr>
          <w:p w:rsidR="009F0A92" w:rsidRDefault="009F0A92" w:rsidP="009543DB">
            <w:pPr>
              <w:pStyle w:val="Tabletextright"/>
            </w:pPr>
            <w:r>
              <w:t>1 616.3</w:t>
            </w:r>
          </w:p>
        </w:tc>
        <w:tc>
          <w:tcPr>
            <w:tcW w:w="956" w:type="dxa"/>
            <w:tcBorders>
              <w:top w:val="double" w:sz="4" w:space="0" w:color="auto"/>
              <w:left w:val="nil"/>
              <w:bottom w:val="nil"/>
              <w:right w:val="nil"/>
            </w:tcBorders>
          </w:tcPr>
          <w:p w:rsidR="009F0A92" w:rsidRDefault="009F0A92" w:rsidP="009543DB">
            <w:pPr>
              <w:pStyle w:val="Tabletextright"/>
            </w:pPr>
            <w:r>
              <w:t>1 489.7</w:t>
            </w:r>
          </w:p>
        </w:tc>
        <w:tc>
          <w:tcPr>
            <w:tcW w:w="957" w:type="dxa"/>
            <w:tcBorders>
              <w:top w:val="double" w:sz="4" w:space="0" w:color="auto"/>
              <w:left w:val="nil"/>
              <w:bottom w:val="nil"/>
              <w:right w:val="nil"/>
            </w:tcBorders>
          </w:tcPr>
          <w:p w:rsidR="009F0A92" w:rsidRDefault="009F0A92" w:rsidP="009543DB">
            <w:pPr>
              <w:pStyle w:val="Tabletextright"/>
            </w:pPr>
            <w:r>
              <w:t>1 475.1</w:t>
            </w:r>
          </w:p>
        </w:tc>
        <w:tc>
          <w:tcPr>
            <w:tcW w:w="956" w:type="dxa"/>
            <w:tcBorders>
              <w:top w:val="double" w:sz="4" w:space="0" w:color="auto"/>
              <w:left w:val="nil"/>
              <w:bottom w:val="nil"/>
              <w:right w:val="nil"/>
            </w:tcBorders>
          </w:tcPr>
          <w:p w:rsidR="009F0A92" w:rsidRDefault="009F0A92" w:rsidP="009543DB">
            <w:pPr>
              <w:pStyle w:val="Tabletextright"/>
            </w:pPr>
            <w:r>
              <w:t>1 535.6</w:t>
            </w:r>
          </w:p>
        </w:tc>
        <w:tc>
          <w:tcPr>
            <w:tcW w:w="957" w:type="dxa"/>
            <w:tcBorders>
              <w:top w:val="double" w:sz="4" w:space="0" w:color="auto"/>
              <w:left w:val="nil"/>
              <w:bottom w:val="nil"/>
              <w:right w:val="nil"/>
            </w:tcBorders>
          </w:tcPr>
          <w:p w:rsidR="009F0A92" w:rsidRDefault="009F0A92" w:rsidP="009543DB">
            <w:pPr>
              <w:pStyle w:val="Tabletextright"/>
            </w:pPr>
            <w:r>
              <w:t>1 631.6</w:t>
            </w:r>
          </w:p>
        </w:tc>
        <w:tc>
          <w:tcPr>
            <w:tcW w:w="956" w:type="dxa"/>
            <w:tcBorders>
              <w:top w:val="double" w:sz="4" w:space="0" w:color="auto"/>
              <w:left w:val="nil"/>
              <w:bottom w:val="nil"/>
              <w:right w:val="nil"/>
            </w:tcBorders>
          </w:tcPr>
          <w:p w:rsidR="009F0A92" w:rsidRDefault="009F0A92" w:rsidP="009543DB">
            <w:pPr>
              <w:pStyle w:val="Tabletextright"/>
            </w:pPr>
            <w:r>
              <w:t>1 754.6</w:t>
            </w:r>
          </w:p>
        </w:tc>
        <w:tc>
          <w:tcPr>
            <w:tcW w:w="957" w:type="dxa"/>
            <w:tcBorders>
              <w:top w:val="double" w:sz="4" w:space="0" w:color="auto"/>
              <w:left w:val="nil"/>
              <w:bottom w:val="nil"/>
              <w:right w:val="nil"/>
            </w:tcBorders>
          </w:tcPr>
          <w:p w:rsidR="009F0A92" w:rsidRDefault="009F0A92" w:rsidP="009543DB">
            <w:pPr>
              <w:pStyle w:val="Tabletextright"/>
            </w:pPr>
            <w:r>
              <w:t>2 049.1</w:t>
            </w:r>
          </w:p>
        </w:tc>
      </w:tr>
      <w:tr w:rsidR="009F0A92" w:rsidTr="009543DB">
        <w:tc>
          <w:tcPr>
            <w:tcW w:w="1951" w:type="dxa"/>
            <w:vMerge/>
            <w:tcBorders>
              <w:left w:val="nil"/>
              <w:bottom w:val="double" w:sz="4" w:space="0" w:color="auto"/>
              <w:right w:val="nil"/>
            </w:tcBorders>
          </w:tcPr>
          <w:p w:rsidR="009F0A92" w:rsidRDefault="009F0A92" w:rsidP="009543DB">
            <w:pPr>
              <w:pStyle w:val="Tabletextheading"/>
            </w:pPr>
          </w:p>
        </w:tc>
        <w:tc>
          <w:tcPr>
            <w:tcW w:w="1560" w:type="dxa"/>
            <w:tcBorders>
              <w:top w:val="nil"/>
              <w:left w:val="nil"/>
              <w:bottom w:val="double" w:sz="4" w:space="0" w:color="auto"/>
              <w:right w:val="nil"/>
            </w:tcBorders>
            <w:vAlign w:val="center"/>
          </w:tcPr>
          <w:p w:rsidR="009F0A92" w:rsidRDefault="009F0A92" w:rsidP="009543DB">
            <w:pPr>
              <w:pStyle w:val="Tabletextleft-centred"/>
            </w:pPr>
            <w:r>
              <w:t>Total airport</w:t>
            </w:r>
          </w:p>
        </w:tc>
        <w:tc>
          <w:tcPr>
            <w:tcW w:w="956" w:type="dxa"/>
            <w:tcBorders>
              <w:top w:val="nil"/>
              <w:left w:val="nil"/>
              <w:bottom w:val="double" w:sz="4" w:space="0" w:color="auto"/>
              <w:right w:val="nil"/>
            </w:tcBorders>
            <w:vAlign w:val="center"/>
          </w:tcPr>
          <w:p w:rsidR="009F0A92" w:rsidRDefault="009F0A92" w:rsidP="009543DB">
            <w:pPr>
              <w:pStyle w:val="Tabletextright-centred"/>
            </w:pPr>
            <w:r>
              <w:t>2 954.7</w:t>
            </w:r>
          </w:p>
        </w:tc>
        <w:tc>
          <w:tcPr>
            <w:tcW w:w="956" w:type="dxa"/>
            <w:tcBorders>
              <w:top w:val="nil"/>
              <w:left w:val="nil"/>
              <w:bottom w:val="double" w:sz="4" w:space="0" w:color="auto"/>
              <w:right w:val="nil"/>
            </w:tcBorders>
            <w:vAlign w:val="center"/>
          </w:tcPr>
          <w:p w:rsidR="009F0A92" w:rsidRDefault="009F0A92" w:rsidP="009543DB">
            <w:pPr>
              <w:pStyle w:val="Tabletextright-centred"/>
            </w:pPr>
            <w:r>
              <w:t>3 035.3</w:t>
            </w:r>
          </w:p>
        </w:tc>
        <w:tc>
          <w:tcPr>
            <w:tcW w:w="957" w:type="dxa"/>
            <w:tcBorders>
              <w:top w:val="nil"/>
              <w:left w:val="nil"/>
              <w:bottom w:val="double" w:sz="4" w:space="0" w:color="auto"/>
              <w:right w:val="nil"/>
            </w:tcBorders>
            <w:vAlign w:val="center"/>
          </w:tcPr>
          <w:p w:rsidR="009F0A92" w:rsidRDefault="009F0A92" w:rsidP="009543DB">
            <w:pPr>
              <w:pStyle w:val="Tabletextright-centred"/>
            </w:pPr>
            <w:r>
              <w:t>3 299.1</w:t>
            </w:r>
          </w:p>
        </w:tc>
        <w:tc>
          <w:tcPr>
            <w:tcW w:w="956" w:type="dxa"/>
            <w:tcBorders>
              <w:top w:val="nil"/>
              <w:left w:val="nil"/>
              <w:bottom w:val="double" w:sz="4" w:space="0" w:color="auto"/>
              <w:right w:val="nil"/>
            </w:tcBorders>
            <w:vAlign w:val="center"/>
          </w:tcPr>
          <w:p w:rsidR="009F0A92" w:rsidRDefault="009F0A92" w:rsidP="009543DB">
            <w:pPr>
              <w:pStyle w:val="Tabletextright-centred"/>
            </w:pPr>
            <w:r>
              <w:t>3 781.5</w:t>
            </w:r>
          </w:p>
        </w:tc>
        <w:tc>
          <w:tcPr>
            <w:tcW w:w="957" w:type="dxa"/>
            <w:tcBorders>
              <w:top w:val="nil"/>
              <w:left w:val="nil"/>
              <w:bottom w:val="double" w:sz="4" w:space="0" w:color="auto"/>
              <w:right w:val="nil"/>
            </w:tcBorders>
            <w:vAlign w:val="center"/>
          </w:tcPr>
          <w:p w:rsidR="009F0A92" w:rsidRDefault="009F0A92" w:rsidP="009543DB">
            <w:pPr>
              <w:pStyle w:val="Tabletextright-centred"/>
            </w:pPr>
            <w:r>
              <w:t>3 889.9</w:t>
            </w:r>
          </w:p>
        </w:tc>
        <w:tc>
          <w:tcPr>
            <w:tcW w:w="956" w:type="dxa"/>
            <w:tcBorders>
              <w:top w:val="nil"/>
              <w:left w:val="nil"/>
              <w:bottom w:val="double" w:sz="4" w:space="0" w:color="auto"/>
              <w:right w:val="nil"/>
            </w:tcBorders>
            <w:vAlign w:val="center"/>
          </w:tcPr>
          <w:p w:rsidR="009F0A92" w:rsidRDefault="009F0A92" w:rsidP="009543DB">
            <w:pPr>
              <w:pStyle w:val="Tabletextright-centred"/>
            </w:pPr>
            <w:r>
              <w:t>3 806.9</w:t>
            </w:r>
          </w:p>
        </w:tc>
        <w:tc>
          <w:tcPr>
            <w:tcW w:w="957" w:type="dxa"/>
            <w:tcBorders>
              <w:top w:val="nil"/>
              <w:left w:val="nil"/>
              <w:bottom w:val="double" w:sz="4" w:space="0" w:color="auto"/>
              <w:right w:val="nil"/>
            </w:tcBorders>
            <w:vAlign w:val="center"/>
          </w:tcPr>
          <w:p w:rsidR="009F0A92" w:rsidRDefault="009F0A92" w:rsidP="009543DB">
            <w:pPr>
              <w:pStyle w:val="Tabletextright-centred"/>
            </w:pPr>
            <w:r>
              <w:t>3 939.1</w:t>
            </w:r>
          </w:p>
        </w:tc>
        <w:tc>
          <w:tcPr>
            <w:tcW w:w="956" w:type="dxa"/>
            <w:tcBorders>
              <w:top w:val="nil"/>
              <w:left w:val="nil"/>
              <w:bottom w:val="double" w:sz="4" w:space="0" w:color="auto"/>
              <w:right w:val="nil"/>
            </w:tcBorders>
            <w:vAlign w:val="center"/>
          </w:tcPr>
          <w:p w:rsidR="009F0A92" w:rsidRDefault="009F0A92" w:rsidP="009543DB">
            <w:pPr>
              <w:pStyle w:val="Tabletextright-centred"/>
            </w:pPr>
            <w:r>
              <w:t>4 065.8</w:t>
            </w:r>
          </w:p>
        </w:tc>
        <w:tc>
          <w:tcPr>
            <w:tcW w:w="957" w:type="dxa"/>
            <w:tcBorders>
              <w:top w:val="nil"/>
              <w:left w:val="nil"/>
              <w:bottom w:val="double" w:sz="4" w:space="0" w:color="auto"/>
              <w:right w:val="nil"/>
            </w:tcBorders>
            <w:vAlign w:val="center"/>
          </w:tcPr>
          <w:p w:rsidR="009F0A92" w:rsidRDefault="009F0A92" w:rsidP="009543DB">
            <w:pPr>
              <w:pStyle w:val="Tabletextright-centred"/>
            </w:pPr>
            <w:r>
              <w:t>4 276.5</w:t>
            </w:r>
          </w:p>
        </w:tc>
        <w:tc>
          <w:tcPr>
            <w:tcW w:w="956" w:type="dxa"/>
            <w:tcBorders>
              <w:top w:val="nil"/>
              <w:left w:val="nil"/>
              <w:bottom w:val="double" w:sz="4" w:space="0" w:color="auto"/>
              <w:right w:val="nil"/>
            </w:tcBorders>
            <w:vAlign w:val="center"/>
          </w:tcPr>
          <w:p w:rsidR="009F0A92" w:rsidRDefault="009F0A92" w:rsidP="009543DB">
            <w:pPr>
              <w:pStyle w:val="Tabletextright-centred"/>
            </w:pPr>
            <w:r>
              <w:t>4 517.1</w:t>
            </w:r>
          </w:p>
        </w:tc>
        <w:tc>
          <w:tcPr>
            <w:tcW w:w="957" w:type="dxa"/>
            <w:tcBorders>
              <w:top w:val="nil"/>
              <w:left w:val="nil"/>
              <w:bottom w:val="double" w:sz="4" w:space="0" w:color="auto"/>
              <w:right w:val="nil"/>
            </w:tcBorders>
            <w:vAlign w:val="center"/>
          </w:tcPr>
          <w:p w:rsidR="009F0A92" w:rsidRDefault="009F0A92" w:rsidP="009543DB">
            <w:pPr>
              <w:pStyle w:val="Tabletextright-centred"/>
            </w:pPr>
            <w:r>
              <w:t>4 974.9</w:t>
            </w:r>
          </w:p>
        </w:tc>
      </w:tr>
    </w:tbl>
    <w:p w:rsidR="009F0A92" w:rsidRDefault="009F0A92" w:rsidP="009F0A92">
      <w:pPr>
        <w:pStyle w:val="Sourceandnotes"/>
        <w:sectPr w:rsidR="009F0A92" w:rsidSect="009543DB">
          <w:headerReference w:type="even" r:id="rId61"/>
          <w:footnotePr>
            <w:numStart w:val="93"/>
          </w:footnotePr>
          <w:pgSz w:w="16838" w:h="11906" w:orient="landscape"/>
          <w:pgMar w:top="1729" w:right="1440" w:bottom="1729" w:left="1582" w:header="709" w:footer="709" w:gutter="0"/>
          <w:cols w:space="708"/>
          <w:docGrid w:linePitch="360"/>
        </w:sectPr>
      </w:pPr>
      <w:r>
        <w:t>Note:</w:t>
      </w:r>
      <w:r>
        <w:tab/>
        <w:t>Real values in 2014</w:t>
      </w:r>
      <w:r>
        <w:noBreakHyphen/>
        <w:t>15 dollars</w:t>
      </w:r>
    </w:p>
    <w:p w:rsidR="009F0A92" w:rsidRDefault="009F0A92" w:rsidP="009F0A92">
      <w:pPr>
        <w:pStyle w:val="Numberedcharttitle"/>
      </w:pPr>
      <w:r>
        <w:lastRenderedPageBreak/>
        <w:t>Table 2.2.5:</w:t>
      </w:r>
      <w:r>
        <w:tab/>
        <w:t>Brisbane Airport—non-current assets for aeronautical services under the LIS approach in real terms: 2007-08 to 2014-15</w:t>
      </w:r>
    </w:p>
    <w:tbl>
      <w:tblPr>
        <w:tblStyle w:val="TableGrid"/>
        <w:tblW w:w="5000" w:type="pct"/>
        <w:tblLook w:val="04A0" w:firstRow="1" w:lastRow="0" w:firstColumn="1" w:lastColumn="0" w:noHBand="0" w:noVBand="1"/>
      </w:tblPr>
      <w:tblGrid>
        <w:gridCol w:w="1629"/>
        <w:gridCol w:w="879"/>
        <w:gridCol w:w="880"/>
        <w:gridCol w:w="880"/>
        <w:gridCol w:w="880"/>
        <w:gridCol w:w="879"/>
        <w:gridCol w:w="880"/>
        <w:gridCol w:w="880"/>
        <w:gridCol w:w="877"/>
      </w:tblGrid>
      <w:tr w:rsidR="009F0A92" w:rsidTr="009543DB">
        <w:tc>
          <w:tcPr>
            <w:tcW w:w="940" w:type="pct"/>
            <w:tcBorders>
              <w:left w:val="nil"/>
              <w:bottom w:val="single" w:sz="4" w:space="0" w:color="auto"/>
              <w:right w:val="nil"/>
            </w:tcBorders>
            <w:shd w:val="clear" w:color="auto" w:fill="DFE0DC"/>
          </w:tcPr>
          <w:p w:rsidR="009F0A92" w:rsidRDefault="009F0A92" w:rsidP="009543DB">
            <w:pPr>
              <w:pStyle w:val="Tabletextleft"/>
            </w:pPr>
          </w:p>
        </w:tc>
        <w:tc>
          <w:tcPr>
            <w:tcW w:w="507" w:type="pct"/>
            <w:tcBorders>
              <w:left w:val="nil"/>
              <w:bottom w:val="single" w:sz="4" w:space="0" w:color="auto"/>
              <w:right w:val="nil"/>
            </w:tcBorders>
            <w:shd w:val="clear" w:color="auto" w:fill="DFE0DC"/>
          </w:tcPr>
          <w:p w:rsidR="009F0A92" w:rsidRDefault="009F0A92" w:rsidP="009543DB">
            <w:pPr>
              <w:pStyle w:val="Tabletextheadingright"/>
            </w:pPr>
            <w:r>
              <w:t>2007-08</w:t>
            </w:r>
          </w:p>
        </w:tc>
        <w:tc>
          <w:tcPr>
            <w:tcW w:w="508" w:type="pct"/>
            <w:tcBorders>
              <w:left w:val="nil"/>
              <w:bottom w:val="single" w:sz="4" w:space="0" w:color="auto"/>
              <w:right w:val="nil"/>
            </w:tcBorders>
            <w:shd w:val="clear" w:color="auto" w:fill="DFE0DC"/>
          </w:tcPr>
          <w:p w:rsidR="009F0A92" w:rsidRDefault="009F0A92" w:rsidP="009543DB">
            <w:pPr>
              <w:pStyle w:val="Tabletextheadingright"/>
            </w:pPr>
            <w:r>
              <w:t>2008-09</w:t>
            </w:r>
          </w:p>
        </w:tc>
        <w:tc>
          <w:tcPr>
            <w:tcW w:w="508" w:type="pct"/>
            <w:tcBorders>
              <w:left w:val="nil"/>
              <w:bottom w:val="single" w:sz="4" w:space="0" w:color="auto"/>
              <w:right w:val="nil"/>
            </w:tcBorders>
            <w:shd w:val="clear" w:color="auto" w:fill="DFE0DC"/>
          </w:tcPr>
          <w:p w:rsidR="009F0A92" w:rsidRDefault="009F0A92" w:rsidP="009543DB">
            <w:pPr>
              <w:pStyle w:val="Tabletextheadingright"/>
            </w:pPr>
            <w:r>
              <w:t>2009-10</w:t>
            </w:r>
          </w:p>
        </w:tc>
        <w:tc>
          <w:tcPr>
            <w:tcW w:w="508" w:type="pct"/>
            <w:tcBorders>
              <w:left w:val="nil"/>
              <w:bottom w:val="single" w:sz="4" w:space="0" w:color="auto"/>
              <w:right w:val="nil"/>
            </w:tcBorders>
            <w:shd w:val="clear" w:color="auto" w:fill="DFE0DC"/>
          </w:tcPr>
          <w:p w:rsidR="009F0A92" w:rsidRDefault="009F0A92" w:rsidP="009543DB">
            <w:pPr>
              <w:pStyle w:val="Tabletextheadingright"/>
            </w:pPr>
            <w:r>
              <w:t>2010-11</w:t>
            </w:r>
          </w:p>
        </w:tc>
        <w:tc>
          <w:tcPr>
            <w:tcW w:w="507" w:type="pct"/>
            <w:tcBorders>
              <w:left w:val="nil"/>
              <w:bottom w:val="single" w:sz="4" w:space="0" w:color="auto"/>
              <w:right w:val="nil"/>
            </w:tcBorders>
            <w:shd w:val="clear" w:color="auto" w:fill="DFE0DC"/>
          </w:tcPr>
          <w:p w:rsidR="009F0A92" w:rsidRDefault="009F0A92" w:rsidP="009543DB">
            <w:pPr>
              <w:pStyle w:val="Tabletextheadingright"/>
            </w:pPr>
            <w:r>
              <w:t>2011-12</w:t>
            </w:r>
          </w:p>
        </w:tc>
        <w:tc>
          <w:tcPr>
            <w:tcW w:w="508" w:type="pct"/>
            <w:tcBorders>
              <w:left w:val="nil"/>
              <w:bottom w:val="single" w:sz="4" w:space="0" w:color="auto"/>
              <w:right w:val="nil"/>
            </w:tcBorders>
            <w:shd w:val="clear" w:color="auto" w:fill="DFE0DC"/>
          </w:tcPr>
          <w:p w:rsidR="009F0A92" w:rsidRDefault="009F0A92" w:rsidP="009543DB">
            <w:pPr>
              <w:pStyle w:val="Tabletextheadingright"/>
            </w:pPr>
            <w:r>
              <w:t>2012-13</w:t>
            </w:r>
          </w:p>
        </w:tc>
        <w:tc>
          <w:tcPr>
            <w:tcW w:w="508" w:type="pct"/>
            <w:tcBorders>
              <w:left w:val="nil"/>
              <w:bottom w:val="single" w:sz="4" w:space="0" w:color="auto"/>
              <w:right w:val="nil"/>
            </w:tcBorders>
            <w:shd w:val="clear" w:color="auto" w:fill="DFE0DC"/>
          </w:tcPr>
          <w:p w:rsidR="009F0A92" w:rsidRDefault="009F0A92" w:rsidP="009543DB">
            <w:pPr>
              <w:pStyle w:val="Tabletextheadingright"/>
            </w:pPr>
            <w:r>
              <w:t>2013-14</w:t>
            </w:r>
          </w:p>
        </w:tc>
        <w:tc>
          <w:tcPr>
            <w:tcW w:w="508" w:type="pct"/>
            <w:tcBorders>
              <w:left w:val="nil"/>
              <w:bottom w:val="single" w:sz="4" w:space="0" w:color="auto"/>
              <w:right w:val="nil"/>
            </w:tcBorders>
            <w:shd w:val="clear" w:color="auto" w:fill="DFE0DC"/>
          </w:tcPr>
          <w:p w:rsidR="009F0A92" w:rsidRDefault="009F0A92" w:rsidP="009543DB">
            <w:pPr>
              <w:pStyle w:val="Tabletextheadingright"/>
            </w:pPr>
            <w:r>
              <w:t>2014-15</w:t>
            </w:r>
          </w:p>
        </w:tc>
      </w:tr>
      <w:tr w:rsidR="009F0A92" w:rsidTr="009543DB">
        <w:tc>
          <w:tcPr>
            <w:tcW w:w="940" w:type="pct"/>
            <w:tcBorders>
              <w:left w:val="nil"/>
              <w:right w:val="nil"/>
            </w:tcBorders>
          </w:tcPr>
          <w:p w:rsidR="009F0A92" w:rsidRDefault="009F0A92" w:rsidP="009543DB">
            <w:pPr>
              <w:pStyle w:val="Tabletextheading"/>
            </w:pPr>
            <w:r>
              <w:t>Investment property ($million)</w:t>
            </w:r>
          </w:p>
        </w:tc>
        <w:tc>
          <w:tcPr>
            <w:tcW w:w="507"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7"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r>
      <w:tr w:rsidR="009F0A92" w:rsidTr="009543DB">
        <w:tc>
          <w:tcPr>
            <w:tcW w:w="940" w:type="pct"/>
            <w:tcBorders>
              <w:left w:val="nil"/>
              <w:right w:val="nil"/>
            </w:tcBorders>
          </w:tcPr>
          <w:p w:rsidR="009F0A92" w:rsidRDefault="009F0A92" w:rsidP="009543DB">
            <w:pPr>
              <w:pStyle w:val="Tabletextheading"/>
            </w:pPr>
            <w:r>
              <w:t xml:space="preserve">Land </w:t>
            </w:r>
            <w:r>
              <w:br/>
              <w:t>($million)</w:t>
            </w:r>
          </w:p>
        </w:tc>
        <w:tc>
          <w:tcPr>
            <w:tcW w:w="507" w:type="pct"/>
            <w:tcBorders>
              <w:left w:val="nil"/>
              <w:right w:val="nil"/>
            </w:tcBorders>
          </w:tcPr>
          <w:p w:rsidR="009F0A92" w:rsidRDefault="009F0A92" w:rsidP="009543DB">
            <w:pPr>
              <w:pStyle w:val="Tabletextright"/>
            </w:pPr>
            <w:r>
              <w:t>30.2</w:t>
            </w:r>
          </w:p>
        </w:tc>
        <w:tc>
          <w:tcPr>
            <w:tcW w:w="508" w:type="pct"/>
            <w:tcBorders>
              <w:left w:val="nil"/>
              <w:right w:val="nil"/>
            </w:tcBorders>
          </w:tcPr>
          <w:p w:rsidR="009F0A92" w:rsidRDefault="009F0A92" w:rsidP="009543DB">
            <w:pPr>
              <w:pStyle w:val="Tabletextright"/>
            </w:pPr>
            <w:r>
              <w:t>29.9</w:t>
            </w:r>
          </w:p>
        </w:tc>
        <w:tc>
          <w:tcPr>
            <w:tcW w:w="508" w:type="pct"/>
            <w:tcBorders>
              <w:left w:val="nil"/>
              <w:right w:val="nil"/>
            </w:tcBorders>
          </w:tcPr>
          <w:p w:rsidR="009F0A92" w:rsidRDefault="009F0A92" w:rsidP="009543DB">
            <w:pPr>
              <w:pStyle w:val="Tabletextright"/>
            </w:pPr>
            <w:r>
              <w:t>28.7</w:t>
            </w:r>
          </w:p>
        </w:tc>
        <w:tc>
          <w:tcPr>
            <w:tcW w:w="508" w:type="pct"/>
            <w:tcBorders>
              <w:left w:val="nil"/>
              <w:right w:val="nil"/>
            </w:tcBorders>
          </w:tcPr>
          <w:p w:rsidR="009F0A92" w:rsidRDefault="009F0A92" w:rsidP="009543DB">
            <w:pPr>
              <w:pStyle w:val="Tabletextright"/>
            </w:pPr>
            <w:r>
              <w:t>27.7</w:t>
            </w:r>
          </w:p>
        </w:tc>
        <w:tc>
          <w:tcPr>
            <w:tcW w:w="507" w:type="pct"/>
            <w:tcBorders>
              <w:left w:val="nil"/>
              <w:right w:val="nil"/>
            </w:tcBorders>
          </w:tcPr>
          <w:p w:rsidR="009F0A92" w:rsidRDefault="009F0A92" w:rsidP="009543DB">
            <w:pPr>
              <w:pStyle w:val="Tabletextright"/>
            </w:pPr>
            <w:r>
              <w:t>27.8</w:t>
            </w:r>
          </w:p>
        </w:tc>
        <w:tc>
          <w:tcPr>
            <w:tcW w:w="508" w:type="pct"/>
            <w:tcBorders>
              <w:left w:val="nil"/>
              <w:right w:val="nil"/>
            </w:tcBorders>
          </w:tcPr>
          <w:p w:rsidR="009F0A92" w:rsidRDefault="009F0A92" w:rsidP="009543DB">
            <w:pPr>
              <w:pStyle w:val="Tabletextright"/>
            </w:pPr>
            <w:r>
              <w:t>62.5</w:t>
            </w:r>
          </w:p>
        </w:tc>
        <w:tc>
          <w:tcPr>
            <w:tcW w:w="508" w:type="pct"/>
            <w:tcBorders>
              <w:left w:val="nil"/>
              <w:right w:val="nil"/>
            </w:tcBorders>
          </w:tcPr>
          <w:p w:rsidR="009F0A92" w:rsidRDefault="009F0A92" w:rsidP="009543DB">
            <w:pPr>
              <w:pStyle w:val="Tabletextright"/>
            </w:pPr>
            <w:r>
              <w:t>59.9</w:t>
            </w:r>
          </w:p>
        </w:tc>
        <w:tc>
          <w:tcPr>
            <w:tcW w:w="508" w:type="pct"/>
            <w:tcBorders>
              <w:left w:val="nil"/>
              <w:right w:val="nil"/>
            </w:tcBorders>
          </w:tcPr>
          <w:p w:rsidR="009F0A92" w:rsidRDefault="009F0A92" w:rsidP="009543DB">
            <w:pPr>
              <w:pStyle w:val="Tabletextright"/>
            </w:pPr>
            <w:r>
              <w:t>60.1</w:t>
            </w:r>
          </w:p>
        </w:tc>
      </w:tr>
      <w:tr w:rsidR="009F0A92" w:rsidTr="009543DB">
        <w:tc>
          <w:tcPr>
            <w:tcW w:w="940" w:type="pct"/>
            <w:tcBorders>
              <w:left w:val="nil"/>
              <w:right w:val="nil"/>
            </w:tcBorders>
          </w:tcPr>
          <w:p w:rsidR="009F0A92" w:rsidRDefault="009F0A92" w:rsidP="009543DB">
            <w:pPr>
              <w:pStyle w:val="Tabletextheading"/>
            </w:pPr>
            <w:r>
              <w:t>Property, plant and equipment ($million)</w:t>
            </w:r>
          </w:p>
        </w:tc>
        <w:tc>
          <w:tcPr>
            <w:tcW w:w="507" w:type="pct"/>
            <w:tcBorders>
              <w:left w:val="nil"/>
              <w:right w:val="nil"/>
            </w:tcBorders>
          </w:tcPr>
          <w:p w:rsidR="009F0A92" w:rsidRDefault="009F0A92" w:rsidP="009543DB">
            <w:pPr>
              <w:pStyle w:val="Tabletextright"/>
            </w:pPr>
            <w:r>
              <w:t>982.1</w:t>
            </w:r>
          </w:p>
        </w:tc>
        <w:tc>
          <w:tcPr>
            <w:tcW w:w="508" w:type="pct"/>
            <w:tcBorders>
              <w:left w:val="nil"/>
              <w:right w:val="nil"/>
            </w:tcBorders>
          </w:tcPr>
          <w:p w:rsidR="009F0A92" w:rsidRDefault="009F0A92" w:rsidP="009543DB">
            <w:pPr>
              <w:pStyle w:val="Tabletextright"/>
            </w:pPr>
            <w:r>
              <w:t>1 133.7</w:t>
            </w:r>
          </w:p>
        </w:tc>
        <w:tc>
          <w:tcPr>
            <w:tcW w:w="508" w:type="pct"/>
            <w:tcBorders>
              <w:left w:val="nil"/>
              <w:right w:val="nil"/>
            </w:tcBorders>
          </w:tcPr>
          <w:p w:rsidR="009F0A92" w:rsidRDefault="009F0A92" w:rsidP="009543DB">
            <w:pPr>
              <w:pStyle w:val="Tabletextright"/>
            </w:pPr>
            <w:r>
              <w:t>1 064.6</w:t>
            </w:r>
          </w:p>
        </w:tc>
        <w:tc>
          <w:tcPr>
            <w:tcW w:w="508" w:type="pct"/>
            <w:tcBorders>
              <w:left w:val="nil"/>
              <w:right w:val="nil"/>
            </w:tcBorders>
          </w:tcPr>
          <w:p w:rsidR="009F0A92" w:rsidRDefault="009F0A92" w:rsidP="009543DB">
            <w:pPr>
              <w:pStyle w:val="Tabletextright"/>
            </w:pPr>
            <w:r>
              <w:t>1 056.1</w:t>
            </w:r>
          </w:p>
        </w:tc>
        <w:tc>
          <w:tcPr>
            <w:tcW w:w="507" w:type="pct"/>
            <w:tcBorders>
              <w:left w:val="nil"/>
              <w:right w:val="nil"/>
            </w:tcBorders>
          </w:tcPr>
          <w:p w:rsidR="009F0A92" w:rsidRDefault="009F0A92" w:rsidP="009543DB">
            <w:pPr>
              <w:pStyle w:val="Tabletextright"/>
            </w:pPr>
            <w:r>
              <w:t>1 148.0</w:t>
            </w:r>
          </w:p>
        </w:tc>
        <w:tc>
          <w:tcPr>
            <w:tcW w:w="508" w:type="pct"/>
            <w:tcBorders>
              <w:left w:val="nil"/>
              <w:right w:val="nil"/>
            </w:tcBorders>
          </w:tcPr>
          <w:p w:rsidR="009F0A92" w:rsidRDefault="009F0A92" w:rsidP="009543DB">
            <w:pPr>
              <w:pStyle w:val="Tabletextright"/>
            </w:pPr>
            <w:r>
              <w:t>1 201.1</w:t>
            </w:r>
          </w:p>
        </w:tc>
        <w:tc>
          <w:tcPr>
            <w:tcW w:w="508" w:type="pct"/>
            <w:tcBorders>
              <w:left w:val="nil"/>
              <w:right w:val="nil"/>
            </w:tcBorders>
          </w:tcPr>
          <w:p w:rsidR="009F0A92" w:rsidRDefault="009F0A92" w:rsidP="009543DB">
            <w:pPr>
              <w:pStyle w:val="Tabletextright"/>
            </w:pPr>
            <w:r>
              <w:t>1 347.5</w:t>
            </w:r>
          </w:p>
        </w:tc>
        <w:tc>
          <w:tcPr>
            <w:tcW w:w="508" w:type="pct"/>
            <w:tcBorders>
              <w:left w:val="nil"/>
              <w:right w:val="nil"/>
            </w:tcBorders>
          </w:tcPr>
          <w:p w:rsidR="009F0A92" w:rsidRDefault="009F0A92" w:rsidP="009543DB">
            <w:pPr>
              <w:pStyle w:val="Tabletextright"/>
            </w:pPr>
            <w:r>
              <w:t>1 590.0</w:t>
            </w:r>
          </w:p>
        </w:tc>
      </w:tr>
      <w:tr w:rsidR="009F0A92" w:rsidTr="009543DB">
        <w:tc>
          <w:tcPr>
            <w:tcW w:w="940" w:type="pct"/>
            <w:tcBorders>
              <w:left w:val="nil"/>
              <w:right w:val="nil"/>
            </w:tcBorders>
          </w:tcPr>
          <w:p w:rsidR="009F0A92" w:rsidRDefault="009F0A92" w:rsidP="009543DB">
            <w:pPr>
              <w:pStyle w:val="Tabletextheading"/>
            </w:pPr>
            <w:r>
              <w:t>Intangibles ($million)</w:t>
            </w:r>
          </w:p>
        </w:tc>
        <w:tc>
          <w:tcPr>
            <w:tcW w:w="507"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7"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c>
          <w:tcPr>
            <w:tcW w:w="508" w:type="pct"/>
            <w:tcBorders>
              <w:left w:val="nil"/>
              <w:right w:val="nil"/>
            </w:tcBorders>
          </w:tcPr>
          <w:p w:rsidR="009F0A92" w:rsidRDefault="009F0A92" w:rsidP="009543DB">
            <w:pPr>
              <w:pStyle w:val="Tabletextright"/>
            </w:pPr>
            <w:r>
              <w:t>0.0</w:t>
            </w:r>
          </w:p>
        </w:tc>
      </w:tr>
      <w:tr w:rsidR="009F0A92" w:rsidTr="009543DB">
        <w:tc>
          <w:tcPr>
            <w:tcW w:w="940" w:type="pct"/>
            <w:tcBorders>
              <w:left w:val="nil"/>
              <w:bottom w:val="double" w:sz="4" w:space="0" w:color="auto"/>
              <w:right w:val="nil"/>
            </w:tcBorders>
          </w:tcPr>
          <w:p w:rsidR="009F0A92" w:rsidRDefault="009F0A92" w:rsidP="009543DB">
            <w:pPr>
              <w:pStyle w:val="Tabletextheading"/>
            </w:pPr>
            <w:r>
              <w:t>Other tangible non-current assets ($million)</w:t>
            </w:r>
          </w:p>
        </w:tc>
        <w:tc>
          <w:tcPr>
            <w:tcW w:w="507" w:type="pct"/>
            <w:tcBorders>
              <w:left w:val="nil"/>
              <w:bottom w:val="double" w:sz="4" w:space="0" w:color="auto"/>
              <w:right w:val="nil"/>
            </w:tcBorders>
          </w:tcPr>
          <w:p w:rsidR="009F0A92" w:rsidRDefault="009F0A92" w:rsidP="009543DB">
            <w:pPr>
              <w:pStyle w:val="Tabletextright"/>
            </w:pPr>
            <w:r>
              <w:t>0.0</w:t>
            </w:r>
          </w:p>
        </w:tc>
        <w:tc>
          <w:tcPr>
            <w:tcW w:w="508" w:type="pct"/>
            <w:tcBorders>
              <w:left w:val="nil"/>
              <w:bottom w:val="double" w:sz="4" w:space="0" w:color="auto"/>
              <w:right w:val="nil"/>
            </w:tcBorders>
          </w:tcPr>
          <w:p w:rsidR="009F0A92" w:rsidRDefault="009F0A92" w:rsidP="009543DB">
            <w:pPr>
              <w:pStyle w:val="Tabletextright"/>
            </w:pPr>
            <w:r>
              <w:t>47.3</w:t>
            </w:r>
          </w:p>
        </w:tc>
        <w:tc>
          <w:tcPr>
            <w:tcW w:w="508" w:type="pct"/>
            <w:tcBorders>
              <w:left w:val="nil"/>
              <w:bottom w:val="double" w:sz="4" w:space="0" w:color="auto"/>
              <w:right w:val="nil"/>
            </w:tcBorders>
          </w:tcPr>
          <w:p w:rsidR="009F0A92" w:rsidRDefault="009F0A92" w:rsidP="009543DB">
            <w:pPr>
              <w:pStyle w:val="Tabletextright"/>
            </w:pPr>
            <w:r>
              <w:t>4.3</w:t>
            </w:r>
          </w:p>
        </w:tc>
        <w:tc>
          <w:tcPr>
            <w:tcW w:w="508" w:type="pct"/>
            <w:tcBorders>
              <w:left w:val="nil"/>
              <w:bottom w:val="double" w:sz="4" w:space="0" w:color="auto"/>
              <w:right w:val="nil"/>
            </w:tcBorders>
          </w:tcPr>
          <w:p w:rsidR="009F0A92" w:rsidRDefault="009F0A92" w:rsidP="009543DB">
            <w:pPr>
              <w:pStyle w:val="Tabletextright"/>
            </w:pPr>
            <w:r>
              <w:t>17.8</w:t>
            </w:r>
          </w:p>
        </w:tc>
        <w:tc>
          <w:tcPr>
            <w:tcW w:w="507" w:type="pct"/>
            <w:tcBorders>
              <w:left w:val="nil"/>
              <w:bottom w:val="double" w:sz="4" w:space="0" w:color="auto"/>
              <w:right w:val="nil"/>
            </w:tcBorders>
          </w:tcPr>
          <w:p w:rsidR="009F0A92" w:rsidRDefault="009F0A92" w:rsidP="009543DB">
            <w:pPr>
              <w:pStyle w:val="Tabletextright"/>
            </w:pPr>
            <w:r>
              <w:t>0.0</w:t>
            </w:r>
          </w:p>
        </w:tc>
        <w:tc>
          <w:tcPr>
            <w:tcW w:w="508" w:type="pct"/>
            <w:tcBorders>
              <w:left w:val="nil"/>
              <w:bottom w:val="double" w:sz="4" w:space="0" w:color="auto"/>
              <w:right w:val="nil"/>
            </w:tcBorders>
          </w:tcPr>
          <w:p w:rsidR="009F0A92" w:rsidRDefault="009F0A92" w:rsidP="009543DB">
            <w:pPr>
              <w:pStyle w:val="Tabletextright"/>
            </w:pPr>
            <w:r>
              <w:t>23.1</w:t>
            </w:r>
          </w:p>
        </w:tc>
        <w:tc>
          <w:tcPr>
            <w:tcW w:w="508" w:type="pct"/>
            <w:tcBorders>
              <w:left w:val="nil"/>
              <w:bottom w:val="double" w:sz="4" w:space="0" w:color="auto"/>
              <w:right w:val="nil"/>
            </w:tcBorders>
          </w:tcPr>
          <w:p w:rsidR="009F0A92" w:rsidRDefault="009F0A92" w:rsidP="009543DB">
            <w:pPr>
              <w:pStyle w:val="Tabletextright"/>
            </w:pPr>
            <w:r>
              <w:t>16.3</w:t>
            </w:r>
          </w:p>
        </w:tc>
        <w:tc>
          <w:tcPr>
            <w:tcW w:w="508" w:type="pct"/>
            <w:tcBorders>
              <w:left w:val="nil"/>
              <w:bottom w:val="double" w:sz="4" w:space="0" w:color="auto"/>
              <w:right w:val="nil"/>
            </w:tcBorders>
          </w:tcPr>
          <w:p w:rsidR="009F0A92" w:rsidRDefault="009F0A92" w:rsidP="009543DB">
            <w:pPr>
              <w:pStyle w:val="Tabletextright"/>
            </w:pPr>
            <w:r>
              <w:t>76.2</w:t>
            </w:r>
          </w:p>
        </w:tc>
      </w:tr>
      <w:tr w:rsidR="009F0A92" w:rsidTr="009543DB">
        <w:tc>
          <w:tcPr>
            <w:tcW w:w="940" w:type="pct"/>
            <w:tcBorders>
              <w:top w:val="double" w:sz="4" w:space="0" w:color="auto"/>
              <w:left w:val="nil"/>
              <w:bottom w:val="double" w:sz="4" w:space="0" w:color="auto"/>
              <w:right w:val="nil"/>
            </w:tcBorders>
          </w:tcPr>
          <w:p w:rsidR="009F0A92" w:rsidRDefault="009F0A92" w:rsidP="009543DB">
            <w:pPr>
              <w:pStyle w:val="Tabletextheading"/>
            </w:pPr>
            <w:r>
              <w:t>Total tangible non-current assets ($million)</w:t>
            </w:r>
          </w:p>
        </w:tc>
        <w:tc>
          <w:tcPr>
            <w:tcW w:w="507" w:type="pct"/>
            <w:tcBorders>
              <w:top w:val="double" w:sz="4" w:space="0" w:color="auto"/>
              <w:left w:val="nil"/>
              <w:bottom w:val="double" w:sz="4" w:space="0" w:color="auto"/>
              <w:right w:val="nil"/>
            </w:tcBorders>
          </w:tcPr>
          <w:p w:rsidR="009F0A92" w:rsidRDefault="009F0A92" w:rsidP="009543DB">
            <w:pPr>
              <w:pStyle w:val="Tabletextright"/>
            </w:pPr>
            <w:r>
              <w:t>1 012.3</w:t>
            </w:r>
          </w:p>
        </w:tc>
        <w:tc>
          <w:tcPr>
            <w:tcW w:w="508" w:type="pct"/>
            <w:tcBorders>
              <w:top w:val="double" w:sz="4" w:space="0" w:color="auto"/>
              <w:left w:val="nil"/>
              <w:bottom w:val="double" w:sz="4" w:space="0" w:color="auto"/>
              <w:right w:val="nil"/>
            </w:tcBorders>
          </w:tcPr>
          <w:p w:rsidR="009F0A92" w:rsidRDefault="009F0A92" w:rsidP="009543DB">
            <w:pPr>
              <w:pStyle w:val="Tabletextright"/>
            </w:pPr>
            <w:r>
              <w:t>1 210.9</w:t>
            </w:r>
          </w:p>
        </w:tc>
        <w:tc>
          <w:tcPr>
            <w:tcW w:w="508" w:type="pct"/>
            <w:tcBorders>
              <w:top w:val="double" w:sz="4" w:space="0" w:color="auto"/>
              <w:left w:val="nil"/>
              <w:bottom w:val="double" w:sz="4" w:space="0" w:color="auto"/>
              <w:right w:val="nil"/>
            </w:tcBorders>
          </w:tcPr>
          <w:p w:rsidR="009F0A92" w:rsidRDefault="009F0A92" w:rsidP="009543DB">
            <w:pPr>
              <w:pStyle w:val="Tabletextright"/>
            </w:pPr>
            <w:r>
              <w:t>1 097.7</w:t>
            </w:r>
          </w:p>
        </w:tc>
        <w:tc>
          <w:tcPr>
            <w:tcW w:w="508" w:type="pct"/>
            <w:tcBorders>
              <w:top w:val="double" w:sz="4" w:space="0" w:color="auto"/>
              <w:left w:val="nil"/>
              <w:bottom w:val="double" w:sz="4" w:space="0" w:color="auto"/>
              <w:right w:val="nil"/>
            </w:tcBorders>
          </w:tcPr>
          <w:p w:rsidR="009F0A92" w:rsidRDefault="009F0A92" w:rsidP="009543DB">
            <w:pPr>
              <w:pStyle w:val="Tabletextright"/>
            </w:pPr>
            <w:r>
              <w:t>1 101.6</w:t>
            </w:r>
          </w:p>
        </w:tc>
        <w:tc>
          <w:tcPr>
            <w:tcW w:w="507" w:type="pct"/>
            <w:tcBorders>
              <w:top w:val="double" w:sz="4" w:space="0" w:color="auto"/>
              <w:left w:val="nil"/>
              <w:bottom w:val="double" w:sz="4" w:space="0" w:color="auto"/>
              <w:right w:val="nil"/>
            </w:tcBorders>
          </w:tcPr>
          <w:p w:rsidR="009F0A92" w:rsidRDefault="009F0A92" w:rsidP="009543DB">
            <w:pPr>
              <w:pStyle w:val="Tabletextright"/>
            </w:pPr>
            <w:r>
              <w:t>1 175.8</w:t>
            </w:r>
          </w:p>
        </w:tc>
        <w:tc>
          <w:tcPr>
            <w:tcW w:w="508" w:type="pct"/>
            <w:tcBorders>
              <w:top w:val="double" w:sz="4" w:space="0" w:color="auto"/>
              <w:left w:val="nil"/>
              <w:bottom w:val="double" w:sz="4" w:space="0" w:color="auto"/>
              <w:right w:val="nil"/>
            </w:tcBorders>
          </w:tcPr>
          <w:p w:rsidR="009F0A92" w:rsidRDefault="009F0A92" w:rsidP="009543DB">
            <w:pPr>
              <w:pStyle w:val="Tabletextright"/>
            </w:pPr>
            <w:r>
              <w:t>1 286.8</w:t>
            </w:r>
          </w:p>
        </w:tc>
        <w:tc>
          <w:tcPr>
            <w:tcW w:w="508" w:type="pct"/>
            <w:tcBorders>
              <w:top w:val="double" w:sz="4" w:space="0" w:color="auto"/>
              <w:left w:val="nil"/>
              <w:bottom w:val="double" w:sz="4" w:space="0" w:color="auto"/>
              <w:right w:val="nil"/>
            </w:tcBorders>
          </w:tcPr>
          <w:p w:rsidR="009F0A92" w:rsidRDefault="009F0A92" w:rsidP="009543DB">
            <w:pPr>
              <w:pStyle w:val="Tabletextright"/>
            </w:pPr>
            <w:r>
              <w:t>1 423.7</w:t>
            </w:r>
          </w:p>
        </w:tc>
        <w:tc>
          <w:tcPr>
            <w:tcW w:w="508" w:type="pct"/>
            <w:tcBorders>
              <w:top w:val="double" w:sz="4" w:space="0" w:color="auto"/>
              <w:left w:val="nil"/>
              <w:bottom w:val="double" w:sz="4" w:space="0" w:color="auto"/>
              <w:right w:val="nil"/>
            </w:tcBorders>
          </w:tcPr>
          <w:p w:rsidR="009F0A92" w:rsidRDefault="009F0A92" w:rsidP="009543DB">
            <w:pPr>
              <w:pStyle w:val="Tabletextright"/>
            </w:pPr>
            <w:r>
              <w:t>1 726.4</w:t>
            </w:r>
          </w:p>
        </w:tc>
      </w:tr>
    </w:tbl>
    <w:p w:rsidR="009F0A92" w:rsidRDefault="009F0A92" w:rsidP="009F0A92">
      <w:pPr>
        <w:pStyle w:val="Sourceandnotes"/>
      </w:pPr>
      <w:r>
        <w:t>Note:</w:t>
      </w:r>
      <w:r>
        <w:tab/>
        <w:t>Real values in 2014-15 dollars</w:t>
      </w:r>
    </w:p>
    <w:p w:rsidR="009F0A92" w:rsidRDefault="009F0A92" w:rsidP="009F0A92">
      <w:pPr>
        <w:pStyle w:val="Numberedheading3"/>
      </w:pPr>
      <w:r>
        <w:t>Additions as a percentage of tangible non</w:t>
      </w:r>
      <w:r>
        <w:noBreakHyphen/>
        <w:t>current assets</w:t>
      </w:r>
    </w:p>
    <w:p w:rsidR="009F0A92" w:rsidRDefault="009F0A92" w:rsidP="009F0A92">
      <w:r>
        <w:t>Chart 2.2.1 shows that during 2014</w:t>
      </w:r>
      <w:r>
        <w:noBreakHyphen/>
        <w:t>15, Brisbane Airport’s $334.0 million in additions to aeronautical assets represented about 16.3 per cent of total aeronautical tangible non</w:t>
      </w:r>
      <w:r>
        <w:noBreakHyphen/>
        <w:t xml:space="preserve">current assets. </w:t>
      </w:r>
      <w:r w:rsidRPr="00FA3A11">
        <w:t>This is the</w:t>
      </w:r>
      <w:r>
        <w:t xml:space="preserve"> </w:t>
      </w:r>
      <w:r w:rsidRPr="00FA3A11">
        <w:t>largest yearly aeronautical capital expenditure since privatisation</w:t>
      </w:r>
      <w:r>
        <w:t>.</w:t>
      </w:r>
      <w:r w:rsidRPr="00FA3A11">
        <w:t xml:space="preserve"> </w:t>
      </w:r>
      <w:r>
        <w:t>The majority of additions to aeronautical assets in 2014</w:t>
      </w:r>
      <w:r>
        <w:noBreakHyphen/>
        <w:t>15 were due to work in progress of $249.8 million. Brisbane Airport’s work in progress mainly relates to its work on the new parallel runway project which is estimated to cost $1.4 billion.</w:t>
      </w:r>
    </w:p>
    <w:p w:rsidR="009F0A92" w:rsidRDefault="009F0A92" w:rsidP="009F0A92">
      <w:pPr>
        <w:pStyle w:val="Numberedcharttitle"/>
      </w:pPr>
      <w:r>
        <w:t>Chart 2.2.1:</w:t>
      </w:r>
      <w:r>
        <w:tab/>
        <w:t>Brisbane Airport—additions as a percentage of tangible non</w:t>
      </w:r>
      <w:r>
        <w:noBreakHyphen/>
        <w:t>current assets for aeronautical and total airport services: 2004</w:t>
      </w:r>
      <w:r>
        <w:noBreakHyphen/>
        <w:t>05 to 2014</w:t>
      </w:r>
      <w:r>
        <w:noBreakHyphen/>
        <w:t>15</w:t>
      </w:r>
    </w:p>
    <w:p w:rsidR="009F0A92" w:rsidRDefault="009F0A92" w:rsidP="009F0A92">
      <w:r w:rsidRPr="00343569">
        <w:rPr>
          <w:noProof/>
          <w:lang w:eastAsia="en-AU"/>
        </w:rPr>
        <w:drawing>
          <wp:inline distT="0" distB="0" distL="0" distR="0" wp14:anchorId="074D5F07" wp14:editId="3E43505B">
            <wp:extent cx="5320145" cy="2671948"/>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2548" cy="2678177"/>
                    </a:xfrm>
                    <a:prstGeom prst="rect">
                      <a:avLst/>
                    </a:prstGeom>
                    <a:noFill/>
                    <a:ln>
                      <a:noFill/>
                    </a:ln>
                  </pic:spPr>
                </pic:pic>
              </a:graphicData>
            </a:graphic>
          </wp:inline>
        </w:drawing>
      </w:r>
    </w:p>
    <w:p w:rsidR="009F0A92" w:rsidRDefault="009F0A92" w:rsidP="009F0A92">
      <w:pPr>
        <w:pStyle w:val="Numberedheading3"/>
      </w:pPr>
      <w:r>
        <w:t>Rates of return on tangible non</w:t>
      </w:r>
      <w:r>
        <w:noBreakHyphen/>
        <w:t>current assets</w:t>
      </w:r>
    </w:p>
    <w:p w:rsidR="009F0A92" w:rsidRDefault="009F0A92" w:rsidP="008C69ED">
      <w:pPr>
        <w:keepNext/>
      </w:pPr>
      <w:r>
        <w:t>The rate of return on aeronautical tangible non</w:t>
      </w:r>
      <w:r>
        <w:noBreakHyphen/>
        <w:t xml:space="preserve">current assets is calculated using earnings before interest, tax and amortisation (EBITA) on average assets. This figure was unchanged at </w:t>
      </w:r>
      <w:r>
        <w:lastRenderedPageBreak/>
        <w:t>6.2 per cent in 2014</w:t>
      </w:r>
      <w:r>
        <w:noBreakHyphen/>
        <w:t>15 (Chart 2.2.2) and has not increased since 2011</w:t>
      </w:r>
      <w:r>
        <w:noBreakHyphen/>
        <w:t>12. Brisbane Airport has consistently reported the lowest rate of return on aeronautical tangible non</w:t>
      </w:r>
      <w:r>
        <w:noBreakHyphen/>
        <w:t>current assets of the monitored airports since 2004</w:t>
      </w:r>
      <w:r>
        <w:noBreakHyphen/>
        <w:t>05.</w:t>
      </w:r>
    </w:p>
    <w:p w:rsidR="009F0A92" w:rsidRDefault="009F0A92" w:rsidP="008C69ED">
      <w:pPr>
        <w:pStyle w:val="Numberedcharttitle"/>
      </w:pPr>
      <w:r>
        <w:t>Chart 2.2.2:</w:t>
      </w:r>
      <w:r>
        <w:tab/>
        <w:t>Brisbane Airport—rate of return (EBITA) on tangible non</w:t>
      </w:r>
      <w:r>
        <w:noBreakHyphen/>
        <w:t xml:space="preserve">current assets for aeronautical and total airport services in real terms: </w:t>
      </w:r>
      <w:r>
        <w:br/>
        <w:t>2004</w:t>
      </w:r>
      <w:r>
        <w:noBreakHyphen/>
        <w:t>05 to 2014</w:t>
      </w:r>
      <w:r>
        <w:noBreakHyphen/>
        <w:t>15</w:t>
      </w:r>
    </w:p>
    <w:p w:rsidR="009F0A92" w:rsidRDefault="009F0A92" w:rsidP="008C69ED">
      <w:pPr>
        <w:keepNext/>
      </w:pPr>
      <w:r w:rsidRPr="00B265CF">
        <w:rPr>
          <w:noProof/>
          <w:lang w:eastAsia="en-AU"/>
        </w:rPr>
        <w:drawing>
          <wp:inline distT="0" distB="0" distL="0" distR="0" wp14:anchorId="376E9178" wp14:editId="27CF7D57">
            <wp:extent cx="5351228" cy="2512612"/>
            <wp:effectExtent l="0" t="0" r="1905" b="254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4480" cy="2518834"/>
                    </a:xfrm>
                    <a:prstGeom prst="rect">
                      <a:avLst/>
                    </a:prstGeom>
                    <a:noFill/>
                    <a:ln>
                      <a:noFill/>
                    </a:ln>
                  </pic:spPr>
                </pic:pic>
              </a:graphicData>
            </a:graphic>
          </wp:inline>
        </w:drawing>
      </w:r>
    </w:p>
    <w:p w:rsidR="009F0A92" w:rsidRDefault="009F0A92" w:rsidP="008C69ED">
      <w:pPr>
        <w:pStyle w:val="Sourceandnotes"/>
      </w:pPr>
      <w:r>
        <w:t>Note:</w:t>
      </w:r>
      <w:r>
        <w:tab/>
        <w:t>Real values in 2014</w:t>
      </w:r>
      <w:r>
        <w:noBreakHyphen/>
        <w:t>15 dollars</w:t>
      </w:r>
    </w:p>
    <w:p w:rsidR="009F0A92" w:rsidRDefault="009F0A92" w:rsidP="008C69ED">
      <w:pPr>
        <w:keepNext/>
      </w:pPr>
      <w:r>
        <w:t>Chart 2.2.3 illustrates the results under the LIS approach. Since 2007</w:t>
      </w:r>
      <w:r>
        <w:noBreakHyphen/>
        <w:t>08, the broad trends in the rate of return on average aeronautical and total airport tangible non</w:t>
      </w:r>
      <w:r>
        <w:noBreakHyphen/>
        <w:t>current assets have been comparable between the non</w:t>
      </w:r>
      <w:r>
        <w:noBreakHyphen/>
        <w:t>LIS approach (Chart 2.2.2) and the LIS approach. The rate of return on aeronautical tangible non</w:t>
      </w:r>
      <w:r>
        <w:noBreakHyphen/>
        <w:t>current assets was 7.8 per cent in 2014</w:t>
      </w:r>
      <w:r>
        <w:noBreakHyphen/>
        <w:t>15, around 1.6 percentage points higher than the non</w:t>
      </w:r>
      <w:r>
        <w:noBreakHyphen/>
        <w:t>LIS figure. This is due to higher earnings and a lower asset base under the LIS approach.</w:t>
      </w:r>
    </w:p>
    <w:p w:rsidR="009F0A92" w:rsidRDefault="009F0A92" w:rsidP="008C69ED">
      <w:pPr>
        <w:pStyle w:val="Numberedcharttitle"/>
      </w:pPr>
      <w:r>
        <w:t>Chart 2.2.3:</w:t>
      </w:r>
      <w:r>
        <w:tab/>
        <w:t>Brisbane Airport—rate of return (EBITA) on tangible non</w:t>
      </w:r>
      <w:r>
        <w:noBreakHyphen/>
        <w:t>current assets for aeronautical services under the LIS approach and total airport services in real terms: 2004</w:t>
      </w:r>
      <w:r>
        <w:noBreakHyphen/>
        <w:t>05 to 2014</w:t>
      </w:r>
      <w:r>
        <w:noBreakHyphen/>
        <w:t>15</w:t>
      </w:r>
    </w:p>
    <w:p w:rsidR="009F0A92" w:rsidRDefault="009F0A92" w:rsidP="008C69ED">
      <w:pPr>
        <w:keepNext/>
      </w:pPr>
      <w:r w:rsidRPr="00B265CF">
        <w:rPr>
          <w:noProof/>
          <w:lang w:eastAsia="en-AU"/>
        </w:rPr>
        <w:drawing>
          <wp:inline distT="0" distB="0" distL="0" distR="0" wp14:anchorId="5E0836CA" wp14:editId="7C2AC875">
            <wp:extent cx="5338195" cy="2377440"/>
            <wp:effectExtent l="0" t="0" r="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4480" cy="2389146"/>
                    </a:xfrm>
                    <a:prstGeom prst="rect">
                      <a:avLst/>
                    </a:prstGeom>
                    <a:noFill/>
                    <a:ln>
                      <a:noFill/>
                    </a:ln>
                  </pic:spPr>
                </pic:pic>
              </a:graphicData>
            </a:graphic>
          </wp:inline>
        </w:drawing>
      </w:r>
    </w:p>
    <w:p w:rsidR="009F0A92" w:rsidRDefault="009F0A92" w:rsidP="008C69ED">
      <w:pPr>
        <w:pStyle w:val="Sourceandnotes"/>
      </w:pPr>
      <w:r>
        <w:t>Note:</w:t>
      </w:r>
      <w:r>
        <w:tab/>
        <w:t>Real values in 2014</w:t>
      </w:r>
      <w:r>
        <w:noBreakHyphen/>
        <w:t>15 dollars</w:t>
      </w:r>
    </w:p>
    <w:p w:rsidR="009F0A92" w:rsidRDefault="009F0A92" w:rsidP="00114E05">
      <w:pPr>
        <w:pStyle w:val="Numberedheading2"/>
      </w:pPr>
      <w:r w:rsidRPr="00F0168B">
        <w:lastRenderedPageBreak/>
        <w:t>Aeronautical services quality of service monitoring results</w:t>
      </w:r>
    </w:p>
    <w:p w:rsidR="009F0A92" w:rsidRDefault="009F0A92" w:rsidP="009F0A92">
      <w:r>
        <w:t>Both passengers and airlines are surveyed to give an insight into the quality of service offered by each airport. This section presents Brisbane Airport’s quality of service monitoring results for the overall average ratings (Section 2.3.1), aircraft</w:t>
      </w:r>
      <w:r>
        <w:noBreakHyphen/>
        <w:t>related services and facilities (Section 2.3.2), and passenger</w:t>
      </w:r>
      <w:r>
        <w:noBreakHyphen/>
        <w:t>related services and facilities for each of Brisbane Airport’s terminals (Section 2.3.3).</w:t>
      </w:r>
    </w:p>
    <w:p w:rsidR="009F0A92" w:rsidRDefault="009F0A92" w:rsidP="009F0A92">
      <w:pPr>
        <w:pStyle w:val="Numberedheading3"/>
      </w:pPr>
      <w:r>
        <w:t>Overall quality of service</w:t>
      </w:r>
      <w:r>
        <w:rPr>
          <w:rStyle w:val="FootnoteReference"/>
        </w:rPr>
        <w:footnoteReference w:id="98"/>
      </w:r>
    </w:p>
    <w:p w:rsidR="009F0A92" w:rsidRDefault="009F0A92" w:rsidP="009F0A92">
      <w:r>
        <w:t>Chart 2.3.1 shows that in 2014</w:t>
      </w:r>
      <w:r>
        <w:noBreakHyphen/>
        <w:t>15, Brisbane Airport’s overall average rating increased slightly within the ‘good’ range. The average rating for the availability and standard of total airport services and facilities both increased within the ‘good’ range in 2014</w:t>
      </w:r>
      <w:r>
        <w:noBreakHyphen/>
        <w:t>15. These ratings have been within the ‘good’ range in each year over the time series.</w:t>
      </w:r>
    </w:p>
    <w:p w:rsidR="009F0A92" w:rsidRDefault="009F0A92" w:rsidP="009F0A92">
      <w:pPr>
        <w:pStyle w:val="Numberedcharttitle"/>
      </w:pPr>
      <w:r>
        <w:t>Chart 2.3.1:</w:t>
      </w:r>
      <w:r>
        <w:tab/>
        <w:t>Brisbane Airport—average ratings for standard and availability of total airport services and facilities: 2010</w:t>
      </w:r>
      <w:r>
        <w:noBreakHyphen/>
        <w:t>11 to 2014</w:t>
      </w:r>
      <w:r>
        <w:noBreakHyphen/>
        <w:t>15</w:t>
      </w:r>
    </w:p>
    <w:p w:rsidR="009F0A92" w:rsidRDefault="009F0A92" w:rsidP="009F0A92">
      <w:r w:rsidRPr="008B65C0">
        <w:rPr>
          <w:noProof/>
          <w:lang w:eastAsia="en-AU"/>
        </w:rPr>
        <w:drawing>
          <wp:inline distT="0" distB="0" distL="0" distR="0" wp14:anchorId="105931FC" wp14:editId="48DF3F3A">
            <wp:extent cx="5364480" cy="2813830"/>
            <wp:effectExtent l="0" t="0" r="7620" b="571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4480" cy="2813830"/>
                    </a:xfrm>
                    <a:prstGeom prst="rect">
                      <a:avLst/>
                    </a:prstGeom>
                    <a:noFill/>
                    <a:ln>
                      <a:noFill/>
                    </a:ln>
                  </pic:spPr>
                </pic:pic>
              </a:graphicData>
            </a:graphic>
          </wp:inline>
        </w:drawing>
      </w:r>
    </w:p>
    <w:p w:rsidR="009F0A92" w:rsidRDefault="009F0A92" w:rsidP="009F0A92">
      <w:pPr>
        <w:pStyle w:val="Sourceandnotes"/>
      </w:pPr>
      <w:r>
        <w:t>Source:</w:t>
      </w:r>
      <w:r>
        <w:tab/>
        <w:t>Airline surveys, passenger surveys, and objective indicators obtained from Brisbane Airport</w:t>
      </w:r>
    </w:p>
    <w:p w:rsidR="009F0A92" w:rsidRDefault="009F0A92" w:rsidP="009F0A92">
      <w:r>
        <w:t>Chart 2.3.2 compares average quality of service ratings between domestic terminal services, international terminal services and aircraft</w:t>
      </w:r>
      <w:r>
        <w:noBreakHyphen/>
        <w:t>related services. Brisbane Airport’s international and domestic terminals have been rated ‘good’ each year over the time series. The rating for aircraft</w:t>
      </w:r>
      <w:r>
        <w:noBreakHyphen/>
        <w:t>related services and facilities increased within the ‘good’ range during 2014</w:t>
      </w:r>
      <w:r>
        <w:noBreakHyphen/>
        <w:t>15, after reaching a low of ‘satisfactory’ in 2012</w:t>
      </w:r>
      <w:r>
        <w:noBreakHyphen/>
        <w:t>13.</w:t>
      </w:r>
    </w:p>
    <w:p w:rsidR="009F0A92" w:rsidRDefault="009F0A92" w:rsidP="009F0A92">
      <w:pPr>
        <w:pStyle w:val="Numberedcharttitle"/>
      </w:pPr>
      <w:r>
        <w:lastRenderedPageBreak/>
        <w:t>Chart 2.3.2:</w:t>
      </w:r>
      <w:r>
        <w:tab/>
        <w:t>Brisbane Airport—average ratings for international and domestic terminal services, and aircraft</w:t>
      </w:r>
      <w:r>
        <w:noBreakHyphen/>
        <w:t>related services and facilities</w:t>
      </w:r>
      <w:proofErr w:type="gramStart"/>
      <w:r>
        <w:t>:</w:t>
      </w:r>
      <w:proofErr w:type="gramEnd"/>
      <w:r>
        <w:br/>
        <w:t>2010</w:t>
      </w:r>
      <w:r>
        <w:noBreakHyphen/>
        <w:t>11 to 2014</w:t>
      </w:r>
      <w:r>
        <w:noBreakHyphen/>
        <w:t>15</w:t>
      </w:r>
    </w:p>
    <w:p w:rsidR="009F0A92" w:rsidRDefault="009F0A92" w:rsidP="009F0A92">
      <w:r w:rsidRPr="00385A74">
        <w:rPr>
          <w:noProof/>
          <w:lang w:eastAsia="en-AU"/>
        </w:rPr>
        <w:drawing>
          <wp:inline distT="0" distB="0" distL="0" distR="0" wp14:anchorId="37897421" wp14:editId="2F38EA95">
            <wp:extent cx="5358808" cy="2594344"/>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4480" cy="2597090"/>
                    </a:xfrm>
                    <a:prstGeom prst="rect">
                      <a:avLst/>
                    </a:prstGeom>
                    <a:noFill/>
                    <a:ln>
                      <a:noFill/>
                    </a:ln>
                  </pic:spPr>
                </pic:pic>
              </a:graphicData>
            </a:graphic>
          </wp:inline>
        </w:drawing>
      </w:r>
    </w:p>
    <w:p w:rsidR="009F0A92" w:rsidRDefault="009F0A92" w:rsidP="009F0A92">
      <w:pPr>
        <w:pStyle w:val="Sourceandnotes"/>
      </w:pPr>
      <w:r>
        <w:t>Source:</w:t>
      </w:r>
      <w:r>
        <w:tab/>
        <w:t>Airline surveys, passenger surveys, and objective indicators obtained from Brisbane Airport</w:t>
      </w:r>
    </w:p>
    <w:p w:rsidR="009F0A92" w:rsidRDefault="009F0A92" w:rsidP="009F0A92">
      <w:pPr>
        <w:pStyle w:val="Numberedheading3"/>
      </w:pPr>
      <w:r>
        <w:t>Aircraft</w:t>
      </w:r>
      <w:r>
        <w:noBreakHyphen/>
        <w:t>related services and facilities</w:t>
      </w:r>
    </w:p>
    <w:p w:rsidR="009F0A92" w:rsidRDefault="009F0A92" w:rsidP="009F0A92">
      <w:r>
        <w:t>This section explores the airline survey results on aircraft</w:t>
      </w:r>
      <w:r>
        <w:noBreakHyphen/>
        <w:t>related services and facilities in more detail. Table 2.3.1 displays the specific indicators which drove the improvement in the rating of aircraft-related services and facilities during the year.</w:t>
      </w:r>
    </w:p>
    <w:p w:rsidR="009F0A92" w:rsidRDefault="009F0A92" w:rsidP="009F0A92">
      <w:pPr>
        <w:pStyle w:val="Numberedcharttitle"/>
      </w:pPr>
      <w:r>
        <w:t>Table 2.3.1:</w:t>
      </w:r>
      <w:r>
        <w:tab/>
        <w:t>Brisbane Airport—airline ratings of quality of individual aircraft</w:t>
      </w:r>
      <w:r>
        <w:noBreakHyphen/>
        <w:t>related services and facilities: 2014-15, 1-year change, and change since 2010</w:t>
      </w:r>
      <w:r>
        <w:noBreakHyphen/>
        <w:t>11</w:t>
      </w:r>
    </w:p>
    <w:tbl>
      <w:tblPr>
        <w:tblStyle w:val="TableGrid"/>
        <w:tblW w:w="0" w:type="auto"/>
        <w:tblLook w:val="04A0" w:firstRow="1" w:lastRow="0" w:firstColumn="1" w:lastColumn="0" w:noHBand="0" w:noVBand="1"/>
      </w:tblPr>
      <w:tblGrid>
        <w:gridCol w:w="1732"/>
        <w:gridCol w:w="3054"/>
        <w:gridCol w:w="1843"/>
        <w:gridCol w:w="1017"/>
        <w:gridCol w:w="1018"/>
      </w:tblGrid>
      <w:tr w:rsidR="009F0A92" w:rsidTr="009543DB">
        <w:tc>
          <w:tcPr>
            <w:tcW w:w="1732" w:type="dxa"/>
            <w:tcBorders>
              <w:left w:val="nil"/>
              <w:bottom w:val="single" w:sz="4" w:space="0" w:color="auto"/>
              <w:right w:val="nil"/>
            </w:tcBorders>
            <w:shd w:val="clear" w:color="auto" w:fill="DFE0DC"/>
          </w:tcPr>
          <w:p w:rsidR="009F0A92" w:rsidRDefault="009F0A92" w:rsidP="009543DB">
            <w:pPr>
              <w:pStyle w:val="Tabletextleft"/>
            </w:pPr>
          </w:p>
        </w:tc>
        <w:tc>
          <w:tcPr>
            <w:tcW w:w="3054" w:type="dxa"/>
            <w:tcBorders>
              <w:left w:val="nil"/>
              <w:bottom w:val="single" w:sz="4" w:space="0" w:color="auto"/>
              <w:right w:val="nil"/>
            </w:tcBorders>
            <w:shd w:val="clear" w:color="auto" w:fill="DFE0DC"/>
            <w:vAlign w:val="center"/>
          </w:tcPr>
          <w:p w:rsidR="009F0A92" w:rsidRDefault="009F0A92" w:rsidP="009543DB">
            <w:pPr>
              <w:pStyle w:val="Tabletextleft-centred"/>
            </w:pPr>
            <w:r>
              <w:t>Indicator</w:t>
            </w:r>
          </w:p>
        </w:tc>
        <w:tc>
          <w:tcPr>
            <w:tcW w:w="1843" w:type="dxa"/>
            <w:tcBorders>
              <w:left w:val="nil"/>
              <w:bottom w:val="single" w:sz="4" w:space="0" w:color="auto"/>
              <w:right w:val="nil"/>
            </w:tcBorders>
            <w:shd w:val="clear" w:color="auto" w:fill="DFE0DC"/>
            <w:vAlign w:val="center"/>
          </w:tcPr>
          <w:p w:rsidR="009F0A92" w:rsidRDefault="009F0A92" w:rsidP="009543DB">
            <w:pPr>
              <w:pStyle w:val="Tabletextleft-centred"/>
            </w:pPr>
            <w:r>
              <w:t>Rating category</w:t>
            </w:r>
            <w:r>
              <w:br/>
              <w:t>2014-15</w:t>
            </w:r>
          </w:p>
        </w:tc>
        <w:tc>
          <w:tcPr>
            <w:tcW w:w="1017" w:type="dxa"/>
            <w:tcBorders>
              <w:left w:val="nil"/>
              <w:bottom w:val="single" w:sz="4" w:space="0" w:color="auto"/>
              <w:right w:val="nil"/>
            </w:tcBorders>
            <w:shd w:val="clear" w:color="auto" w:fill="DFE0DC"/>
            <w:vAlign w:val="center"/>
          </w:tcPr>
          <w:p w:rsidR="009F0A92" w:rsidRDefault="009F0A92" w:rsidP="009543DB">
            <w:pPr>
              <w:pStyle w:val="Tabletextleft-centred"/>
            </w:pPr>
            <w:r>
              <w:t>1-year change</w:t>
            </w:r>
          </w:p>
        </w:tc>
        <w:tc>
          <w:tcPr>
            <w:tcW w:w="1018" w:type="dxa"/>
            <w:tcBorders>
              <w:left w:val="nil"/>
              <w:bottom w:val="single" w:sz="4" w:space="0" w:color="auto"/>
              <w:right w:val="nil"/>
            </w:tcBorders>
            <w:shd w:val="clear" w:color="auto" w:fill="DFE0DC"/>
            <w:vAlign w:val="center"/>
          </w:tcPr>
          <w:p w:rsidR="009F0A92" w:rsidRDefault="009F0A92" w:rsidP="009543DB">
            <w:pPr>
              <w:pStyle w:val="Tabletextleft-centred"/>
            </w:pPr>
            <w:r>
              <w:t>Change since 2010-11</w:t>
            </w:r>
          </w:p>
        </w:tc>
      </w:tr>
      <w:tr w:rsidR="009F0A92" w:rsidTr="009543DB">
        <w:tc>
          <w:tcPr>
            <w:tcW w:w="1732" w:type="dxa"/>
            <w:vMerge w:val="restart"/>
            <w:tcBorders>
              <w:left w:val="nil"/>
              <w:right w:val="nil"/>
            </w:tcBorders>
          </w:tcPr>
          <w:p w:rsidR="009F0A92" w:rsidRDefault="009F0A92" w:rsidP="009543DB">
            <w:pPr>
              <w:pStyle w:val="Tabletextheading"/>
            </w:pPr>
            <w:r>
              <w:t>Runway</w:t>
            </w:r>
          </w:p>
        </w:tc>
        <w:tc>
          <w:tcPr>
            <w:tcW w:w="3054" w:type="dxa"/>
            <w:tcBorders>
              <w:left w:val="nil"/>
              <w:bottom w:val="nil"/>
              <w:right w:val="nil"/>
            </w:tcBorders>
          </w:tcPr>
          <w:p w:rsidR="009F0A92" w:rsidRDefault="009F0A92" w:rsidP="009543DB">
            <w:pPr>
              <w:pStyle w:val="Tabletextleft"/>
            </w:pPr>
            <w:r>
              <w:t>Availability</w:t>
            </w:r>
          </w:p>
        </w:tc>
        <w:tc>
          <w:tcPr>
            <w:tcW w:w="1843" w:type="dxa"/>
            <w:tcBorders>
              <w:left w:val="nil"/>
              <w:bottom w:val="nil"/>
              <w:right w:val="nil"/>
            </w:tcBorders>
          </w:tcPr>
          <w:p w:rsidR="009F0A92" w:rsidRDefault="009F0A92" w:rsidP="009543DB">
            <w:pPr>
              <w:pStyle w:val="Tabletextleft"/>
            </w:pPr>
            <w:r>
              <w:t>Satisfactory</w:t>
            </w:r>
          </w:p>
        </w:tc>
        <w:tc>
          <w:tcPr>
            <w:tcW w:w="1017" w:type="dxa"/>
            <w:tcBorders>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left w:val="nil"/>
              <w:bottom w:val="nil"/>
              <w:right w:val="nil"/>
            </w:tcBorders>
          </w:tcPr>
          <w:p w:rsidR="009F0A92" w:rsidRDefault="009F0A92" w:rsidP="009543DB">
            <w:pPr>
              <w:pStyle w:val="Tabletextleft"/>
            </w:pPr>
            <w:r>
              <w:rPr>
                <w:rFonts w:eastAsia="Times New Roman" w:cs="Times New Roman"/>
                <w:color w:val="F79646"/>
                <w:szCs w:val="24"/>
                <w:lang w:eastAsia="en-AU"/>
              </w:rPr>
              <w:t>▼</w:t>
            </w:r>
            <w:r w:rsidRPr="005B7733">
              <w:rPr>
                <w:color w:val="000000" w:themeColor="text1"/>
                <w:lang w:eastAsia="en-AU"/>
              </w:rPr>
              <w:t>*</w:t>
            </w:r>
          </w:p>
        </w:tc>
      </w:tr>
      <w:tr w:rsidR="009F0A92" w:rsidTr="009543DB">
        <w:tc>
          <w:tcPr>
            <w:tcW w:w="1732" w:type="dxa"/>
            <w:vMerge/>
            <w:tcBorders>
              <w:left w:val="nil"/>
              <w:right w:val="nil"/>
            </w:tcBorders>
          </w:tcPr>
          <w:p w:rsidR="009F0A92" w:rsidRDefault="009F0A92" w:rsidP="009543DB">
            <w:pPr>
              <w:pStyle w:val="Tabletextheading"/>
            </w:pPr>
          </w:p>
        </w:tc>
        <w:tc>
          <w:tcPr>
            <w:tcW w:w="3054" w:type="dxa"/>
            <w:tcBorders>
              <w:top w:val="nil"/>
              <w:left w:val="nil"/>
              <w:bottom w:val="single" w:sz="4" w:space="0" w:color="auto"/>
              <w:right w:val="nil"/>
            </w:tcBorders>
          </w:tcPr>
          <w:p w:rsidR="009F0A92" w:rsidRDefault="009F0A92" w:rsidP="009543DB">
            <w:pPr>
              <w:pStyle w:val="Tabletextleft"/>
            </w:pPr>
            <w:r>
              <w:t>Standard</w:t>
            </w:r>
          </w:p>
        </w:tc>
        <w:tc>
          <w:tcPr>
            <w:tcW w:w="1843" w:type="dxa"/>
            <w:tcBorders>
              <w:top w:val="nil"/>
              <w:left w:val="nil"/>
              <w:bottom w:val="single" w:sz="4" w:space="0" w:color="auto"/>
              <w:right w:val="nil"/>
            </w:tcBorders>
          </w:tcPr>
          <w:p w:rsidR="009F0A92" w:rsidRDefault="009F0A92" w:rsidP="009543DB">
            <w:pPr>
              <w:pStyle w:val="Tabletextleft"/>
            </w:pPr>
            <w:r>
              <w:t>Good</w:t>
            </w:r>
          </w:p>
        </w:tc>
        <w:tc>
          <w:tcPr>
            <w:tcW w:w="1017"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top w:val="nil"/>
              <w:left w:val="nil"/>
              <w:bottom w:val="single" w:sz="4" w:space="0" w:color="auto"/>
              <w:right w:val="nil"/>
            </w:tcBorders>
          </w:tcPr>
          <w:p w:rsidR="009F0A92" w:rsidRDefault="009F0A92" w:rsidP="009543DB">
            <w:pPr>
              <w:pStyle w:val="Tabletextleft"/>
            </w:pPr>
            <w:r>
              <w:rPr>
                <w:rFonts w:eastAsia="Times New Roman" w:cs="Times New Roman"/>
                <w:color w:val="F79646"/>
                <w:szCs w:val="24"/>
                <w:lang w:eastAsia="en-AU"/>
              </w:rPr>
              <w:t>▼</w:t>
            </w:r>
          </w:p>
        </w:tc>
      </w:tr>
      <w:tr w:rsidR="009F0A92" w:rsidTr="009543DB">
        <w:tc>
          <w:tcPr>
            <w:tcW w:w="1732" w:type="dxa"/>
            <w:vMerge w:val="restart"/>
            <w:tcBorders>
              <w:left w:val="nil"/>
              <w:right w:val="nil"/>
            </w:tcBorders>
          </w:tcPr>
          <w:p w:rsidR="009F0A92" w:rsidRDefault="009F0A92" w:rsidP="009543DB">
            <w:pPr>
              <w:pStyle w:val="Tabletextheading"/>
            </w:pPr>
            <w:r>
              <w:t>Taxiways</w:t>
            </w:r>
          </w:p>
        </w:tc>
        <w:tc>
          <w:tcPr>
            <w:tcW w:w="3054" w:type="dxa"/>
            <w:tcBorders>
              <w:left w:val="nil"/>
              <w:bottom w:val="nil"/>
              <w:right w:val="nil"/>
            </w:tcBorders>
          </w:tcPr>
          <w:p w:rsidR="009F0A92" w:rsidRDefault="009F0A92" w:rsidP="009543DB">
            <w:pPr>
              <w:pStyle w:val="Tabletextleft"/>
            </w:pPr>
            <w:r>
              <w:t>Availability</w:t>
            </w:r>
          </w:p>
        </w:tc>
        <w:tc>
          <w:tcPr>
            <w:tcW w:w="1843" w:type="dxa"/>
            <w:tcBorders>
              <w:left w:val="nil"/>
              <w:bottom w:val="nil"/>
              <w:right w:val="nil"/>
            </w:tcBorders>
          </w:tcPr>
          <w:p w:rsidR="009F0A92" w:rsidRDefault="009F0A92" w:rsidP="009543DB">
            <w:pPr>
              <w:pStyle w:val="Tabletextleft"/>
            </w:pPr>
            <w:r>
              <w:t>Good</w:t>
            </w:r>
          </w:p>
        </w:tc>
        <w:tc>
          <w:tcPr>
            <w:tcW w:w="1017" w:type="dxa"/>
            <w:tcBorders>
              <w:left w:val="nil"/>
              <w:bottom w:val="nil"/>
              <w:right w:val="nil"/>
            </w:tcBorders>
          </w:tcPr>
          <w:p w:rsidR="009F0A92" w:rsidRDefault="009F0A92" w:rsidP="009543DB">
            <w:pPr>
              <w:pStyle w:val="Tabletextleft"/>
            </w:pPr>
            <w:r>
              <w:rPr>
                <w:rFonts w:cs="Arial"/>
                <w:color w:val="4BACC6"/>
              </w:rPr>
              <w:t>▬</w:t>
            </w:r>
          </w:p>
        </w:tc>
        <w:tc>
          <w:tcPr>
            <w:tcW w:w="1018" w:type="dxa"/>
            <w:tcBorders>
              <w:left w:val="nil"/>
              <w:bottom w:val="nil"/>
              <w:right w:val="nil"/>
            </w:tcBorders>
          </w:tcPr>
          <w:p w:rsidR="009F0A92" w:rsidRPr="002D611F" w:rsidRDefault="009F0A92" w:rsidP="009543DB">
            <w:pPr>
              <w:pStyle w:val="Tabletextleft"/>
            </w:pPr>
            <w:r>
              <w:rPr>
                <w:rFonts w:cs="Arial"/>
                <w:color w:val="4BACC6"/>
              </w:rPr>
              <w:t>▬</w:t>
            </w:r>
          </w:p>
        </w:tc>
      </w:tr>
      <w:tr w:rsidR="009F0A92" w:rsidTr="009543DB">
        <w:tc>
          <w:tcPr>
            <w:tcW w:w="1732" w:type="dxa"/>
            <w:vMerge/>
            <w:tcBorders>
              <w:left w:val="nil"/>
              <w:right w:val="nil"/>
            </w:tcBorders>
          </w:tcPr>
          <w:p w:rsidR="009F0A92" w:rsidRDefault="009F0A92" w:rsidP="009543DB">
            <w:pPr>
              <w:pStyle w:val="Tabletextheading"/>
            </w:pPr>
          </w:p>
        </w:tc>
        <w:tc>
          <w:tcPr>
            <w:tcW w:w="3054" w:type="dxa"/>
            <w:tcBorders>
              <w:top w:val="nil"/>
              <w:left w:val="nil"/>
              <w:bottom w:val="single" w:sz="4" w:space="0" w:color="auto"/>
              <w:right w:val="nil"/>
            </w:tcBorders>
          </w:tcPr>
          <w:p w:rsidR="009F0A92" w:rsidRDefault="009F0A92" w:rsidP="009543DB">
            <w:pPr>
              <w:pStyle w:val="Tabletextleft"/>
            </w:pPr>
            <w:r>
              <w:t>Standard</w:t>
            </w:r>
          </w:p>
        </w:tc>
        <w:tc>
          <w:tcPr>
            <w:tcW w:w="1843" w:type="dxa"/>
            <w:tcBorders>
              <w:top w:val="nil"/>
              <w:left w:val="nil"/>
              <w:bottom w:val="single" w:sz="4" w:space="0" w:color="auto"/>
              <w:right w:val="nil"/>
            </w:tcBorders>
          </w:tcPr>
          <w:p w:rsidR="009F0A92" w:rsidRDefault="009F0A92" w:rsidP="009543DB">
            <w:pPr>
              <w:pStyle w:val="Tabletextleft"/>
            </w:pPr>
            <w:r>
              <w:t>Good</w:t>
            </w:r>
          </w:p>
        </w:tc>
        <w:tc>
          <w:tcPr>
            <w:tcW w:w="1017" w:type="dxa"/>
            <w:tcBorders>
              <w:top w:val="nil"/>
              <w:left w:val="nil"/>
              <w:bottom w:val="single" w:sz="4" w:space="0" w:color="auto"/>
              <w:right w:val="nil"/>
            </w:tcBorders>
          </w:tcPr>
          <w:p w:rsidR="009F0A92" w:rsidRPr="002D611F" w:rsidRDefault="009F0A92" w:rsidP="009543DB">
            <w:pPr>
              <w:pStyle w:val="Tabletextleft"/>
            </w:pPr>
            <w:r w:rsidRPr="00F617F8">
              <w:rPr>
                <w:rFonts w:eastAsia="Times New Roman" w:cs="Times New Roman"/>
                <w:color w:val="943634"/>
                <w:szCs w:val="24"/>
                <w:lang w:eastAsia="en-AU"/>
              </w:rPr>
              <w:t>▲</w:t>
            </w:r>
          </w:p>
        </w:tc>
        <w:tc>
          <w:tcPr>
            <w:tcW w:w="1018"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r>
      <w:tr w:rsidR="009F0A92" w:rsidTr="009543DB">
        <w:tc>
          <w:tcPr>
            <w:tcW w:w="1732" w:type="dxa"/>
            <w:vMerge w:val="restart"/>
            <w:tcBorders>
              <w:left w:val="nil"/>
              <w:right w:val="nil"/>
            </w:tcBorders>
          </w:tcPr>
          <w:p w:rsidR="009F0A92" w:rsidRDefault="009F0A92" w:rsidP="009543DB">
            <w:pPr>
              <w:pStyle w:val="Tabletextheading"/>
            </w:pPr>
            <w:r>
              <w:t>Aprons</w:t>
            </w:r>
          </w:p>
        </w:tc>
        <w:tc>
          <w:tcPr>
            <w:tcW w:w="3054" w:type="dxa"/>
            <w:tcBorders>
              <w:left w:val="nil"/>
              <w:bottom w:val="nil"/>
              <w:right w:val="nil"/>
            </w:tcBorders>
          </w:tcPr>
          <w:p w:rsidR="009F0A92" w:rsidRDefault="009F0A92" w:rsidP="009543DB">
            <w:pPr>
              <w:pStyle w:val="Tabletextleft"/>
            </w:pPr>
            <w:r>
              <w:t>Availability</w:t>
            </w:r>
          </w:p>
        </w:tc>
        <w:tc>
          <w:tcPr>
            <w:tcW w:w="1843" w:type="dxa"/>
            <w:tcBorders>
              <w:left w:val="nil"/>
              <w:bottom w:val="nil"/>
              <w:right w:val="nil"/>
            </w:tcBorders>
          </w:tcPr>
          <w:p w:rsidR="009F0A92" w:rsidRDefault="009F0A92" w:rsidP="009543DB">
            <w:pPr>
              <w:pStyle w:val="Tabletextleft"/>
            </w:pPr>
            <w:r>
              <w:t>Good</w:t>
            </w:r>
          </w:p>
        </w:tc>
        <w:tc>
          <w:tcPr>
            <w:tcW w:w="1017" w:type="dxa"/>
            <w:tcBorders>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r>
      <w:tr w:rsidR="009F0A92" w:rsidTr="009543DB">
        <w:tc>
          <w:tcPr>
            <w:tcW w:w="1732" w:type="dxa"/>
            <w:vMerge/>
            <w:tcBorders>
              <w:left w:val="nil"/>
              <w:right w:val="nil"/>
            </w:tcBorders>
          </w:tcPr>
          <w:p w:rsidR="009F0A92" w:rsidRDefault="009F0A92" w:rsidP="009543DB">
            <w:pPr>
              <w:pStyle w:val="Tabletextheading"/>
            </w:pPr>
          </w:p>
        </w:tc>
        <w:tc>
          <w:tcPr>
            <w:tcW w:w="3054" w:type="dxa"/>
            <w:tcBorders>
              <w:top w:val="nil"/>
              <w:left w:val="nil"/>
              <w:bottom w:val="single" w:sz="4" w:space="0" w:color="auto"/>
              <w:right w:val="nil"/>
            </w:tcBorders>
          </w:tcPr>
          <w:p w:rsidR="009F0A92" w:rsidRDefault="009F0A92" w:rsidP="009543DB">
            <w:pPr>
              <w:pStyle w:val="Tabletextleft"/>
            </w:pPr>
            <w:r>
              <w:t>Standard</w:t>
            </w:r>
          </w:p>
        </w:tc>
        <w:tc>
          <w:tcPr>
            <w:tcW w:w="1843" w:type="dxa"/>
            <w:tcBorders>
              <w:top w:val="nil"/>
              <w:left w:val="nil"/>
              <w:bottom w:val="single" w:sz="4" w:space="0" w:color="auto"/>
              <w:right w:val="nil"/>
            </w:tcBorders>
          </w:tcPr>
          <w:p w:rsidR="009F0A92" w:rsidRDefault="009F0A92" w:rsidP="009543DB">
            <w:pPr>
              <w:pStyle w:val="Tabletextleft"/>
            </w:pPr>
            <w:r>
              <w:t>Good</w:t>
            </w:r>
          </w:p>
        </w:tc>
        <w:tc>
          <w:tcPr>
            <w:tcW w:w="1017"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r>
      <w:tr w:rsidR="009F0A92" w:rsidTr="009543DB">
        <w:tc>
          <w:tcPr>
            <w:tcW w:w="1732" w:type="dxa"/>
            <w:vMerge w:val="restart"/>
            <w:tcBorders>
              <w:left w:val="nil"/>
              <w:right w:val="nil"/>
            </w:tcBorders>
          </w:tcPr>
          <w:p w:rsidR="009F0A92" w:rsidRDefault="009F0A92" w:rsidP="009543DB">
            <w:pPr>
              <w:pStyle w:val="Tabletextheading"/>
            </w:pPr>
            <w:r>
              <w:t>Aircraft parking</w:t>
            </w:r>
          </w:p>
        </w:tc>
        <w:tc>
          <w:tcPr>
            <w:tcW w:w="3054" w:type="dxa"/>
            <w:tcBorders>
              <w:left w:val="nil"/>
              <w:bottom w:val="nil"/>
              <w:right w:val="nil"/>
            </w:tcBorders>
          </w:tcPr>
          <w:p w:rsidR="009F0A92" w:rsidRDefault="009F0A92" w:rsidP="009543DB">
            <w:pPr>
              <w:pStyle w:val="Tabletextleft"/>
            </w:pPr>
            <w:r>
              <w:t>Availability of facilities and bays</w:t>
            </w:r>
          </w:p>
        </w:tc>
        <w:tc>
          <w:tcPr>
            <w:tcW w:w="1843" w:type="dxa"/>
            <w:tcBorders>
              <w:left w:val="nil"/>
              <w:bottom w:val="nil"/>
              <w:right w:val="nil"/>
            </w:tcBorders>
          </w:tcPr>
          <w:p w:rsidR="009F0A92" w:rsidRDefault="009F0A92" w:rsidP="009543DB">
            <w:pPr>
              <w:pStyle w:val="Tabletextleft"/>
            </w:pPr>
            <w:r>
              <w:t>Satisfactory</w:t>
            </w:r>
          </w:p>
        </w:tc>
        <w:tc>
          <w:tcPr>
            <w:tcW w:w="1017" w:type="dxa"/>
            <w:tcBorders>
              <w:left w:val="nil"/>
              <w:bottom w:val="nil"/>
              <w:right w:val="nil"/>
            </w:tcBorders>
          </w:tcPr>
          <w:p w:rsidR="009F0A92" w:rsidRDefault="009F0A92" w:rsidP="009543DB">
            <w:pPr>
              <w:pStyle w:val="Tabletextleft"/>
            </w:pPr>
            <w:r>
              <w:rPr>
                <w:rFonts w:eastAsia="Times New Roman" w:cs="Times New Roman"/>
                <w:color w:val="F79646"/>
                <w:szCs w:val="24"/>
                <w:lang w:eastAsia="en-AU"/>
              </w:rPr>
              <w:t>▼</w:t>
            </w:r>
            <w:r w:rsidRPr="00FF25CA">
              <w:rPr>
                <w:color w:val="000000" w:themeColor="text1"/>
                <w:lang w:eastAsia="en-AU"/>
              </w:rPr>
              <w:t>*</w:t>
            </w:r>
          </w:p>
        </w:tc>
        <w:tc>
          <w:tcPr>
            <w:tcW w:w="1018" w:type="dxa"/>
            <w:tcBorders>
              <w:left w:val="nil"/>
              <w:bottom w:val="nil"/>
              <w:right w:val="nil"/>
            </w:tcBorders>
          </w:tcPr>
          <w:p w:rsidR="009F0A92" w:rsidRDefault="009F0A92" w:rsidP="009543DB">
            <w:pPr>
              <w:pStyle w:val="Tabletextleft"/>
            </w:pPr>
            <w:r>
              <w:rPr>
                <w:rFonts w:eastAsia="Times New Roman" w:cs="Times New Roman"/>
                <w:color w:val="F79646"/>
                <w:szCs w:val="24"/>
                <w:lang w:eastAsia="en-AU"/>
              </w:rPr>
              <w:t>▼</w:t>
            </w:r>
            <w:r w:rsidRPr="005B7733">
              <w:rPr>
                <w:color w:val="000000" w:themeColor="text1"/>
                <w:lang w:eastAsia="en-AU"/>
              </w:rPr>
              <w:t>*</w:t>
            </w:r>
          </w:p>
        </w:tc>
      </w:tr>
      <w:tr w:rsidR="009F0A92" w:rsidTr="009543DB">
        <w:tc>
          <w:tcPr>
            <w:tcW w:w="1732" w:type="dxa"/>
            <w:vMerge/>
            <w:tcBorders>
              <w:left w:val="nil"/>
              <w:right w:val="nil"/>
            </w:tcBorders>
          </w:tcPr>
          <w:p w:rsidR="009F0A92" w:rsidRDefault="009F0A92" w:rsidP="009543DB">
            <w:pPr>
              <w:pStyle w:val="Tabletextheading"/>
            </w:pPr>
          </w:p>
        </w:tc>
        <w:tc>
          <w:tcPr>
            <w:tcW w:w="3054" w:type="dxa"/>
            <w:tcBorders>
              <w:top w:val="nil"/>
              <w:left w:val="nil"/>
              <w:bottom w:val="single" w:sz="4" w:space="0" w:color="auto"/>
              <w:right w:val="nil"/>
            </w:tcBorders>
          </w:tcPr>
          <w:p w:rsidR="009F0A92" w:rsidRDefault="009F0A92" w:rsidP="009543DB">
            <w:pPr>
              <w:pStyle w:val="Tabletextleft"/>
            </w:pPr>
            <w:r>
              <w:t>Standard of facilities and bays</w:t>
            </w:r>
          </w:p>
        </w:tc>
        <w:tc>
          <w:tcPr>
            <w:tcW w:w="1843" w:type="dxa"/>
            <w:tcBorders>
              <w:top w:val="nil"/>
              <w:left w:val="nil"/>
              <w:bottom w:val="single" w:sz="4" w:space="0" w:color="auto"/>
              <w:right w:val="nil"/>
            </w:tcBorders>
          </w:tcPr>
          <w:p w:rsidR="009F0A92" w:rsidRDefault="009F0A92" w:rsidP="009543DB">
            <w:pPr>
              <w:pStyle w:val="Tabletextleft"/>
            </w:pPr>
            <w:r>
              <w:t>Good</w:t>
            </w:r>
          </w:p>
        </w:tc>
        <w:tc>
          <w:tcPr>
            <w:tcW w:w="1017"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top w:val="nil"/>
              <w:left w:val="nil"/>
              <w:bottom w:val="single" w:sz="4" w:space="0" w:color="auto"/>
              <w:right w:val="nil"/>
            </w:tcBorders>
          </w:tcPr>
          <w:p w:rsidR="009F0A92" w:rsidRDefault="009F0A92" w:rsidP="009543DB">
            <w:pPr>
              <w:pStyle w:val="Tabletextleft"/>
            </w:pPr>
            <w:r>
              <w:rPr>
                <w:rFonts w:eastAsia="Times New Roman" w:cs="Times New Roman"/>
                <w:color w:val="F79646"/>
                <w:szCs w:val="24"/>
                <w:lang w:eastAsia="en-AU"/>
              </w:rPr>
              <w:t>▼</w:t>
            </w:r>
          </w:p>
        </w:tc>
      </w:tr>
      <w:tr w:rsidR="009F0A92" w:rsidTr="009543DB">
        <w:tc>
          <w:tcPr>
            <w:tcW w:w="1732" w:type="dxa"/>
            <w:vMerge w:val="restart"/>
            <w:tcBorders>
              <w:left w:val="nil"/>
              <w:right w:val="nil"/>
            </w:tcBorders>
          </w:tcPr>
          <w:p w:rsidR="009F0A92" w:rsidRDefault="009F0A92" w:rsidP="009543DB">
            <w:pPr>
              <w:pStyle w:val="Tabletextheading"/>
            </w:pPr>
            <w:r>
              <w:t>Ground handling</w:t>
            </w:r>
          </w:p>
        </w:tc>
        <w:tc>
          <w:tcPr>
            <w:tcW w:w="3054" w:type="dxa"/>
            <w:tcBorders>
              <w:left w:val="nil"/>
              <w:bottom w:val="nil"/>
              <w:right w:val="nil"/>
            </w:tcBorders>
          </w:tcPr>
          <w:p w:rsidR="009F0A92" w:rsidRDefault="009F0A92" w:rsidP="009543DB">
            <w:pPr>
              <w:pStyle w:val="Tabletextleft"/>
            </w:pPr>
            <w:r>
              <w:t>Availability of services and facilities</w:t>
            </w:r>
          </w:p>
        </w:tc>
        <w:tc>
          <w:tcPr>
            <w:tcW w:w="1843" w:type="dxa"/>
            <w:tcBorders>
              <w:left w:val="nil"/>
              <w:bottom w:val="nil"/>
              <w:right w:val="nil"/>
            </w:tcBorders>
          </w:tcPr>
          <w:p w:rsidR="009F0A92" w:rsidRDefault="009F0A92" w:rsidP="009543DB">
            <w:pPr>
              <w:pStyle w:val="Tabletextleft"/>
            </w:pPr>
            <w:r>
              <w:t>Good</w:t>
            </w:r>
          </w:p>
        </w:tc>
        <w:tc>
          <w:tcPr>
            <w:tcW w:w="1017" w:type="dxa"/>
            <w:tcBorders>
              <w:left w:val="nil"/>
              <w:bottom w:val="nil"/>
              <w:right w:val="nil"/>
            </w:tcBorders>
          </w:tcPr>
          <w:p w:rsidR="009F0A92" w:rsidRDefault="009F0A92" w:rsidP="009543DB">
            <w:pPr>
              <w:pStyle w:val="Tabletextleft"/>
            </w:pPr>
            <w:r>
              <w:rPr>
                <w:rFonts w:eastAsia="Times New Roman" w:cs="Times New Roman"/>
                <w:color w:val="F79646"/>
                <w:szCs w:val="24"/>
                <w:lang w:eastAsia="en-AU"/>
              </w:rPr>
              <w:t>▼</w:t>
            </w:r>
          </w:p>
        </w:tc>
        <w:tc>
          <w:tcPr>
            <w:tcW w:w="1018" w:type="dxa"/>
            <w:tcBorders>
              <w:left w:val="nil"/>
              <w:bottom w:val="nil"/>
              <w:right w:val="nil"/>
            </w:tcBorders>
          </w:tcPr>
          <w:p w:rsidR="009F0A92" w:rsidRDefault="009F0A92" w:rsidP="009543DB">
            <w:pPr>
              <w:pStyle w:val="Tabletextleft"/>
            </w:pPr>
            <w:r>
              <w:rPr>
                <w:rFonts w:eastAsia="Times New Roman" w:cs="Times New Roman"/>
                <w:color w:val="F79646"/>
                <w:szCs w:val="24"/>
                <w:lang w:eastAsia="en-AU"/>
              </w:rPr>
              <w:t>▼</w:t>
            </w:r>
          </w:p>
        </w:tc>
      </w:tr>
      <w:tr w:rsidR="009F0A92" w:rsidTr="009543DB">
        <w:tc>
          <w:tcPr>
            <w:tcW w:w="1732" w:type="dxa"/>
            <w:vMerge/>
            <w:tcBorders>
              <w:left w:val="nil"/>
              <w:right w:val="nil"/>
            </w:tcBorders>
          </w:tcPr>
          <w:p w:rsidR="009F0A92" w:rsidRDefault="009F0A92" w:rsidP="009543DB">
            <w:pPr>
              <w:pStyle w:val="Tabletextheading"/>
            </w:pPr>
          </w:p>
        </w:tc>
        <w:tc>
          <w:tcPr>
            <w:tcW w:w="3054" w:type="dxa"/>
            <w:tcBorders>
              <w:top w:val="nil"/>
              <w:left w:val="nil"/>
              <w:bottom w:val="single" w:sz="4" w:space="0" w:color="auto"/>
              <w:right w:val="nil"/>
            </w:tcBorders>
          </w:tcPr>
          <w:p w:rsidR="009F0A92" w:rsidRDefault="009F0A92" w:rsidP="009543DB">
            <w:pPr>
              <w:pStyle w:val="Tabletextleft"/>
            </w:pPr>
            <w:r>
              <w:t>Standard of services and facilities</w:t>
            </w:r>
          </w:p>
        </w:tc>
        <w:tc>
          <w:tcPr>
            <w:tcW w:w="1843" w:type="dxa"/>
            <w:tcBorders>
              <w:top w:val="nil"/>
              <w:left w:val="nil"/>
              <w:bottom w:val="single" w:sz="4" w:space="0" w:color="auto"/>
              <w:right w:val="nil"/>
            </w:tcBorders>
          </w:tcPr>
          <w:p w:rsidR="009F0A92" w:rsidRDefault="009F0A92" w:rsidP="009543DB">
            <w:pPr>
              <w:pStyle w:val="Tabletextleft"/>
            </w:pPr>
            <w:r>
              <w:t>Good</w:t>
            </w:r>
          </w:p>
        </w:tc>
        <w:tc>
          <w:tcPr>
            <w:tcW w:w="1017" w:type="dxa"/>
            <w:tcBorders>
              <w:top w:val="nil"/>
              <w:left w:val="nil"/>
              <w:bottom w:val="single" w:sz="4" w:space="0" w:color="auto"/>
              <w:right w:val="nil"/>
            </w:tcBorders>
          </w:tcPr>
          <w:p w:rsidR="009F0A92" w:rsidRDefault="009F0A92" w:rsidP="009543DB">
            <w:pPr>
              <w:pStyle w:val="Tabletextleft"/>
            </w:pPr>
            <w:r>
              <w:rPr>
                <w:rFonts w:eastAsia="Times New Roman" w:cs="Times New Roman"/>
                <w:color w:val="F79646"/>
                <w:szCs w:val="24"/>
                <w:lang w:eastAsia="en-AU"/>
              </w:rPr>
              <w:t>▼</w:t>
            </w:r>
          </w:p>
        </w:tc>
        <w:tc>
          <w:tcPr>
            <w:tcW w:w="1018" w:type="dxa"/>
            <w:tcBorders>
              <w:top w:val="nil"/>
              <w:left w:val="nil"/>
              <w:bottom w:val="single" w:sz="4" w:space="0" w:color="auto"/>
              <w:right w:val="nil"/>
            </w:tcBorders>
          </w:tcPr>
          <w:p w:rsidR="009F0A92" w:rsidRDefault="009F0A92" w:rsidP="009543DB">
            <w:pPr>
              <w:pStyle w:val="Tabletextleft"/>
            </w:pPr>
            <w:r>
              <w:rPr>
                <w:rFonts w:eastAsia="Times New Roman" w:cs="Times New Roman"/>
                <w:color w:val="F79646"/>
                <w:szCs w:val="24"/>
                <w:lang w:eastAsia="en-AU"/>
              </w:rPr>
              <w:t>▼</w:t>
            </w:r>
          </w:p>
        </w:tc>
      </w:tr>
      <w:tr w:rsidR="009F0A92" w:rsidTr="009543DB">
        <w:tc>
          <w:tcPr>
            <w:tcW w:w="1732" w:type="dxa"/>
            <w:vMerge w:val="restart"/>
            <w:tcBorders>
              <w:left w:val="nil"/>
              <w:right w:val="nil"/>
            </w:tcBorders>
          </w:tcPr>
          <w:p w:rsidR="009F0A92" w:rsidRDefault="009F0A92" w:rsidP="009543DB">
            <w:pPr>
              <w:pStyle w:val="Tabletextheading"/>
            </w:pPr>
            <w:r>
              <w:t>Management responsiveness</w:t>
            </w:r>
          </w:p>
        </w:tc>
        <w:tc>
          <w:tcPr>
            <w:tcW w:w="3054" w:type="dxa"/>
            <w:tcBorders>
              <w:left w:val="nil"/>
              <w:bottom w:val="nil"/>
              <w:right w:val="nil"/>
            </w:tcBorders>
          </w:tcPr>
          <w:p w:rsidR="009F0A92" w:rsidRDefault="009F0A92" w:rsidP="009543DB">
            <w:pPr>
              <w:pStyle w:val="Tabletextleft"/>
            </w:pPr>
            <w:r>
              <w:t>Availability</w:t>
            </w:r>
          </w:p>
        </w:tc>
        <w:tc>
          <w:tcPr>
            <w:tcW w:w="1843" w:type="dxa"/>
            <w:tcBorders>
              <w:left w:val="nil"/>
              <w:bottom w:val="nil"/>
              <w:right w:val="nil"/>
            </w:tcBorders>
          </w:tcPr>
          <w:p w:rsidR="009F0A92" w:rsidRDefault="009F0A92" w:rsidP="009543DB">
            <w:pPr>
              <w:pStyle w:val="Tabletextleft"/>
            </w:pPr>
            <w:r>
              <w:t>Good</w:t>
            </w:r>
          </w:p>
        </w:tc>
        <w:tc>
          <w:tcPr>
            <w:tcW w:w="1017" w:type="dxa"/>
            <w:tcBorders>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left w:val="nil"/>
              <w:bottom w:val="nil"/>
              <w:right w:val="nil"/>
            </w:tcBorders>
          </w:tcPr>
          <w:p w:rsidR="009F0A92" w:rsidRDefault="009F0A92" w:rsidP="009543DB">
            <w:pPr>
              <w:pStyle w:val="Tabletextleft"/>
            </w:pPr>
            <w:r>
              <w:rPr>
                <w:rFonts w:eastAsia="Times New Roman" w:cs="Times New Roman"/>
                <w:color w:val="F79646"/>
                <w:szCs w:val="24"/>
                <w:lang w:eastAsia="en-AU"/>
              </w:rPr>
              <w:t>▼</w:t>
            </w:r>
          </w:p>
        </w:tc>
      </w:tr>
      <w:tr w:rsidR="009F0A92" w:rsidTr="009543DB">
        <w:tc>
          <w:tcPr>
            <w:tcW w:w="1732" w:type="dxa"/>
            <w:vMerge/>
            <w:tcBorders>
              <w:left w:val="nil"/>
              <w:right w:val="nil"/>
            </w:tcBorders>
          </w:tcPr>
          <w:p w:rsidR="009F0A92" w:rsidRDefault="009F0A92" w:rsidP="009543DB">
            <w:pPr>
              <w:pStyle w:val="Tabletextheading"/>
            </w:pPr>
          </w:p>
        </w:tc>
        <w:tc>
          <w:tcPr>
            <w:tcW w:w="3054" w:type="dxa"/>
            <w:tcBorders>
              <w:top w:val="nil"/>
              <w:left w:val="nil"/>
              <w:right w:val="nil"/>
            </w:tcBorders>
          </w:tcPr>
          <w:p w:rsidR="009F0A92" w:rsidRDefault="009F0A92" w:rsidP="009543DB">
            <w:pPr>
              <w:pStyle w:val="Tabletextleft"/>
            </w:pPr>
            <w:r>
              <w:t>Standard</w:t>
            </w:r>
          </w:p>
        </w:tc>
        <w:tc>
          <w:tcPr>
            <w:tcW w:w="1843" w:type="dxa"/>
            <w:tcBorders>
              <w:top w:val="nil"/>
              <w:left w:val="nil"/>
              <w:right w:val="nil"/>
            </w:tcBorders>
          </w:tcPr>
          <w:p w:rsidR="009F0A92" w:rsidRDefault="009F0A92" w:rsidP="009543DB">
            <w:pPr>
              <w:pStyle w:val="Tabletextleft"/>
            </w:pPr>
            <w:r>
              <w:t>Good</w:t>
            </w:r>
          </w:p>
        </w:tc>
        <w:tc>
          <w:tcPr>
            <w:tcW w:w="1017" w:type="dxa"/>
            <w:tcBorders>
              <w:top w:val="nil"/>
              <w:left w:val="nil"/>
              <w:right w:val="nil"/>
            </w:tcBorders>
          </w:tcPr>
          <w:p w:rsidR="009F0A92" w:rsidRDefault="009F0A92" w:rsidP="009543DB">
            <w:pPr>
              <w:pStyle w:val="Tabletextleft"/>
            </w:pPr>
            <w:r w:rsidRPr="00F617F8">
              <w:rPr>
                <w:rFonts w:eastAsia="Times New Roman" w:cs="Times New Roman"/>
                <w:color w:val="943634"/>
                <w:szCs w:val="24"/>
                <w:lang w:eastAsia="en-AU"/>
              </w:rPr>
              <w:t>▲</w:t>
            </w:r>
            <w:r w:rsidRPr="00AF1D15">
              <w:rPr>
                <w:color w:val="000000" w:themeColor="text1"/>
                <w:lang w:eastAsia="en-AU"/>
              </w:rPr>
              <w:t>*</w:t>
            </w:r>
          </w:p>
        </w:tc>
        <w:tc>
          <w:tcPr>
            <w:tcW w:w="1018" w:type="dxa"/>
            <w:tcBorders>
              <w:top w:val="nil"/>
              <w:left w:val="nil"/>
              <w:right w:val="nil"/>
            </w:tcBorders>
          </w:tcPr>
          <w:p w:rsidR="009F0A92" w:rsidRDefault="009F0A92" w:rsidP="009543DB">
            <w:pPr>
              <w:pStyle w:val="Tabletextleft"/>
            </w:pPr>
            <w:r>
              <w:rPr>
                <w:rFonts w:eastAsia="Times New Roman" w:cs="Times New Roman"/>
                <w:color w:val="F79646"/>
                <w:szCs w:val="24"/>
                <w:lang w:eastAsia="en-AU"/>
              </w:rPr>
              <w:t>▼</w:t>
            </w:r>
          </w:p>
        </w:tc>
      </w:tr>
    </w:tbl>
    <w:p w:rsidR="009F0A92" w:rsidRDefault="009F0A92" w:rsidP="009F0A92">
      <w:pPr>
        <w:pStyle w:val="Sourceandnotes"/>
      </w:pPr>
      <w:r>
        <w:t>Note:</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p>
    <w:p w:rsidR="009F0A92" w:rsidRDefault="009F0A92" w:rsidP="009F0A92">
      <w:r>
        <w:t>Airlines’ ratings of the availability and standard of runways improved during 2014</w:t>
      </w:r>
      <w:r>
        <w:noBreakHyphen/>
        <w:t xml:space="preserve">15, particularly the rating for standard which increased within the ‘good’ range. A number of airlines said that availability is reasonable, although there are occasions where congestion occurs and </w:t>
      </w:r>
      <w:r>
        <w:lastRenderedPageBreak/>
        <w:t>aircraft are put into holding patterns. Some airlines mentioned that Brisbane Airport is attempting to increase the utilisation of its cross runway to help ease congestion. Airlines were generally satisfied with the standard of Brisbane Airport’s runways.</w:t>
      </w:r>
    </w:p>
    <w:p w:rsidR="009F0A92" w:rsidRDefault="009F0A92" w:rsidP="009F0A92">
      <w:r>
        <w:t>Airlines’ rating of the availability of aircraft parking facilities and bays decreased from ‘good’ to ‘satisfactory’ in 2014</w:t>
      </w:r>
      <w:r>
        <w:noBreakHyphen/>
        <w:t>15. Some airlines commented that there is limited parking available for A380 aircraft, especially with continued disruptions or diversions from Sydney and Melbourne airports. However, airlines were more satisfied with the standard of aircraft parking facilities and bays, with the rating improving within the ‘good’ range in 2014</w:t>
      </w:r>
      <w:r>
        <w:noBreakHyphen/>
        <w:t>15.</w:t>
      </w:r>
    </w:p>
    <w:p w:rsidR="009F0A92" w:rsidRDefault="009F0A92" w:rsidP="009F0A92">
      <w:r>
        <w:t>In 2014</w:t>
      </w:r>
      <w:r>
        <w:noBreakHyphen/>
        <w:t>15, airlines’ rated the availability and standard of Brisbane Airport’s management responsiveness as ‘good’. Most airlines made positive comments regarding Brisbane Airport’s management, including that management is engaged and responsive to concerns. However, other airlines have suggested that responses can be slow and require escalation.</w:t>
      </w:r>
    </w:p>
    <w:p w:rsidR="009F0A92" w:rsidRPr="00636CF8" w:rsidRDefault="009F0A92" w:rsidP="009F0A92">
      <w:pPr>
        <w:pStyle w:val="Numberedheading3"/>
      </w:pPr>
      <w:r w:rsidRPr="00636CF8">
        <w:t>Passenger-related services and facilities</w:t>
      </w:r>
    </w:p>
    <w:p w:rsidR="009F0A92" w:rsidRDefault="009F0A92" w:rsidP="009F0A92">
      <w:pPr>
        <w:pStyle w:val="Numberedheading4"/>
      </w:pPr>
      <w:r>
        <w:t>International terminal</w:t>
      </w:r>
    </w:p>
    <w:p w:rsidR="009F0A92" w:rsidRDefault="009F0A92" w:rsidP="009F0A92">
      <w:r>
        <w:t>As shown in Table 2.3.2, passengers and airlines reported different levels of quality received at Brisbane Airport’s international terminal during 2014</w:t>
      </w:r>
      <w:r>
        <w:noBreakHyphen/>
        <w:t>15. In particular, passengers’ ratings of each subjective indicator remained within the ‘excellent’ and ‘good’ categories in 2014</w:t>
      </w:r>
      <w:r>
        <w:noBreakHyphen/>
        <w:t>15, while airlines’ ratings of Brisbane Airport’s subjective indicators remained within the ‘good’ and ‘satisfactory’ categories. The majority of indicators rated by passengers were ‘excellent’ in 2014</w:t>
      </w:r>
      <w:r>
        <w:noBreakHyphen/>
        <w:t>15, while airlines did not rate any indicator as ‘excellent’.</w:t>
      </w:r>
    </w:p>
    <w:p w:rsidR="009F0A92" w:rsidRDefault="009F0A92" w:rsidP="009F0A92">
      <w:r>
        <w:t>Most passenger ratings either increased or remained unchanged in 2014</w:t>
      </w:r>
      <w:r>
        <w:noBreakHyphen/>
        <w:t>15, apart for passengers’ rating of information display for inbound baggage reclaim, which decreased within the ‘good’ range.</w:t>
      </w:r>
    </w:p>
    <w:p w:rsidR="009F0A92" w:rsidRPr="00F23C64" w:rsidRDefault="009F0A92" w:rsidP="009F0A92">
      <w:r>
        <w:t>The largest change in airline rating was the reduced rating for the standard of aerobridges, which declined within the ‘satisfactory’ range to be just above a ‘poor’ rating. In response to the airline surveys, some airlines stated that the aerobridges are poorly maintained. One airline suggested that the single aerobridges provided at most gates are not suited for wide</w:t>
      </w:r>
      <w:r>
        <w:noBreakHyphen/>
        <w:t xml:space="preserve">bodied aircraft and lead to a poor passenger experience. </w:t>
      </w:r>
      <w:r w:rsidRPr="00E61DE6">
        <w:rPr>
          <w:szCs w:val="20"/>
        </w:rPr>
        <w:t xml:space="preserve">Brisbane Airport </w:t>
      </w:r>
      <w:r>
        <w:rPr>
          <w:szCs w:val="20"/>
        </w:rPr>
        <w:t>said</w:t>
      </w:r>
      <w:r w:rsidRPr="00E61DE6">
        <w:rPr>
          <w:szCs w:val="20"/>
        </w:rPr>
        <w:t xml:space="preserve"> that it is planning to undertake full floor replacements of affected aerobridges to improve both serviceability and customer experience with the aerobridges. </w:t>
      </w:r>
      <w:r>
        <w:rPr>
          <w:szCs w:val="20"/>
        </w:rPr>
        <w:t>It</w:t>
      </w:r>
      <w:r w:rsidRPr="00E61DE6">
        <w:rPr>
          <w:szCs w:val="20"/>
        </w:rPr>
        <w:t xml:space="preserve"> also </w:t>
      </w:r>
      <w:r>
        <w:rPr>
          <w:szCs w:val="20"/>
        </w:rPr>
        <w:t>said</w:t>
      </w:r>
      <w:r w:rsidRPr="00E61DE6">
        <w:rPr>
          <w:szCs w:val="20"/>
        </w:rPr>
        <w:t xml:space="preserve"> that the move towards dual aerobridges for all wide bodied gates would be discussed with the airlines and if agreed included in future capital plans.</w:t>
      </w:r>
    </w:p>
    <w:p w:rsidR="009F0A92" w:rsidRPr="003C3B48" w:rsidRDefault="009F0A92" w:rsidP="009F0A92">
      <w:r w:rsidRPr="003C3B48">
        <w:t>Brisbane Airport noted that it is undertaking a phased project of installing and converting traditional check</w:t>
      </w:r>
      <w:r w:rsidRPr="003C3B48">
        <w:noBreakHyphen/>
        <w:t>in counters to a mix of kiosks, check</w:t>
      </w:r>
      <w:r w:rsidRPr="003C3B48">
        <w:noBreakHyphen/>
        <w:t xml:space="preserve">in desks and bag drop facilities. Brisbane Airport reported that it </w:t>
      </w:r>
      <w:r>
        <w:t>provided an additional 24 kiosk spaces</w:t>
      </w:r>
      <w:r w:rsidRPr="003C3B48">
        <w:t xml:space="preserve"> as at 30 June 2015 compared to the prior year.</w:t>
      </w:r>
      <w:r>
        <w:t xml:space="preserve"> Airlines rated the availability and standard of check</w:t>
      </w:r>
      <w:r>
        <w:noBreakHyphen/>
        <w:t>in facilities as ‘good’ in 2014</w:t>
      </w:r>
      <w:r>
        <w:noBreakHyphen/>
        <w:t>15. Some airlines commented that Brisbane Airport’s introduction of kiosks is a positive step and that automation of the check</w:t>
      </w:r>
      <w:r>
        <w:noBreakHyphen/>
        <w:t>in process will improve the quality of service. Airlines noted that there can be issues with check</w:t>
      </w:r>
      <w:r>
        <w:noBreakHyphen/>
        <w:t>in desk availability during peak periods.</w:t>
      </w:r>
    </w:p>
    <w:p w:rsidR="009F0A92" w:rsidRDefault="009F0A92" w:rsidP="009F0A92">
      <w:r w:rsidRPr="0044484F">
        <w:t>Brisbane Airport stated that it provided an additional 53 flight information display screens during 2014</w:t>
      </w:r>
      <w:r w:rsidRPr="0044484F">
        <w:noBreakHyphen/>
        <w:t>15. This corresponds with an increase in passenger survey ratings within the ‘good’ range in relation to flight information display screens.</w:t>
      </w:r>
    </w:p>
    <w:p w:rsidR="009F0A92" w:rsidRDefault="009F0A92" w:rsidP="009F0A92"/>
    <w:p w:rsidR="009F0A92" w:rsidRDefault="009F0A92" w:rsidP="009F0A92">
      <w:pPr>
        <w:spacing w:after="200" w:line="276" w:lineRule="auto"/>
        <w:rPr>
          <w:highlight w:val="yellow"/>
        </w:rPr>
      </w:pPr>
    </w:p>
    <w:p w:rsidR="009F0A92" w:rsidRDefault="009F0A92" w:rsidP="009F0A92">
      <w:pPr>
        <w:spacing w:after="200" w:line="276" w:lineRule="auto"/>
        <w:rPr>
          <w:highlight w:val="yellow"/>
        </w:rPr>
        <w:sectPr w:rsidR="009F0A92" w:rsidSect="008C69ED">
          <w:headerReference w:type="even" r:id="rId67"/>
          <w:headerReference w:type="default" r:id="rId68"/>
          <w:type w:val="continuous"/>
          <w:pgSz w:w="11906" w:h="16838" w:code="9"/>
          <w:pgMar w:top="1440" w:right="1729" w:bottom="1582" w:left="1729" w:header="709" w:footer="709" w:gutter="0"/>
          <w:cols w:space="708"/>
          <w:docGrid w:linePitch="360"/>
        </w:sectPr>
      </w:pPr>
    </w:p>
    <w:p w:rsidR="009F0A92" w:rsidRDefault="009F0A92" w:rsidP="009F0A92">
      <w:pPr>
        <w:pStyle w:val="Numberedcharttitle"/>
      </w:pPr>
      <w:r>
        <w:lastRenderedPageBreak/>
        <w:t>Table 2.3.2:</w:t>
      </w:r>
      <w:r>
        <w:tab/>
        <w:t>Brisbane Airport—indicators of quality of passenger</w:t>
      </w:r>
      <w:r>
        <w:noBreakHyphen/>
        <w:t>related services and facilities—international terminal</w:t>
      </w:r>
      <w:proofErr w:type="gramStart"/>
      <w:r>
        <w:t>:</w:t>
      </w:r>
      <w:proofErr w:type="gramEnd"/>
      <w:r>
        <w:br/>
        <w:t>2014-15, 1-year change and change since 2010-11</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9F0A92" w:rsidTr="009543DB">
        <w:tc>
          <w:tcPr>
            <w:tcW w:w="1266" w:type="dxa"/>
            <w:tcBorders>
              <w:left w:val="nil"/>
              <w:bottom w:val="single" w:sz="4" w:space="0" w:color="auto"/>
              <w:right w:val="nil"/>
            </w:tcBorders>
            <w:shd w:val="clear" w:color="auto" w:fill="DFE0DC"/>
          </w:tcPr>
          <w:p w:rsidR="009F0A92" w:rsidRDefault="009F0A92" w:rsidP="009543DB">
            <w:pPr>
              <w:pStyle w:val="QOStabletextleftbold"/>
            </w:pPr>
            <w:r>
              <w:t>Category</w:t>
            </w:r>
          </w:p>
        </w:tc>
        <w:tc>
          <w:tcPr>
            <w:tcW w:w="6662" w:type="dxa"/>
            <w:tcBorders>
              <w:left w:val="nil"/>
              <w:bottom w:val="single" w:sz="4" w:space="0" w:color="auto"/>
              <w:right w:val="nil"/>
            </w:tcBorders>
            <w:shd w:val="clear" w:color="auto" w:fill="DFE0DC"/>
          </w:tcPr>
          <w:p w:rsidR="009F0A92" w:rsidRDefault="009F0A92" w:rsidP="009543DB">
            <w:pPr>
              <w:pStyle w:val="QOStabletextleftbold"/>
            </w:pPr>
            <w:r>
              <w:t>Indicator</w:t>
            </w:r>
          </w:p>
        </w:tc>
        <w:tc>
          <w:tcPr>
            <w:tcW w:w="1559" w:type="dxa"/>
            <w:tcBorders>
              <w:left w:val="nil"/>
              <w:bottom w:val="single" w:sz="4" w:space="0" w:color="auto"/>
              <w:right w:val="nil"/>
            </w:tcBorders>
            <w:shd w:val="clear" w:color="auto" w:fill="DFE0DC"/>
          </w:tcPr>
          <w:p w:rsidR="009F0A92" w:rsidRDefault="009F0A92" w:rsidP="009543DB">
            <w:pPr>
              <w:pStyle w:val="QOStabletextleftbold"/>
            </w:pPr>
            <w:r>
              <w:t>Data source</w:t>
            </w:r>
          </w:p>
        </w:tc>
        <w:tc>
          <w:tcPr>
            <w:tcW w:w="1559" w:type="dxa"/>
            <w:tcBorders>
              <w:left w:val="nil"/>
              <w:bottom w:val="single" w:sz="4" w:space="0" w:color="auto"/>
              <w:right w:val="nil"/>
            </w:tcBorders>
            <w:shd w:val="clear" w:color="auto" w:fill="DFE0DC"/>
          </w:tcPr>
          <w:p w:rsidR="009F0A92" w:rsidRDefault="009F0A92" w:rsidP="009543DB">
            <w:pPr>
              <w:pStyle w:val="QOStabletextleftbold"/>
            </w:pPr>
            <w:r>
              <w:t>Indicator result 2014-15</w:t>
            </w:r>
          </w:p>
        </w:tc>
        <w:tc>
          <w:tcPr>
            <w:tcW w:w="1493" w:type="dxa"/>
            <w:tcBorders>
              <w:left w:val="nil"/>
              <w:bottom w:val="single" w:sz="4" w:space="0" w:color="auto"/>
              <w:right w:val="nil"/>
            </w:tcBorders>
            <w:shd w:val="clear" w:color="auto" w:fill="DFE0DC"/>
          </w:tcPr>
          <w:p w:rsidR="009F0A92" w:rsidRDefault="009F0A92" w:rsidP="009543DB">
            <w:pPr>
              <w:pStyle w:val="QOStabletextleftbold"/>
            </w:pPr>
            <w:r>
              <w:t>1-year change</w:t>
            </w:r>
          </w:p>
        </w:tc>
        <w:tc>
          <w:tcPr>
            <w:tcW w:w="1493" w:type="dxa"/>
            <w:tcBorders>
              <w:left w:val="nil"/>
              <w:bottom w:val="single" w:sz="4" w:space="0" w:color="auto"/>
              <w:right w:val="nil"/>
            </w:tcBorders>
            <w:shd w:val="clear" w:color="auto" w:fill="DFE0DC"/>
          </w:tcPr>
          <w:p w:rsidR="009F0A92" w:rsidRDefault="009F0A92" w:rsidP="009543DB">
            <w:pPr>
              <w:pStyle w:val="QOStabletextleftbold"/>
            </w:pPr>
            <w:r>
              <w:t>Change since 2010</w:t>
            </w:r>
            <w:r>
              <w:noBreakHyphen/>
              <w:t>11</w:t>
            </w:r>
          </w:p>
        </w:tc>
      </w:tr>
      <w:tr w:rsidR="009F0A92" w:rsidTr="009543DB">
        <w:tc>
          <w:tcPr>
            <w:tcW w:w="1266" w:type="dxa"/>
            <w:tcBorders>
              <w:left w:val="nil"/>
              <w:bottom w:val="nil"/>
              <w:right w:val="nil"/>
            </w:tcBorders>
          </w:tcPr>
          <w:p w:rsidR="009F0A92" w:rsidRDefault="009F0A92" w:rsidP="009543DB">
            <w:pPr>
              <w:pStyle w:val="QOStabletextleftbold"/>
            </w:pPr>
            <w:r>
              <w:t>Check-in</w:t>
            </w:r>
          </w:p>
        </w:tc>
        <w:tc>
          <w:tcPr>
            <w:tcW w:w="6662" w:type="dxa"/>
            <w:tcBorders>
              <w:left w:val="nil"/>
              <w:bottom w:val="nil"/>
              <w:right w:val="nil"/>
            </w:tcBorders>
          </w:tcPr>
          <w:p w:rsidR="009F0A92" w:rsidRDefault="009F0A92" w:rsidP="009543DB">
            <w:pPr>
              <w:pStyle w:val="QOStabletextleft"/>
            </w:pPr>
            <w:r>
              <w:t>Check-in availability</w:t>
            </w:r>
          </w:p>
        </w:tc>
        <w:tc>
          <w:tcPr>
            <w:tcW w:w="1559" w:type="dxa"/>
            <w:tcBorders>
              <w:left w:val="nil"/>
              <w:bottom w:val="nil"/>
              <w:right w:val="nil"/>
            </w:tcBorders>
          </w:tcPr>
          <w:p w:rsidR="009F0A92" w:rsidRDefault="009F0A92" w:rsidP="009543DB">
            <w:pPr>
              <w:pStyle w:val="QOStabletextleft"/>
            </w:pPr>
            <w:r>
              <w:t>Airline survey</w:t>
            </w:r>
          </w:p>
        </w:tc>
        <w:tc>
          <w:tcPr>
            <w:tcW w:w="1559" w:type="dxa"/>
            <w:tcBorders>
              <w:left w:val="nil"/>
              <w:bottom w:val="nil"/>
              <w:right w:val="nil"/>
            </w:tcBorders>
          </w:tcPr>
          <w:p w:rsidR="009F0A92" w:rsidRDefault="009F0A92" w:rsidP="009543DB">
            <w:pPr>
              <w:pStyle w:val="QOStabletextleft"/>
            </w:pPr>
            <w:r>
              <w:t>Good</w:t>
            </w:r>
          </w:p>
        </w:tc>
        <w:tc>
          <w:tcPr>
            <w:tcW w:w="1493" w:type="dxa"/>
            <w:tcBorders>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Check-in standard</w:t>
            </w:r>
          </w:p>
        </w:tc>
        <w:tc>
          <w:tcPr>
            <w:tcW w:w="1559" w:type="dxa"/>
            <w:tcBorders>
              <w:top w:val="nil"/>
              <w:left w:val="nil"/>
              <w:bottom w:val="nil"/>
              <w:right w:val="nil"/>
            </w:tcBorders>
          </w:tcPr>
          <w:p w:rsidR="009F0A92" w:rsidRDefault="009F0A92" w:rsidP="009543DB">
            <w:pPr>
              <w:pStyle w:val="QOStabletextleft"/>
            </w:pPr>
            <w:r>
              <w:t>Airline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Check-in waiting time</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Excellent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995B26" w:rsidRDefault="009F0A92" w:rsidP="009543DB">
            <w:pPr>
              <w:pStyle w:val="QOStabletextleft"/>
            </w:pPr>
            <w:r>
              <w:t>Number of departing passengers per check-in desk, kiosk and bag drop facility (peak hour)</w:t>
            </w:r>
          </w:p>
        </w:tc>
        <w:tc>
          <w:tcPr>
            <w:tcW w:w="1559" w:type="dxa"/>
            <w:tcBorders>
              <w:top w:val="nil"/>
              <w:left w:val="nil"/>
              <w:bottom w:val="single" w:sz="4" w:space="0" w:color="auto"/>
              <w:right w:val="nil"/>
            </w:tcBorders>
          </w:tcPr>
          <w:p w:rsidR="009F0A92" w:rsidRPr="005156C1"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1442C2" w:rsidRDefault="009F0A92" w:rsidP="009543DB">
            <w:pPr>
              <w:pStyle w:val="QOStabletextleft"/>
            </w:pPr>
            <w:r>
              <w:t>9.0 passengers</w:t>
            </w:r>
          </w:p>
        </w:tc>
        <w:tc>
          <w:tcPr>
            <w:tcW w:w="1493" w:type="dxa"/>
            <w:tcBorders>
              <w:top w:val="nil"/>
              <w:left w:val="nil"/>
              <w:bottom w:val="single" w:sz="4" w:space="0" w:color="auto"/>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left w:val="nil"/>
              <w:bottom w:val="nil"/>
              <w:right w:val="nil"/>
            </w:tcBorders>
          </w:tcPr>
          <w:p w:rsidR="009F0A92" w:rsidRDefault="009F0A92" w:rsidP="009543DB">
            <w:pPr>
              <w:pStyle w:val="QOStabletextleftbold"/>
            </w:pPr>
            <w:r>
              <w:t>Immigration</w:t>
            </w:r>
          </w:p>
        </w:tc>
        <w:tc>
          <w:tcPr>
            <w:tcW w:w="6662" w:type="dxa"/>
            <w:tcBorders>
              <w:left w:val="nil"/>
              <w:bottom w:val="nil"/>
              <w:right w:val="nil"/>
            </w:tcBorders>
          </w:tcPr>
          <w:p w:rsidR="009F0A92" w:rsidRDefault="009F0A92" w:rsidP="009543DB">
            <w:pPr>
              <w:pStyle w:val="QOStabletextleft"/>
            </w:pPr>
            <w:r>
              <w:t>Waiting time in outbound Immigration area</w:t>
            </w:r>
          </w:p>
        </w:tc>
        <w:tc>
          <w:tcPr>
            <w:tcW w:w="1559" w:type="dxa"/>
            <w:tcBorders>
              <w:left w:val="nil"/>
              <w:bottom w:val="nil"/>
              <w:right w:val="nil"/>
            </w:tcBorders>
          </w:tcPr>
          <w:p w:rsidR="009F0A92" w:rsidRDefault="009F0A92" w:rsidP="009543DB">
            <w:pPr>
              <w:pStyle w:val="QOStabletextleft"/>
            </w:pPr>
            <w:r>
              <w:t>Passenger survey</w:t>
            </w:r>
          </w:p>
        </w:tc>
        <w:tc>
          <w:tcPr>
            <w:tcW w:w="1559" w:type="dxa"/>
            <w:tcBorders>
              <w:left w:val="nil"/>
              <w:bottom w:val="nil"/>
              <w:right w:val="nil"/>
            </w:tcBorders>
          </w:tcPr>
          <w:p w:rsidR="009F0A92" w:rsidRDefault="009F0A92" w:rsidP="009543DB">
            <w:pPr>
              <w:pStyle w:val="QOStabletextleft"/>
            </w:pPr>
            <w:r>
              <w:t>Excellent</w:t>
            </w:r>
          </w:p>
        </w:tc>
        <w:tc>
          <w:tcPr>
            <w:tcW w:w="1493" w:type="dxa"/>
            <w:tcBorders>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753977" w:rsidRDefault="009F0A92" w:rsidP="009543DB">
            <w:pPr>
              <w:pStyle w:val="QOStabletextleft"/>
            </w:pPr>
            <w:r>
              <w:t>Number of departing passengers per outbound Immigration desk (peak hour)</w:t>
            </w:r>
          </w:p>
        </w:tc>
        <w:tc>
          <w:tcPr>
            <w:tcW w:w="1559" w:type="dxa"/>
            <w:tcBorders>
              <w:top w:val="nil"/>
              <w:left w:val="nil"/>
              <w:bottom w:val="nil"/>
              <w:right w:val="nil"/>
            </w:tcBorders>
          </w:tcPr>
          <w:p w:rsidR="009F0A92" w:rsidRPr="005156C1" w:rsidRDefault="009F0A92" w:rsidP="009543DB">
            <w:pPr>
              <w:pStyle w:val="QOStabletextleft"/>
            </w:pPr>
            <w:r>
              <w:t>Objective indicator</w:t>
            </w:r>
          </w:p>
        </w:tc>
        <w:tc>
          <w:tcPr>
            <w:tcW w:w="1559" w:type="dxa"/>
            <w:tcBorders>
              <w:top w:val="nil"/>
              <w:left w:val="nil"/>
              <w:bottom w:val="nil"/>
              <w:right w:val="nil"/>
            </w:tcBorders>
          </w:tcPr>
          <w:p w:rsidR="009F0A92" w:rsidRPr="001442C2" w:rsidRDefault="009F0A92" w:rsidP="009543DB">
            <w:pPr>
              <w:pStyle w:val="QOStabletextleft"/>
            </w:pPr>
            <w:r>
              <w:t>65.6 passengers</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Waiting time in inbound Immigration area</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Pr>
                <w:rFonts w:cs="Arial"/>
                <w:color w:val="4BACC6"/>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r w:rsidRPr="00A46D7C">
              <w:rPr>
                <w:color w:val="000000" w:themeColor="text1"/>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753977" w:rsidRDefault="009F0A92" w:rsidP="009543DB">
            <w:pPr>
              <w:pStyle w:val="QOStabletextleft"/>
            </w:pPr>
            <w:r>
              <w:t>Number of arriving passengers per inbound Immigration desk (peak hour)</w:t>
            </w:r>
          </w:p>
        </w:tc>
        <w:tc>
          <w:tcPr>
            <w:tcW w:w="1559" w:type="dxa"/>
            <w:tcBorders>
              <w:top w:val="nil"/>
              <w:left w:val="nil"/>
              <w:bottom w:val="nil"/>
              <w:right w:val="nil"/>
            </w:tcBorders>
          </w:tcPr>
          <w:p w:rsidR="009F0A92" w:rsidRPr="005156C1" w:rsidRDefault="009F0A92" w:rsidP="009543DB">
            <w:pPr>
              <w:pStyle w:val="QOStabletextleft"/>
            </w:pPr>
            <w:r>
              <w:t>Objective indicator</w:t>
            </w:r>
          </w:p>
        </w:tc>
        <w:tc>
          <w:tcPr>
            <w:tcW w:w="1559" w:type="dxa"/>
            <w:tcBorders>
              <w:top w:val="nil"/>
              <w:left w:val="nil"/>
              <w:bottom w:val="nil"/>
              <w:right w:val="nil"/>
            </w:tcBorders>
          </w:tcPr>
          <w:p w:rsidR="009F0A92" w:rsidRPr="001442C2" w:rsidRDefault="009F0A92" w:rsidP="009543DB">
            <w:pPr>
              <w:pStyle w:val="QOStabletextleft"/>
            </w:pPr>
            <w:r>
              <w:t>32.8 passengers</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Waiting time in inbound baggage inspection area</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Excellent</w:t>
            </w:r>
          </w:p>
        </w:tc>
        <w:tc>
          <w:tcPr>
            <w:tcW w:w="1493" w:type="dxa"/>
            <w:tcBorders>
              <w:top w:val="nil"/>
              <w:left w:val="nil"/>
              <w:bottom w:val="nil"/>
              <w:right w:val="nil"/>
            </w:tcBorders>
          </w:tcPr>
          <w:p w:rsidR="009F0A92" w:rsidRDefault="009F0A92" w:rsidP="009543DB">
            <w:pPr>
              <w:pStyle w:val="QOStabletextleft"/>
            </w:pPr>
            <w:r>
              <w:rPr>
                <w:rFonts w:cs="Arial"/>
                <w:color w:val="4BACC6"/>
              </w:rPr>
              <w:t>▬</w:t>
            </w:r>
          </w:p>
        </w:tc>
        <w:tc>
          <w:tcPr>
            <w:tcW w:w="1493" w:type="dxa"/>
            <w:tcBorders>
              <w:top w:val="nil"/>
              <w:left w:val="nil"/>
              <w:bottom w:val="nil"/>
              <w:right w:val="nil"/>
            </w:tcBorders>
          </w:tcPr>
          <w:p w:rsidR="009F0A92" w:rsidRDefault="009F0A92" w:rsidP="009543DB">
            <w:pPr>
              <w:pStyle w:val="QOStabletextleft"/>
            </w:pPr>
            <w:r>
              <w:rPr>
                <w:rFonts w:cs="Arial"/>
                <w:color w:val="4BACC6"/>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753977" w:rsidRDefault="009F0A92" w:rsidP="009543DB">
            <w:pPr>
              <w:pStyle w:val="QOStabletextleft"/>
            </w:pPr>
            <w:r>
              <w:t>Number of arriving passengers per baggage inspection desk (peak hour)</w:t>
            </w:r>
          </w:p>
        </w:tc>
        <w:tc>
          <w:tcPr>
            <w:tcW w:w="1559" w:type="dxa"/>
            <w:tcBorders>
              <w:top w:val="nil"/>
              <w:left w:val="nil"/>
              <w:bottom w:val="single" w:sz="4" w:space="0" w:color="auto"/>
              <w:right w:val="nil"/>
            </w:tcBorders>
          </w:tcPr>
          <w:p w:rsidR="009F0A92" w:rsidRPr="005156C1"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1442C2" w:rsidRDefault="009F0A92" w:rsidP="009543DB">
            <w:pPr>
              <w:pStyle w:val="QOStabletextleft"/>
            </w:pPr>
            <w:r>
              <w:t>15.6 passengers</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left w:val="nil"/>
              <w:bottom w:val="nil"/>
              <w:right w:val="nil"/>
            </w:tcBorders>
          </w:tcPr>
          <w:p w:rsidR="009F0A92" w:rsidRDefault="009F0A92" w:rsidP="009543DB">
            <w:pPr>
              <w:pStyle w:val="QOStabletextleftbold"/>
            </w:pPr>
            <w:r>
              <w:t>Information</w:t>
            </w:r>
          </w:p>
        </w:tc>
        <w:tc>
          <w:tcPr>
            <w:tcW w:w="6662" w:type="dxa"/>
            <w:tcBorders>
              <w:left w:val="nil"/>
              <w:bottom w:val="nil"/>
              <w:right w:val="nil"/>
            </w:tcBorders>
          </w:tcPr>
          <w:p w:rsidR="009F0A92" w:rsidRDefault="009F0A92" w:rsidP="009543DB">
            <w:pPr>
              <w:pStyle w:val="QOStabletextleft"/>
            </w:pPr>
            <w:r>
              <w:t>Flight information display screens</w:t>
            </w:r>
          </w:p>
        </w:tc>
        <w:tc>
          <w:tcPr>
            <w:tcW w:w="1559" w:type="dxa"/>
            <w:tcBorders>
              <w:left w:val="nil"/>
              <w:bottom w:val="nil"/>
              <w:right w:val="nil"/>
            </w:tcBorders>
          </w:tcPr>
          <w:p w:rsidR="009F0A92" w:rsidRDefault="009F0A92" w:rsidP="009543DB">
            <w:pPr>
              <w:pStyle w:val="QOStabletextleft"/>
            </w:pPr>
            <w:r>
              <w:t>Passenger survey</w:t>
            </w:r>
          </w:p>
        </w:tc>
        <w:tc>
          <w:tcPr>
            <w:tcW w:w="1559" w:type="dxa"/>
            <w:tcBorders>
              <w:left w:val="nil"/>
              <w:bottom w:val="nil"/>
              <w:right w:val="nil"/>
            </w:tcBorders>
          </w:tcPr>
          <w:p w:rsidR="009F0A92" w:rsidRDefault="009F0A92" w:rsidP="009543DB">
            <w:pPr>
              <w:pStyle w:val="QOStabletextleft"/>
            </w:pPr>
            <w:r>
              <w:t>Good</w:t>
            </w:r>
          </w:p>
        </w:tc>
        <w:tc>
          <w:tcPr>
            <w:tcW w:w="1493" w:type="dxa"/>
            <w:tcBorders>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753977" w:rsidRDefault="009F0A92" w:rsidP="009543DB">
            <w:pPr>
              <w:pStyle w:val="QOStabletextleft"/>
            </w:pPr>
            <w:r>
              <w:t>Number of passengers per flight information display screen (peak hour)</w:t>
            </w:r>
          </w:p>
        </w:tc>
        <w:tc>
          <w:tcPr>
            <w:tcW w:w="1559" w:type="dxa"/>
            <w:tcBorders>
              <w:top w:val="nil"/>
              <w:left w:val="nil"/>
              <w:bottom w:val="nil"/>
              <w:right w:val="nil"/>
            </w:tcBorders>
          </w:tcPr>
          <w:p w:rsidR="009F0A92" w:rsidRPr="005156C1" w:rsidRDefault="009F0A92" w:rsidP="009543DB">
            <w:pPr>
              <w:pStyle w:val="QOStabletextleft"/>
            </w:pPr>
            <w:r>
              <w:t>Objective indicator</w:t>
            </w:r>
          </w:p>
        </w:tc>
        <w:tc>
          <w:tcPr>
            <w:tcW w:w="1559" w:type="dxa"/>
            <w:tcBorders>
              <w:top w:val="nil"/>
              <w:left w:val="nil"/>
              <w:bottom w:val="nil"/>
              <w:right w:val="nil"/>
            </w:tcBorders>
          </w:tcPr>
          <w:p w:rsidR="009F0A92" w:rsidRPr="001442C2" w:rsidRDefault="009F0A92" w:rsidP="009543DB">
            <w:pPr>
              <w:pStyle w:val="QOStabletextleft"/>
            </w:pPr>
            <w:r>
              <w:t>3.5 passengers</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753977" w:rsidRDefault="009F0A92" w:rsidP="009543DB">
            <w:pPr>
              <w:pStyle w:val="QOStabletextleft"/>
            </w:pPr>
            <w:r>
              <w:t>Number of passengers per information point (peak hour)</w:t>
            </w:r>
          </w:p>
        </w:tc>
        <w:tc>
          <w:tcPr>
            <w:tcW w:w="1559" w:type="dxa"/>
            <w:tcBorders>
              <w:top w:val="nil"/>
              <w:left w:val="nil"/>
              <w:bottom w:val="nil"/>
              <w:right w:val="nil"/>
            </w:tcBorders>
          </w:tcPr>
          <w:p w:rsidR="009F0A92" w:rsidRPr="005156C1" w:rsidRDefault="009F0A92" w:rsidP="009543DB">
            <w:pPr>
              <w:pStyle w:val="QOStabletextleft"/>
            </w:pPr>
            <w:r>
              <w:t>Objective indicator</w:t>
            </w:r>
          </w:p>
        </w:tc>
        <w:tc>
          <w:tcPr>
            <w:tcW w:w="1559" w:type="dxa"/>
            <w:tcBorders>
              <w:top w:val="nil"/>
              <w:left w:val="nil"/>
              <w:bottom w:val="nil"/>
              <w:right w:val="nil"/>
            </w:tcBorders>
          </w:tcPr>
          <w:p w:rsidR="009F0A92" w:rsidRPr="001442C2" w:rsidRDefault="009F0A92" w:rsidP="009543DB">
            <w:pPr>
              <w:pStyle w:val="QOStabletextleft"/>
            </w:pPr>
            <w:r>
              <w:t>1 707 passengers</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nil"/>
              <w:left w:val="nil"/>
              <w:right w:val="nil"/>
            </w:tcBorders>
          </w:tcPr>
          <w:p w:rsidR="009F0A92" w:rsidRDefault="009F0A92" w:rsidP="009543DB">
            <w:pPr>
              <w:pStyle w:val="QOStabletextleftbold"/>
            </w:pPr>
          </w:p>
        </w:tc>
        <w:tc>
          <w:tcPr>
            <w:tcW w:w="6662" w:type="dxa"/>
            <w:tcBorders>
              <w:top w:val="nil"/>
              <w:left w:val="nil"/>
              <w:right w:val="nil"/>
            </w:tcBorders>
          </w:tcPr>
          <w:p w:rsidR="009F0A92" w:rsidRDefault="009F0A92" w:rsidP="009543DB">
            <w:pPr>
              <w:pStyle w:val="QOStabletextleft"/>
            </w:pPr>
            <w:r>
              <w:t>Signage and wayfinding</w:t>
            </w:r>
          </w:p>
        </w:tc>
        <w:tc>
          <w:tcPr>
            <w:tcW w:w="1559" w:type="dxa"/>
            <w:tcBorders>
              <w:top w:val="nil"/>
              <w:left w:val="nil"/>
              <w:right w:val="nil"/>
            </w:tcBorders>
          </w:tcPr>
          <w:p w:rsidR="009F0A92" w:rsidRDefault="009F0A92" w:rsidP="009543DB">
            <w:pPr>
              <w:pStyle w:val="QOStabletextleft"/>
            </w:pPr>
            <w:r>
              <w:t>Passenger survey</w:t>
            </w:r>
          </w:p>
        </w:tc>
        <w:tc>
          <w:tcPr>
            <w:tcW w:w="1559" w:type="dxa"/>
            <w:tcBorders>
              <w:top w:val="nil"/>
              <w:left w:val="nil"/>
              <w:right w:val="nil"/>
            </w:tcBorders>
          </w:tcPr>
          <w:p w:rsidR="009F0A92" w:rsidRDefault="009F0A92" w:rsidP="009543DB">
            <w:pPr>
              <w:pStyle w:val="QOStabletextleft"/>
            </w:pPr>
            <w:r>
              <w:t>Good</w:t>
            </w:r>
          </w:p>
        </w:tc>
        <w:tc>
          <w:tcPr>
            <w:tcW w:w="1493" w:type="dxa"/>
            <w:tcBorders>
              <w:top w:val="nil"/>
              <w:left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right w:val="nil"/>
            </w:tcBorders>
          </w:tcPr>
          <w:p w:rsidR="009F0A92" w:rsidRDefault="009F0A92" w:rsidP="009543DB">
            <w:pPr>
              <w:pStyle w:val="QOStabletextleft"/>
            </w:pPr>
            <w:r>
              <w:rPr>
                <w:rFonts w:cs="Arial"/>
                <w:color w:val="4BACC6"/>
              </w:rPr>
              <w:t>▬</w:t>
            </w:r>
          </w:p>
        </w:tc>
      </w:tr>
    </w:tbl>
    <w:p w:rsidR="009F0A92" w:rsidRDefault="009F0A92" w:rsidP="009F0A92">
      <w:pPr>
        <w:pStyle w:val="Sourceandnotes"/>
        <w:rPr>
          <w:rFonts w:cs="Arial"/>
          <w:color w:val="000000" w:themeColor="text1"/>
        </w:r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w:t>
      </w:r>
    </w:p>
    <w:p w:rsidR="009F0A92" w:rsidRDefault="009F0A92" w:rsidP="009F0A92">
      <w:pPr>
        <w:spacing w:after="200" w:line="276" w:lineRule="auto"/>
        <w:rPr>
          <w:rFonts w:cs="Arial"/>
          <w:color w:val="000000" w:themeColor="text1"/>
          <w:sz w:val="16"/>
          <w:szCs w:val="16"/>
        </w:rPr>
      </w:pPr>
      <w:r>
        <w:rPr>
          <w:rFonts w:cs="Arial"/>
          <w:color w:val="000000" w:themeColor="text1"/>
        </w:rPr>
        <w:br w:type="page"/>
      </w:r>
    </w:p>
    <w:p w:rsidR="009F0A92" w:rsidRDefault="009F0A92" w:rsidP="009F0A92">
      <w:pPr>
        <w:pStyle w:val="Numberedcharttitle"/>
      </w:pPr>
      <w:r>
        <w:lastRenderedPageBreak/>
        <w:t>Table 2.3.2:</w:t>
      </w:r>
      <w:r>
        <w:tab/>
        <w:t>Brisbane Airport—indicators of quality of passenger</w:t>
      </w:r>
      <w:r>
        <w:noBreakHyphen/>
        <w:t>related services and facilities—international terminal</w:t>
      </w:r>
      <w:proofErr w:type="gramStart"/>
      <w:r>
        <w:t>:</w:t>
      </w:r>
      <w:proofErr w:type="gramEnd"/>
      <w:r>
        <w:br/>
        <w:t>2014-15, 1-year change and change since 2010-11 (cont.)</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9F0A92" w:rsidTr="009543DB">
        <w:tc>
          <w:tcPr>
            <w:tcW w:w="1266" w:type="dxa"/>
            <w:tcBorders>
              <w:left w:val="nil"/>
              <w:bottom w:val="single" w:sz="4" w:space="0" w:color="auto"/>
              <w:right w:val="nil"/>
            </w:tcBorders>
            <w:shd w:val="clear" w:color="auto" w:fill="DFE0DC"/>
          </w:tcPr>
          <w:p w:rsidR="009F0A92" w:rsidRDefault="009F0A92" w:rsidP="009543DB">
            <w:pPr>
              <w:pStyle w:val="QOStabletextleftbold"/>
            </w:pPr>
            <w:r>
              <w:t>Category</w:t>
            </w:r>
          </w:p>
        </w:tc>
        <w:tc>
          <w:tcPr>
            <w:tcW w:w="6662" w:type="dxa"/>
            <w:tcBorders>
              <w:left w:val="nil"/>
              <w:bottom w:val="single" w:sz="4" w:space="0" w:color="auto"/>
              <w:right w:val="nil"/>
            </w:tcBorders>
            <w:shd w:val="clear" w:color="auto" w:fill="DFE0DC"/>
          </w:tcPr>
          <w:p w:rsidR="009F0A92" w:rsidRDefault="009F0A92" w:rsidP="009543DB">
            <w:pPr>
              <w:pStyle w:val="QOStabletextleftbold"/>
            </w:pPr>
            <w:r>
              <w:t>Indicator</w:t>
            </w:r>
          </w:p>
        </w:tc>
        <w:tc>
          <w:tcPr>
            <w:tcW w:w="1559" w:type="dxa"/>
            <w:tcBorders>
              <w:left w:val="nil"/>
              <w:bottom w:val="single" w:sz="4" w:space="0" w:color="auto"/>
              <w:right w:val="nil"/>
            </w:tcBorders>
            <w:shd w:val="clear" w:color="auto" w:fill="DFE0DC"/>
          </w:tcPr>
          <w:p w:rsidR="009F0A92" w:rsidRDefault="009F0A92" w:rsidP="009543DB">
            <w:pPr>
              <w:pStyle w:val="QOStabletextleftbold"/>
            </w:pPr>
            <w:r>
              <w:t>Data source</w:t>
            </w:r>
          </w:p>
        </w:tc>
        <w:tc>
          <w:tcPr>
            <w:tcW w:w="1559" w:type="dxa"/>
            <w:tcBorders>
              <w:left w:val="nil"/>
              <w:bottom w:val="single" w:sz="4" w:space="0" w:color="auto"/>
              <w:right w:val="nil"/>
            </w:tcBorders>
            <w:shd w:val="clear" w:color="auto" w:fill="DFE0DC"/>
          </w:tcPr>
          <w:p w:rsidR="009F0A92" w:rsidRDefault="009F0A92" w:rsidP="009543DB">
            <w:pPr>
              <w:pStyle w:val="QOStabletextleftbold"/>
            </w:pPr>
            <w:r>
              <w:t>Indicator result 2014-15</w:t>
            </w:r>
          </w:p>
        </w:tc>
        <w:tc>
          <w:tcPr>
            <w:tcW w:w="1493" w:type="dxa"/>
            <w:tcBorders>
              <w:left w:val="nil"/>
              <w:bottom w:val="single" w:sz="4" w:space="0" w:color="auto"/>
              <w:right w:val="nil"/>
            </w:tcBorders>
            <w:shd w:val="clear" w:color="auto" w:fill="DFE0DC"/>
          </w:tcPr>
          <w:p w:rsidR="009F0A92" w:rsidRDefault="009F0A92" w:rsidP="009543DB">
            <w:pPr>
              <w:pStyle w:val="QOStabletextleftbold"/>
            </w:pPr>
            <w:r>
              <w:t>1-year change</w:t>
            </w:r>
          </w:p>
        </w:tc>
        <w:tc>
          <w:tcPr>
            <w:tcW w:w="1493" w:type="dxa"/>
            <w:tcBorders>
              <w:left w:val="nil"/>
              <w:bottom w:val="single" w:sz="4" w:space="0" w:color="auto"/>
              <w:right w:val="nil"/>
            </w:tcBorders>
            <w:shd w:val="clear" w:color="auto" w:fill="DFE0DC"/>
          </w:tcPr>
          <w:p w:rsidR="009F0A92" w:rsidRDefault="009F0A92" w:rsidP="009543DB">
            <w:pPr>
              <w:pStyle w:val="QOStabletextleftbold"/>
            </w:pPr>
            <w:r>
              <w:t>Change since 2010</w:t>
            </w:r>
            <w:r>
              <w:noBreakHyphen/>
              <w:t>11</w:t>
            </w:r>
          </w:p>
        </w:tc>
      </w:tr>
      <w:tr w:rsidR="009F0A92" w:rsidTr="009543DB">
        <w:tc>
          <w:tcPr>
            <w:tcW w:w="1266" w:type="dxa"/>
            <w:tcBorders>
              <w:left w:val="nil"/>
              <w:bottom w:val="nil"/>
              <w:right w:val="nil"/>
            </w:tcBorders>
          </w:tcPr>
          <w:p w:rsidR="009F0A92" w:rsidRDefault="009F0A92" w:rsidP="009543DB">
            <w:pPr>
              <w:pStyle w:val="QOStabletextleftbold"/>
            </w:pPr>
            <w:r>
              <w:t>Baggage</w:t>
            </w:r>
          </w:p>
        </w:tc>
        <w:tc>
          <w:tcPr>
            <w:tcW w:w="6662" w:type="dxa"/>
            <w:tcBorders>
              <w:left w:val="nil"/>
              <w:bottom w:val="nil"/>
              <w:right w:val="nil"/>
            </w:tcBorders>
          </w:tcPr>
          <w:p w:rsidR="009F0A92" w:rsidRDefault="009F0A92" w:rsidP="009543DB">
            <w:pPr>
              <w:pStyle w:val="QOStabletextleft"/>
            </w:pPr>
            <w:r>
              <w:t>Baggage processing facilities availability</w:t>
            </w:r>
          </w:p>
        </w:tc>
        <w:tc>
          <w:tcPr>
            <w:tcW w:w="1559" w:type="dxa"/>
            <w:tcBorders>
              <w:left w:val="nil"/>
              <w:bottom w:val="nil"/>
              <w:right w:val="nil"/>
            </w:tcBorders>
          </w:tcPr>
          <w:p w:rsidR="009F0A92" w:rsidRDefault="009F0A92" w:rsidP="009543DB">
            <w:pPr>
              <w:pStyle w:val="QOStabletextleft"/>
            </w:pPr>
            <w:r>
              <w:t>Airline survey</w:t>
            </w:r>
          </w:p>
        </w:tc>
        <w:tc>
          <w:tcPr>
            <w:tcW w:w="1559" w:type="dxa"/>
            <w:tcBorders>
              <w:left w:val="nil"/>
              <w:bottom w:val="nil"/>
              <w:right w:val="nil"/>
            </w:tcBorders>
          </w:tcPr>
          <w:p w:rsidR="009F0A92" w:rsidRDefault="009F0A92" w:rsidP="009543DB">
            <w:pPr>
              <w:pStyle w:val="QOStabletextleft"/>
            </w:pPr>
            <w:r>
              <w:t>Satisfactory</w:t>
            </w:r>
          </w:p>
        </w:tc>
        <w:tc>
          <w:tcPr>
            <w:tcW w:w="1493" w:type="dxa"/>
            <w:tcBorders>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r w:rsidRPr="00AF1D15">
              <w:rPr>
                <w:color w:val="000000" w:themeColor="text1"/>
                <w:lang w:eastAsia="en-AU"/>
              </w:rPr>
              <w:t>*</w:t>
            </w:r>
          </w:p>
        </w:tc>
        <w:tc>
          <w:tcPr>
            <w:tcW w:w="1493" w:type="dxa"/>
            <w:tcBorders>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r w:rsidRPr="00AF1D15">
              <w:rPr>
                <w:color w:val="000000" w:themeColor="text1"/>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Baggage processing facilities standard</w:t>
            </w:r>
          </w:p>
        </w:tc>
        <w:tc>
          <w:tcPr>
            <w:tcW w:w="1559" w:type="dxa"/>
            <w:tcBorders>
              <w:top w:val="nil"/>
              <w:left w:val="nil"/>
              <w:bottom w:val="nil"/>
              <w:right w:val="nil"/>
            </w:tcBorders>
          </w:tcPr>
          <w:p w:rsidR="009F0A92" w:rsidRDefault="009F0A92" w:rsidP="009543DB">
            <w:pPr>
              <w:pStyle w:val="QOStabletextleft"/>
            </w:pPr>
            <w:r>
              <w:t>Airline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5156C1" w:rsidRDefault="009F0A92" w:rsidP="009543DB">
            <w:pPr>
              <w:pStyle w:val="QOStabletextleft"/>
            </w:pPr>
            <w:r>
              <w:t>Average throughput of outbound baggage system (per hour)</w:t>
            </w:r>
          </w:p>
        </w:tc>
        <w:tc>
          <w:tcPr>
            <w:tcW w:w="1559" w:type="dxa"/>
            <w:tcBorders>
              <w:top w:val="nil"/>
              <w:left w:val="nil"/>
              <w:bottom w:val="nil"/>
              <w:right w:val="nil"/>
            </w:tcBorders>
          </w:tcPr>
          <w:p w:rsidR="009F0A92" w:rsidRPr="00FC0AD9" w:rsidRDefault="009F0A92" w:rsidP="009543DB">
            <w:pPr>
              <w:pStyle w:val="QOStabletextleft"/>
            </w:pPr>
            <w:r>
              <w:t>Objective indicator</w:t>
            </w:r>
          </w:p>
        </w:tc>
        <w:tc>
          <w:tcPr>
            <w:tcW w:w="1559" w:type="dxa"/>
            <w:tcBorders>
              <w:top w:val="nil"/>
              <w:left w:val="nil"/>
              <w:bottom w:val="nil"/>
              <w:right w:val="nil"/>
            </w:tcBorders>
          </w:tcPr>
          <w:p w:rsidR="009F0A92" w:rsidRPr="00771C52" w:rsidRDefault="009F0A92" w:rsidP="009543DB">
            <w:pPr>
              <w:pStyle w:val="QOStabletextleft"/>
            </w:pPr>
            <w:r>
              <w:t>406 items</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FC0AD9" w:rsidRDefault="009F0A92" w:rsidP="009543DB">
            <w:pPr>
              <w:pStyle w:val="QOStabletextleft"/>
            </w:pPr>
            <w:r>
              <w:t>Circulation space for inbound baggage reclaim</w:t>
            </w:r>
          </w:p>
        </w:tc>
        <w:tc>
          <w:tcPr>
            <w:tcW w:w="1559" w:type="dxa"/>
            <w:tcBorders>
              <w:top w:val="nil"/>
              <w:left w:val="nil"/>
              <w:bottom w:val="nil"/>
              <w:right w:val="nil"/>
            </w:tcBorders>
          </w:tcPr>
          <w:p w:rsidR="009F0A92" w:rsidRPr="00FC0AD9"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Excellent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c>
          <w:tcPr>
            <w:tcW w:w="1493" w:type="dxa"/>
            <w:tcBorders>
              <w:top w:val="nil"/>
              <w:left w:val="nil"/>
              <w:bottom w:val="nil"/>
              <w:right w:val="nil"/>
            </w:tcBorders>
          </w:tcPr>
          <w:p w:rsidR="009F0A92" w:rsidRDefault="009F0A92" w:rsidP="009543DB">
            <w:pPr>
              <w:pStyle w:val="QOStabletextleft"/>
            </w:pPr>
            <w:r>
              <w:rPr>
                <w:rFonts w:cs="Arial"/>
                <w:color w:val="4BACC6"/>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Information display for inbound baggage reclaim</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r w:rsidRPr="00AF1D15">
              <w:rPr>
                <w:color w:val="000000" w:themeColor="text1"/>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FC0AD9" w:rsidRDefault="009F0A92" w:rsidP="009543DB">
            <w:pPr>
              <w:pStyle w:val="QOStabletextleft"/>
            </w:pPr>
            <w:r>
              <w:t>Number of arriving passengers per m</w:t>
            </w:r>
            <w:r>
              <w:rPr>
                <w:vertAlign w:val="superscript"/>
              </w:rPr>
              <w:t xml:space="preserve">2 </w:t>
            </w:r>
            <w:r>
              <w:t>of inbound baggage reclaim area (peak hour)</w:t>
            </w:r>
          </w:p>
        </w:tc>
        <w:tc>
          <w:tcPr>
            <w:tcW w:w="1559" w:type="dxa"/>
            <w:tcBorders>
              <w:top w:val="nil"/>
              <w:left w:val="nil"/>
              <w:bottom w:val="nil"/>
              <w:right w:val="nil"/>
            </w:tcBorders>
          </w:tcPr>
          <w:p w:rsidR="009F0A92" w:rsidRPr="00FC0AD9" w:rsidRDefault="009F0A92" w:rsidP="009543DB">
            <w:pPr>
              <w:pStyle w:val="QOStabletextleft"/>
            </w:pPr>
            <w:r>
              <w:t>Objective indicator</w:t>
            </w:r>
          </w:p>
        </w:tc>
        <w:tc>
          <w:tcPr>
            <w:tcW w:w="1559" w:type="dxa"/>
            <w:tcBorders>
              <w:top w:val="nil"/>
              <w:left w:val="nil"/>
              <w:bottom w:val="nil"/>
              <w:right w:val="nil"/>
            </w:tcBorders>
          </w:tcPr>
          <w:p w:rsidR="009F0A92" w:rsidRPr="00771C52" w:rsidRDefault="009F0A92" w:rsidP="009543DB">
            <w:pPr>
              <w:pStyle w:val="QOStabletextleft"/>
            </w:pPr>
            <w:r>
              <w:t>0.1 passengers</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Findability of baggage trolleys</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Excellent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753977" w:rsidRDefault="009F0A92" w:rsidP="009543DB">
            <w:pPr>
              <w:pStyle w:val="QOStabletextleft"/>
            </w:pPr>
            <w:r>
              <w:t>Number of passengers per baggage trolley (peak hour)</w:t>
            </w:r>
          </w:p>
        </w:tc>
        <w:tc>
          <w:tcPr>
            <w:tcW w:w="1559" w:type="dxa"/>
            <w:tcBorders>
              <w:top w:val="nil"/>
              <w:left w:val="nil"/>
              <w:bottom w:val="single" w:sz="4" w:space="0" w:color="auto"/>
              <w:right w:val="nil"/>
            </w:tcBorders>
          </w:tcPr>
          <w:p w:rsidR="009F0A92" w:rsidRPr="005156C1"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771C52" w:rsidRDefault="009F0A92" w:rsidP="009543DB">
            <w:pPr>
              <w:pStyle w:val="QOStabletextleft"/>
            </w:pPr>
            <w:r>
              <w:t>0.8 passengers</w:t>
            </w:r>
          </w:p>
        </w:tc>
        <w:tc>
          <w:tcPr>
            <w:tcW w:w="1493" w:type="dxa"/>
            <w:tcBorders>
              <w:top w:val="nil"/>
              <w:left w:val="nil"/>
              <w:bottom w:val="single" w:sz="4" w:space="0" w:color="auto"/>
              <w:right w:val="nil"/>
            </w:tcBorders>
          </w:tcPr>
          <w:p w:rsidR="009F0A92" w:rsidRDefault="009F0A92" w:rsidP="009543DB">
            <w:pPr>
              <w:pStyle w:val="QOStabletextleft"/>
            </w:pPr>
            <w:r>
              <w:rPr>
                <w:rFonts w:cs="Arial"/>
                <w:color w:val="4BACC6"/>
              </w:rPr>
              <w:t>▬</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Gate lounges</w:t>
            </w:r>
          </w:p>
        </w:tc>
        <w:tc>
          <w:tcPr>
            <w:tcW w:w="6662" w:type="dxa"/>
            <w:tcBorders>
              <w:top w:val="single" w:sz="4" w:space="0" w:color="auto"/>
              <w:left w:val="nil"/>
              <w:bottom w:val="nil"/>
              <w:right w:val="nil"/>
            </w:tcBorders>
          </w:tcPr>
          <w:p w:rsidR="009F0A92" w:rsidRDefault="009F0A92" w:rsidP="009543DB">
            <w:pPr>
              <w:pStyle w:val="QOStabletextleft"/>
            </w:pPr>
            <w:r>
              <w:t>Seating in lounge area (quality and availability)</w:t>
            </w:r>
          </w:p>
        </w:tc>
        <w:tc>
          <w:tcPr>
            <w:tcW w:w="1559" w:type="dxa"/>
            <w:tcBorders>
              <w:top w:val="single" w:sz="4" w:space="0" w:color="auto"/>
              <w:left w:val="nil"/>
              <w:bottom w:val="nil"/>
              <w:right w:val="nil"/>
            </w:tcBorders>
          </w:tcPr>
          <w:p w:rsidR="009F0A92" w:rsidRDefault="009F0A92" w:rsidP="009543DB">
            <w:pPr>
              <w:pStyle w:val="QOStabletextleft"/>
            </w:pPr>
            <w:r>
              <w:t>Passenger survey</w:t>
            </w:r>
          </w:p>
        </w:tc>
        <w:tc>
          <w:tcPr>
            <w:tcW w:w="1559" w:type="dxa"/>
            <w:tcBorders>
              <w:top w:val="single" w:sz="4" w:space="0" w:color="auto"/>
              <w:left w:val="nil"/>
              <w:bottom w:val="nil"/>
              <w:right w:val="nil"/>
            </w:tcBorders>
          </w:tcPr>
          <w:p w:rsidR="009F0A92" w:rsidRDefault="009F0A92" w:rsidP="009543DB">
            <w:pPr>
              <w:pStyle w:val="QOStabletextleft"/>
            </w:pPr>
            <w:r>
              <w:t>Good</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753977" w:rsidRDefault="009F0A92" w:rsidP="009543DB">
            <w:pPr>
              <w:pStyle w:val="QOStabletextleft"/>
            </w:pPr>
            <w:r>
              <w:t>Number of departing passengers per seat in gate lounges (peak hour)</w:t>
            </w:r>
          </w:p>
        </w:tc>
        <w:tc>
          <w:tcPr>
            <w:tcW w:w="1559" w:type="dxa"/>
            <w:tcBorders>
              <w:top w:val="nil"/>
              <w:left w:val="nil"/>
              <w:bottom w:val="nil"/>
              <w:right w:val="nil"/>
            </w:tcBorders>
          </w:tcPr>
          <w:p w:rsidR="009F0A92" w:rsidRPr="005156C1" w:rsidRDefault="009F0A92" w:rsidP="009543DB">
            <w:pPr>
              <w:pStyle w:val="QOStabletextleft"/>
            </w:pPr>
            <w:r>
              <w:t>Objective indicator</w:t>
            </w:r>
          </w:p>
        </w:tc>
        <w:tc>
          <w:tcPr>
            <w:tcW w:w="1559" w:type="dxa"/>
            <w:tcBorders>
              <w:top w:val="nil"/>
              <w:left w:val="nil"/>
              <w:bottom w:val="nil"/>
              <w:right w:val="nil"/>
            </w:tcBorders>
          </w:tcPr>
          <w:p w:rsidR="009F0A92" w:rsidRPr="00771C52" w:rsidRDefault="009F0A92" w:rsidP="009543DB">
            <w:pPr>
              <w:pStyle w:val="QOStabletextleft"/>
            </w:pPr>
            <w:r>
              <w:t>0.6 passengers</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Crowding in lounge area</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Excellent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FC0AD9" w:rsidRDefault="009F0A92" w:rsidP="009543DB">
            <w:pPr>
              <w:pStyle w:val="QOStabletextleft"/>
            </w:pPr>
            <w:r>
              <w:t>Number of departing passengers per m</w:t>
            </w:r>
            <w:r>
              <w:rPr>
                <w:vertAlign w:val="superscript"/>
              </w:rPr>
              <w:t xml:space="preserve">2 </w:t>
            </w:r>
            <w:r>
              <w:t>of lounge area (peak hour)</w:t>
            </w:r>
          </w:p>
        </w:tc>
        <w:tc>
          <w:tcPr>
            <w:tcW w:w="1559" w:type="dxa"/>
            <w:tcBorders>
              <w:top w:val="nil"/>
              <w:left w:val="nil"/>
              <w:bottom w:val="single" w:sz="4" w:space="0" w:color="auto"/>
              <w:right w:val="nil"/>
            </w:tcBorders>
          </w:tcPr>
          <w:p w:rsidR="009F0A92" w:rsidRPr="005156C1"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771C52" w:rsidRDefault="009F0A92" w:rsidP="009543DB">
            <w:pPr>
              <w:pStyle w:val="QOStabletextleft"/>
            </w:pPr>
            <w:r>
              <w:t>0.06 passengers</w:t>
            </w:r>
          </w:p>
        </w:tc>
        <w:tc>
          <w:tcPr>
            <w:tcW w:w="1493" w:type="dxa"/>
            <w:tcBorders>
              <w:top w:val="nil"/>
              <w:left w:val="nil"/>
              <w:bottom w:val="single" w:sz="4" w:space="0" w:color="auto"/>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rPr>
                <w:rFonts w:cs="Arial"/>
                <w:color w:val="4BACC6"/>
              </w:rPr>
              <w:t>▬</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Amenities</w:t>
            </w:r>
          </w:p>
        </w:tc>
        <w:tc>
          <w:tcPr>
            <w:tcW w:w="6662" w:type="dxa"/>
            <w:tcBorders>
              <w:top w:val="single" w:sz="4" w:space="0" w:color="auto"/>
              <w:left w:val="nil"/>
              <w:bottom w:val="nil"/>
              <w:right w:val="nil"/>
            </w:tcBorders>
          </w:tcPr>
          <w:p w:rsidR="009F0A92" w:rsidRPr="00FC0AD9" w:rsidRDefault="009F0A92" w:rsidP="009543DB">
            <w:pPr>
              <w:pStyle w:val="QOStabletextleft"/>
            </w:pPr>
            <w:r>
              <w:t>Standard of washrooms</w:t>
            </w:r>
          </w:p>
        </w:tc>
        <w:tc>
          <w:tcPr>
            <w:tcW w:w="1559" w:type="dxa"/>
            <w:tcBorders>
              <w:top w:val="single" w:sz="4" w:space="0" w:color="auto"/>
              <w:left w:val="nil"/>
              <w:bottom w:val="nil"/>
              <w:right w:val="nil"/>
            </w:tcBorders>
          </w:tcPr>
          <w:p w:rsidR="009F0A92" w:rsidRPr="00A064F3" w:rsidRDefault="009F0A92" w:rsidP="009543DB">
            <w:pPr>
              <w:pStyle w:val="QOStabletextleft"/>
            </w:pPr>
            <w:r>
              <w:t>Passenger survey</w:t>
            </w:r>
          </w:p>
        </w:tc>
        <w:tc>
          <w:tcPr>
            <w:tcW w:w="1559" w:type="dxa"/>
            <w:tcBorders>
              <w:top w:val="single" w:sz="4" w:space="0" w:color="auto"/>
              <w:left w:val="nil"/>
              <w:bottom w:val="nil"/>
              <w:right w:val="nil"/>
            </w:tcBorders>
          </w:tcPr>
          <w:p w:rsidR="009F0A92" w:rsidRDefault="009F0A92" w:rsidP="009543DB">
            <w:pPr>
              <w:pStyle w:val="QOStabletextleft"/>
            </w:pPr>
            <w:r>
              <w:t>Good</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FC0AD9" w:rsidRDefault="009F0A92" w:rsidP="009543DB">
            <w:pPr>
              <w:pStyle w:val="QOStabletextleft"/>
            </w:pPr>
            <w:r>
              <w:t>Number of departing passengers per washroom (peak hour)</w:t>
            </w:r>
          </w:p>
        </w:tc>
        <w:tc>
          <w:tcPr>
            <w:tcW w:w="1559" w:type="dxa"/>
            <w:tcBorders>
              <w:top w:val="nil"/>
              <w:left w:val="nil"/>
              <w:bottom w:val="single" w:sz="4" w:space="0" w:color="auto"/>
              <w:right w:val="nil"/>
            </w:tcBorders>
          </w:tcPr>
          <w:p w:rsidR="009F0A92" w:rsidRPr="00A064F3"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771C52" w:rsidRDefault="009F0A92" w:rsidP="009543DB">
            <w:pPr>
              <w:pStyle w:val="QOStabletextleft"/>
            </w:pPr>
            <w:r>
              <w:t>50.7 passengers</w:t>
            </w:r>
          </w:p>
        </w:tc>
        <w:tc>
          <w:tcPr>
            <w:tcW w:w="1493" w:type="dxa"/>
            <w:tcBorders>
              <w:top w:val="nil"/>
              <w:left w:val="nil"/>
              <w:bottom w:val="single" w:sz="4" w:space="0" w:color="auto"/>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t>N/A</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Aerobridges</w:t>
            </w:r>
          </w:p>
        </w:tc>
        <w:tc>
          <w:tcPr>
            <w:tcW w:w="6662" w:type="dxa"/>
            <w:tcBorders>
              <w:top w:val="single" w:sz="4" w:space="0" w:color="auto"/>
              <w:left w:val="nil"/>
              <w:bottom w:val="nil"/>
              <w:right w:val="nil"/>
            </w:tcBorders>
          </w:tcPr>
          <w:p w:rsidR="009F0A92" w:rsidRDefault="009F0A92" w:rsidP="009543DB">
            <w:pPr>
              <w:pStyle w:val="QOStabletextleft"/>
            </w:pPr>
            <w:r>
              <w:t>Aerobridges availability</w:t>
            </w:r>
          </w:p>
        </w:tc>
        <w:tc>
          <w:tcPr>
            <w:tcW w:w="1559" w:type="dxa"/>
            <w:tcBorders>
              <w:top w:val="single" w:sz="4" w:space="0" w:color="auto"/>
              <w:left w:val="nil"/>
              <w:bottom w:val="nil"/>
              <w:right w:val="nil"/>
            </w:tcBorders>
          </w:tcPr>
          <w:p w:rsidR="009F0A92" w:rsidRDefault="009F0A92" w:rsidP="009543DB">
            <w:pPr>
              <w:pStyle w:val="QOStabletextleft"/>
            </w:pPr>
            <w:r>
              <w:t>Airline survey</w:t>
            </w:r>
          </w:p>
        </w:tc>
        <w:tc>
          <w:tcPr>
            <w:tcW w:w="1559" w:type="dxa"/>
            <w:tcBorders>
              <w:top w:val="single" w:sz="4" w:space="0" w:color="auto"/>
              <w:left w:val="nil"/>
              <w:bottom w:val="nil"/>
              <w:right w:val="nil"/>
            </w:tcBorders>
          </w:tcPr>
          <w:p w:rsidR="009F0A92" w:rsidRDefault="009F0A92" w:rsidP="009543DB">
            <w:pPr>
              <w:pStyle w:val="QOStabletextleft"/>
            </w:pPr>
            <w:r>
              <w:t>Good</w:t>
            </w:r>
          </w:p>
        </w:tc>
        <w:tc>
          <w:tcPr>
            <w:tcW w:w="1493" w:type="dxa"/>
            <w:tcBorders>
              <w:top w:val="single" w:sz="4" w:space="0" w:color="auto"/>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single" w:sz="4" w:space="0" w:color="auto"/>
              <w:left w:val="nil"/>
              <w:bottom w:val="nil"/>
              <w:right w:val="nil"/>
            </w:tcBorders>
          </w:tcPr>
          <w:p w:rsidR="009F0A92" w:rsidRDefault="009F0A92" w:rsidP="009543DB">
            <w:pPr>
              <w:pStyle w:val="QOStabletextleft"/>
            </w:pPr>
            <w:r>
              <w:rPr>
                <w:rFonts w:cs="Arial"/>
                <w:color w:val="4BACC6"/>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Aerobridges standard</w:t>
            </w:r>
          </w:p>
        </w:tc>
        <w:tc>
          <w:tcPr>
            <w:tcW w:w="1559" w:type="dxa"/>
            <w:tcBorders>
              <w:top w:val="nil"/>
              <w:left w:val="nil"/>
              <w:bottom w:val="nil"/>
              <w:right w:val="nil"/>
            </w:tcBorders>
          </w:tcPr>
          <w:p w:rsidR="009F0A92" w:rsidRDefault="009F0A92" w:rsidP="009543DB">
            <w:pPr>
              <w:pStyle w:val="QOStabletextleft"/>
            </w:pPr>
            <w:r>
              <w:t>Airline survey</w:t>
            </w:r>
          </w:p>
        </w:tc>
        <w:tc>
          <w:tcPr>
            <w:tcW w:w="1559" w:type="dxa"/>
            <w:tcBorders>
              <w:top w:val="nil"/>
              <w:left w:val="nil"/>
              <w:bottom w:val="nil"/>
              <w:right w:val="nil"/>
            </w:tcBorders>
          </w:tcPr>
          <w:p w:rsidR="009F0A92" w:rsidRDefault="009F0A92" w:rsidP="009543DB">
            <w:pPr>
              <w:pStyle w:val="QOStabletextleft"/>
            </w:pPr>
            <w:r>
              <w:t>Satisfactory</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FC0AD9" w:rsidRDefault="009F0A92" w:rsidP="009543DB">
            <w:pPr>
              <w:pStyle w:val="QOStabletextleft"/>
            </w:pPr>
            <w:r>
              <w:t>Percentage of international passengers arriving using an aerobridge</w:t>
            </w:r>
          </w:p>
        </w:tc>
        <w:tc>
          <w:tcPr>
            <w:tcW w:w="1559" w:type="dxa"/>
            <w:tcBorders>
              <w:top w:val="nil"/>
              <w:left w:val="nil"/>
              <w:bottom w:val="nil"/>
              <w:right w:val="nil"/>
            </w:tcBorders>
          </w:tcPr>
          <w:p w:rsidR="009F0A92" w:rsidRPr="00A064F3" w:rsidRDefault="009F0A92" w:rsidP="009543DB">
            <w:pPr>
              <w:pStyle w:val="QOStabletextleft"/>
            </w:pPr>
            <w:r>
              <w:t>Objective indicator</w:t>
            </w:r>
          </w:p>
        </w:tc>
        <w:tc>
          <w:tcPr>
            <w:tcW w:w="1559" w:type="dxa"/>
            <w:tcBorders>
              <w:top w:val="nil"/>
              <w:left w:val="nil"/>
              <w:bottom w:val="nil"/>
              <w:right w:val="nil"/>
            </w:tcBorders>
          </w:tcPr>
          <w:p w:rsidR="009F0A92" w:rsidRPr="00771C52" w:rsidRDefault="009F0A92" w:rsidP="009543DB">
            <w:pPr>
              <w:pStyle w:val="QOStabletextleft"/>
            </w:pPr>
            <w:r>
              <w:t>96.9%</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FC0AD9" w:rsidRDefault="009F0A92" w:rsidP="009543DB">
            <w:pPr>
              <w:pStyle w:val="QOStabletextleft"/>
            </w:pPr>
            <w:r>
              <w:t>Percentage of international passengers departing using an aerobridge</w:t>
            </w:r>
          </w:p>
        </w:tc>
        <w:tc>
          <w:tcPr>
            <w:tcW w:w="1559" w:type="dxa"/>
            <w:tcBorders>
              <w:top w:val="nil"/>
              <w:left w:val="nil"/>
              <w:bottom w:val="single" w:sz="4" w:space="0" w:color="auto"/>
              <w:right w:val="nil"/>
            </w:tcBorders>
          </w:tcPr>
          <w:p w:rsidR="009F0A92" w:rsidRPr="00A064F3"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112C4F" w:rsidRDefault="009F0A92" w:rsidP="009543DB">
            <w:pPr>
              <w:pStyle w:val="QOStabletextleft"/>
              <w:rPr>
                <w:b/>
              </w:rPr>
            </w:pPr>
            <w:r w:rsidRPr="00E61DE6">
              <w:t>97.7%</w:t>
            </w:r>
          </w:p>
        </w:tc>
        <w:tc>
          <w:tcPr>
            <w:tcW w:w="1493" w:type="dxa"/>
            <w:tcBorders>
              <w:top w:val="nil"/>
              <w:left w:val="nil"/>
              <w:bottom w:val="single" w:sz="4" w:space="0" w:color="auto"/>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Security</w:t>
            </w:r>
          </w:p>
        </w:tc>
        <w:tc>
          <w:tcPr>
            <w:tcW w:w="6662" w:type="dxa"/>
            <w:tcBorders>
              <w:top w:val="single" w:sz="4" w:space="0" w:color="auto"/>
              <w:left w:val="nil"/>
              <w:bottom w:val="nil"/>
              <w:right w:val="nil"/>
            </w:tcBorders>
          </w:tcPr>
          <w:p w:rsidR="009F0A92" w:rsidRDefault="009F0A92" w:rsidP="009543DB">
            <w:pPr>
              <w:pStyle w:val="QOStabletextleft"/>
            </w:pPr>
            <w:r>
              <w:t>Quality of security search process</w:t>
            </w:r>
          </w:p>
        </w:tc>
        <w:tc>
          <w:tcPr>
            <w:tcW w:w="1559" w:type="dxa"/>
            <w:tcBorders>
              <w:top w:val="single" w:sz="4" w:space="0" w:color="auto"/>
              <w:left w:val="nil"/>
              <w:bottom w:val="nil"/>
              <w:right w:val="nil"/>
            </w:tcBorders>
          </w:tcPr>
          <w:p w:rsidR="009F0A92" w:rsidRDefault="009F0A92" w:rsidP="009543DB">
            <w:pPr>
              <w:pStyle w:val="QOStabletextleft"/>
            </w:pPr>
            <w:r>
              <w:t>Passenger survey</w:t>
            </w:r>
          </w:p>
        </w:tc>
        <w:tc>
          <w:tcPr>
            <w:tcW w:w="1559" w:type="dxa"/>
            <w:tcBorders>
              <w:top w:val="single" w:sz="4" w:space="0" w:color="auto"/>
              <w:left w:val="nil"/>
              <w:bottom w:val="nil"/>
              <w:right w:val="nil"/>
            </w:tcBorders>
          </w:tcPr>
          <w:p w:rsidR="009F0A92" w:rsidRDefault="009F0A92" w:rsidP="009543DB">
            <w:pPr>
              <w:pStyle w:val="QOStabletextleft"/>
            </w:pPr>
            <w:r>
              <w:t>Excellent</w:t>
            </w:r>
          </w:p>
        </w:tc>
        <w:tc>
          <w:tcPr>
            <w:tcW w:w="1493" w:type="dxa"/>
            <w:tcBorders>
              <w:top w:val="single" w:sz="4" w:space="0" w:color="auto"/>
              <w:left w:val="nil"/>
              <w:bottom w:val="nil"/>
              <w:right w:val="nil"/>
            </w:tcBorders>
          </w:tcPr>
          <w:p w:rsidR="009F0A92" w:rsidRDefault="009F0A92" w:rsidP="009543DB">
            <w:pPr>
              <w:pStyle w:val="QOStabletextleft"/>
            </w:pPr>
            <w:r>
              <w:rPr>
                <w:rFonts w:cs="Arial"/>
                <w:color w:val="4BACC6"/>
              </w:rPr>
              <w:t>▬</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r>
      <w:tr w:rsidR="009F0A92" w:rsidTr="009543DB">
        <w:tc>
          <w:tcPr>
            <w:tcW w:w="1266" w:type="dxa"/>
            <w:tcBorders>
              <w:top w:val="nil"/>
              <w:left w:val="nil"/>
              <w:right w:val="nil"/>
            </w:tcBorders>
          </w:tcPr>
          <w:p w:rsidR="009F0A92" w:rsidRDefault="009F0A92" w:rsidP="009543DB">
            <w:pPr>
              <w:pStyle w:val="QOStabletextleftbold"/>
            </w:pPr>
          </w:p>
        </w:tc>
        <w:tc>
          <w:tcPr>
            <w:tcW w:w="6662" w:type="dxa"/>
            <w:tcBorders>
              <w:top w:val="nil"/>
              <w:left w:val="nil"/>
              <w:right w:val="nil"/>
            </w:tcBorders>
          </w:tcPr>
          <w:p w:rsidR="009F0A92" w:rsidRPr="00FC0AD9" w:rsidRDefault="009F0A92" w:rsidP="009543DB">
            <w:pPr>
              <w:pStyle w:val="QOStabletextleft"/>
            </w:pPr>
            <w:r>
              <w:t>Number of departing passengers per security clearance system (peak hour)</w:t>
            </w:r>
          </w:p>
        </w:tc>
        <w:tc>
          <w:tcPr>
            <w:tcW w:w="1559" w:type="dxa"/>
            <w:tcBorders>
              <w:top w:val="nil"/>
              <w:left w:val="nil"/>
              <w:right w:val="nil"/>
            </w:tcBorders>
          </w:tcPr>
          <w:p w:rsidR="009F0A92" w:rsidRPr="00A064F3" w:rsidRDefault="009F0A92" w:rsidP="009543DB">
            <w:pPr>
              <w:pStyle w:val="QOStabletextleft"/>
            </w:pPr>
            <w:r>
              <w:t>Objective indicator</w:t>
            </w:r>
          </w:p>
        </w:tc>
        <w:tc>
          <w:tcPr>
            <w:tcW w:w="1559" w:type="dxa"/>
            <w:tcBorders>
              <w:top w:val="nil"/>
              <w:left w:val="nil"/>
              <w:right w:val="nil"/>
            </w:tcBorders>
          </w:tcPr>
          <w:p w:rsidR="009F0A92" w:rsidRPr="00771C52" w:rsidRDefault="009F0A92" w:rsidP="009543DB">
            <w:pPr>
              <w:pStyle w:val="QOStabletextleft"/>
            </w:pPr>
            <w:r>
              <w:t>21.1 passengers</w:t>
            </w:r>
          </w:p>
        </w:tc>
        <w:tc>
          <w:tcPr>
            <w:tcW w:w="1493" w:type="dxa"/>
            <w:tcBorders>
              <w:top w:val="nil"/>
              <w:left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bl>
    <w:p w:rsidR="009F0A92" w:rsidRDefault="009F0A92" w:rsidP="009F0A92">
      <w:pPr>
        <w:pStyle w:val="Sourceandnotes"/>
        <w:rPr>
          <w:rFonts w:cs="Arial"/>
          <w:color w:val="000000" w:themeColor="text1"/>
        </w:r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w:t>
      </w:r>
    </w:p>
    <w:p w:rsidR="009F0A92" w:rsidRDefault="009F0A92" w:rsidP="009F0A92">
      <w:pPr>
        <w:pStyle w:val="Sourceandnotes"/>
        <w:rPr>
          <w:rFonts w:cs="Arial"/>
          <w:color w:val="000000" w:themeColor="text1"/>
        </w:rPr>
      </w:pPr>
    </w:p>
    <w:p w:rsidR="009F0A92" w:rsidRDefault="009F0A92" w:rsidP="009F0A92">
      <w:pPr>
        <w:pStyle w:val="Numberedheading4"/>
      </w:pPr>
    </w:p>
    <w:p w:rsidR="009F0A92" w:rsidRDefault="009F0A92" w:rsidP="009F0A92">
      <w:pPr>
        <w:pStyle w:val="Numberedheading4"/>
      </w:pPr>
    </w:p>
    <w:p w:rsidR="009F0A92" w:rsidRDefault="009F0A92" w:rsidP="009F0A92">
      <w:pPr>
        <w:pStyle w:val="Numberedheading4"/>
      </w:pPr>
    </w:p>
    <w:p w:rsidR="009F0A92" w:rsidRDefault="009F0A92" w:rsidP="009F0A92">
      <w:pPr>
        <w:pStyle w:val="Numberedheading4"/>
      </w:pPr>
      <w:r>
        <w:lastRenderedPageBreak/>
        <w:t>Domestic terminal</w:t>
      </w:r>
    </w:p>
    <w:p w:rsidR="009F0A92" w:rsidRDefault="009F0A92" w:rsidP="009F0A92">
      <w:pPr>
        <w:pStyle w:val="Numberedcharttitle"/>
      </w:pPr>
      <w:r>
        <w:t>Table 2.3.3:</w:t>
      </w:r>
      <w:r>
        <w:tab/>
        <w:t>Brisbane Airport—indicators of quality of passenger</w:t>
      </w:r>
      <w:r>
        <w:noBreakHyphen/>
        <w:t xml:space="preserve">related services and facilities—domestic terminal: </w:t>
      </w:r>
      <w:r>
        <w:br/>
        <w:t>2014-15, 1-year change and change since 2010-11</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9F0A92" w:rsidTr="009543DB">
        <w:tc>
          <w:tcPr>
            <w:tcW w:w="1266" w:type="dxa"/>
            <w:tcBorders>
              <w:left w:val="nil"/>
              <w:bottom w:val="single" w:sz="4" w:space="0" w:color="auto"/>
              <w:right w:val="nil"/>
            </w:tcBorders>
            <w:shd w:val="clear" w:color="auto" w:fill="DFE0DC"/>
          </w:tcPr>
          <w:p w:rsidR="009F0A92" w:rsidRDefault="009F0A92" w:rsidP="009543DB">
            <w:pPr>
              <w:pStyle w:val="QOStabletextleftbold"/>
            </w:pPr>
            <w:r>
              <w:t>Category</w:t>
            </w:r>
          </w:p>
        </w:tc>
        <w:tc>
          <w:tcPr>
            <w:tcW w:w="6662" w:type="dxa"/>
            <w:tcBorders>
              <w:left w:val="nil"/>
              <w:bottom w:val="single" w:sz="4" w:space="0" w:color="auto"/>
              <w:right w:val="nil"/>
            </w:tcBorders>
            <w:shd w:val="clear" w:color="auto" w:fill="DFE0DC"/>
          </w:tcPr>
          <w:p w:rsidR="009F0A92" w:rsidRDefault="009F0A92" w:rsidP="009543DB">
            <w:pPr>
              <w:pStyle w:val="QOStabletextleftbold"/>
            </w:pPr>
            <w:r>
              <w:t>Indicator</w:t>
            </w:r>
          </w:p>
        </w:tc>
        <w:tc>
          <w:tcPr>
            <w:tcW w:w="1559" w:type="dxa"/>
            <w:tcBorders>
              <w:left w:val="nil"/>
              <w:bottom w:val="single" w:sz="4" w:space="0" w:color="auto"/>
              <w:right w:val="nil"/>
            </w:tcBorders>
            <w:shd w:val="clear" w:color="auto" w:fill="DFE0DC"/>
          </w:tcPr>
          <w:p w:rsidR="009F0A92" w:rsidRDefault="009F0A92" w:rsidP="009543DB">
            <w:pPr>
              <w:pStyle w:val="QOStabletextleftbold"/>
            </w:pPr>
            <w:r>
              <w:t>Data source</w:t>
            </w:r>
          </w:p>
        </w:tc>
        <w:tc>
          <w:tcPr>
            <w:tcW w:w="1559" w:type="dxa"/>
            <w:tcBorders>
              <w:left w:val="nil"/>
              <w:bottom w:val="single" w:sz="4" w:space="0" w:color="auto"/>
              <w:right w:val="nil"/>
            </w:tcBorders>
            <w:shd w:val="clear" w:color="auto" w:fill="DFE0DC"/>
          </w:tcPr>
          <w:p w:rsidR="009F0A92" w:rsidRDefault="009F0A92" w:rsidP="009543DB">
            <w:pPr>
              <w:pStyle w:val="QOStabletextleftbold"/>
            </w:pPr>
            <w:r>
              <w:t>Indicator result 2014-15</w:t>
            </w:r>
          </w:p>
        </w:tc>
        <w:tc>
          <w:tcPr>
            <w:tcW w:w="1493" w:type="dxa"/>
            <w:tcBorders>
              <w:left w:val="nil"/>
              <w:bottom w:val="single" w:sz="4" w:space="0" w:color="auto"/>
              <w:right w:val="nil"/>
            </w:tcBorders>
            <w:shd w:val="clear" w:color="auto" w:fill="DFE0DC"/>
          </w:tcPr>
          <w:p w:rsidR="009F0A92" w:rsidRDefault="009F0A92" w:rsidP="009543DB">
            <w:pPr>
              <w:pStyle w:val="QOStabletextleftbold"/>
            </w:pPr>
            <w:r>
              <w:t>1-year change</w:t>
            </w:r>
          </w:p>
        </w:tc>
        <w:tc>
          <w:tcPr>
            <w:tcW w:w="1493" w:type="dxa"/>
            <w:tcBorders>
              <w:left w:val="nil"/>
              <w:bottom w:val="single" w:sz="4" w:space="0" w:color="auto"/>
              <w:right w:val="nil"/>
            </w:tcBorders>
            <w:shd w:val="clear" w:color="auto" w:fill="DFE0DC"/>
          </w:tcPr>
          <w:p w:rsidR="009F0A92" w:rsidRDefault="009F0A92" w:rsidP="009543DB">
            <w:pPr>
              <w:pStyle w:val="QOStabletextleftbold"/>
            </w:pPr>
            <w:r>
              <w:t>Change since 2010</w:t>
            </w:r>
            <w:r>
              <w:noBreakHyphen/>
              <w:t>11</w:t>
            </w:r>
          </w:p>
        </w:tc>
      </w:tr>
      <w:tr w:rsidR="009F0A92" w:rsidTr="009543DB">
        <w:tc>
          <w:tcPr>
            <w:tcW w:w="1266" w:type="dxa"/>
            <w:tcBorders>
              <w:top w:val="nil"/>
              <w:left w:val="nil"/>
              <w:bottom w:val="nil"/>
              <w:right w:val="nil"/>
            </w:tcBorders>
          </w:tcPr>
          <w:p w:rsidR="009F0A92" w:rsidRDefault="009F0A92" w:rsidP="009543DB">
            <w:pPr>
              <w:pStyle w:val="QOStabletextleftbold"/>
            </w:pPr>
            <w:r>
              <w:t>Check-in</w:t>
            </w:r>
          </w:p>
        </w:tc>
        <w:tc>
          <w:tcPr>
            <w:tcW w:w="6662" w:type="dxa"/>
            <w:tcBorders>
              <w:top w:val="nil"/>
              <w:left w:val="nil"/>
              <w:bottom w:val="nil"/>
              <w:right w:val="nil"/>
            </w:tcBorders>
          </w:tcPr>
          <w:p w:rsidR="009F0A92" w:rsidRDefault="009F0A92" w:rsidP="009543DB">
            <w:pPr>
              <w:pStyle w:val="QOStabletextleft"/>
            </w:pPr>
            <w:r>
              <w:t>Check</w:t>
            </w:r>
            <w:r>
              <w:noBreakHyphen/>
              <w:t>in availability</w:t>
            </w:r>
          </w:p>
        </w:tc>
        <w:tc>
          <w:tcPr>
            <w:tcW w:w="1559" w:type="dxa"/>
            <w:tcBorders>
              <w:top w:val="nil"/>
              <w:left w:val="nil"/>
              <w:bottom w:val="nil"/>
              <w:right w:val="nil"/>
            </w:tcBorders>
          </w:tcPr>
          <w:p w:rsidR="009F0A92" w:rsidRDefault="009F0A92" w:rsidP="009543DB">
            <w:pPr>
              <w:pStyle w:val="QOStabletextleft"/>
            </w:pPr>
            <w:r>
              <w:t>Airline survey</w:t>
            </w:r>
          </w:p>
        </w:tc>
        <w:tc>
          <w:tcPr>
            <w:tcW w:w="1559" w:type="dxa"/>
            <w:tcBorders>
              <w:top w:val="nil"/>
              <w:left w:val="nil"/>
              <w:bottom w:val="nil"/>
              <w:right w:val="nil"/>
            </w:tcBorders>
          </w:tcPr>
          <w:p w:rsidR="009F0A92" w:rsidRDefault="009F0A92" w:rsidP="009543DB">
            <w:pPr>
              <w:pStyle w:val="QOStabletextleft"/>
            </w:pPr>
            <w:r>
              <w:t>Satisfactory</w:t>
            </w:r>
          </w:p>
        </w:tc>
        <w:tc>
          <w:tcPr>
            <w:tcW w:w="1493" w:type="dxa"/>
            <w:tcBorders>
              <w:top w:val="nil"/>
              <w:left w:val="nil"/>
              <w:bottom w:val="nil"/>
              <w:right w:val="nil"/>
            </w:tcBorders>
          </w:tcPr>
          <w:p w:rsidR="009F0A92" w:rsidRPr="00F617F8" w:rsidRDefault="009F0A92" w:rsidP="009543DB">
            <w:pPr>
              <w:pStyle w:val="QOStabletextleft"/>
              <w:rPr>
                <w:lang w:eastAsia="en-AU"/>
              </w:rPr>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Pr="00F617F8" w:rsidRDefault="009F0A92" w:rsidP="009543DB">
            <w:pPr>
              <w:pStyle w:val="QOStabletextleft"/>
              <w:rPr>
                <w:color w:val="943634"/>
                <w:lang w:eastAsia="en-AU"/>
              </w:rPr>
            </w:pPr>
            <w:r w:rsidRPr="00F37713">
              <w:rPr>
                <w:lang w:eastAsia="en-AU"/>
              </w:rP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Check</w:t>
            </w:r>
            <w:r>
              <w:noBreakHyphen/>
              <w:t>in standard</w:t>
            </w:r>
          </w:p>
        </w:tc>
        <w:tc>
          <w:tcPr>
            <w:tcW w:w="1559" w:type="dxa"/>
            <w:tcBorders>
              <w:top w:val="nil"/>
              <w:left w:val="nil"/>
              <w:bottom w:val="nil"/>
              <w:right w:val="nil"/>
            </w:tcBorders>
          </w:tcPr>
          <w:p w:rsidR="009F0A92" w:rsidRDefault="009F0A92" w:rsidP="009543DB">
            <w:pPr>
              <w:pStyle w:val="QOStabletextleft"/>
            </w:pPr>
            <w:r>
              <w:t>Airline survey</w:t>
            </w:r>
          </w:p>
        </w:tc>
        <w:tc>
          <w:tcPr>
            <w:tcW w:w="1559" w:type="dxa"/>
            <w:tcBorders>
              <w:top w:val="nil"/>
              <w:left w:val="nil"/>
              <w:bottom w:val="nil"/>
              <w:right w:val="nil"/>
            </w:tcBorders>
          </w:tcPr>
          <w:p w:rsidR="009F0A92" w:rsidRDefault="009F0A92" w:rsidP="009543DB">
            <w:pPr>
              <w:pStyle w:val="QOStabletextleft"/>
            </w:pPr>
            <w:r>
              <w:t>Satisfactory</w:t>
            </w:r>
          </w:p>
        </w:tc>
        <w:tc>
          <w:tcPr>
            <w:tcW w:w="1493" w:type="dxa"/>
            <w:tcBorders>
              <w:top w:val="nil"/>
              <w:left w:val="nil"/>
              <w:bottom w:val="nil"/>
              <w:right w:val="nil"/>
            </w:tcBorders>
          </w:tcPr>
          <w:p w:rsidR="009F0A92" w:rsidRPr="00F617F8" w:rsidRDefault="009F0A92" w:rsidP="009543DB">
            <w:pPr>
              <w:pStyle w:val="QOStabletextleft"/>
              <w:rPr>
                <w:rFonts w:eastAsia="Times New Roman" w:cs="Times New Roman"/>
                <w:color w:val="943634"/>
                <w:szCs w:val="24"/>
                <w:lang w:eastAsia="en-AU"/>
              </w:rPr>
            </w:pPr>
            <w:r>
              <w:rPr>
                <w:rFonts w:cs="Arial"/>
                <w:color w:val="4BACC6"/>
              </w:rPr>
              <w:t>▬</w:t>
            </w:r>
          </w:p>
        </w:tc>
        <w:tc>
          <w:tcPr>
            <w:tcW w:w="1493" w:type="dxa"/>
            <w:tcBorders>
              <w:top w:val="nil"/>
              <w:left w:val="nil"/>
              <w:bottom w:val="nil"/>
              <w:right w:val="nil"/>
            </w:tcBorders>
          </w:tcPr>
          <w:p w:rsidR="009F0A92" w:rsidRPr="00F617F8" w:rsidRDefault="009F0A92" w:rsidP="009543DB">
            <w:pPr>
              <w:pStyle w:val="QOStabletextleft"/>
              <w:rPr>
                <w:color w:val="943634"/>
                <w:lang w:eastAsia="en-AU"/>
              </w:rPr>
            </w:pPr>
            <w:r w:rsidRPr="00F37713">
              <w:rPr>
                <w:lang w:eastAsia="en-AU"/>
              </w:rP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Check-in waiting time</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Excellent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995B26" w:rsidRDefault="009F0A92" w:rsidP="009543DB">
            <w:pPr>
              <w:pStyle w:val="QOStabletextleft"/>
            </w:pPr>
            <w:r>
              <w:t>Number of departing passengers per check-in desk, kiosk and bag drop facility (peak hour)</w:t>
            </w:r>
          </w:p>
        </w:tc>
        <w:tc>
          <w:tcPr>
            <w:tcW w:w="1559" w:type="dxa"/>
            <w:tcBorders>
              <w:top w:val="nil"/>
              <w:left w:val="nil"/>
              <w:bottom w:val="single" w:sz="4" w:space="0" w:color="auto"/>
              <w:right w:val="nil"/>
            </w:tcBorders>
          </w:tcPr>
          <w:p w:rsidR="009F0A92" w:rsidRPr="005156C1"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BD3FFC" w:rsidRDefault="009F0A92" w:rsidP="009543DB">
            <w:pPr>
              <w:pStyle w:val="QOStabletextleft"/>
            </w:pPr>
            <w:r>
              <w:t>12.9 passengers</w:t>
            </w:r>
          </w:p>
        </w:tc>
        <w:tc>
          <w:tcPr>
            <w:tcW w:w="1493" w:type="dxa"/>
            <w:tcBorders>
              <w:top w:val="nil"/>
              <w:left w:val="nil"/>
              <w:bottom w:val="single" w:sz="4" w:space="0" w:color="auto"/>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left w:val="nil"/>
              <w:bottom w:val="nil"/>
              <w:right w:val="nil"/>
            </w:tcBorders>
          </w:tcPr>
          <w:p w:rsidR="009F0A92" w:rsidRDefault="009F0A92" w:rsidP="009543DB">
            <w:pPr>
              <w:pStyle w:val="QOStabletextleftbold"/>
            </w:pPr>
            <w:r>
              <w:t>Baggage</w:t>
            </w:r>
          </w:p>
        </w:tc>
        <w:tc>
          <w:tcPr>
            <w:tcW w:w="6662" w:type="dxa"/>
            <w:tcBorders>
              <w:left w:val="nil"/>
              <w:bottom w:val="nil"/>
              <w:right w:val="nil"/>
            </w:tcBorders>
          </w:tcPr>
          <w:p w:rsidR="009F0A92" w:rsidRDefault="009F0A92" w:rsidP="009543DB">
            <w:pPr>
              <w:pStyle w:val="QOStabletextleft"/>
            </w:pPr>
            <w:r>
              <w:t>Baggage processing facilities availability</w:t>
            </w:r>
          </w:p>
        </w:tc>
        <w:tc>
          <w:tcPr>
            <w:tcW w:w="1559" w:type="dxa"/>
            <w:tcBorders>
              <w:left w:val="nil"/>
              <w:bottom w:val="nil"/>
              <w:right w:val="nil"/>
            </w:tcBorders>
          </w:tcPr>
          <w:p w:rsidR="009F0A92" w:rsidRDefault="009F0A92" w:rsidP="009543DB">
            <w:pPr>
              <w:pStyle w:val="QOStabletextleft"/>
            </w:pPr>
            <w:r>
              <w:t>Airline survey</w:t>
            </w:r>
          </w:p>
        </w:tc>
        <w:tc>
          <w:tcPr>
            <w:tcW w:w="1559" w:type="dxa"/>
            <w:tcBorders>
              <w:left w:val="nil"/>
              <w:bottom w:val="nil"/>
              <w:right w:val="nil"/>
            </w:tcBorders>
          </w:tcPr>
          <w:p w:rsidR="009F0A92" w:rsidRDefault="009F0A92" w:rsidP="009543DB">
            <w:pPr>
              <w:pStyle w:val="QOStabletextleft"/>
            </w:pPr>
            <w:r>
              <w:t>Satisfactory</w:t>
            </w:r>
          </w:p>
        </w:tc>
        <w:tc>
          <w:tcPr>
            <w:tcW w:w="1493" w:type="dxa"/>
            <w:tcBorders>
              <w:left w:val="nil"/>
              <w:bottom w:val="nil"/>
              <w:right w:val="nil"/>
            </w:tcBorders>
          </w:tcPr>
          <w:p w:rsidR="009F0A92" w:rsidRPr="00F617F8" w:rsidRDefault="009F0A92" w:rsidP="009543DB">
            <w:pPr>
              <w:pStyle w:val="QOStabletextleft"/>
              <w:rPr>
                <w:color w:val="943634"/>
                <w:lang w:eastAsia="en-AU"/>
              </w:rPr>
            </w:pPr>
            <w:r>
              <w:rPr>
                <w:rFonts w:eastAsia="Times New Roman" w:cs="Times New Roman"/>
                <w:color w:val="F79646"/>
                <w:szCs w:val="24"/>
                <w:lang w:eastAsia="en-AU"/>
              </w:rPr>
              <w:t>▼</w:t>
            </w:r>
          </w:p>
        </w:tc>
        <w:tc>
          <w:tcPr>
            <w:tcW w:w="1493" w:type="dxa"/>
            <w:tcBorders>
              <w:left w:val="nil"/>
              <w:bottom w:val="nil"/>
              <w:right w:val="nil"/>
            </w:tcBorders>
          </w:tcPr>
          <w:p w:rsidR="009F0A92" w:rsidRPr="00F37713" w:rsidRDefault="009F0A92" w:rsidP="009543DB">
            <w:pPr>
              <w:pStyle w:val="QOStabletextleft"/>
              <w:rPr>
                <w:lang w:eastAsia="en-AU"/>
              </w:rPr>
            </w:pPr>
            <w:r>
              <w:rPr>
                <w:lang w:eastAsia="en-AU"/>
              </w:rP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Baggage processing facilities standard</w:t>
            </w:r>
          </w:p>
        </w:tc>
        <w:tc>
          <w:tcPr>
            <w:tcW w:w="1559" w:type="dxa"/>
            <w:tcBorders>
              <w:top w:val="nil"/>
              <w:left w:val="nil"/>
              <w:bottom w:val="nil"/>
              <w:right w:val="nil"/>
            </w:tcBorders>
          </w:tcPr>
          <w:p w:rsidR="009F0A92" w:rsidRDefault="009F0A92" w:rsidP="009543DB">
            <w:pPr>
              <w:pStyle w:val="QOStabletextleft"/>
            </w:pPr>
            <w:r>
              <w:t>Airline survey</w:t>
            </w:r>
          </w:p>
        </w:tc>
        <w:tc>
          <w:tcPr>
            <w:tcW w:w="1559" w:type="dxa"/>
            <w:tcBorders>
              <w:top w:val="nil"/>
              <w:left w:val="nil"/>
              <w:bottom w:val="nil"/>
              <w:right w:val="nil"/>
            </w:tcBorders>
          </w:tcPr>
          <w:p w:rsidR="009F0A92" w:rsidRDefault="009F0A92" w:rsidP="009543DB">
            <w:pPr>
              <w:pStyle w:val="QOStabletextleft"/>
            </w:pPr>
            <w:r>
              <w:t>Satisfactory</w:t>
            </w:r>
          </w:p>
        </w:tc>
        <w:tc>
          <w:tcPr>
            <w:tcW w:w="1493" w:type="dxa"/>
            <w:tcBorders>
              <w:top w:val="nil"/>
              <w:left w:val="nil"/>
              <w:bottom w:val="nil"/>
              <w:right w:val="nil"/>
            </w:tcBorders>
          </w:tcPr>
          <w:p w:rsidR="009F0A92" w:rsidRPr="00F617F8" w:rsidRDefault="009F0A92" w:rsidP="009543DB">
            <w:pPr>
              <w:pStyle w:val="QOStabletextleft"/>
              <w:rPr>
                <w:color w:val="943634"/>
                <w:lang w:eastAsia="en-AU"/>
              </w:rPr>
            </w:pPr>
            <w:r>
              <w:rPr>
                <w:rFonts w:eastAsia="Times New Roman" w:cs="Times New Roman"/>
                <w:color w:val="F79646"/>
                <w:szCs w:val="24"/>
                <w:lang w:eastAsia="en-AU"/>
              </w:rPr>
              <w:t>▼</w:t>
            </w:r>
            <w:r>
              <w:rPr>
                <w:lang w:eastAsia="en-AU"/>
              </w:rPr>
              <w:t>*</w:t>
            </w:r>
          </w:p>
        </w:tc>
        <w:tc>
          <w:tcPr>
            <w:tcW w:w="1493" w:type="dxa"/>
            <w:tcBorders>
              <w:top w:val="nil"/>
              <w:left w:val="nil"/>
              <w:bottom w:val="nil"/>
              <w:right w:val="nil"/>
            </w:tcBorders>
          </w:tcPr>
          <w:p w:rsidR="009F0A92" w:rsidRPr="00F37713" w:rsidRDefault="009F0A92" w:rsidP="009543DB">
            <w:pPr>
              <w:pStyle w:val="QOStabletextleft"/>
              <w:rPr>
                <w:lang w:eastAsia="en-AU"/>
              </w:rPr>
            </w:pPr>
            <w:r>
              <w:rPr>
                <w:lang w:eastAsia="en-AU"/>
              </w:rP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Circulation space for inbound baggage reclaim</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A064F3" w:rsidRDefault="009F0A92" w:rsidP="009543DB">
            <w:pPr>
              <w:pStyle w:val="QOStabletextleft"/>
            </w:pPr>
            <w:r>
              <w:t>Information display for inbound baggage reclaim</w:t>
            </w:r>
          </w:p>
        </w:tc>
        <w:tc>
          <w:tcPr>
            <w:tcW w:w="1559" w:type="dxa"/>
            <w:tcBorders>
              <w:top w:val="nil"/>
              <w:left w:val="nil"/>
              <w:bottom w:val="nil"/>
              <w:right w:val="nil"/>
            </w:tcBorders>
          </w:tcPr>
          <w:p w:rsidR="009F0A92" w:rsidRPr="003131A5"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Pr>
                <w:rFonts w:cs="Arial"/>
                <w:color w:val="4BACC6"/>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A064F3" w:rsidRDefault="009F0A92" w:rsidP="009543DB">
            <w:pPr>
              <w:pStyle w:val="QOStabletextleft"/>
            </w:pPr>
            <w:r>
              <w:t>Number of arriving passengers per m</w:t>
            </w:r>
            <w:r>
              <w:rPr>
                <w:vertAlign w:val="superscript"/>
              </w:rPr>
              <w:t xml:space="preserve">2 </w:t>
            </w:r>
            <w:r>
              <w:t>of inbound baggage reclaim area (peak hour)</w:t>
            </w:r>
          </w:p>
        </w:tc>
        <w:tc>
          <w:tcPr>
            <w:tcW w:w="1559" w:type="dxa"/>
            <w:tcBorders>
              <w:top w:val="nil"/>
              <w:left w:val="nil"/>
              <w:bottom w:val="nil"/>
              <w:right w:val="nil"/>
            </w:tcBorders>
          </w:tcPr>
          <w:p w:rsidR="009F0A92" w:rsidRPr="003131A5" w:rsidRDefault="009F0A92" w:rsidP="009543DB">
            <w:pPr>
              <w:pStyle w:val="QOStabletextleft"/>
            </w:pPr>
            <w:r>
              <w:t>Objective indicator</w:t>
            </w:r>
          </w:p>
        </w:tc>
        <w:tc>
          <w:tcPr>
            <w:tcW w:w="1559" w:type="dxa"/>
            <w:tcBorders>
              <w:top w:val="nil"/>
              <w:left w:val="nil"/>
              <w:bottom w:val="nil"/>
              <w:right w:val="nil"/>
            </w:tcBorders>
          </w:tcPr>
          <w:p w:rsidR="009F0A92" w:rsidRPr="00BD3FFC" w:rsidRDefault="009F0A92" w:rsidP="009543DB">
            <w:pPr>
              <w:pStyle w:val="QOStabletextleft"/>
            </w:pPr>
            <w:r>
              <w:t>2.4 passengers</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A064F3" w:rsidRDefault="009F0A92" w:rsidP="009543DB">
            <w:pPr>
              <w:pStyle w:val="QOStabletextleft"/>
            </w:pPr>
            <w:r>
              <w:t>Findability of baggage trolleys</w:t>
            </w:r>
          </w:p>
        </w:tc>
        <w:tc>
          <w:tcPr>
            <w:tcW w:w="1559" w:type="dxa"/>
            <w:tcBorders>
              <w:top w:val="nil"/>
              <w:left w:val="nil"/>
              <w:bottom w:val="nil"/>
              <w:right w:val="nil"/>
            </w:tcBorders>
          </w:tcPr>
          <w:p w:rsidR="009F0A92" w:rsidRPr="003131A5"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A064F3" w:rsidRDefault="009F0A92" w:rsidP="009543DB">
            <w:pPr>
              <w:pStyle w:val="QOStabletextleft"/>
            </w:pPr>
            <w:r>
              <w:t>Number of passengers per baggage trolley (peak hour)</w:t>
            </w:r>
          </w:p>
        </w:tc>
        <w:tc>
          <w:tcPr>
            <w:tcW w:w="1559" w:type="dxa"/>
            <w:tcBorders>
              <w:top w:val="nil"/>
              <w:left w:val="nil"/>
              <w:bottom w:val="nil"/>
              <w:right w:val="nil"/>
            </w:tcBorders>
          </w:tcPr>
          <w:p w:rsidR="009F0A92" w:rsidRPr="003131A5" w:rsidRDefault="009F0A92" w:rsidP="009543DB">
            <w:pPr>
              <w:pStyle w:val="QOStabletextleft"/>
            </w:pPr>
            <w:r>
              <w:t>Objective indicator</w:t>
            </w:r>
          </w:p>
        </w:tc>
        <w:tc>
          <w:tcPr>
            <w:tcW w:w="1559" w:type="dxa"/>
            <w:tcBorders>
              <w:top w:val="nil"/>
              <w:left w:val="nil"/>
              <w:bottom w:val="nil"/>
              <w:right w:val="nil"/>
            </w:tcBorders>
          </w:tcPr>
          <w:p w:rsidR="009F0A92" w:rsidRPr="00BD3FFC" w:rsidRDefault="009F0A92" w:rsidP="009543DB">
            <w:pPr>
              <w:pStyle w:val="QOStabletextleft"/>
            </w:pPr>
            <w:r>
              <w:t>3.0 passengers</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left w:val="nil"/>
              <w:bottom w:val="nil"/>
              <w:right w:val="nil"/>
            </w:tcBorders>
          </w:tcPr>
          <w:p w:rsidR="009F0A92" w:rsidRDefault="009F0A92" w:rsidP="009543DB">
            <w:pPr>
              <w:pStyle w:val="QOStabletextleftbold"/>
            </w:pPr>
            <w:r>
              <w:t>Information</w:t>
            </w:r>
          </w:p>
        </w:tc>
        <w:tc>
          <w:tcPr>
            <w:tcW w:w="6662" w:type="dxa"/>
            <w:tcBorders>
              <w:left w:val="nil"/>
              <w:bottom w:val="nil"/>
              <w:right w:val="nil"/>
            </w:tcBorders>
          </w:tcPr>
          <w:p w:rsidR="009F0A92" w:rsidRDefault="009F0A92" w:rsidP="009543DB">
            <w:pPr>
              <w:pStyle w:val="QOStabletextleft"/>
            </w:pPr>
            <w:r>
              <w:t>Flight information display screens</w:t>
            </w:r>
          </w:p>
        </w:tc>
        <w:tc>
          <w:tcPr>
            <w:tcW w:w="1559" w:type="dxa"/>
            <w:tcBorders>
              <w:left w:val="nil"/>
              <w:bottom w:val="nil"/>
              <w:right w:val="nil"/>
            </w:tcBorders>
          </w:tcPr>
          <w:p w:rsidR="009F0A92" w:rsidRDefault="009F0A92" w:rsidP="009543DB">
            <w:pPr>
              <w:pStyle w:val="QOStabletextleft"/>
            </w:pPr>
            <w:r>
              <w:t>Passenger survey</w:t>
            </w:r>
          </w:p>
        </w:tc>
        <w:tc>
          <w:tcPr>
            <w:tcW w:w="1559" w:type="dxa"/>
            <w:tcBorders>
              <w:left w:val="nil"/>
              <w:bottom w:val="nil"/>
              <w:right w:val="nil"/>
            </w:tcBorders>
          </w:tcPr>
          <w:p w:rsidR="009F0A92" w:rsidRDefault="009F0A92" w:rsidP="009543DB">
            <w:pPr>
              <w:pStyle w:val="QOStabletextleft"/>
            </w:pPr>
            <w:r>
              <w:t>Good</w:t>
            </w:r>
          </w:p>
        </w:tc>
        <w:tc>
          <w:tcPr>
            <w:tcW w:w="1493" w:type="dxa"/>
            <w:tcBorders>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753977" w:rsidRDefault="009F0A92" w:rsidP="009543DB">
            <w:pPr>
              <w:pStyle w:val="QOStabletextleft"/>
            </w:pPr>
            <w:r>
              <w:t>Number of passengers per flight information display screen (peak hour)</w:t>
            </w:r>
          </w:p>
        </w:tc>
        <w:tc>
          <w:tcPr>
            <w:tcW w:w="1559" w:type="dxa"/>
            <w:tcBorders>
              <w:top w:val="nil"/>
              <w:left w:val="nil"/>
              <w:bottom w:val="nil"/>
              <w:right w:val="nil"/>
            </w:tcBorders>
          </w:tcPr>
          <w:p w:rsidR="009F0A92" w:rsidRPr="005156C1" w:rsidRDefault="009F0A92" w:rsidP="009543DB">
            <w:pPr>
              <w:pStyle w:val="QOStabletextleft"/>
            </w:pPr>
            <w:r>
              <w:t>Objective indicator</w:t>
            </w:r>
          </w:p>
        </w:tc>
        <w:tc>
          <w:tcPr>
            <w:tcW w:w="1559" w:type="dxa"/>
            <w:tcBorders>
              <w:top w:val="nil"/>
              <w:left w:val="nil"/>
              <w:bottom w:val="nil"/>
              <w:right w:val="nil"/>
            </w:tcBorders>
          </w:tcPr>
          <w:p w:rsidR="009F0A92" w:rsidRPr="00BD3FFC" w:rsidRDefault="009F0A92" w:rsidP="009543DB">
            <w:pPr>
              <w:pStyle w:val="QOStabletextleft"/>
            </w:pPr>
            <w:r>
              <w:t>5.0 passengers</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753977" w:rsidRDefault="009F0A92" w:rsidP="009543DB">
            <w:pPr>
              <w:pStyle w:val="QOStabletextleft"/>
            </w:pPr>
            <w:r>
              <w:t>Number of passengers per information point (peak hour)</w:t>
            </w:r>
          </w:p>
        </w:tc>
        <w:tc>
          <w:tcPr>
            <w:tcW w:w="1559" w:type="dxa"/>
            <w:tcBorders>
              <w:top w:val="nil"/>
              <w:left w:val="nil"/>
              <w:bottom w:val="nil"/>
              <w:right w:val="nil"/>
            </w:tcBorders>
          </w:tcPr>
          <w:p w:rsidR="009F0A92" w:rsidRPr="005156C1" w:rsidRDefault="009F0A92" w:rsidP="009543DB">
            <w:pPr>
              <w:pStyle w:val="QOStabletextleft"/>
            </w:pPr>
            <w:r>
              <w:t>Objective indicator</w:t>
            </w:r>
          </w:p>
        </w:tc>
        <w:tc>
          <w:tcPr>
            <w:tcW w:w="1559" w:type="dxa"/>
            <w:tcBorders>
              <w:top w:val="nil"/>
              <w:left w:val="nil"/>
              <w:bottom w:val="nil"/>
              <w:right w:val="nil"/>
            </w:tcBorders>
          </w:tcPr>
          <w:p w:rsidR="009F0A92" w:rsidRPr="00BD3FFC" w:rsidRDefault="009F0A92" w:rsidP="009543DB">
            <w:pPr>
              <w:pStyle w:val="QOStabletextleft"/>
            </w:pPr>
            <w:r>
              <w:t>971.0 passengers</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Default="009F0A92" w:rsidP="009543DB">
            <w:pPr>
              <w:pStyle w:val="QOStabletextleft"/>
            </w:pPr>
            <w:r>
              <w:t>Signage and wayfinding</w:t>
            </w:r>
          </w:p>
        </w:tc>
        <w:tc>
          <w:tcPr>
            <w:tcW w:w="1559" w:type="dxa"/>
            <w:tcBorders>
              <w:top w:val="nil"/>
              <w:left w:val="nil"/>
              <w:bottom w:val="single" w:sz="4" w:space="0" w:color="auto"/>
              <w:right w:val="nil"/>
            </w:tcBorders>
          </w:tcPr>
          <w:p w:rsidR="009F0A92" w:rsidRDefault="009F0A92" w:rsidP="009543DB">
            <w:pPr>
              <w:pStyle w:val="QOStabletextleft"/>
            </w:pPr>
            <w:r>
              <w:t>Passenger survey</w:t>
            </w:r>
          </w:p>
        </w:tc>
        <w:tc>
          <w:tcPr>
            <w:tcW w:w="1559" w:type="dxa"/>
            <w:tcBorders>
              <w:top w:val="nil"/>
              <w:left w:val="nil"/>
              <w:bottom w:val="single" w:sz="4" w:space="0" w:color="auto"/>
              <w:right w:val="nil"/>
            </w:tcBorders>
          </w:tcPr>
          <w:p w:rsidR="009F0A92" w:rsidRDefault="009F0A92" w:rsidP="009543DB">
            <w:pPr>
              <w:pStyle w:val="QOStabletextleft"/>
            </w:pPr>
            <w:r>
              <w:t>Good</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Gate lounges</w:t>
            </w:r>
          </w:p>
        </w:tc>
        <w:tc>
          <w:tcPr>
            <w:tcW w:w="6662" w:type="dxa"/>
            <w:tcBorders>
              <w:top w:val="single" w:sz="4" w:space="0" w:color="auto"/>
              <w:left w:val="nil"/>
              <w:bottom w:val="nil"/>
              <w:right w:val="nil"/>
            </w:tcBorders>
          </w:tcPr>
          <w:p w:rsidR="009F0A92" w:rsidRDefault="009F0A92" w:rsidP="009543DB">
            <w:pPr>
              <w:pStyle w:val="QOStabletextleft"/>
            </w:pPr>
            <w:r>
              <w:t>Seating in lounge area (quality and availability)</w:t>
            </w:r>
          </w:p>
        </w:tc>
        <w:tc>
          <w:tcPr>
            <w:tcW w:w="1559" w:type="dxa"/>
            <w:tcBorders>
              <w:top w:val="single" w:sz="4" w:space="0" w:color="auto"/>
              <w:left w:val="nil"/>
              <w:bottom w:val="nil"/>
              <w:right w:val="nil"/>
            </w:tcBorders>
          </w:tcPr>
          <w:p w:rsidR="009F0A92" w:rsidRDefault="009F0A92" w:rsidP="009543DB">
            <w:pPr>
              <w:pStyle w:val="QOStabletextleft"/>
            </w:pPr>
            <w:r>
              <w:t>Passenger survey</w:t>
            </w:r>
          </w:p>
        </w:tc>
        <w:tc>
          <w:tcPr>
            <w:tcW w:w="1559" w:type="dxa"/>
            <w:tcBorders>
              <w:top w:val="single" w:sz="4" w:space="0" w:color="auto"/>
              <w:left w:val="nil"/>
              <w:bottom w:val="nil"/>
              <w:right w:val="nil"/>
            </w:tcBorders>
          </w:tcPr>
          <w:p w:rsidR="009F0A92" w:rsidRDefault="009F0A92" w:rsidP="009543DB">
            <w:pPr>
              <w:pStyle w:val="QOStabletextleft"/>
            </w:pPr>
            <w:r>
              <w:t>Good</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single" w:sz="4" w:space="0" w:color="auto"/>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A064F3" w:rsidRDefault="009F0A92" w:rsidP="009543DB">
            <w:pPr>
              <w:pStyle w:val="QOStabletextleft"/>
            </w:pPr>
            <w:r>
              <w:t>Number of departing passengers per seat in gate lounges (peak hour)</w:t>
            </w:r>
          </w:p>
        </w:tc>
        <w:tc>
          <w:tcPr>
            <w:tcW w:w="1559" w:type="dxa"/>
            <w:tcBorders>
              <w:top w:val="nil"/>
              <w:left w:val="nil"/>
              <w:bottom w:val="nil"/>
              <w:right w:val="nil"/>
            </w:tcBorders>
          </w:tcPr>
          <w:p w:rsidR="009F0A92" w:rsidRPr="003131A5" w:rsidRDefault="009F0A92" w:rsidP="009543DB">
            <w:pPr>
              <w:pStyle w:val="QOStabletextleft"/>
            </w:pPr>
            <w:r>
              <w:t>Objective indicator</w:t>
            </w:r>
          </w:p>
        </w:tc>
        <w:tc>
          <w:tcPr>
            <w:tcW w:w="1559" w:type="dxa"/>
            <w:tcBorders>
              <w:top w:val="nil"/>
              <w:left w:val="nil"/>
              <w:bottom w:val="nil"/>
              <w:right w:val="nil"/>
            </w:tcBorders>
          </w:tcPr>
          <w:p w:rsidR="009F0A92" w:rsidRPr="00BD3FFC" w:rsidRDefault="009F0A92" w:rsidP="009543DB">
            <w:pPr>
              <w:pStyle w:val="QOStabletextleft"/>
            </w:pPr>
            <w:r>
              <w:t>0.5 passengers</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Default="009F0A92" w:rsidP="009543DB">
            <w:pPr>
              <w:pStyle w:val="QOStabletextleft"/>
            </w:pPr>
            <w:r>
              <w:t>Crowding in lounge area</w:t>
            </w:r>
          </w:p>
        </w:tc>
        <w:tc>
          <w:tcPr>
            <w:tcW w:w="1559" w:type="dxa"/>
            <w:tcBorders>
              <w:top w:val="nil"/>
              <w:left w:val="nil"/>
              <w:bottom w:val="nil"/>
              <w:right w:val="nil"/>
            </w:tcBorders>
          </w:tcPr>
          <w:p w:rsidR="009F0A92" w:rsidRDefault="009F0A92" w:rsidP="009543DB">
            <w:pPr>
              <w:pStyle w:val="QOStabletextleft"/>
            </w:pPr>
            <w:r>
              <w:t>Passenger survey</w:t>
            </w:r>
          </w:p>
        </w:tc>
        <w:tc>
          <w:tcPr>
            <w:tcW w:w="1559" w:type="dxa"/>
            <w:tcBorders>
              <w:top w:val="nil"/>
              <w:left w:val="nil"/>
              <w:bottom w:val="nil"/>
              <w:right w:val="nil"/>
            </w:tcBorders>
          </w:tcPr>
          <w:p w:rsidR="009F0A92" w:rsidRDefault="009F0A92" w:rsidP="009543DB">
            <w:pPr>
              <w:pStyle w:val="QOStabletextleft"/>
            </w:pPr>
            <w:r>
              <w:t>Good</w:t>
            </w:r>
          </w:p>
        </w:tc>
        <w:tc>
          <w:tcPr>
            <w:tcW w:w="1493" w:type="dxa"/>
            <w:tcBorders>
              <w:top w:val="nil"/>
              <w:left w:val="nil"/>
              <w:bottom w:val="nil"/>
              <w:right w:val="nil"/>
            </w:tcBorders>
          </w:tcPr>
          <w:p w:rsidR="009F0A92" w:rsidRDefault="009F0A92" w:rsidP="009543DB">
            <w:pPr>
              <w:pStyle w:val="QOStabletextleft"/>
            </w:pPr>
            <w:r>
              <w:rPr>
                <w:rFonts w:cs="Arial"/>
                <w:color w:val="4BACC6"/>
              </w:rPr>
              <w:t>▬</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r w:rsidRPr="00AF1D15">
              <w:rPr>
                <w:color w:val="000000" w:themeColor="text1"/>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A064F3" w:rsidRDefault="009F0A92" w:rsidP="009543DB">
            <w:pPr>
              <w:pStyle w:val="QOStabletextleft"/>
            </w:pPr>
            <w:r>
              <w:t>Number of departing passengers per m</w:t>
            </w:r>
            <w:r>
              <w:rPr>
                <w:vertAlign w:val="superscript"/>
              </w:rPr>
              <w:t xml:space="preserve">2 </w:t>
            </w:r>
            <w:r>
              <w:t>of lounge area (peak hour)</w:t>
            </w:r>
          </w:p>
        </w:tc>
        <w:tc>
          <w:tcPr>
            <w:tcW w:w="1559" w:type="dxa"/>
            <w:tcBorders>
              <w:top w:val="nil"/>
              <w:left w:val="nil"/>
              <w:bottom w:val="single" w:sz="4" w:space="0" w:color="auto"/>
              <w:right w:val="nil"/>
            </w:tcBorders>
          </w:tcPr>
          <w:p w:rsidR="009F0A92" w:rsidRPr="003131A5"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BD3FFC" w:rsidRDefault="009F0A92" w:rsidP="009543DB">
            <w:pPr>
              <w:pStyle w:val="QOStabletextleft"/>
            </w:pPr>
            <w:r>
              <w:t>0.1 passengers</w:t>
            </w:r>
          </w:p>
        </w:tc>
        <w:tc>
          <w:tcPr>
            <w:tcW w:w="1493" w:type="dxa"/>
            <w:tcBorders>
              <w:top w:val="nil"/>
              <w:left w:val="nil"/>
              <w:bottom w:val="single" w:sz="4" w:space="0" w:color="auto"/>
              <w:right w:val="nil"/>
            </w:tcBorders>
          </w:tcPr>
          <w:p w:rsidR="009F0A92" w:rsidRDefault="009F0A92" w:rsidP="009543DB">
            <w:pPr>
              <w:pStyle w:val="QOStabletextleft"/>
            </w:pPr>
            <w:r>
              <w:rPr>
                <w:rFonts w:cs="Arial"/>
                <w:color w:val="4BACC6"/>
              </w:rPr>
              <w:t>▬</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Amenities</w:t>
            </w:r>
          </w:p>
        </w:tc>
        <w:tc>
          <w:tcPr>
            <w:tcW w:w="6662" w:type="dxa"/>
            <w:tcBorders>
              <w:top w:val="single" w:sz="4" w:space="0" w:color="auto"/>
              <w:left w:val="nil"/>
              <w:bottom w:val="nil"/>
              <w:right w:val="nil"/>
            </w:tcBorders>
          </w:tcPr>
          <w:p w:rsidR="009F0A92" w:rsidRDefault="009F0A92" w:rsidP="009543DB">
            <w:pPr>
              <w:pStyle w:val="QOStabletextleft"/>
            </w:pPr>
            <w:r>
              <w:t>Standard of washrooms</w:t>
            </w:r>
          </w:p>
        </w:tc>
        <w:tc>
          <w:tcPr>
            <w:tcW w:w="1559" w:type="dxa"/>
            <w:tcBorders>
              <w:top w:val="single" w:sz="4" w:space="0" w:color="auto"/>
              <w:left w:val="nil"/>
              <w:bottom w:val="nil"/>
              <w:right w:val="nil"/>
            </w:tcBorders>
          </w:tcPr>
          <w:p w:rsidR="009F0A92" w:rsidRDefault="009F0A92" w:rsidP="009543DB">
            <w:pPr>
              <w:pStyle w:val="QOStabletextleft"/>
            </w:pPr>
            <w:r>
              <w:t>Passenger survey</w:t>
            </w:r>
          </w:p>
        </w:tc>
        <w:tc>
          <w:tcPr>
            <w:tcW w:w="1559" w:type="dxa"/>
            <w:tcBorders>
              <w:top w:val="single" w:sz="4" w:space="0" w:color="auto"/>
              <w:left w:val="nil"/>
              <w:bottom w:val="nil"/>
              <w:right w:val="nil"/>
            </w:tcBorders>
          </w:tcPr>
          <w:p w:rsidR="009F0A92" w:rsidRDefault="009F0A92" w:rsidP="009543DB">
            <w:pPr>
              <w:pStyle w:val="QOStabletextleft"/>
            </w:pPr>
            <w:r>
              <w:t>Good</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A064F3" w:rsidRDefault="009F0A92" w:rsidP="009543DB">
            <w:pPr>
              <w:pStyle w:val="QOStabletextleft"/>
            </w:pPr>
            <w:r>
              <w:t>Number of departing passengers per washroom (peak hour)</w:t>
            </w:r>
          </w:p>
        </w:tc>
        <w:tc>
          <w:tcPr>
            <w:tcW w:w="1559" w:type="dxa"/>
            <w:tcBorders>
              <w:top w:val="nil"/>
              <w:left w:val="nil"/>
              <w:bottom w:val="single" w:sz="4" w:space="0" w:color="auto"/>
              <w:right w:val="nil"/>
            </w:tcBorders>
          </w:tcPr>
          <w:p w:rsidR="009F0A92"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BD3FFC" w:rsidRDefault="009F0A92" w:rsidP="009543DB">
            <w:pPr>
              <w:pStyle w:val="QOStabletextleft"/>
            </w:pPr>
            <w:r>
              <w:t>110.0 passengers</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t>N/A</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Aerobridges</w:t>
            </w:r>
          </w:p>
        </w:tc>
        <w:tc>
          <w:tcPr>
            <w:tcW w:w="6662" w:type="dxa"/>
            <w:tcBorders>
              <w:top w:val="single" w:sz="4" w:space="0" w:color="auto"/>
              <w:left w:val="nil"/>
              <w:bottom w:val="nil"/>
              <w:right w:val="nil"/>
            </w:tcBorders>
          </w:tcPr>
          <w:p w:rsidR="009F0A92" w:rsidRPr="00A420D4" w:rsidRDefault="009F0A92" w:rsidP="009543DB">
            <w:pPr>
              <w:pStyle w:val="QOStabletextleft"/>
            </w:pPr>
            <w:r w:rsidRPr="00A420D4">
              <w:t>Aerobridges availability</w:t>
            </w:r>
          </w:p>
        </w:tc>
        <w:tc>
          <w:tcPr>
            <w:tcW w:w="1559" w:type="dxa"/>
            <w:tcBorders>
              <w:top w:val="single" w:sz="4" w:space="0" w:color="auto"/>
              <w:left w:val="nil"/>
              <w:bottom w:val="nil"/>
              <w:right w:val="nil"/>
            </w:tcBorders>
          </w:tcPr>
          <w:p w:rsidR="009F0A92" w:rsidRDefault="009F0A92" w:rsidP="009543DB">
            <w:pPr>
              <w:pStyle w:val="QOStabletextleft"/>
            </w:pPr>
            <w:r>
              <w:t>Airline survey</w:t>
            </w:r>
          </w:p>
        </w:tc>
        <w:tc>
          <w:tcPr>
            <w:tcW w:w="1559" w:type="dxa"/>
            <w:tcBorders>
              <w:top w:val="single" w:sz="4" w:space="0" w:color="auto"/>
              <w:left w:val="nil"/>
              <w:bottom w:val="nil"/>
              <w:right w:val="nil"/>
            </w:tcBorders>
          </w:tcPr>
          <w:p w:rsidR="009F0A92" w:rsidRPr="00A420D4" w:rsidRDefault="009F0A92" w:rsidP="009543DB">
            <w:pPr>
              <w:pStyle w:val="QOStabletextleft"/>
            </w:pPr>
            <w:r>
              <w:t>Satisfactory</w:t>
            </w:r>
          </w:p>
        </w:tc>
        <w:tc>
          <w:tcPr>
            <w:tcW w:w="1493" w:type="dxa"/>
            <w:tcBorders>
              <w:top w:val="single" w:sz="4" w:space="0" w:color="auto"/>
              <w:left w:val="nil"/>
              <w:bottom w:val="nil"/>
              <w:right w:val="nil"/>
            </w:tcBorders>
          </w:tcPr>
          <w:p w:rsidR="009F0A92" w:rsidRPr="00F617F8" w:rsidRDefault="009F0A92" w:rsidP="009543DB">
            <w:pPr>
              <w:pStyle w:val="QOStabletextleft"/>
              <w:rPr>
                <w:color w:val="943634"/>
                <w:lang w:eastAsia="en-AU"/>
              </w:rPr>
            </w:pPr>
            <w:r>
              <w:rPr>
                <w:rFonts w:eastAsia="Times New Roman" w:cs="Times New Roman"/>
                <w:color w:val="F79646"/>
                <w:szCs w:val="24"/>
                <w:lang w:eastAsia="en-AU"/>
              </w:rPr>
              <w:t>▼</w:t>
            </w:r>
          </w:p>
        </w:tc>
        <w:tc>
          <w:tcPr>
            <w:tcW w:w="1493" w:type="dxa"/>
            <w:tcBorders>
              <w:top w:val="single" w:sz="4" w:space="0" w:color="auto"/>
              <w:left w:val="nil"/>
              <w:bottom w:val="nil"/>
              <w:right w:val="nil"/>
            </w:tcBorders>
          </w:tcPr>
          <w:p w:rsidR="009F0A92" w:rsidRPr="00F37713" w:rsidRDefault="009F0A92" w:rsidP="009543DB">
            <w:pPr>
              <w:pStyle w:val="QOStabletextleft"/>
              <w:rPr>
                <w:lang w:eastAsia="en-AU"/>
              </w:rPr>
            </w:pPr>
            <w:r>
              <w:rPr>
                <w:lang w:eastAsia="en-AU"/>
              </w:rP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A420D4" w:rsidRDefault="009F0A92" w:rsidP="009543DB">
            <w:pPr>
              <w:pStyle w:val="QOStabletextleft"/>
            </w:pPr>
            <w:r>
              <w:t>Aerobridges standard</w:t>
            </w:r>
          </w:p>
        </w:tc>
        <w:tc>
          <w:tcPr>
            <w:tcW w:w="1559" w:type="dxa"/>
            <w:tcBorders>
              <w:top w:val="nil"/>
              <w:left w:val="nil"/>
              <w:bottom w:val="nil"/>
              <w:right w:val="nil"/>
            </w:tcBorders>
          </w:tcPr>
          <w:p w:rsidR="009F0A92" w:rsidRDefault="009F0A92" w:rsidP="009543DB">
            <w:pPr>
              <w:pStyle w:val="QOStabletextleft"/>
            </w:pPr>
            <w:r>
              <w:t>Airline survey</w:t>
            </w:r>
          </w:p>
        </w:tc>
        <w:tc>
          <w:tcPr>
            <w:tcW w:w="1559" w:type="dxa"/>
            <w:tcBorders>
              <w:top w:val="nil"/>
              <w:left w:val="nil"/>
              <w:bottom w:val="nil"/>
              <w:right w:val="nil"/>
            </w:tcBorders>
          </w:tcPr>
          <w:p w:rsidR="009F0A92" w:rsidRPr="00A420D4" w:rsidRDefault="009F0A92" w:rsidP="009543DB">
            <w:pPr>
              <w:pStyle w:val="QOStabletextleft"/>
            </w:pPr>
            <w:r>
              <w:t>Satisfactory</w:t>
            </w:r>
          </w:p>
        </w:tc>
        <w:tc>
          <w:tcPr>
            <w:tcW w:w="1493" w:type="dxa"/>
            <w:tcBorders>
              <w:top w:val="nil"/>
              <w:left w:val="nil"/>
              <w:bottom w:val="nil"/>
              <w:right w:val="nil"/>
            </w:tcBorders>
          </w:tcPr>
          <w:p w:rsidR="009F0A92" w:rsidRPr="00F617F8" w:rsidRDefault="009F0A92" w:rsidP="009543DB">
            <w:pPr>
              <w:pStyle w:val="QOStabletextleft"/>
              <w:rPr>
                <w:rFonts w:eastAsia="Times New Roman" w:cs="Times New Roman"/>
                <w:color w:val="943634"/>
                <w:szCs w:val="24"/>
                <w:lang w:eastAsia="en-AU"/>
              </w:rPr>
            </w:pPr>
            <w:r>
              <w:rPr>
                <w:rFonts w:cs="Arial"/>
                <w:color w:val="4BACC6"/>
              </w:rPr>
              <w:t>▬</w:t>
            </w:r>
          </w:p>
        </w:tc>
        <w:tc>
          <w:tcPr>
            <w:tcW w:w="1493" w:type="dxa"/>
            <w:tcBorders>
              <w:top w:val="nil"/>
              <w:left w:val="nil"/>
              <w:bottom w:val="nil"/>
              <w:right w:val="nil"/>
            </w:tcBorders>
          </w:tcPr>
          <w:p w:rsidR="009F0A92" w:rsidRPr="00F37713" w:rsidRDefault="009F0A92" w:rsidP="009543DB">
            <w:pPr>
              <w:pStyle w:val="QOStabletextleft"/>
              <w:rPr>
                <w:lang w:eastAsia="en-AU"/>
              </w:rPr>
            </w:pPr>
            <w:r>
              <w:rPr>
                <w:lang w:eastAsia="en-AU"/>
              </w:rPr>
              <w:t>N/A</w:t>
            </w:r>
          </w:p>
        </w:tc>
      </w:tr>
      <w:tr w:rsidR="009F0A92" w:rsidTr="009543DB">
        <w:tc>
          <w:tcPr>
            <w:tcW w:w="1266" w:type="dxa"/>
            <w:tcBorders>
              <w:top w:val="nil"/>
              <w:left w:val="nil"/>
              <w:bottom w:val="nil"/>
              <w:right w:val="nil"/>
            </w:tcBorders>
          </w:tcPr>
          <w:p w:rsidR="009F0A92" w:rsidRDefault="009F0A92" w:rsidP="009543DB">
            <w:pPr>
              <w:pStyle w:val="QOStabletextleftbold"/>
            </w:pPr>
          </w:p>
        </w:tc>
        <w:tc>
          <w:tcPr>
            <w:tcW w:w="6662" w:type="dxa"/>
            <w:tcBorders>
              <w:top w:val="nil"/>
              <w:left w:val="nil"/>
              <w:bottom w:val="nil"/>
              <w:right w:val="nil"/>
            </w:tcBorders>
          </w:tcPr>
          <w:p w:rsidR="009F0A92" w:rsidRPr="003131A5" w:rsidRDefault="009F0A92" w:rsidP="009543DB">
            <w:pPr>
              <w:pStyle w:val="QOStabletextleft"/>
            </w:pPr>
            <w:r>
              <w:t>Number of arriving domestic passengers per aerobridge (peak hour)</w:t>
            </w:r>
          </w:p>
        </w:tc>
        <w:tc>
          <w:tcPr>
            <w:tcW w:w="1559" w:type="dxa"/>
            <w:tcBorders>
              <w:top w:val="nil"/>
              <w:left w:val="nil"/>
              <w:bottom w:val="nil"/>
              <w:right w:val="nil"/>
            </w:tcBorders>
          </w:tcPr>
          <w:p w:rsidR="009F0A92" w:rsidRDefault="009F0A92" w:rsidP="009543DB">
            <w:pPr>
              <w:pStyle w:val="QOStabletextleft"/>
            </w:pPr>
            <w:r>
              <w:t>Objective indicator</w:t>
            </w:r>
          </w:p>
        </w:tc>
        <w:tc>
          <w:tcPr>
            <w:tcW w:w="1559" w:type="dxa"/>
            <w:tcBorders>
              <w:top w:val="nil"/>
              <w:left w:val="nil"/>
              <w:bottom w:val="nil"/>
              <w:right w:val="nil"/>
            </w:tcBorders>
          </w:tcPr>
          <w:p w:rsidR="009F0A92" w:rsidRPr="00BD3FFC" w:rsidRDefault="009F0A92" w:rsidP="009543DB">
            <w:pPr>
              <w:pStyle w:val="QOStabletextleft"/>
            </w:pPr>
            <w:r>
              <w:t>265.5 passengers</w:t>
            </w:r>
          </w:p>
        </w:tc>
        <w:tc>
          <w:tcPr>
            <w:tcW w:w="1493" w:type="dxa"/>
            <w:tcBorders>
              <w:top w:val="nil"/>
              <w:left w:val="nil"/>
              <w:bottom w:val="nil"/>
              <w:right w:val="nil"/>
            </w:tcBorders>
          </w:tcPr>
          <w:p w:rsidR="009F0A92" w:rsidRDefault="009F0A92" w:rsidP="009543DB">
            <w:pPr>
              <w:pStyle w:val="QOStabletextleft"/>
            </w:pPr>
            <w:r>
              <w:rPr>
                <w:rFonts w:eastAsia="Times New Roman" w:cs="Times New Roman"/>
                <w:color w:val="F79646"/>
                <w:szCs w:val="24"/>
                <w:lang w:eastAsia="en-AU"/>
              </w:rPr>
              <w:t>▼</w:t>
            </w:r>
          </w:p>
        </w:tc>
        <w:tc>
          <w:tcPr>
            <w:tcW w:w="1493" w:type="dxa"/>
            <w:tcBorders>
              <w:top w:val="nil"/>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nil"/>
              <w:left w:val="nil"/>
              <w:bottom w:val="single" w:sz="4" w:space="0" w:color="auto"/>
              <w:right w:val="nil"/>
            </w:tcBorders>
          </w:tcPr>
          <w:p w:rsidR="009F0A92" w:rsidRDefault="009F0A92" w:rsidP="009543DB">
            <w:pPr>
              <w:pStyle w:val="QOStabletextleftbold"/>
            </w:pPr>
          </w:p>
        </w:tc>
        <w:tc>
          <w:tcPr>
            <w:tcW w:w="6662" w:type="dxa"/>
            <w:tcBorders>
              <w:top w:val="nil"/>
              <w:left w:val="nil"/>
              <w:bottom w:val="single" w:sz="4" w:space="0" w:color="auto"/>
              <w:right w:val="nil"/>
            </w:tcBorders>
          </w:tcPr>
          <w:p w:rsidR="009F0A92" w:rsidRPr="003131A5" w:rsidRDefault="009F0A92" w:rsidP="009543DB">
            <w:pPr>
              <w:pStyle w:val="QOStabletextleft"/>
            </w:pPr>
            <w:r>
              <w:t>Number of departing domestic passengers per aerobridge (peak hour)</w:t>
            </w:r>
          </w:p>
        </w:tc>
        <w:tc>
          <w:tcPr>
            <w:tcW w:w="1559" w:type="dxa"/>
            <w:tcBorders>
              <w:top w:val="nil"/>
              <w:left w:val="nil"/>
              <w:bottom w:val="single" w:sz="4" w:space="0" w:color="auto"/>
              <w:right w:val="nil"/>
            </w:tcBorders>
          </w:tcPr>
          <w:p w:rsidR="009F0A92" w:rsidRDefault="009F0A92" w:rsidP="009543DB">
            <w:pPr>
              <w:pStyle w:val="QOStabletextleft"/>
            </w:pPr>
            <w:r>
              <w:t>Objective indicator</w:t>
            </w:r>
          </w:p>
        </w:tc>
        <w:tc>
          <w:tcPr>
            <w:tcW w:w="1559" w:type="dxa"/>
            <w:tcBorders>
              <w:top w:val="nil"/>
              <w:left w:val="nil"/>
              <w:bottom w:val="single" w:sz="4" w:space="0" w:color="auto"/>
              <w:right w:val="nil"/>
            </w:tcBorders>
          </w:tcPr>
          <w:p w:rsidR="009F0A92" w:rsidRPr="00BD3FFC" w:rsidRDefault="009F0A92" w:rsidP="009543DB">
            <w:pPr>
              <w:pStyle w:val="QOStabletextleft"/>
            </w:pPr>
            <w:r w:rsidRPr="00BD3FFC">
              <w:t>220.0 passengers</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single" w:sz="4" w:space="0" w:color="auto"/>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r w:rsidR="009F0A92" w:rsidTr="009543DB">
        <w:tc>
          <w:tcPr>
            <w:tcW w:w="1266" w:type="dxa"/>
            <w:tcBorders>
              <w:top w:val="single" w:sz="4" w:space="0" w:color="auto"/>
              <w:left w:val="nil"/>
              <w:bottom w:val="nil"/>
              <w:right w:val="nil"/>
            </w:tcBorders>
          </w:tcPr>
          <w:p w:rsidR="009F0A92" w:rsidRDefault="009F0A92" w:rsidP="009543DB">
            <w:pPr>
              <w:pStyle w:val="QOStabletextleftbold"/>
            </w:pPr>
            <w:r>
              <w:t>Security</w:t>
            </w:r>
          </w:p>
        </w:tc>
        <w:tc>
          <w:tcPr>
            <w:tcW w:w="6662" w:type="dxa"/>
            <w:tcBorders>
              <w:top w:val="single" w:sz="4" w:space="0" w:color="auto"/>
              <w:left w:val="nil"/>
              <w:bottom w:val="nil"/>
              <w:right w:val="nil"/>
            </w:tcBorders>
          </w:tcPr>
          <w:p w:rsidR="009F0A92" w:rsidRPr="003131A5" w:rsidRDefault="009F0A92" w:rsidP="009543DB">
            <w:pPr>
              <w:pStyle w:val="QOStabletextleft"/>
            </w:pPr>
            <w:r>
              <w:t>Quality of security search process</w:t>
            </w:r>
          </w:p>
        </w:tc>
        <w:tc>
          <w:tcPr>
            <w:tcW w:w="1559" w:type="dxa"/>
            <w:tcBorders>
              <w:top w:val="single" w:sz="4" w:space="0" w:color="auto"/>
              <w:left w:val="nil"/>
              <w:bottom w:val="nil"/>
              <w:right w:val="nil"/>
            </w:tcBorders>
          </w:tcPr>
          <w:p w:rsidR="009F0A92" w:rsidRDefault="009F0A92" w:rsidP="009543DB">
            <w:pPr>
              <w:pStyle w:val="QOStabletextleft"/>
            </w:pPr>
            <w:r>
              <w:t>Passenger survey</w:t>
            </w:r>
          </w:p>
        </w:tc>
        <w:tc>
          <w:tcPr>
            <w:tcW w:w="1559" w:type="dxa"/>
            <w:tcBorders>
              <w:top w:val="single" w:sz="4" w:space="0" w:color="auto"/>
              <w:left w:val="nil"/>
              <w:bottom w:val="nil"/>
              <w:right w:val="nil"/>
            </w:tcBorders>
          </w:tcPr>
          <w:p w:rsidR="009F0A92" w:rsidRDefault="009F0A92" w:rsidP="009543DB">
            <w:pPr>
              <w:pStyle w:val="QOStabletextleft"/>
            </w:pPr>
            <w:r>
              <w:t>Excellent</w:t>
            </w:r>
          </w:p>
        </w:tc>
        <w:tc>
          <w:tcPr>
            <w:tcW w:w="1493" w:type="dxa"/>
            <w:tcBorders>
              <w:top w:val="single" w:sz="4" w:space="0" w:color="auto"/>
              <w:left w:val="nil"/>
              <w:bottom w:val="nil"/>
              <w:right w:val="nil"/>
            </w:tcBorders>
          </w:tcPr>
          <w:p w:rsidR="009F0A92" w:rsidRDefault="009F0A92" w:rsidP="009543DB">
            <w:pPr>
              <w:pStyle w:val="QOStabletextleft"/>
            </w:pPr>
            <w:r>
              <w:rPr>
                <w:rFonts w:cs="Arial"/>
                <w:color w:val="4BACC6"/>
              </w:rPr>
              <w:t>▬</w:t>
            </w:r>
          </w:p>
        </w:tc>
        <w:tc>
          <w:tcPr>
            <w:tcW w:w="1493" w:type="dxa"/>
            <w:tcBorders>
              <w:top w:val="single" w:sz="4" w:space="0" w:color="auto"/>
              <w:left w:val="nil"/>
              <w:bottom w:val="nil"/>
              <w:right w:val="nil"/>
            </w:tcBorders>
          </w:tcPr>
          <w:p w:rsidR="009F0A92" w:rsidRDefault="009F0A92" w:rsidP="009543DB">
            <w:pPr>
              <w:pStyle w:val="QOStabletextleft"/>
            </w:pPr>
            <w:r w:rsidRPr="00F617F8">
              <w:rPr>
                <w:rFonts w:eastAsia="Times New Roman" w:cs="Times New Roman"/>
                <w:color w:val="943634"/>
                <w:szCs w:val="24"/>
                <w:lang w:eastAsia="en-AU"/>
              </w:rPr>
              <w:t>▲</w:t>
            </w:r>
            <w:r w:rsidRPr="00AF1D15">
              <w:rPr>
                <w:color w:val="000000" w:themeColor="text1"/>
                <w:lang w:eastAsia="en-AU"/>
              </w:rPr>
              <w:t>*</w:t>
            </w:r>
          </w:p>
        </w:tc>
      </w:tr>
      <w:tr w:rsidR="009F0A92" w:rsidTr="009543DB">
        <w:tc>
          <w:tcPr>
            <w:tcW w:w="1266" w:type="dxa"/>
            <w:tcBorders>
              <w:top w:val="nil"/>
              <w:left w:val="nil"/>
              <w:right w:val="nil"/>
            </w:tcBorders>
          </w:tcPr>
          <w:p w:rsidR="009F0A92" w:rsidRDefault="009F0A92" w:rsidP="009543DB">
            <w:pPr>
              <w:pStyle w:val="QOStabletextleftbold"/>
            </w:pPr>
          </w:p>
        </w:tc>
        <w:tc>
          <w:tcPr>
            <w:tcW w:w="6662" w:type="dxa"/>
            <w:tcBorders>
              <w:top w:val="nil"/>
              <w:left w:val="nil"/>
              <w:right w:val="nil"/>
            </w:tcBorders>
          </w:tcPr>
          <w:p w:rsidR="009F0A92" w:rsidRPr="003131A5" w:rsidRDefault="009F0A92" w:rsidP="009543DB">
            <w:pPr>
              <w:pStyle w:val="QOStabletextleft"/>
            </w:pPr>
            <w:r>
              <w:t>Number of departing passengers per security clearance system (peak hour)</w:t>
            </w:r>
          </w:p>
        </w:tc>
        <w:tc>
          <w:tcPr>
            <w:tcW w:w="1559" w:type="dxa"/>
            <w:tcBorders>
              <w:top w:val="nil"/>
              <w:left w:val="nil"/>
              <w:right w:val="nil"/>
            </w:tcBorders>
          </w:tcPr>
          <w:p w:rsidR="009F0A92" w:rsidRDefault="009F0A92" w:rsidP="009543DB">
            <w:pPr>
              <w:pStyle w:val="QOStabletextleft"/>
            </w:pPr>
            <w:r>
              <w:t>Objective indicator</w:t>
            </w:r>
          </w:p>
        </w:tc>
        <w:tc>
          <w:tcPr>
            <w:tcW w:w="1559" w:type="dxa"/>
            <w:tcBorders>
              <w:top w:val="nil"/>
              <w:left w:val="nil"/>
              <w:right w:val="nil"/>
            </w:tcBorders>
          </w:tcPr>
          <w:p w:rsidR="009F0A92" w:rsidRPr="00BD3FFC" w:rsidRDefault="009F0A92" w:rsidP="009543DB">
            <w:pPr>
              <w:pStyle w:val="QOStabletextleft"/>
            </w:pPr>
            <w:r>
              <w:t>33.8 passengers</w:t>
            </w:r>
          </w:p>
        </w:tc>
        <w:tc>
          <w:tcPr>
            <w:tcW w:w="1493" w:type="dxa"/>
            <w:tcBorders>
              <w:top w:val="nil"/>
              <w:left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c>
          <w:tcPr>
            <w:tcW w:w="1493" w:type="dxa"/>
            <w:tcBorders>
              <w:top w:val="nil"/>
              <w:left w:val="nil"/>
              <w:right w:val="nil"/>
            </w:tcBorders>
          </w:tcPr>
          <w:p w:rsidR="009F0A92" w:rsidRDefault="009F0A92" w:rsidP="009543DB">
            <w:pPr>
              <w:pStyle w:val="QOStabletextleft"/>
            </w:pPr>
            <w:r w:rsidRPr="00F617F8">
              <w:rPr>
                <w:rFonts w:eastAsia="Times New Roman" w:cs="Times New Roman"/>
                <w:color w:val="943634"/>
                <w:szCs w:val="24"/>
                <w:lang w:eastAsia="en-AU"/>
              </w:rPr>
              <w:t>▲</w:t>
            </w:r>
          </w:p>
        </w:tc>
      </w:tr>
    </w:tbl>
    <w:p w:rsidR="009F0A92" w:rsidRDefault="009F0A92" w:rsidP="009F0A92">
      <w:pPr>
        <w:pStyle w:val="Sourceandnotes"/>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t xml:space="preserve"> * Rating changed by a category over the period.</w:t>
      </w:r>
    </w:p>
    <w:p w:rsidR="009F0A92" w:rsidRDefault="009F0A92" w:rsidP="009F0A92">
      <w:pPr>
        <w:pStyle w:val="Listbullet1"/>
        <w:numPr>
          <w:ilvl w:val="0"/>
          <w:numId w:val="0"/>
        </w:numPr>
        <w:ind w:left="360" w:hanging="360"/>
        <w:sectPr w:rsidR="009F0A92" w:rsidSect="009543DB">
          <w:headerReference w:type="even" r:id="rId69"/>
          <w:footnotePr>
            <w:numStart w:val="93"/>
          </w:footnotePr>
          <w:pgSz w:w="16838" w:h="11906" w:orient="landscape"/>
          <w:pgMar w:top="1219" w:right="1440" w:bottom="1247" w:left="1582" w:header="709" w:footer="709" w:gutter="0"/>
          <w:cols w:space="708"/>
          <w:docGrid w:linePitch="360"/>
        </w:sectPr>
      </w:pPr>
    </w:p>
    <w:p w:rsidR="009F0A92" w:rsidRDefault="009F0A92" w:rsidP="009F0A92">
      <w:r>
        <w:lastRenderedPageBreak/>
        <w:t>As shown in Table 2.3.3, passengers and airlines also differed in their views on the level of quality at Brisbane Airport’s domestic terminal in 2014</w:t>
      </w:r>
      <w:r>
        <w:noBreakHyphen/>
        <w:t xml:space="preserve">15. While </w:t>
      </w:r>
      <w:r w:rsidRPr="00F37713">
        <w:t xml:space="preserve">passengers’ ratings of </w:t>
      </w:r>
      <w:r>
        <w:t>the majority of</w:t>
      </w:r>
      <w:r w:rsidRPr="00F37713">
        <w:t xml:space="preserve"> subjective i</w:t>
      </w:r>
      <w:r>
        <w:t xml:space="preserve">ndicators </w:t>
      </w:r>
      <w:r w:rsidRPr="00F37713">
        <w:t>remained within the ‘good’ range</w:t>
      </w:r>
      <w:r>
        <w:t xml:space="preserve"> in 2014</w:t>
      </w:r>
      <w:r>
        <w:noBreakHyphen/>
        <w:t>15, airlines’ rated the availability and standard of subjective indicators as ‘satisfactory’</w:t>
      </w:r>
    </w:p>
    <w:p w:rsidR="009F0A92" w:rsidRDefault="009F0A92" w:rsidP="009F0A92">
      <w:r>
        <w:t>While passengers rated most subjective indicators as ‘good’ in 2014</w:t>
      </w:r>
      <w:r>
        <w:noBreakHyphen/>
        <w:t>15, they rated both the check</w:t>
      </w:r>
      <w:r>
        <w:noBreakHyphen/>
        <w:t>in waiting time and the quality of security search process as ‘excellent’. Since 2010</w:t>
      </w:r>
      <w:r>
        <w:noBreakHyphen/>
        <w:t>11, passengers have generally rated Brisbane Airport’s domestic terminal services as ‘good’, with some services and facilities occasionally rated as ’excellent’ or ‘satisfactory’.</w:t>
      </w:r>
    </w:p>
    <w:p w:rsidR="009F0A92" w:rsidRDefault="009F0A92" w:rsidP="009F0A92">
      <w:r>
        <w:t>In 2014</w:t>
      </w:r>
      <w:r>
        <w:noBreakHyphen/>
        <w:t>15, airlines’ ratings of the availability of services and facilities were notably lower within the ‘satisfactory’ range than airlines’ ratings of the standard of services and facilities.</w:t>
      </w:r>
    </w:p>
    <w:p w:rsidR="009F0A92" w:rsidRDefault="009F0A92" w:rsidP="009F0A92">
      <w:r>
        <w:t>In regards to check</w:t>
      </w:r>
      <w:r>
        <w:noBreakHyphen/>
        <w:t>in facilities, Brisbane Airport completed its ‘Common</w:t>
      </w:r>
      <w:r>
        <w:noBreakHyphen/>
        <w:t>User Terminal Upgrade’ project, which enabled passengers flying with airlines that operate kiosks to use any available kiosk to check</w:t>
      </w:r>
      <w:r>
        <w:noBreakHyphen/>
        <w:t>in (rather than each airline having separate kiosk facilities). However, this also led to a reduction in the total number of check</w:t>
      </w:r>
      <w:r>
        <w:noBreakHyphen/>
        <w:t>in kiosk facilities provided. Airlines commented that the standard of service was impacted during the redevelopment period, although the installation of self-service technology has since improved the standard available.</w:t>
      </w:r>
      <w:r w:rsidRPr="00F7652A">
        <w:t xml:space="preserve"> </w:t>
      </w:r>
    </w:p>
    <w:p w:rsidR="009F0A92" w:rsidRDefault="009F0A92" w:rsidP="009F0A92">
      <w:r>
        <w:t>As part of the ‘Common</w:t>
      </w:r>
      <w:r>
        <w:noBreakHyphen/>
        <w:t>User Terminal Upgrade’ project, Brisbane Airport also provided an additional 18 flight information display screens in the domestic terminal.</w:t>
      </w:r>
    </w:p>
    <w:p w:rsidR="009F0A92" w:rsidRDefault="009F0A92" w:rsidP="00114E05">
      <w:pPr>
        <w:pStyle w:val="Numberedheading2"/>
      </w:pPr>
      <w:r>
        <w:t>Car parking services monitoring results</w:t>
      </w:r>
    </w:p>
    <w:p w:rsidR="009F0A92" w:rsidRDefault="009F0A92" w:rsidP="009F0A92">
      <w:r w:rsidRPr="00094747">
        <w:t xml:space="preserve">This section assesses </w:t>
      </w:r>
      <w:r>
        <w:t xml:space="preserve">Brisbane </w:t>
      </w:r>
      <w:r w:rsidRPr="00094747">
        <w:t>Airport’s car parking and landside services and facilities. Areas covered include activity (</w:t>
      </w:r>
      <w:r>
        <w:t>S</w:t>
      </w:r>
      <w:r w:rsidRPr="00094747">
        <w:t xml:space="preserve">ection </w:t>
      </w:r>
      <w:r>
        <w:t>2</w:t>
      </w:r>
      <w:r w:rsidRPr="00094747">
        <w:t>.4.1), car park pricing (</w:t>
      </w:r>
      <w:r>
        <w:t>S</w:t>
      </w:r>
      <w:r w:rsidRPr="00094747">
        <w:t xml:space="preserve">ection </w:t>
      </w:r>
      <w:r>
        <w:t>2</w:t>
      </w:r>
      <w:r w:rsidRPr="00094747">
        <w:t>.4.2), revenues and margins (</w:t>
      </w:r>
      <w:r>
        <w:t>S</w:t>
      </w:r>
      <w:r w:rsidRPr="00094747">
        <w:t xml:space="preserve">ection </w:t>
      </w:r>
      <w:r>
        <w:t>2</w:t>
      </w:r>
      <w:r w:rsidRPr="00094747">
        <w:t>.4.3) and quality of service outcomes (</w:t>
      </w:r>
      <w:r>
        <w:t>S</w:t>
      </w:r>
      <w:r w:rsidRPr="00094747">
        <w:t xml:space="preserve">ection </w:t>
      </w:r>
      <w:r>
        <w:t>2</w:t>
      </w:r>
      <w:r w:rsidRPr="00094747">
        <w:t>.4.4).</w:t>
      </w:r>
    </w:p>
    <w:p w:rsidR="009F0A92" w:rsidRDefault="009F0A92" w:rsidP="009F0A92">
      <w:pPr>
        <w:pStyle w:val="Numberedheading3"/>
      </w:pPr>
      <w:r>
        <w:t>Activity</w:t>
      </w:r>
    </w:p>
    <w:p w:rsidR="009F0A92" w:rsidRDefault="009F0A92" w:rsidP="009F0A92">
      <w:r>
        <w:t>Table 2.4.1 outlines the number of car parking spaces available and throughput of those car parking facilities at Brisbane Airport from 2004</w:t>
      </w:r>
      <w:r>
        <w:noBreakHyphen/>
        <w:t>05 to 2014</w:t>
      </w:r>
      <w:r>
        <w:noBreakHyphen/>
        <w:t>15.</w:t>
      </w:r>
    </w:p>
    <w:p w:rsidR="009F0A92" w:rsidRDefault="009F0A92" w:rsidP="009F0A92">
      <w:r>
        <w:t>The total number of car parking spaces at Brisbane Airport decreased by 2.1 per cent to 13 677 spaces in 2014</w:t>
      </w:r>
      <w:r>
        <w:noBreakHyphen/>
        <w:t>15. Brisbane Airport has the lowest number of car parking spaces of the monitored airports. Brisbane Airport opened a new remote car parking facility on 30 June 2015 with 1100 parking bays. As this car park was only available for one day of the reference year, it has not been included in overall car parking space totals nor used in the calculation of car parking revenue and margin per space.</w:t>
      </w:r>
    </w:p>
    <w:p w:rsidR="009F0A92" w:rsidRDefault="009F0A92" w:rsidP="009F0A92">
      <w:r>
        <w:t>In 2014</w:t>
      </w:r>
      <w:r>
        <w:noBreakHyphen/>
        <w:t>15, Brisbane Airport’s car parking facilities included:</w:t>
      </w:r>
    </w:p>
    <w:p w:rsidR="009F0A92" w:rsidRDefault="009F0A92" w:rsidP="009F0A92">
      <w:pPr>
        <w:pStyle w:val="Listbullet1"/>
      </w:pPr>
      <w:r>
        <w:t>2137 international combined short term and long term parking spaces (15.6 per cent of total car parking capacity)</w:t>
      </w:r>
    </w:p>
    <w:p w:rsidR="009F0A92" w:rsidRDefault="009F0A92" w:rsidP="009F0A92">
      <w:pPr>
        <w:pStyle w:val="Listbullet1"/>
      </w:pPr>
      <w:r>
        <w:t>1074 domestic short term parking spaces (7.9 per cent)</w:t>
      </w:r>
    </w:p>
    <w:p w:rsidR="009F0A92" w:rsidRDefault="009F0A92" w:rsidP="009F0A92">
      <w:pPr>
        <w:pStyle w:val="Listbullet1"/>
      </w:pPr>
      <w:r>
        <w:t>7428 domestic long term parking spaces (54.3 per cent)</w:t>
      </w:r>
    </w:p>
    <w:p w:rsidR="009F0A92" w:rsidRDefault="009F0A92" w:rsidP="009F0A92">
      <w:pPr>
        <w:pStyle w:val="Listbullet1"/>
      </w:pPr>
      <w:r>
        <w:t>3038 staff parking spaces (22.2 per cent).</w:t>
      </w:r>
    </w:p>
    <w:p w:rsidR="009F0A92" w:rsidRDefault="009F0A92" w:rsidP="009F0A92">
      <w:pPr>
        <w:sectPr w:rsidR="009F0A92" w:rsidSect="009543DB">
          <w:headerReference w:type="even" r:id="rId70"/>
          <w:headerReference w:type="default" r:id="rId71"/>
          <w:footnotePr>
            <w:numStart w:val="93"/>
          </w:footnotePr>
          <w:pgSz w:w="11906" w:h="16838"/>
          <w:pgMar w:top="1440" w:right="1729" w:bottom="1582" w:left="1729" w:header="709" w:footer="709" w:gutter="0"/>
          <w:cols w:space="708"/>
          <w:docGrid w:linePitch="360"/>
        </w:sectPr>
      </w:pPr>
      <w:r>
        <w:t>The average daily throughput decreased across all of Brisbane Airport’s car parks during 2014</w:t>
      </w:r>
      <w:r>
        <w:noBreakHyphen/>
        <w:t>15. The fall in throughout ranged from 2.1 per cent at the international terminal car park to 12.4 per cent at the domestic short term car park.</w:t>
      </w:r>
    </w:p>
    <w:p w:rsidR="009F0A92" w:rsidRDefault="009F0A92" w:rsidP="009F0A92">
      <w:pPr>
        <w:pStyle w:val="Numberedcharttitle"/>
      </w:pPr>
      <w:r>
        <w:lastRenderedPageBreak/>
        <w:t>Table 2.4.1:</w:t>
      </w:r>
      <w:r>
        <w:tab/>
        <w:t>Brisbane Airport—number of car park spaces and average daily throughput: 2004-05 to 2014-15</w:t>
      </w: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9F0A92" w:rsidTr="009543DB">
        <w:tc>
          <w:tcPr>
            <w:tcW w:w="1214" w:type="dxa"/>
            <w:tcBorders>
              <w:left w:val="nil"/>
              <w:bottom w:val="single" w:sz="4" w:space="0" w:color="auto"/>
              <w:right w:val="nil"/>
            </w:tcBorders>
            <w:shd w:val="clear" w:color="auto" w:fill="DFE0DC"/>
          </w:tcPr>
          <w:p w:rsidR="009F0A92" w:rsidRDefault="009F0A92" w:rsidP="009543DB">
            <w:pPr>
              <w:pStyle w:val="Tabletextleft"/>
            </w:pPr>
          </w:p>
        </w:tc>
        <w:tc>
          <w:tcPr>
            <w:tcW w:w="2296" w:type="dxa"/>
            <w:tcBorders>
              <w:left w:val="nil"/>
              <w:bottom w:val="single" w:sz="4" w:space="0" w:color="auto"/>
              <w:right w:val="nil"/>
            </w:tcBorders>
            <w:shd w:val="clear" w:color="auto" w:fill="DFE0DC"/>
          </w:tcPr>
          <w:p w:rsidR="009F0A92" w:rsidRDefault="009F0A92" w:rsidP="009543DB">
            <w:pPr>
              <w:pStyle w:val="Tabletextleft"/>
            </w:pP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2004-05</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2005-06</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2006-07</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2007-08</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2008-09</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2009-10</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2010-11</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2011-12</w:t>
            </w:r>
          </w:p>
        </w:tc>
        <w:tc>
          <w:tcPr>
            <w:tcW w:w="956" w:type="dxa"/>
            <w:tcBorders>
              <w:left w:val="nil"/>
              <w:bottom w:val="single" w:sz="4" w:space="0" w:color="auto"/>
              <w:right w:val="nil"/>
            </w:tcBorders>
            <w:shd w:val="clear" w:color="auto" w:fill="DFE0DC"/>
          </w:tcPr>
          <w:p w:rsidR="009F0A92" w:rsidRDefault="009F0A92" w:rsidP="009543DB">
            <w:pPr>
              <w:pStyle w:val="Tabletextheadingright"/>
            </w:pPr>
            <w:r>
              <w:t>2012-13</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2013-14</w:t>
            </w:r>
          </w:p>
        </w:tc>
        <w:tc>
          <w:tcPr>
            <w:tcW w:w="957" w:type="dxa"/>
            <w:tcBorders>
              <w:left w:val="nil"/>
              <w:bottom w:val="single" w:sz="4" w:space="0" w:color="auto"/>
              <w:right w:val="nil"/>
            </w:tcBorders>
            <w:shd w:val="clear" w:color="auto" w:fill="DFE0DC"/>
          </w:tcPr>
          <w:p w:rsidR="009F0A92" w:rsidRDefault="009F0A92" w:rsidP="009543DB">
            <w:pPr>
              <w:pStyle w:val="Tabletextheadingright"/>
            </w:pPr>
            <w:r>
              <w:t>2014-15</w:t>
            </w:r>
          </w:p>
        </w:tc>
      </w:tr>
      <w:tr w:rsidR="009F0A92" w:rsidTr="009543DB">
        <w:tc>
          <w:tcPr>
            <w:tcW w:w="1214" w:type="dxa"/>
            <w:vMerge w:val="restart"/>
            <w:tcBorders>
              <w:left w:val="nil"/>
              <w:right w:val="nil"/>
            </w:tcBorders>
            <w:vAlign w:val="center"/>
          </w:tcPr>
          <w:p w:rsidR="009F0A92" w:rsidRDefault="009F0A92" w:rsidP="009543DB">
            <w:pPr>
              <w:pStyle w:val="Tabletextheadingcentre"/>
            </w:pPr>
            <w:r>
              <w:t>Number of car park spaces</w:t>
            </w:r>
          </w:p>
        </w:tc>
        <w:tc>
          <w:tcPr>
            <w:tcW w:w="2296" w:type="dxa"/>
            <w:tcBorders>
              <w:left w:val="nil"/>
              <w:right w:val="nil"/>
            </w:tcBorders>
          </w:tcPr>
          <w:p w:rsidR="009F0A92" w:rsidRDefault="009F0A92" w:rsidP="009543DB">
            <w:pPr>
              <w:pStyle w:val="Tabletextleft"/>
            </w:pPr>
            <w:r>
              <w:t>International combined short term and long term</w:t>
            </w:r>
          </w:p>
        </w:tc>
        <w:tc>
          <w:tcPr>
            <w:tcW w:w="956" w:type="dxa"/>
            <w:tcBorders>
              <w:left w:val="nil"/>
              <w:right w:val="nil"/>
            </w:tcBorders>
          </w:tcPr>
          <w:p w:rsidR="009F0A92" w:rsidRDefault="009F0A92" w:rsidP="009543DB">
            <w:pPr>
              <w:pStyle w:val="Tabletextright"/>
            </w:pPr>
            <w:r>
              <w:t>950</w:t>
            </w:r>
          </w:p>
        </w:tc>
        <w:tc>
          <w:tcPr>
            <w:tcW w:w="957" w:type="dxa"/>
            <w:tcBorders>
              <w:left w:val="nil"/>
              <w:right w:val="nil"/>
            </w:tcBorders>
          </w:tcPr>
          <w:p w:rsidR="009F0A92" w:rsidRDefault="009F0A92" w:rsidP="009543DB">
            <w:pPr>
              <w:pStyle w:val="Tabletextright"/>
            </w:pPr>
            <w:r>
              <w:t>950</w:t>
            </w:r>
          </w:p>
        </w:tc>
        <w:tc>
          <w:tcPr>
            <w:tcW w:w="956" w:type="dxa"/>
            <w:tcBorders>
              <w:left w:val="nil"/>
              <w:right w:val="nil"/>
            </w:tcBorders>
          </w:tcPr>
          <w:p w:rsidR="009F0A92" w:rsidRDefault="009F0A92" w:rsidP="009543DB">
            <w:pPr>
              <w:pStyle w:val="Tabletextright"/>
            </w:pPr>
            <w:r>
              <w:t>951</w:t>
            </w:r>
          </w:p>
        </w:tc>
        <w:tc>
          <w:tcPr>
            <w:tcW w:w="957" w:type="dxa"/>
            <w:tcBorders>
              <w:left w:val="nil"/>
              <w:right w:val="nil"/>
            </w:tcBorders>
          </w:tcPr>
          <w:p w:rsidR="009F0A92" w:rsidRDefault="009F0A92" w:rsidP="009543DB">
            <w:pPr>
              <w:pStyle w:val="Tabletextright"/>
            </w:pPr>
            <w:r>
              <w:t>1 740</w:t>
            </w:r>
          </w:p>
        </w:tc>
        <w:tc>
          <w:tcPr>
            <w:tcW w:w="956" w:type="dxa"/>
            <w:tcBorders>
              <w:left w:val="nil"/>
              <w:right w:val="nil"/>
            </w:tcBorders>
          </w:tcPr>
          <w:p w:rsidR="009F0A92" w:rsidRDefault="009F0A92" w:rsidP="009543DB">
            <w:pPr>
              <w:pStyle w:val="Tabletextright"/>
            </w:pPr>
            <w:r>
              <w:t>1 740</w:t>
            </w:r>
          </w:p>
        </w:tc>
        <w:tc>
          <w:tcPr>
            <w:tcW w:w="957" w:type="dxa"/>
            <w:tcBorders>
              <w:left w:val="nil"/>
              <w:right w:val="nil"/>
            </w:tcBorders>
          </w:tcPr>
          <w:p w:rsidR="009F0A92" w:rsidRDefault="009F0A92" w:rsidP="009543DB">
            <w:pPr>
              <w:pStyle w:val="Tabletextright"/>
            </w:pPr>
            <w:r>
              <w:t>1 740</w:t>
            </w:r>
          </w:p>
        </w:tc>
        <w:tc>
          <w:tcPr>
            <w:tcW w:w="956" w:type="dxa"/>
            <w:tcBorders>
              <w:left w:val="nil"/>
              <w:right w:val="nil"/>
            </w:tcBorders>
          </w:tcPr>
          <w:p w:rsidR="009F0A92" w:rsidRDefault="009F0A92" w:rsidP="009543DB">
            <w:pPr>
              <w:pStyle w:val="Tabletextright"/>
            </w:pPr>
            <w:r>
              <w:t>1 740</w:t>
            </w:r>
          </w:p>
        </w:tc>
        <w:tc>
          <w:tcPr>
            <w:tcW w:w="957" w:type="dxa"/>
            <w:tcBorders>
              <w:left w:val="nil"/>
              <w:right w:val="nil"/>
            </w:tcBorders>
          </w:tcPr>
          <w:p w:rsidR="009F0A92" w:rsidRDefault="009F0A92" w:rsidP="009543DB">
            <w:pPr>
              <w:pStyle w:val="Tabletextright"/>
            </w:pPr>
            <w:r>
              <w:t>1 740</w:t>
            </w:r>
          </w:p>
        </w:tc>
        <w:tc>
          <w:tcPr>
            <w:tcW w:w="956" w:type="dxa"/>
            <w:tcBorders>
              <w:left w:val="nil"/>
              <w:right w:val="nil"/>
            </w:tcBorders>
          </w:tcPr>
          <w:p w:rsidR="009F0A92" w:rsidRDefault="009F0A92" w:rsidP="009543DB">
            <w:pPr>
              <w:pStyle w:val="Tabletextright"/>
            </w:pPr>
            <w:r>
              <w:t>2 202</w:t>
            </w:r>
          </w:p>
        </w:tc>
        <w:tc>
          <w:tcPr>
            <w:tcW w:w="957" w:type="dxa"/>
            <w:tcBorders>
              <w:left w:val="nil"/>
              <w:right w:val="nil"/>
            </w:tcBorders>
          </w:tcPr>
          <w:p w:rsidR="009F0A92" w:rsidRDefault="009F0A92" w:rsidP="009543DB">
            <w:pPr>
              <w:pStyle w:val="Tabletextright"/>
            </w:pPr>
            <w:r>
              <w:t>2 202</w:t>
            </w:r>
          </w:p>
        </w:tc>
        <w:tc>
          <w:tcPr>
            <w:tcW w:w="957" w:type="dxa"/>
            <w:tcBorders>
              <w:left w:val="nil"/>
              <w:right w:val="nil"/>
            </w:tcBorders>
          </w:tcPr>
          <w:p w:rsidR="009F0A92" w:rsidRDefault="009F0A92" w:rsidP="009543DB">
            <w:pPr>
              <w:pStyle w:val="Tabletextright"/>
            </w:pPr>
            <w:r>
              <w:t>2 137</w:t>
            </w:r>
          </w:p>
        </w:tc>
      </w:tr>
      <w:tr w:rsidR="009F0A92" w:rsidTr="009543DB">
        <w:tc>
          <w:tcPr>
            <w:tcW w:w="1214" w:type="dxa"/>
            <w:vMerge/>
            <w:tcBorders>
              <w:left w:val="nil"/>
              <w:right w:val="nil"/>
            </w:tcBorders>
            <w:vAlign w:val="center"/>
          </w:tcPr>
          <w:p w:rsidR="009F0A92" w:rsidRDefault="009F0A92" w:rsidP="009543DB">
            <w:pPr>
              <w:pStyle w:val="Tabletextheadingcentre"/>
            </w:pPr>
          </w:p>
        </w:tc>
        <w:tc>
          <w:tcPr>
            <w:tcW w:w="2296" w:type="dxa"/>
            <w:tcBorders>
              <w:left w:val="nil"/>
              <w:right w:val="nil"/>
            </w:tcBorders>
          </w:tcPr>
          <w:p w:rsidR="009F0A92" w:rsidRDefault="009F0A92" w:rsidP="009543DB">
            <w:pPr>
              <w:pStyle w:val="Tabletextleft"/>
            </w:pPr>
            <w:r>
              <w:t>Domestic short term</w:t>
            </w:r>
          </w:p>
        </w:tc>
        <w:tc>
          <w:tcPr>
            <w:tcW w:w="956" w:type="dxa"/>
            <w:tcBorders>
              <w:left w:val="nil"/>
              <w:right w:val="nil"/>
            </w:tcBorders>
          </w:tcPr>
          <w:p w:rsidR="009F0A92" w:rsidRDefault="009F0A92" w:rsidP="009543DB">
            <w:pPr>
              <w:pStyle w:val="Tabletextright"/>
            </w:pPr>
            <w:r>
              <w:t>938</w:t>
            </w:r>
          </w:p>
        </w:tc>
        <w:tc>
          <w:tcPr>
            <w:tcW w:w="957" w:type="dxa"/>
            <w:tcBorders>
              <w:left w:val="nil"/>
              <w:right w:val="nil"/>
            </w:tcBorders>
          </w:tcPr>
          <w:p w:rsidR="009F0A92" w:rsidRDefault="009F0A92" w:rsidP="009543DB">
            <w:pPr>
              <w:pStyle w:val="Tabletextright"/>
            </w:pPr>
            <w:r>
              <w:t>938</w:t>
            </w:r>
          </w:p>
        </w:tc>
        <w:tc>
          <w:tcPr>
            <w:tcW w:w="956" w:type="dxa"/>
            <w:tcBorders>
              <w:left w:val="nil"/>
              <w:right w:val="nil"/>
            </w:tcBorders>
          </w:tcPr>
          <w:p w:rsidR="009F0A92" w:rsidRDefault="009F0A92" w:rsidP="009543DB">
            <w:pPr>
              <w:pStyle w:val="Tabletextright"/>
            </w:pPr>
            <w:r>
              <w:t>842</w:t>
            </w:r>
          </w:p>
        </w:tc>
        <w:tc>
          <w:tcPr>
            <w:tcW w:w="957" w:type="dxa"/>
            <w:tcBorders>
              <w:left w:val="nil"/>
              <w:right w:val="nil"/>
            </w:tcBorders>
          </w:tcPr>
          <w:p w:rsidR="009F0A92" w:rsidRDefault="009F0A92" w:rsidP="009543DB">
            <w:pPr>
              <w:pStyle w:val="Tabletextright"/>
            </w:pPr>
            <w:r>
              <w:t>858</w:t>
            </w:r>
          </w:p>
        </w:tc>
        <w:tc>
          <w:tcPr>
            <w:tcW w:w="956" w:type="dxa"/>
            <w:tcBorders>
              <w:left w:val="nil"/>
              <w:right w:val="nil"/>
            </w:tcBorders>
          </w:tcPr>
          <w:p w:rsidR="009F0A92" w:rsidRDefault="009F0A92" w:rsidP="009543DB">
            <w:pPr>
              <w:pStyle w:val="Tabletextright"/>
            </w:pPr>
            <w:r>
              <w:t>810</w:t>
            </w:r>
          </w:p>
        </w:tc>
        <w:tc>
          <w:tcPr>
            <w:tcW w:w="957" w:type="dxa"/>
            <w:tcBorders>
              <w:left w:val="nil"/>
              <w:right w:val="nil"/>
            </w:tcBorders>
          </w:tcPr>
          <w:p w:rsidR="009F0A92" w:rsidRDefault="009F0A92" w:rsidP="009543DB">
            <w:pPr>
              <w:pStyle w:val="Tabletextright"/>
            </w:pPr>
            <w:r>
              <w:t>976</w:t>
            </w:r>
          </w:p>
        </w:tc>
        <w:tc>
          <w:tcPr>
            <w:tcW w:w="956" w:type="dxa"/>
            <w:tcBorders>
              <w:left w:val="nil"/>
              <w:right w:val="nil"/>
            </w:tcBorders>
          </w:tcPr>
          <w:p w:rsidR="009F0A92" w:rsidRDefault="009F0A92" w:rsidP="009543DB">
            <w:pPr>
              <w:pStyle w:val="Tabletextright"/>
            </w:pPr>
            <w:r>
              <w:t>1 133</w:t>
            </w:r>
          </w:p>
        </w:tc>
        <w:tc>
          <w:tcPr>
            <w:tcW w:w="957" w:type="dxa"/>
            <w:tcBorders>
              <w:left w:val="nil"/>
              <w:right w:val="nil"/>
            </w:tcBorders>
          </w:tcPr>
          <w:p w:rsidR="009F0A92" w:rsidRDefault="009F0A92" w:rsidP="009543DB">
            <w:pPr>
              <w:pStyle w:val="Tabletextright"/>
            </w:pPr>
            <w:r>
              <w:t>1 690</w:t>
            </w:r>
          </w:p>
        </w:tc>
        <w:tc>
          <w:tcPr>
            <w:tcW w:w="956" w:type="dxa"/>
            <w:tcBorders>
              <w:left w:val="nil"/>
              <w:right w:val="nil"/>
            </w:tcBorders>
          </w:tcPr>
          <w:p w:rsidR="009F0A92" w:rsidRDefault="009F0A92" w:rsidP="009543DB">
            <w:pPr>
              <w:pStyle w:val="Tabletextright"/>
            </w:pPr>
            <w:r>
              <w:t>1 119</w:t>
            </w:r>
          </w:p>
        </w:tc>
        <w:tc>
          <w:tcPr>
            <w:tcW w:w="957" w:type="dxa"/>
            <w:tcBorders>
              <w:left w:val="nil"/>
              <w:right w:val="nil"/>
            </w:tcBorders>
          </w:tcPr>
          <w:p w:rsidR="009F0A92" w:rsidRDefault="009F0A92" w:rsidP="009543DB">
            <w:pPr>
              <w:pStyle w:val="Tabletextright"/>
            </w:pPr>
            <w:r>
              <w:t>1 119</w:t>
            </w:r>
          </w:p>
        </w:tc>
        <w:tc>
          <w:tcPr>
            <w:tcW w:w="957" w:type="dxa"/>
            <w:tcBorders>
              <w:left w:val="nil"/>
              <w:right w:val="nil"/>
            </w:tcBorders>
          </w:tcPr>
          <w:p w:rsidR="009F0A92" w:rsidRDefault="009F0A92" w:rsidP="009543DB">
            <w:pPr>
              <w:pStyle w:val="Tabletextright"/>
            </w:pPr>
            <w:r>
              <w:t>1 074</w:t>
            </w:r>
          </w:p>
        </w:tc>
      </w:tr>
      <w:tr w:rsidR="009F0A92" w:rsidTr="009543DB">
        <w:tc>
          <w:tcPr>
            <w:tcW w:w="1214" w:type="dxa"/>
            <w:vMerge/>
            <w:tcBorders>
              <w:left w:val="nil"/>
              <w:right w:val="nil"/>
            </w:tcBorders>
            <w:vAlign w:val="center"/>
          </w:tcPr>
          <w:p w:rsidR="009F0A92" w:rsidRDefault="009F0A92" w:rsidP="009543DB">
            <w:pPr>
              <w:pStyle w:val="Tabletextheadingcentre"/>
            </w:pPr>
          </w:p>
        </w:tc>
        <w:tc>
          <w:tcPr>
            <w:tcW w:w="2296" w:type="dxa"/>
            <w:tcBorders>
              <w:left w:val="nil"/>
              <w:right w:val="nil"/>
            </w:tcBorders>
          </w:tcPr>
          <w:p w:rsidR="009F0A92" w:rsidRDefault="009F0A92" w:rsidP="009543DB">
            <w:pPr>
              <w:pStyle w:val="Tabletextleft"/>
            </w:pPr>
            <w:r>
              <w:t>Domestic long term</w:t>
            </w:r>
          </w:p>
        </w:tc>
        <w:tc>
          <w:tcPr>
            <w:tcW w:w="956" w:type="dxa"/>
            <w:tcBorders>
              <w:left w:val="nil"/>
              <w:right w:val="nil"/>
            </w:tcBorders>
          </w:tcPr>
          <w:p w:rsidR="009F0A92" w:rsidRDefault="009F0A92" w:rsidP="009543DB">
            <w:pPr>
              <w:pStyle w:val="Tabletextright"/>
            </w:pPr>
            <w:r>
              <w:t>3 600</w:t>
            </w:r>
          </w:p>
        </w:tc>
        <w:tc>
          <w:tcPr>
            <w:tcW w:w="957" w:type="dxa"/>
            <w:tcBorders>
              <w:left w:val="nil"/>
              <w:right w:val="nil"/>
            </w:tcBorders>
          </w:tcPr>
          <w:p w:rsidR="009F0A92" w:rsidRDefault="009F0A92" w:rsidP="009543DB">
            <w:pPr>
              <w:pStyle w:val="Tabletextright"/>
            </w:pPr>
            <w:r>
              <w:t>4 100</w:t>
            </w:r>
          </w:p>
        </w:tc>
        <w:tc>
          <w:tcPr>
            <w:tcW w:w="956" w:type="dxa"/>
            <w:tcBorders>
              <w:left w:val="nil"/>
              <w:right w:val="nil"/>
            </w:tcBorders>
          </w:tcPr>
          <w:p w:rsidR="009F0A92" w:rsidRDefault="009F0A92" w:rsidP="009543DB">
            <w:pPr>
              <w:pStyle w:val="Tabletextright"/>
            </w:pPr>
            <w:r>
              <w:t>4 100</w:t>
            </w:r>
          </w:p>
        </w:tc>
        <w:tc>
          <w:tcPr>
            <w:tcW w:w="957" w:type="dxa"/>
            <w:tcBorders>
              <w:left w:val="nil"/>
              <w:right w:val="nil"/>
            </w:tcBorders>
          </w:tcPr>
          <w:p w:rsidR="009F0A92" w:rsidRDefault="009F0A92" w:rsidP="009543DB">
            <w:pPr>
              <w:pStyle w:val="Tabletextright"/>
            </w:pPr>
            <w:r>
              <w:t>4 148</w:t>
            </w:r>
          </w:p>
        </w:tc>
        <w:tc>
          <w:tcPr>
            <w:tcW w:w="956" w:type="dxa"/>
            <w:tcBorders>
              <w:left w:val="nil"/>
              <w:right w:val="nil"/>
            </w:tcBorders>
          </w:tcPr>
          <w:p w:rsidR="009F0A92" w:rsidRDefault="009F0A92" w:rsidP="009543DB">
            <w:pPr>
              <w:pStyle w:val="Tabletextright"/>
            </w:pPr>
            <w:r>
              <w:t>4 635</w:t>
            </w:r>
          </w:p>
        </w:tc>
        <w:tc>
          <w:tcPr>
            <w:tcW w:w="957" w:type="dxa"/>
            <w:tcBorders>
              <w:left w:val="nil"/>
              <w:right w:val="nil"/>
            </w:tcBorders>
          </w:tcPr>
          <w:p w:rsidR="009F0A92" w:rsidRDefault="009F0A92" w:rsidP="009543DB">
            <w:pPr>
              <w:pStyle w:val="Tabletextright"/>
            </w:pPr>
            <w:r>
              <w:t>4 410</w:t>
            </w:r>
          </w:p>
        </w:tc>
        <w:tc>
          <w:tcPr>
            <w:tcW w:w="956" w:type="dxa"/>
            <w:tcBorders>
              <w:left w:val="nil"/>
              <w:right w:val="nil"/>
            </w:tcBorders>
          </w:tcPr>
          <w:p w:rsidR="009F0A92" w:rsidRDefault="009F0A92" w:rsidP="009543DB">
            <w:pPr>
              <w:pStyle w:val="Tabletextright"/>
            </w:pPr>
            <w:r>
              <w:t>4 410</w:t>
            </w:r>
          </w:p>
        </w:tc>
        <w:tc>
          <w:tcPr>
            <w:tcW w:w="957" w:type="dxa"/>
            <w:tcBorders>
              <w:left w:val="nil"/>
              <w:right w:val="nil"/>
            </w:tcBorders>
          </w:tcPr>
          <w:p w:rsidR="009F0A92" w:rsidRDefault="009F0A92" w:rsidP="009543DB">
            <w:pPr>
              <w:pStyle w:val="Tabletextright"/>
            </w:pPr>
            <w:r>
              <w:t>6 948</w:t>
            </w:r>
          </w:p>
        </w:tc>
        <w:tc>
          <w:tcPr>
            <w:tcW w:w="956" w:type="dxa"/>
            <w:tcBorders>
              <w:left w:val="nil"/>
              <w:right w:val="nil"/>
            </w:tcBorders>
          </w:tcPr>
          <w:p w:rsidR="009F0A92" w:rsidRDefault="009F0A92" w:rsidP="009543DB">
            <w:pPr>
              <w:pStyle w:val="Tabletextright"/>
            </w:pPr>
            <w:r>
              <w:t>7 616</w:t>
            </w:r>
          </w:p>
        </w:tc>
        <w:tc>
          <w:tcPr>
            <w:tcW w:w="957" w:type="dxa"/>
            <w:tcBorders>
              <w:left w:val="nil"/>
              <w:right w:val="nil"/>
            </w:tcBorders>
          </w:tcPr>
          <w:p w:rsidR="009F0A92" w:rsidRDefault="009F0A92" w:rsidP="009543DB">
            <w:pPr>
              <w:pStyle w:val="Tabletextright"/>
            </w:pPr>
            <w:r>
              <w:t>7 616</w:t>
            </w:r>
          </w:p>
        </w:tc>
        <w:tc>
          <w:tcPr>
            <w:tcW w:w="957" w:type="dxa"/>
            <w:tcBorders>
              <w:left w:val="nil"/>
              <w:right w:val="nil"/>
            </w:tcBorders>
          </w:tcPr>
          <w:p w:rsidR="009F0A92" w:rsidRDefault="009F0A92" w:rsidP="009543DB">
            <w:pPr>
              <w:pStyle w:val="Tabletextright"/>
            </w:pPr>
            <w:r>
              <w:t>7 428</w:t>
            </w:r>
          </w:p>
        </w:tc>
      </w:tr>
      <w:tr w:rsidR="009F0A92" w:rsidTr="009543DB">
        <w:tc>
          <w:tcPr>
            <w:tcW w:w="1214" w:type="dxa"/>
            <w:vMerge/>
            <w:tcBorders>
              <w:left w:val="nil"/>
              <w:right w:val="nil"/>
            </w:tcBorders>
            <w:vAlign w:val="center"/>
          </w:tcPr>
          <w:p w:rsidR="009F0A92" w:rsidRDefault="009F0A92" w:rsidP="009543DB">
            <w:pPr>
              <w:pStyle w:val="Tabletextheadingcentre"/>
            </w:pPr>
          </w:p>
        </w:tc>
        <w:tc>
          <w:tcPr>
            <w:tcW w:w="2296" w:type="dxa"/>
            <w:tcBorders>
              <w:left w:val="nil"/>
              <w:right w:val="nil"/>
            </w:tcBorders>
          </w:tcPr>
          <w:p w:rsidR="009F0A92" w:rsidRDefault="009F0A92" w:rsidP="009543DB">
            <w:pPr>
              <w:pStyle w:val="Tabletextleft"/>
            </w:pPr>
            <w:r>
              <w:t>Staff</w:t>
            </w:r>
          </w:p>
        </w:tc>
        <w:tc>
          <w:tcPr>
            <w:tcW w:w="956" w:type="dxa"/>
            <w:tcBorders>
              <w:left w:val="nil"/>
              <w:right w:val="nil"/>
            </w:tcBorders>
          </w:tcPr>
          <w:p w:rsidR="009F0A92" w:rsidRDefault="009F0A92" w:rsidP="009543DB">
            <w:pPr>
              <w:pStyle w:val="Tabletextright"/>
            </w:pPr>
            <w:r>
              <w:t>2 349</w:t>
            </w:r>
          </w:p>
        </w:tc>
        <w:tc>
          <w:tcPr>
            <w:tcW w:w="957" w:type="dxa"/>
            <w:tcBorders>
              <w:left w:val="nil"/>
              <w:right w:val="nil"/>
            </w:tcBorders>
          </w:tcPr>
          <w:p w:rsidR="009F0A92" w:rsidRDefault="009F0A92" w:rsidP="009543DB">
            <w:pPr>
              <w:pStyle w:val="Tabletextright"/>
            </w:pPr>
            <w:r>
              <w:t>2 723</w:t>
            </w:r>
          </w:p>
        </w:tc>
        <w:tc>
          <w:tcPr>
            <w:tcW w:w="956" w:type="dxa"/>
            <w:tcBorders>
              <w:left w:val="nil"/>
              <w:right w:val="nil"/>
            </w:tcBorders>
          </w:tcPr>
          <w:p w:rsidR="009F0A92" w:rsidRDefault="009F0A92" w:rsidP="009543DB">
            <w:pPr>
              <w:pStyle w:val="Tabletextright"/>
            </w:pPr>
            <w:r>
              <w:t>2 723</w:t>
            </w:r>
          </w:p>
        </w:tc>
        <w:tc>
          <w:tcPr>
            <w:tcW w:w="957" w:type="dxa"/>
            <w:tcBorders>
              <w:left w:val="nil"/>
              <w:right w:val="nil"/>
            </w:tcBorders>
          </w:tcPr>
          <w:p w:rsidR="009F0A92" w:rsidRDefault="009F0A92" w:rsidP="009543DB">
            <w:pPr>
              <w:pStyle w:val="Tabletextright"/>
            </w:pPr>
            <w:r>
              <w:t>3 575</w:t>
            </w:r>
          </w:p>
        </w:tc>
        <w:tc>
          <w:tcPr>
            <w:tcW w:w="956" w:type="dxa"/>
            <w:tcBorders>
              <w:left w:val="nil"/>
              <w:right w:val="nil"/>
            </w:tcBorders>
          </w:tcPr>
          <w:p w:rsidR="009F0A92" w:rsidRDefault="009F0A92" w:rsidP="009543DB">
            <w:pPr>
              <w:pStyle w:val="Tabletextright"/>
            </w:pPr>
            <w:r>
              <w:t>2 730</w:t>
            </w:r>
          </w:p>
        </w:tc>
        <w:tc>
          <w:tcPr>
            <w:tcW w:w="957" w:type="dxa"/>
            <w:tcBorders>
              <w:left w:val="nil"/>
              <w:right w:val="nil"/>
            </w:tcBorders>
          </w:tcPr>
          <w:p w:rsidR="009F0A92" w:rsidRDefault="009F0A92" w:rsidP="009543DB">
            <w:pPr>
              <w:pStyle w:val="Tabletextright"/>
            </w:pPr>
            <w:r>
              <w:t>2 484</w:t>
            </w:r>
          </w:p>
        </w:tc>
        <w:tc>
          <w:tcPr>
            <w:tcW w:w="956" w:type="dxa"/>
            <w:tcBorders>
              <w:left w:val="nil"/>
              <w:right w:val="nil"/>
            </w:tcBorders>
          </w:tcPr>
          <w:p w:rsidR="009F0A92" w:rsidRDefault="009F0A92" w:rsidP="009543DB">
            <w:pPr>
              <w:pStyle w:val="Tabletextright"/>
            </w:pPr>
            <w:r>
              <w:t>2 484</w:t>
            </w:r>
          </w:p>
        </w:tc>
        <w:tc>
          <w:tcPr>
            <w:tcW w:w="957" w:type="dxa"/>
            <w:tcBorders>
              <w:left w:val="nil"/>
              <w:right w:val="nil"/>
            </w:tcBorders>
          </w:tcPr>
          <w:p w:rsidR="009F0A92" w:rsidRDefault="009F0A92" w:rsidP="009543DB">
            <w:pPr>
              <w:pStyle w:val="Tabletextright"/>
            </w:pPr>
            <w:r>
              <w:t>2 484</w:t>
            </w:r>
          </w:p>
        </w:tc>
        <w:tc>
          <w:tcPr>
            <w:tcW w:w="956" w:type="dxa"/>
            <w:tcBorders>
              <w:left w:val="nil"/>
              <w:right w:val="nil"/>
            </w:tcBorders>
          </w:tcPr>
          <w:p w:rsidR="009F0A92" w:rsidRDefault="009F0A92" w:rsidP="009543DB">
            <w:pPr>
              <w:pStyle w:val="Tabletextright"/>
            </w:pPr>
            <w:r>
              <w:t>3 038</w:t>
            </w:r>
          </w:p>
        </w:tc>
        <w:tc>
          <w:tcPr>
            <w:tcW w:w="957" w:type="dxa"/>
            <w:tcBorders>
              <w:left w:val="nil"/>
              <w:right w:val="nil"/>
            </w:tcBorders>
          </w:tcPr>
          <w:p w:rsidR="009F0A92" w:rsidRDefault="009F0A92" w:rsidP="009543DB">
            <w:pPr>
              <w:pStyle w:val="Tabletextright"/>
            </w:pPr>
            <w:r>
              <w:t>3 038</w:t>
            </w:r>
          </w:p>
        </w:tc>
        <w:tc>
          <w:tcPr>
            <w:tcW w:w="957" w:type="dxa"/>
            <w:tcBorders>
              <w:left w:val="nil"/>
              <w:right w:val="nil"/>
            </w:tcBorders>
          </w:tcPr>
          <w:p w:rsidR="009F0A92" w:rsidRDefault="009F0A92" w:rsidP="009543DB">
            <w:pPr>
              <w:pStyle w:val="Tabletextright"/>
            </w:pPr>
            <w:r>
              <w:t>3 038</w:t>
            </w:r>
          </w:p>
        </w:tc>
      </w:tr>
      <w:tr w:rsidR="009F0A92" w:rsidTr="009543DB">
        <w:tc>
          <w:tcPr>
            <w:tcW w:w="1214" w:type="dxa"/>
            <w:vMerge/>
            <w:tcBorders>
              <w:left w:val="nil"/>
              <w:bottom w:val="single" w:sz="4" w:space="0" w:color="auto"/>
              <w:right w:val="nil"/>
            </w:tcBorders>
            <w:vAlign w:val="center"/>
          </w:tcPr>
          <w:p w:rsidR="009F0A92" w:rsidRDefault="009F0A92" w:rsidP="009543DB">
            <w:pPr>
              <w:pStyle w:val="Tabletextheadingcentre"/>
            </w:pPr>
          </w:p>
        </w:tc>
        <w:tc>
          <w:tcPr>
            <w:tcW w:w="2296" w:type="dxa"/>
            <w:tcBorders>
              <w:left w:val="nil"/>
              <w:bottom w:val="single" w:sz="4" w:space="0" w:color="auto"/>
              <w:right w:val="nil"/>
            </w:tcBorders>
          </w:tcPr>
          <w:p w:rsidR="009F0A92" w:rsidRDefault="009F0A92" w:rsidP="009543DB">
            <w:pPr>
              <w:pStyle w:val="Tabletextheading"/>
            </w:pPr>
            <w:r>
              <w:t>Total airport</w:t>
            </w:r>
          </w:p>
        </w:tc>
        <w:tc>
          <w:tcPr>
            <w:tcW w:w="956" w:type="dxa"/>
            <w:tcBorders>
              <w:left w:val="nil"/>
              <w:bottom w:val="single" w:sz="4" w:space="0" w:color="auto"/>
              <w:right w:val="nil"/>
            </w:tcBorders>
          </w:tcPr>
          <w:p w:rsidR="009F0A92" w:rsidRDefault="009F0A92" w:rsidP="009543DB">
            <w:pPr>
              <w:pStyle w:val="Tabletextheadingright"/>
            </w:pPr>
            <w:r>
              <w:t>7 837</w:t>
            </w:r>
          </w:p>
        </w:tc>
        <w:tc>
          <w:tcPr>
            <w:tcW w:w="957" w:type="dxa"/>
            <w:tcBorders>
              <w:left w:val="nil"/>
              <w:bottom w:val="single" w:sz="4" w:space="0" w:color="auto"/>
              <w:right w:val="nil"/>
            </w:tcBorders>
          </w:tcPr>
          <w:p w:rsidR="009F0A92" w:rsidRDefault="009F0A92" w:rsidP="009543DB">
            <w:pPr>
              <w:pStyle w:val="Tabletextheadingright"/>
            </w:pPr>
            <w:r>
              <w:t>8 711</w:t>
            </w:r>
          </w:p>
        </w:tc>
        <w:tc>
          <w:tcPr>
            <w:tcW w:w="956" w:type="dxa"/>
            <w:tcBorders>
              <w:left w:val="nil"/>
              <w:bottom w:val="single" w:sz="4" w:space="0" w:color="auto"/>
              <w:right w:val="nil"/>
            </w:tcBorders>
          </w:tcPr>
          <w:p w:rsidR="009F0A92" w:rsidRDefault="009F0A92" w:rsidP="009543DB">
            <w:pPr>
              <w:pStyle w:val="Tabletextheadingright"/>
            </w:pPr>
            <w:r>
              <w:t>8 616</w:t>
            </w:r>
          </w:p>
        </w:tc>
        <w:tc>
          <w:tcPr>
            <w:tcW w:w="957" w:type="dxa"/>
            <w:tcBorders>
              <w:left w:val="nil"/>
              <w:bottom w:val="single" w:sz="4" w:space="0" w:color="auto"/>
              <w:right w:val="nil"/>
            </w:tcBorders>
          </w:tcPr>
          <w:p w:rsidR="009F0A92" w:rsidRDefault="009F0A92" w:rsidP="009543DB">
            <w:pPr>
              <w:pStyle w:val="Tabletextheadingright"/>
            </w:pPr>
            <w:r>
              <w:t>10 321</w:t>
            </w:r>
          </w:p>
        </w:tc>
        <w:tc>
          <w:tcPr>
            <w:tcW w:w="956" w:type="dxa"/>
            <w:tcBorders>
              <w:left w:val="nil"/>
              <w:bottom w:val="single" w:sz="4" w:space="0" w:color="auto"/>
              <w:right w:val="nil"/>
            </w:tcBorders>
          </w:tcPr>
          <w:p w:rsidR="009F0A92" w:rsidRDefault="009F0A92" w:rsidP="009543DB">
            <w:pPr>
              <w:pStyle w:val="Tabletextheadingright"/>
            </w:pPr>
            <w:r>
              <w:t>9 915</w:t>
            </w:r>
          </w:p>
        </w:tc>
        <w:tc>
          <w:tcPr>
            <w:tcW w:w="957" w:type="dxa"/>
            <w:tcBorders>
              <w:left w:val="nil"/>
              <w:bottom w:val="single" w:sz="4" w:space="0" w:color="auto"/>
              <w:right w:val="nil"/>
            </w:tcBorders>
          </w:tcPr>
          <w:p w:rsidR="009F0A92" w:rsidRDefault="009F0A92" w:rsidP="009543DB">
            <w:pPr>
              <w:pStyle w:val="Tabletextheadingright"/>
            </w:pPr>
            <w:r>
              <w:t>9 610</w:t>
            </w:r>
          </w:p>
        </w:tc>
        <w:tc>
          <w:tcPr>
            <w:tcW w:w="956" w:type="dxa"/>
            <w:tcBorders>
              <w:left w:val="nil"/>
              <w:bottom w:val="single" w:sz="4" w:space="0" w:color="auto"/>
              <w:right w:val="nil"/>
            </w:tcBorders>
          </w:tcPr>
          <w:p w:rsidR="009F0A92" w:rsidRDefault="009F0A92" w:rsidP="009543DB">
            <w:pPr>
              <w:pStyle w:val="Tabletextheadingright"/>
            </w:pPr>
            <w:r>
              <w:t>9 767</w:t>
            </w:r>
          </w:p>
        </w:tc>
        <w:tc>
          <w:tcPr>
            <w:tcW w:w="957" w:type="dxa"/>
            <w:tcBorders>
              <w:left w:val="nil"/>
              <w:bottom w:val="single" w:sz="4" w:space="0" w:color="auto"/>
              <w:right w:val="nil"/>
            </w:tcBorders>
          </w:tcPr>
          <w:p w:rsidR="009F0A92" w:rsidRDefault="009F0A92" w:rsidP="009543DB">
            <w:pPr>
              <w:pStyle w:val="Tabletextheadingright"/>
            </w:pPr>
            <w:r>
              <w:t>12 862</w:t>
            </w:r>
          </w:p>
        </w:tc>
        <w:tc>
          <w:tcPr>
            <w:tcW w:w="956" w:type="dxa"/>
            <w:tcBorders>
              <w:left w:val="nil"/>
              <w:bottom w:val="single" w:sz="4" w:space="0" w:color="auto"/>
              <w:right w:val="nil"/>
            </w:tcBorders>
          </w:tcPr>
          <w:p w:rsidR="009F0A92" w:rsidRDefault="009F0A92" w:rsidP="009543DB">
            <w:pPr>
              <w:pStyle w:val="Tabletextheadingright"/>
            </w:pPr>
            <w:r>
              <w:t>13 975</w:t>
            </w:r>
          </w:p>
        </w:tc>
        <w:tc>
          <w:tcPr>
            <w:tcW w:w="957" w:type="dxa"/>
            <w:tcBorders>
              <w:left w:val="nil"/>
              <w:bottom w:val="single" w:sz="4" w:space="0" w:color="auto"/>
              <w:right w:val="nil"/>
            </w:tcBorders>
          </w:tcPr>
          <w:p w:rsidR="009F0A92" w:rsidRDefault="009F0A92" w:rsidP="009543DB">
            <w:pPr>
              <w:pStyle w:val="Tabletextheadingright"/>
            </w:pPr>
            <w:r>
              <w:t>13 975</w:t>
            </w:r>
          </w:p>
        </w:tc>
        <w:tc>
          <w:tcPr>
            <w:tcW w:w="957" w:type="dxa"/>
            <w:tcBorders>
              <w:left w:val="nil"/>
              <w:bottom w:val="single" w:sz="4" w:space="0" w:color="auto"/>
              <w:right w:val="nil"/>
            </w:tcBorders>
          </w:tcPr>
          <w:p w:rsidR="009F0A92" w:rsidRDefault="009F0A92" w:rsidP="009543DB">
            <w:pPr>
              <w:pStyle w:val="Tabletextheadingright"/>
            </w:pPr>
            <w:r>
              <w:t>13 677</w:t>
            </w:r>
          </w:p>
        </w:tc>
      </w:tr>
    </w:tbl>
    <w:p w:rsidR="009F0A92" w:rsidRDefault="009F0A92" w:rsidP="009F0A92">
      <w:pPr>
        <w:pStyle w:val="Tabletextheadingcentre"/>
        <w:sectPr w:rsidR="009F0A92" w:rsidSect="009543DB">
          <w:headerReference w:type="even" r:id="rId72"/>
          <w:headerReference w:type="default" r:id="rId73"/>
          <w:footnotePr>
            <w:numStart w:val="93"/>
          </w:footnotePr>
          <w:pgSz w:w="16838" w:h="11906" w:orient="landscape"/>
          <w:pgMar w:top="1729" w:right="1440" w:bottom="1729" w:left="1582" w:header="709" w:footer="709" w:gutter="0"/>
          <w:cols w:space="708"/>
          <w:docGrid w:linePitch="360"/>
        </w:sectPr>
      </w:pP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9F0A92" w:rsidTr="009543DB">
        <w:tc>
          <w:tcPr>
            <w:tcW w:w="1214" w:type="dxa"/>
            <w:vMerge w:val="restart"/>
            <w:tcBorders>
              <w:top w:val="nil"/>
              <w:left w:val="nil"/>
              <w:right w:val="nil"/>
            </w:tcBorders>
            <w:vAlign w:val="center"/>
          </w:tcPr>
          <w:p w:rsidR="009F0A92" w:rsidRDefault="009F0A92" w:rsidP="009543DB">
            <w:pPr>
              <w:pStyle w:val="Tabletextheadingcentre"/>
            </w:pPr>
            <w:r>
              <w:lastRenderedPageBreak/>
              <w:t>Annual throughput of car park facilities (thousand)</w:t>
            </w:r>
            <w:r>
              <w:rPr>
                <w:rStyle w:val="FootnoteReference"/>
              </w:rPr>
              <w:footnoteReference w:id="99"/>
            </w:r>
          </w:p>
        </w:tc>
        <w:tc>
          <w:tcPr>
            <w:tcW w:w="2296" w:type="dxa"/>
            <w:tcBorders>
              <w:top w:val="nil"/>
              <w:left w:val="nil"/>
              <w:right w:val="nil"/>
            </w:tcBorders>
          </w:tcPr>
          <w:p w:rsidR="009F0A92" w:rsidRDefault="009F0A92" w:rsidP="009543DB">
            <w:pPr>
              <w:pStyle w:val="Tabletextleft"/>
            </w:pPr>
            <w:r>
              <w:t>International combined short term and long term</w:t>
            </w:r>
          </w:p>
        </w:tc>
        <w:tc>
          <w:tcPr>
            <w:tcW w:w="956" w:type="dxa"/>
            <w:tcBorders>
              <w:top w:val="nil"/>
              <w:left w:val="nil"/>
              <w:right w:val="nil"/>
            </w:tcBorders>
          </w:tcPr>
          <w:p w:rsidR="009F0A92" w:rsidRDefault="009F0A92" w:rsidP="009543DB">
            <w:pPr>
              <w:pStyle w:val="Tabletextright"/>
            </w:pPr>
            <w:r>
              <w:t>753</w:t>
            </w:r>
          </w:p>
        </w:tc>
        <w:tc>
          <w:tcPr>
            <w:tcW w:w="957" w:type="dxa"/>
            <w:tcBorders>
              <w:top w:val="nil"/>
              <w:left w:val="nil"/>
              <w:right w:val="nil"/>
            </w:tcBorders>
          </w:tcPr>
          <w:p w:rsidR="009F0A92" w:rsidRDefault="009F0A92" w:rsidP="009543DB">
            <w:pPr>
              <w:pStyle w:val="Tabletextright"/>
            </w:pPr>
            <w:r>
              <w:t>752</w:t>
            </w:r>
          </w:p>
        </w:tc>
        <w:tc>
          <w:tcPr>
            <w:tcW w:w="956" w:type="dxa"/>
            <w:tcBorders>
              <w:top w:val="nil"/>
              <w:left w:val="nil"/>
              <w:right w:val="nil"/>
            </w:tcBorders>
          </w:tcPr>
          <w:p w:rsidR="009F0A92" w:rsidRDefault="009F0A92" w:rsidP="009543DB">
            <w:pPr>
              <w:pStyle w:val="Tabletextright"/>
            </w:pPr>
            <w:r>
              <w:t>707</w:t>
            </w:r>
          </w:p>
        </w:tc>
        <w:tc>
          <w:tcPr>
            <w:tcW w:w="957" w:type="dxa"/>
            <w:tcBorders>
              <w:top w:val="nil"/>
              <w:left w:val="nil"/>
              <w:right w:val="nil"/>
            </w:tcBorders>
          </w:tcPr>
          <w:p w:rsidR="009F0A92" w:rsidRDefault="009F0A92" w:rsidP="009543DB">
            <w:pPr>
              <w:pStyle w:val="Tabletextright"/>
            </w:pPr>
            <w:r>
              <w:t>607</w:t>
            </w:r>
          </w:p>
        </w:tc>
        <w:tc>
          <w:tcPr>
            <w:tcW w:w="956" w:type="dxa"/>
            <w:tcBorders>
              <w:top w:val="nil"/>
              <w:left w:val="nil"/>
              <w:right w:val="nil"/>
            </w:tcBorders>
          </w:tcPr>
          <w:p w:rsidR="009F0A92" w:rsidRDefault="009F0A92" w:rsidP="009543DB">
            <w:pPr>
              <w:pStyle w:val="Tabletextright"/>
            </w:pPr>
            <w:r>
              <w:t>705</w:t>
            </w:r>
          </w:p>
        </w:tc>
        <w:tc>
          <w:tcPr>
            <w:tcW w:w="957" w:type="dxa"/>
            <w:tcBorders>
              <w:top w:val="nil"/>
              <w:left w:val="nil"/>
              <w:right w:val="nil"/>
            </w:tcBorders>
          </w:tcPr>
          <w:p w:rsidR="009F0A92" w:rsidRDefault="009F0A92" w:rsidP="009543DB">
            <w:pPr>
              <w:pStyle w:val="Tabletextright"/>
            </w:pPr>
            <w:r>
              <w:t>673</w:t>
            </w:r>
          </w:p>
        </w:tc>
        <w:tc>
          <w:tcPr>
            <w:tcW w:w="956" w:type="dxa"/>
            <w:tcBorders>
              <w:top w:val="nil"/>
              <w:left w:val="nil"/>
              <w:right w:val="nil"/>
            </w:tcBorders>
          </w:tcPr>
          <w:p w:rsidR="009F0A92" w:rsidRDefault="009F0A92" w:rsidP="009543DB">
            <w:pPr>
              <w:pStyle w:val="Tabletextright"/>
            </w:pPr>
            <w:r>
              <w:t>662</w:t>
            </w:r>
          </w:p>
        </w:tc>
        <w:tc>
          <w:tcPr>
            <w:tcW w:w="957" w:type="dxa"/>
            <w:tcBorders>
              <w:top w:val="nil"/>
              <w:left w:val="nil"/>
              <w:right w:val="nil"/>
            </w:tcBorders>
          </w:tcPr>
          <w:p w:rsidR="009F0A92" w:rsidRDefault="009F0A92" w:rsidP="009543DB">
            <w:pPr>
              <w:pStyle w:val="Tabletextright"/>
            </w:pPr>
            <w:r>
              <w:t>663</w:t>
            </w:r>
          </w:p>
        </w:tc>
        <w:tc>
          <w:tcPr>
            <w:tcW w:w="956" w:type="dxa"/>
            <w:tcBorders>
              <w:top w:val="nil"/>
              <w:left w:val="nil"/>
              <w:right w:val="nil"/>
            </w:tcBorders>
          </w:tcPr>
          <w:p w:rsidR="009F0A92" w:rsidRDefault="009F0A92" w:rsidP="009543DB">
            <w:pPr>
              <w:pStyle w:val="Tabletextright"/>
            </w:pPr>
            <w:r>
              <w:t>751</w:t>
            </w:r>
          </w:p>
        </w:tc>
        <w:tc>
          <w:tcPr>
            <w:tcW w:w="957" w:type="dxa"/>
            <w:tcBorders>
              <w:top w:val="nil"/>
              <w:left w:val="nil"/>
              <w:right w:val="nil"/>
            </w:tcBorders>
          </w:tcPr>
          <w:p w:rsidR="009F0A92" w:rsidRDefault="009F0A92" w:rsidP="009543DB">
            <w:pPr>
              <w:pStyle w:val="Tabletextright"/>
            </w:pPr>
            <w:r>
              <w:t>751</w:t>
            </w:r>
          </w:p>
        </w:tc>
        <w:tc>
          <w:tcPr>
            <w:tcW w:w="957" w:type="dxa"/>
            <w:tcBorders>
              <w:top w:val="nil"/>
              <w:left w:val="nil"/>
              <w:right w:val="nil"/>
            </w:tcBorders>
          </w:tcPr>
          <w:p w:rsidR="009F0A92" w:rsidRDefault="009F0A92" w:rsidP="009543DB">
            <w:pPr>
              <w:pStyle w:val="Tabletextright"/>
            </w:pPr>
            <w:r>
              <w:t>735</w:t>
            </w:r>
          </w:p>
        </w:tc>
      </w:tr>
      <w:tr w:rsidR="009F0A92" w:rsidTr="009543DB">
        <w:tc>
          <w:tcPr>
            <w:tcW w:w="1214" w:type="dxa"/>
            <w:vMerge/>
            <w:tcBorders>
              <w:left w:val="nil"/>
              <w:right w:val="nil"/>
            </w:tcBorders>
            <w:vAlign w:val="center"/>
          </w:tcPr>
          <w:p w:rsidR="009F0A92" w:rsidRDefault="009F0A92" w:rsidP="009543DB">
            <w:pPr>
              <w:pStyle w:val="Tabletextheadingcentre"/>
            </w:pPr>
          </w:p>
        </w:tc>
        <w:tc>
          <w:tcPr>
            <w:tcW w:w="2296" w:type="dxa"/>
            <w:tcBorders>
              <w:left w:val="nil"/>
              <w:right w:val="nil"/>
            </w:tcBorders>
          </w:tcPr>
          <w:p w:rsidR="009F0A92" w:rsidRDefault="009F0A92" w:rsidP="009543DB">
            <w:pPr>
              <w:pStyle w:val="Tabletextleft"/>
            </w:pPr>
            <w:r>
              <w:t>Domestic short term</w:t>
            </w:r>
          </w:p>
        </w:tc>
        <w:tc>
          <w:tcPr>
            <w:tcW w:w="956" w:type="dxa"/>
            <w:tcBorders>
              <w:left w:val="nil"/>
              <w:right w:val="nil"/>
            </w:tcBorders>
          </w:tcPr>
          <w:p w:rsidR="009F0A92" w:rsidRDefault="009F0A92" w:rsidP="009543DB">
            <w:pPr>
              <w:pStyle w:val="Tabletextright"/>
            </w:pPr>
            <w:r>
              <w:t>1 176</w:t>
            </w:r>
          </w:p>
        </w:tc>
        <w:tc>
          <w:tcPr>
            <w:tcW w:w="957" w:type="dxa"/>
            <w:tcBorders>
              <w:left w:val="nil"/>
              <w:right w:val="nil"/>
            </w:tcBorders>
          </w:tcPr>
          <w:p w:rsidR="009F0A92" w:rsidRDefault="009F0A92" w:rsidP="009543DB">
            <w:pPr>
              <w:pStyle w:val="Tabletextright"/>
            </w:pPr>
            <w:r>
              <w:t>1 141</w:t>
            </w:r>
          </w:p>
        </w:tc>
        <w:tc>
          <w:tcPr>
            <w:tcW w:w="956" w:type="dxa"/>
            <w:tcBorders>
              <w:left w:val="nil"/>
              <w:right w:val="nil"/>
            </w:tcBorders>
          </w:tcPr>
          <w:p w:rsidR="009F0A92" w:rsidRDefault="009F0A92" w:rsidP="009543DB">
            <w:pPr>
              <w:pStyle w:val="Tabletextright"/>
            </w:pPr>
            <w:r>
              <w:t>1 156</w:t>
            </w:r>
          </w:p>
        </w:tc>
        <w:tc>
          <w:tcPr>
            <w:tcW w:w="957" w:type="dxa"/>
            <w:tcBorders>
              <w:left w:val="nil"/>
              <w:right w:val="nil"/>
            </w:tcBorders>
          </w:tcPr>
          <w:p w:rsidR="009F0A92" w:rsidRDefault="009F0A92" w:rsidP="009543DB">
            <w:pPr>
              <w:pStyle w:val="Tabletextright"/>
            </w:pPr>
            <w:r>
              <w:t>1 031</w:t>
            </w:r>
          </w:p>
        </w:tc>
        <w:tc>
          <w:tcPr>
            <w:tcW w:w="956" w:type="dxa"/>
            <w:tcBorders>
              <w:left w:val="nil"/>
              <w:right w:val="nil"/>
            </w:tcBorders>
          </w:tcPr>
          <w:p w:rsidR="009F0A92" w:rsidRDefault="009F0A92" w:rsidP="009543DB">
            <w:pPr>
              <w:pStyle w:val="Tabletextright"/>
            </w:pPr>
            <w:r>
              <w:t>960</w:t>
            </w:r>
          </w:p>
        </w:tc>
        <w:tc>
          <w:tcPr>
            <w:tcW w:w="957" w:type="dxa"/>
            <w:tcBorders>
              <w:left w:val="nil"/>
              <w:right w:val="nil"/>
            </w:tcBorders>
          </w:tcPr>
          <w:p w:rsidR="009F0A92" w:rsidRDefault="009F0A92" w:rsidP="009543DB">
            <w:pPr>
              <w:pStyle w:val="Tabletextright"/>
            </w:pPr>
            <w:r>
              <w:t>912</w:t>
            </w:r>
          </w:p>
        </w:tc>
        <w:tc>
          <w:tcPr>
            <w:tcW w:w="956" w:type="dxa"/>
            <w:tcBorders>
              <w:left w:val="nil"/>
              <w:right w:val="nil"/>
            </w:tcBorders>
          </w:tcPr>
          <w:p w:rsidR="009F0A92" w:rsidRDefault="009F0A92" w:rsidP="009543DB">
            <w:pPr>
              <w:pStyle w:val="Tabletextright"/>
            </w:pPr>
            <w:r>
              <w:t>839</w:t>
            </w:r>
          </w:p>
        </w:tc>
        <w:tc>
          <w:tcPr>
            <w:tcW w:w="957" w:type="dxa"/>
            <w:tcBorders>
              <w:left w:val="nil"/>
              <w:right w:val="nil"/>
            </w:tcBorders>
          </w:tcPr>
          <w:p w:rsidR="009F0A92" w:rsidRDefault="009F0A92" w:rsidP="009543DB">
            <w:pPr>
              <w:pStyle w:val="Tabletextright"/>
            </w:pPr>
            <w:r>
              <w:t>758</w:t>
            </w:r>
          </w:p>
        </w:tc>
        <w:tc>
          <w:tcPr>
            <w:tcW w:w="956" w:type="dxa"/>
            <w:tcBorders>
              <w:left w:val="nil"/>
              <w:right w:val="nil"/>
            </w:tcBorders>
          </w:tcPr>
          <w:p w:rsidR="009F0A92" w:rsidRDefault="009F0A92" w:rsidP="009543DB">
            <w:pPr>
              <w:pStyle w:val="Tabletextright"/>
            </w:pPr>
            <w:r>
              <w:t>1 381</w:t>
            </w:r>
          </w:p>
        </w:tc>
        <w:tc>
          <w:tcPr>
            <w:tcW w:w="957" w:type="dxa"/>
            <w:tcBorders>
              <w:left w:val="nil"/>
              <w:right w:val="nil"/>
            </w:tcBorders>
          </w:tcPr>
          <w:p w:rsidR="009F0A92" w:rsidRDefault="009F0A92" w:rsidP="009543DB">
            <w:pPr>
              <w:pStyle w:val="Tabletextright"/>
            </w:pPr>
            <w:r>
              <w:t>1 327</w:t>
            </w:r>
          </w:p>
        </w:tc>
        <w:tc>
          <w:tcPr>
            <w:tcW w:w="957" w:type="dxa"/>
            <w:tcBorders>
              <w:left w:val="nil"/>
              <w:right w:val="nil"/>
            </w:tcBorders>
          </w:tcPr>
          <w:p w:rsidR="009F0A92" w:rsidRDefault="009F0A92" w:rsidP="009543DB">
            <w:pPr>
              <w:pStyle w:val="Tabletextright"/>
            </w:pPr>
            <w:r>
              <w:t>1 162</w:t>
            </w:r>
          </w:p>
        </w:tc>
      </w:tr>
      <w:tr w:rsidR="009F0A92" w:rsidTr="009543DB">
        <w:tc>
          <w:tcPr>
            <w:tcW w:w="1214" w:type="dxa"/>
            <w:vMerge/>
            <w:tcBorders>
              <w:left w:val="nil"/>
              <w:right w:val="nil"/>
            </w:tcBorders>
            <w:vAlign w:val="center"/>
          </w:tcPr>
          <w:p w:rsidR="009F0A92" w:rsidRDefault="009F0A92" w:rsidP="009543DB">
            <w:pPr>
              <w:pStyle w:val="Tabletextheadingcentre"/>
            </w:pPr>
          </w:p>
        </w:tc>
        <w:tc>
          <w:tcPr>
            <w:tcW w:w="2296" w:type="dxa"/>
            <w:tcBorders>
              <w:left w:val="nil"/>
              <w:right w:val="nil"/>
            </w:tcBorders>
          </w:tcPr>
          <w:p w:rsidR="009F0A92" w:rsidRDefault="009F0A92" w:rsidP="009543DB">
            <w:pPr>
              <w:pStyle w:val="Tabletextleft"/>
            </w:pPr>
            <w:r>
              <w:t>Domestic long term</w:t>
            </w:r>
          </w:p>
        </w:tc>
        <w:tc>
          <w:tcPr>
            <w:tcW w:w="956" w:type="dxa"/>
            <w:tcBorders>
              <w:left w:val="nil"/>
              <w:right w:val="nil"/>
            </w:tcBorders>
          </w:tcPr>
          <w:p w:rsidR="009F0A92" w:rsidRDefault="009F0A92" w:rsidP="009543DB">
            <w:pPr>
              <w:pStyle w:val="Tabletextright"/>
            </w:pPr>
            <w:r>
              <w:t>214</w:t>
            </w:r>
          </w:p>
        </w:tc>
        <w:tc>
          <w:tcPr>
            <w:tcW w:w="957" w:type="dxa"/>
            <w:tcBorders>
              <w:left w:val="nil"/>
              <w:right w:val="nil"/>
            </w:tcBorders>
          </w:tcPr>
          <w:p w:rsidR="009F0A92" w:rsidRDefault="009F0A92" w:rsidP="009543DB">
            <w:pPr>
              <w:pStyle w:val="Tabletextright"/>
            </w:pPr>
            <w:r>
              <w:t>315</w:t>
            </w:r>
          </w:p>
        </w:tc>
        <w:tc>
          <w:tcPr>
            <w:tcW w:w="956" w:type="dxa"/>
            <w:tcBorders>
              <w:left w:val="nil"/>
              <w:right w:val="nil"/>
            </w:tcBorders>
          </w:tcPr>
          <w:p w:rsidR="009F0A92" w:rsidRDefault="009F0A92" w:rsidP="009543DB">
            <w:pPr>
              <w:pStyle w:val="Tabletextright"/>
            </w:pPr>
            <w:r>
              <w:t>378</w:t>
            </w:r>
          </w:p>
        </w:tc>
        <w:tc>
          <w:tcPr>
            <w:tcW w:w="957" w:type="dxa"/>
            <w:tcBorders>
              <w:left w:val="nil"/>
              <w:right w:val="nil"/>
            </w:tcBorders>
          </w:tcPr>
          <w:p w:rsidR="009F0A92" w:rsidRDefault="009F0A92" w:rsidP="009543DB">
            <w:pPr>
              <w:pStyle w:val="Tabletextright"/>
            </w:pPr>
            <w:r>
              <w:t>356</w:t>
            </w:r>
          </w:p>
        </w:tc>
        <w:tc>
          <w:tcPr>
            <w:tcW w:w="956" w:type="dxa"/>
            <w:tcBorders>
              <w:left w:val="nil"/>
              <w:right w:val="nil"/>
            </w:tcBorders>
          </w:tcPr>
          <w:p w:rsidR="009F0A92" w:rsidRDefault="009F0A92" w:rsidP="009543DB">
            <w:pPr>
              <w:pStyle w:val="Tabletextright"/>
            </w:pPr>
            <w:r>
              <w:t>362</w:t>
            </w:r>
          </w:p>
        </w:tc>
        <w:tc>
          <w:tcPr>
            <w:tcW w:w="957" w:type="dxa"/>
            <w:tcBorders>
              <w:left w:val="nil"/>
              <w:right w:val="nil"/>
            </w:tcBorders>
          </w:tcPr>
          <w:p w:rsidR="009F0A92" w:rsidRDefault="009F0A92" w:rsidP="009543DB">
            <w:pPr>
              <w:pStyle w:val="Tabletextright"/>
            </w:pPr>
            <w:r>
              <w:t>511</w:t>
            </w:r>
          </w:p>
        </w:tc>
        <w:tc>
          <w:tcPr>
            <w:tcW w:w="956" w:type="dxa"/>
            <w:tcBorders>
              <w:left w:val="nil"/>
              <w:right w:val="nil"/>
            </w:tcBorders>
          </w:tcPr>
          <w:p w:rsidR="009F0A92" w:rsidRDefault="009F0A92" w:rsidP="009543DB">
            <w:pPr>
              <w:pStyle w:val="Tabletextright"/>
            </w:pPr>
            <w:r>
              <w:t>533</w:t>
            </w:r>
          </w:p>
        </w:tc>
        <w:tc>
          <w:tcPr>
            <w:tcW w:w="957" w:type="dxa"/>
            <w:tcBorders>
              <w:left w:val="nil"/>
              <w:right w:val="nil"/>
            </w:tcBorders>
          </w:tcPr>
          <w:p w:rsidR="009F0A92" w:rsidRDefault="009F0A92" w:rsidP="009543DB">
            <w:pPr>
              <w:pStyle w:val="Tabletextright"/>
            </w:pPr>
            <w:r>
              <w:t>533</w:t>
            </w:r>
          </w:p>
        </w:tc>
        <w:tc>
          <w:tcPr>
            <w:tcW w:w="956" w:type="dxa"/>
            <w:tcBorders>
              <w:left w:val="nil"/>
              <w:right w:val="nil"/>
            </w:tcBorders>
          </w:tcPr>
          <w:p w:rsidR="009F0A92" w:rsidRDefault="009F0A92" w:rsidP="009543DB">
            <w:pPr>
              <w:pStyle w:val="Tabletextright"/>
            </w:pPr>
            <w:r>
              <w:t>652</w:t>
            </w:r>
          </w:p>
        </w:tc>
        <w:tc>
          <w:tcPr>
            <w:tcW w:w="957" w:type="dxa"/>
            <w:tcBorders>
              <w:left w:val="nil"/>
              <w:right w:val="nil"/>
            </w:tcBorders>
          </w:tcPr>
          <w:p w:rsidR="009F0A92" w:rsidRDefault="009F0A92" w:rsidP="009543DB">
            <w:pPr>
              <w:pStyle w:val="Tabletextright"/>
            </w:pPr>
            <w:r>
              <w:t>725</w:t>
            </w:r>
          </w:p>
        </w:tc>
        <w:tc>
          <w:tcPr>
            <w:tcW w:w="957" w:type="dxa"/>
            <w:tcBorders>
              <w:left w:val="nil"/>
              <w:right w:val="nil"/>
            </w:tcBorders>
          </w:tcPr>
          <w:p w:rsidR="009F0A92" w:rsidRDefault="009F0A92" w:rsidP="009543DB">
            <w:pPr>
              <w:pStyle w:val="Tabletextright"/>
            </w:pPr>
            <w:r>
              <w:t>657</w:t>
            </w:r>
          </w:p>
        </w:tc>
      </w:tr>
      <w:tr w:rsidR="009F0A92" w:rsidTr="009543DB">
        <w:tc>
          <w:tcPr>
            <w:tcW w:w="1214" w:type="dxa"/>
            <w:vMerge/>
            <w:tcBorders>
              <w:left w:val="nil"/>
              <w:bottom w:val="single" w:sz="4" w:space="0" w:color="auto"/>
              <w:right w:val="nil"/>
            </w:tcBorders>
            <w:vAlign w:val="center"/>
          </w:tcPr>
          <w:p w:rsidR="009F0A92" w:rsidRDefault="009F0A92" w:rsidP="009543DB">
            <w:pPr>
              <w:pStyle w:val="Tabletextheadingcentre"/>
            </w:pPr>
          </w:p>
        </w:tc>
        <w:tc>
          <w:tcPr>
            <w:tcW w:w="2296" w:type="dxa"/>
            <w:tcBorders>
              <w:left w:val="nil"/>
              <w:bottom w:val="single" w:sz="4" w:space="0" w:color="auto"/>
              <w:right w:val="nil"/>
            </w:tcBorders>
          </w:tcPr>
          <w:p w:rsidR="009F0A92" w:rsidRDefault="009F0A92" w:rsidP="009543DB">
            <w:pPr>
              <w:pStyle w:val="Tabletextheading"/>
            </w:pPr>
            <w:r>
              <w:t>Total airport</w:t>
            </w:r>
          </w:p>
        </w:tc>
        <w:tc>
          <w:tcPr>
            <w:tcW w:w="956" w:type="dxa"/>
            <w:tcBorders>
              <w:left w:val="nil"/>
              <w:bottom w:val="single" w:sz="4" w:space="0" w:color="auto"/>
              <w:right w:val="nil"/>
            </w:tcBorders>
          </w:tcPr>
          <w:p w:rsidR="009F0A92" w:rsidRDefault="009F0A92" w:rsidP="009543DB">
            <w:pPr>
              <w:pStyle w:val="Tabletextheadingright"/>
            </w:pPr>
            <w:r>
              <w:t>2 142</w:t>
            </w:r>
          </w:p>
        </w:tc>
        <w:tc>
          <w:tcPr>
            <w:tcW w:w="957" w:type="dxa"/>
            <w:tcBorders>
              <w:left w:val="nil"/>
              <w:bottom w:val="single" w:sz="4" w:space="0" w:color="auto"/>
              <w:right w:val="nil"/>
            </w:tcBorders>
          </w:tcPr>
          <w:p w:rsidR="009F0A92" w:rsidRDefault="009F0A92" w:rsidP="009543DB">
            <w:pPr>
              <w:pStyle w:val="Tabletextheadingright"/>
            </w:pPr>
            <w:r>
              <w:t>2 208</w:t>
            </w:r>
          </w:p>
        </w:tc>
        <w:tc>
          <w:tcPr>
            <w:tcW w:w="956" w:type="dxa"/>
            <w:tcBorders>
              <w:left w:val="nil"/>
              <w:bottom w:val="single" w:sz="4" w:space="0" w:color="auto"/>
              <w:right w:val="nil"/>
            </w:tcBorders>
          </w:tcPr>
          <w:p w:rsidR="009F0A92" w:rsidRDefault="009F0A92" w:rsidP="009543DB">
            <w:pPr>
              <w:pStyle w:val="Tabletextheadingright"/>
            </w:pPr>
            <w:r>
              <w:t>2 242</w:t>
            </w:r>
          </w:p>
        </w:tc>
        <w:tc>
          <w:tcPr>
            <w:tcW w:w="957" w:type="dxa"/>
            <w:tcBorders>
              <w:left w:val="nil"/>
              <w:bottom w:val="single" w:sz="4" w:space="0" w:color="auto"/>
              <w:right w:val="nil"/>
            </w:tcBorders>
          </w:tcPr>
          <w:p w:rsidR="009F0A92" w:rsidRDefault="009F0A92" w:rsidP="009543DB">
            <w:pPr>
              <w:pStyle w:val="Tabletextheadingright"/>
            </w:pPr>
            <w:r>
              <w:t>1 994</w:t>
            </w:r>
          </w:p>
        </w:tc>
        <w:tc>
          <w:tcPr>
            <w:tcW w:w="956" w:type="dxa"/>
            <w:tcBorders>
              <w:left w:val="nil"/>
              <w:bottom w:val="single" w:sz="4" w:space="0" w:color="auto"/>
              <w:right w:val="nil"/>
            </w:tcBorders>
          </w:tcPr>
          <w:p w:rsidR="009F0A92" w:rsidRDefault="009F0A92" w:rsidP="009543DB">
            <w:pPr>
              <w:pStyle w:val="Tabletextheadingright"/>
            </w:pPr>
            <w:r>
              <w:t>2 028</w:t>
            </w:r>
          </w:p>
        </w:tc>
        <w:tc>
          <w:tcPr>
            <w:tcW w:w="957" w:type="dxa"/>
            <w:tcBorders>
              <w:left w:val="nil"/>
              <w:bottom w:val="single" w:sz="4" w:space="0" w:color="auto"/>
              <w:right w:val="nil"/>
            </w:tcBorders>
          </w:tcPr>
          <w:p w:rsidR="009F0A92" w:rsidRDefault="009F0A92" w:rsidP="009543DB">
            <w:pPr>
              <w:pStyle w:val="Tabletextheadingright"/>
            </w:pPr>
            <w:r>
              <w:t>2 096</w:t>
            </w:r>
          </w:p>
        </w:tc>
        <w:tc>
          <w:tcPr>
            <w:tcW w:w="956" w:type="dxa"/>
            <w:tcBorders>
              <w:left w:val="nil"/>
              <w:bottom w:val="single" w:sz="4" w:space="0" w:color="auto"/>
              <w:right w:val="nil"/>
            </w:tcBorders>
          </w:tcPr>
          <w:p w:rsidR="009F0A92" w:rsidRDefault="009F0A92" w:rsidP="009543DB">
            <w:pPr>
              <w:pStyle w:val="Tabletextheadingright"/>
            </w:pPr>
            <w:r>
              <w:t>2 035</w:t>
            </w:r>
          </w:p>
        </w:tc>
        <w:tc>
          <w:tcPr>
            <w:tcW w:w="957" w:type="dxa"/>
            <w:tcBorders>
              <w:left w:val="nil"/>
              <w:bottom w:val="single" w:sz="4" w:space="0" w:color="auto"/>
              <w:right w:val="nil"/>
            </w:tcBorders>
          </w:tcPr>
          <w:p w:rsidR="009F0A92" w:rsidRDefault="009F0A92" w:rsidP="009543DB">
            <w:pPr>
              <w:pStyle w:val="Tabletextheadingright"/>
            </w:pPr>
            <w:r>
              <w:t>1 954</w:t>
            </w:r>
          </w:p>
        </w:tc>
        <w:tc>
          <w:tcPr>
            <w:tcW w:w="956" w:type="dxa"/>
            <w:tcBorders>
              <w:left w:val="nil"/>
              <w:bottom w:val="single" w:sz="4" w:space="0" w:color="auto"/>
              <w:right w:val="nil"/>
            </w:tcBorders>
          </w:tcPr>
          <w:p w:rsidR="009F0A92" w:rsidRDefault="009F0A92" w:rsidP="009543DB">
            <w:pPr>
              <w:pStyle w:val="Tabletextheadingright"/>
            </w:pPr>
            <w:r>
              <w:t>2 784</w:t>
            </w:r>
          </w:p>
        </w:tc>
        <w:tc>
          <w:tcPr>
            <w:tcW w:w="957" w:type="dxa"/>
            <w:tcBorders>
              <w:left w:val="nil"/>
              <w:bottom w:val="single" w:sz="4" w:space="0" w:color="auto"/>
              <w:right w:val="nil"/>
            </w:tcBorders>
          </w:tcPr>
          <w:p w:rsidR="009F0A92" w:rsidRDefault="009F0A92" w:rsidP="009543DB">
            <w:pPr>
              <w:pStyle w:val="Tabletextheadingright"/>
            </w:pPr>
            <w:r>
              <w:t>2 804</w:t>
            </w:r>
          </w:p>
        </w:tc>
        <w:tc>
          <w:tcPr>
            <w:tcW w:w="957" w:type="dxa"/>
            <w:tcBorders>
              <w:left w:val="nil"/>
              <w:bottom w:val="single" w:sz="4" w:space="0" w:color="auto"/>
              <w:right w:val="nil"/>
            </w:tcBorders>
          </w:tcPr>
          <w:p w:rsidR="009F0A92" w:rsidRDefault="009F0A92" w:rsidP="009543DB">
            <w:pPr>
              <w:pStyle w:val="Tabletextheadingright"/>
            </w:pPr>
            <w:r>
              <w:t>2 555</w:t>
            </w:r>
          </w:p>
        </w:tc>
      </w:tr>
      <w:tr w:rsidR="009F0A92" w:rsidTr="009543DB">
        <w:tc>
          <w:tcPr>
            <w:tcW w:w="1214" w:type="dxa"/>
            <w:vMerge w:val="restart"/>
            <w:tcBorders>
              <w:left w:val="nil"/>
              <w:right w:val="nil"/>
            </w:tcBorders>
            <w:vAlign w:val="center"/>
          </w:tcPr>
          <w:p w:rsidR="009F0A92" w:rsidRDefault="009F0A92" w:rsidP="009543DB">
            <w:pPr>
              <w:pStyle w:val="Tabletextheadingcentre"/>
            </w:pPr>
            <w:r>
              <w:t>Average daily throughput of car park facilities</w:t>
            </w:r>
          </w:p>
        </w:tc>
        <w:tc>
          <w:tcPr>
            <w:tcW w:w="2296" w:type="dxa"/>
            <w:tcBorders>
              <w:left w:val="nil"/>
              <w:right w:val="nil"/>
            </w:tcBorders>
          </w:tcPr>
          <w:p w:rsidR="009F0A92" w:rsidRDefault="009F0A92" w:rsidP="009543DB">
            <w:pPr>
              <w:pStyle w:val="Tabletextleft"/>
            </w:pPr>
            <w:r>
              <w:t>International combined short term and long term</w:t>
            </w:r>
          </w:p>
        </w:tc>
        <w:tc>
          <w:tcPr>
            <w:tcW w:w="956" w:type="dxa"/>
            <w:tcBorders>
              <w:left w:val="nil"/>
              <w:right w:val="nil"/>
            </w:tcBorders>
          </w:tcPr>
          <w:p w:rsidR="009F0A92" w:rsidRDefault="009F0A92" w:rsidP="009543DB">
            <w:pPr>
              <w:pStyle w:val="Tabletextright"/>
            </w:pPr>
            <w:r>
              <w:t>2 062</w:t>
            </w:r>
          </w:p>
        </w:tc>
        <w:tc>
          <w:tcPr>
            <w:tcW w:w="957" w:type="dxa"/>
            <w:tcBorders>
              <w:left w:val="nil"/>
              <w:right w:val="nil"/>
            </w:tcBorders>
          </w:tcPr>
          <w:p w:rsidR="009F0A92" w:rsidRDefault="009F0A92" w:rsidP="009543DB">
            <w:pPr>
              <w:pStyle w:val="Tabletextright"/>
            </w:pPr>
            <w:r>
              <w:t>2 060</w:t>
            </w:r>
          </w:p>
        </w:tc>
        <w:tc>
          <w:tcPr>
            <w:tcW w:w="956" w:type="dxa"/>
            <w:tcBorders>
              <w:left w:val="nil"/>
              <w:right w:val="nil"/>
            </w:tcBorders>
          </w:tcPr>
          <w:p w:rsidR="009F0A92" w:rsidRDefault="009F0A92" w:rsidP="009543DB">
            <w:pPr>
              <w:pStyle w:val="Tabletextright"/>
            </w:pPr>
            <w:r>
              <w:t>1 937</w:t>
            </w:r>
          </w:p>
        </w:tc>
        <w:tc>
          <w:tcPr>
            <w:tcW w:w="957" w:type="dxa"/>
            <w:tcBorders>
              <w:left w:val="nil"/>
              <w:right w:val="nil"/>
            </w:tcBorders>
          </w:tcPr>
          <w:p w:rsidR="009F0A92" w:rsidRDefault="009F0A92" w:rsidP="009543DB">
            <w:pPr>
              <w:pStyle w:val="Tabletextright"/>
            </w:pPr>
            <w:r>
              <w:t>1 659</w:t>
            </w:r>
          </w:p>
        </w:tc>
        <w:tc>
          <w:tcPr>
            <w:tcW w:w="956" w:type="dxa"/>
            <w:tcBorders>
              <w:left w:val="nil"/>
              <w:right w:val="nil"/>
            </w:tcBorders>
          </w:tcPr>
          <w:p w:rsidR="009F0A92" w:rsidRDefault="009F0A92" w:rsidP="009543DB">
            <w:pPr>
              <w:pStyle w:val="Tabletextright"/>
            </w:pPr>
            <w:r>
              <w:t>1 932</w:t>
            </w:r>
          </w:p>
        </w:tc>
        <w:tc>
          <w:tcPr>
            <w:tcW w:w="957" w:type="dxa"/>
            <w:tcBorders>
              <w:left w:val="nil"/>
              <w:right w:val="nil"/>
            </w:tcBorders>
          </w:tcPr>
          <w:p w:rsidR="009F0A92" w:rsidRDefault="009F0A92" w:rsidP="009543DB">
            <w:pPr>
              <w:pStyle w:val="Tabletextright"/>
            </w:pPr>
            <w:r>
              <w:t>1 845</w:t>
            </w:r>
          </w:p>
        </w:tc>
        <w:tc>
          <w:tcPr>
            <w:tcW w:w="956" w:type="dxa"/>
            <w:tcBorders>
              <w:left w:val="nil"/>
              <w:right w:val="nil"/>
            </w:tcBorders>
          </w:tcPr>
          <w:p w:rsidR="009F0A92" w:rsidRDefault="009F0A92" w:rsidP="009543DB">
            <w:pPr>
              <w:pStyle w:val="Tabletextright"/>
            </w:pPr>
            <w:r>
              <w:t>1 815</w:t>
            </w:r>
          </w:p>
        </w:tc>
        <w:tc>
          <w:tcPr>
            <w:tcW w:w="957" w:type="dxa"/>
            <w:tcBorders>
              <w:left w:val="nil"/>
              <w:right w:val="nil"/>
            </w:tcBorders>
          </w:tcPr>
          <w:p w:rsidR="009F0A92" w:rsidRDefault="009F0A92" w:rsidP="009543DB">
            <w:pPr>
              <w:pStyle w:val="Tabletextright"/>
            </w:pPr>
            <w:r>
              <w:t>1 811</w:t>
            </w:r>
          </w:p>
        </w:tc>
        <w:tc>
          <w:tcPr>
            <w:tcW w:w="956" w:type="dxa"/>
            <w:tcBorders>
              <w:left w:val="nil"/>
              <w:right w:val="nil"/>
            </w:tcBorders>
          </w:tcPr>
          <w:p w:rsidR="009F0A92" w:rsidRDefault="009F0A92" w:rsidP="009543DB">
            <w:pPr>
              <w:pStyle w:val="Tabletextright"/>
            </w:pPr>
            <w:r>
              <w:t>2 058</w:t>
            </w:r>
          </w:p>
        </w:tc>
        <w:tc>
          <w:tcPr>
            <w:tcW w:w="957" w:type="dxa"/>
            <w:tcBorders>
              <w:left w:val="nil"/>
              <w:right w:val="nil"/>
            </w:tcBorders>
          </w:tcPr>
          <w:p w:rsidR="009F0A92" w:rsidRDefault="009F0A92" w:rsidP="009543DB">
            <w:pPr>
              <w:pStyle w:val="Tabletextright"/>
            </w:pPr>
            <w:r>
              <w:t>2 057</w:t>
            </w:r>
          </w:p>
        </w:tc>
        <w:tc>
          <w:tcPr>
            <w:tcW w:w="957" w:type="dxa"/>
            <w:tcBorders>
              <w:left w:val="nil"/>
              <w:right w:val="nil"/>
            </w:tcBorders>
          </w:tcPr>
          <w:p w:rsidR="009F0A92" w:rsidRDefault="009F0A92" w:rsidP="009543DB">
            <w:pPr>
              <w:pStyle w:val="Tabletextright"/>
            </w:pPr>
            <w:r>
              <w:t>2 014</w:t>
            </w:r>
          </w:p>
        </w:tc>
      </w:tr>
      <w:tr w:rsidR="009F0A92" w:rsidTr="009543DB">
        <w:tc>
          <w:tcPr>
            <w:tcW w:w="1214" w:type="dxa"/>
            <w:vMerge/>
            <w:tcBorders>
              <w:left w:val="nil"/>
              <w:right w:val="nil"/>
            </w:tcBorders>
          </w:tcPr>
          <w:p w:rsidR="009F0A92" w:rsidRDefault="009F0A92" w:rsidP="009543DB">
            <w:pPr>
              <w:pStyle w:val="Tabletextheading"/>
            </w:pPr>
          </w:p>
        </w:tc>
        <w:tc>
          <w:tcPr>
            <w:tcW w:w="2296" w:type="dxa"/>
            <w:tcBorders>
              <w:left w:val="nil"/>
              <w:right w:val="nil"/>
            </w:tcBorders>
          </w:tcPr>
          <w:p w:rsidR="009F0A92" w:rsidRDefault="009F0A92" w:rsidP="009543DB">
            <w:pPr>
              <w:pStyle w:val="Tabletextleft"/>
            </w:pPr>
            <w:r>
              <w:t>Domestic short term</w:t>
            </w:r>
          </w:p>
        </w:tc>
        <w:tc>
          <w:tcPr>
            <w:tcW w:w="956" w:type="dxa"/>
            <w:tcBorders>
              <w:left w:val="nil"/>
              <w:right w:val="nil"/>
            </w:tcBorders>
          </w:tcPr>
          <w:p w:rsidR="009F0A92" w:rsidRDefault="009F0A92" w:rsidP="009543DB">
            <w:pPr>
              <w:pStyle w:val="Tabletextright"/>
            </w:pPr>
            <w:r>
              <w:t>3 223</w:t>
            </w:r>
          </w:p>
        </w:tc>
        <w:tc>
          <w:tcPr>
            <w:tcW w:w="957" w:type="dxa"/>
            <w:tcBorders>
              <w:left w:val="nil"/>
              <w:right w:val="nil"/>
            </w:tcBorders>
          </w:tcPr>
          <w:p w:rsidR="009F0A92" w:rsidRDefault="009F0A92" w:rsidP="009543DB">
            <w:pPr>
              <w:pStyle w:val="Tabletextright"/>
            </w:pPr>
            <w:r>
              <w:t>3 126</w:t>
            </w:r>
          </w:p>
        </w:tc>
        <w:tc>
          <w:tcPr>
            <w:tcW w:w="956" w:type="dxa"/>
            <w:tcBorders>
              <w:left w:val="nil"/>
              <w:right w:val="nil"/>
            </w:tcBorders>
          </w:tcPr>
          <w:p w:rsidR="009F0A92" w:rsidRDefault="009F0A92" w:rsidP="009543DB">
            <w:pPr>
              <w:pStyle w:val="Tabletextright"/>
            </w:pPr>
            <w:r>
              <w:t>3 168</w:t>
            </w:r>
          </w:p>
        </w:tc>
        <w:tc>
          <w:tcPr>
            <w:tcW w:w="957" w:type="dxa"/>
            <w:tcBorders>
              <w:left w:val="nil"/>
              <w:right w:val="nil"/>
            </w:tcBorders>
          </w:tcPr>
          <w:p w:rsidR="009F0A92" w:rsidRDefault="009F0A92" w:rsidP="009543DB">
            <w:pPr>
              <w:pStyle w:val="Tabletextright"/>
            </w:pPr>
            <w:r>
              <w:t>2 817</w:t>
            </w:r>
          </w:p>
        </w:tc>
        <w:tc>
          <w:tcPr>
            <w:tcW w:w="956" w:type="dxa"/>
            <w:tcBorders>
              <w:left w:val="nil"/>
              <w:right w:val="nil"/>
            </w:tcBorders>
          </w:tcPr>
          <w:p w:rsidR="009F0A92" w:rsidRDefault="009F0A92" w:rsidP="009543DB">
            <w:pPr>
              <w:pStyle w:val="Tabletextright"/>
            </w:pPr>
            <w:r>
              <w:t>2 631</w:t>
            </w:r>
          </w:p>
        </w:tc>
        <w:tc>
          <w:tcPr>
            <w:tcW w:w="957" w:type="dxa"/>
            <w:tcBorders>
              <w:left w:val="nil"/>
              <w:right w:val="nil"/>
            </w:tcBorders>
          </w:tcPr>
          <w:p w:rsidR="009F0A92" w:rsidRDefault="009F0A92" w:rsidP="009543DB">
            <w:pPr>
              <w:pStyle w:val="Tabletextright"/>
            </w:pPr>
            <w:r>
              <w:t>2 498</w:t>
            </w:r>
          </w:p>
        </w:tc>
        <w:tc>
          <w:tcPr>
            <w:tcW w:w="956" w:type="dxa"/>
            <w:tcBorders>
              <w:left w:val="nil"/>
              <w:right w:val="nil"/>
            </w:tcBorders>
          </w:tcPr>
          <w:p w:rsidR="009F0A92" w:rsidRDefault="009F0A92" w:rsidP="009543DB">
            <w:pPr>
              <w:pStyle w:val="Tabletextright"/>
            </w:pPr>
            <w:r>
              <w:t>2 298</w:t>
            </w:r>
          </w:p>
        </w:tc>
        <w:tc>
          <w:tcPr>
            <w:tcW w:w="957" w:type="dxa"/>
            <w:tcBorders>
              <w:left w:val="nil"/>
              <w:right w:val="nil"/>
            </w:tcBorders>
          </w:tcPr>
          <w:p w:rsidR="009F0A92" w:rsidRDefault="009F0A92" w:rsidP="009543DB">
            <w:pPr>
              <w:pStyle w:val="Tabletextright"/>
            </w:pPr>
            <w:r>
              <w:t>2 070</w:t>
            </w:r>
          </w:p>
        </w:tc>
        <w:tc>
          <w:tcPr>
            <w:tcW w:w="956" w:type="dxa"/>
            <w:tcBorders>
              <w:left w:val="nil"/>
              <w:right w:val="nil"/>
            </w:tcBorders>
          </w:tcPr>
          <w:p w:rsidR="009F0A92" w:rsidRDefault="009F0A92" w:rsidP="009543DB">
            <w:pPr>
              <w:pStyle w:val="Tabletextright"/>
            </w:pPr>
            <w:r>
              <w:t>3 784</w:t>
            </w:r>
          </w:p>
        </w:tc>
        <w:tc>
          <w:tcPr>
            <w:tcW w:w="957" w:type="dxa"/>
            <w:tcBorders>
              <w:left w:val="nil"/>
              <w:right w:val="nil"/>
            </w:tcBorders>
          </w:tcPr>
          <w:p w:rsidR="009F0A92" w:rsidRDefault="009F0A92" w:rsidP="009543DB">
            <w:pPr>
              <w:pStyle w:val="Tabletextright"/>
            </w:pPr>
            <w:r>
              <w:t>3 637</w:t>
            </w:r>
          </w:p>
        </w:tc>
        <w:tc>
          <w:tcPr>
            <w:tcW w:w="957" w:type="dxa"/>
            <w:tcBorders>
              <w:left w:val="nil"/>
              <w:right w:val="nil"/>
            </w:tcBorders>
          </w:tcPr>
          <w:p w:rsidR="009F0A92" w:rsidRDefault="009F0A92" w:rsidP="009543DB">
            <w:pPr>
              <w:pStyle w:val="Tabletextright"/>
            </w:pPr>
            <w:r>
              <w:t>3 185</w:t>
            </w:r>
          </w:p>
        </w:tc>
      </w:tr>
      <w:tr w:rsidR="009F0A92" w:rsidTr="009543DB">
        <w:tc>
          <w:tcPr>
            <w:tcW w:w="1214" w:type="dxa"/>
            <w:vMerge/>
            <w:tcBorders>
              <w:left w:val="nil"/>
              <w:right w:val="nil"/>
            </w:tcBorders>
          </w:tcPr>
          <w:p w:rsidR="009F0A92" w:rsidRDefault="009F0A92" w:rsidP="009543DB">
            <w:pPr>
              <w:pStyle w:val="Tabletextheading"/>
            </w:pPr>
          </w:p>
        </w:tc>
        <w:tc>
          <w:tcPr>
            <w:tcW w:w="2296" w:type="dxa"/>
            <w:tcBorders>
              <w:left w:val="nil"/>
              <w:right w:val="nil"/>
            </w:tcBorders>
          </w:tcPr>
          <w:p w:rsidR="009F0A92" w:rsidRDefault="009F0A92" w:rsidP="009543DB">
            <w:pPr>
              <w:pStyle w:val="Tabletextleft"/>
            </w:pPr>
            <w:r>
              <w:t>Domestic long term</w:t>
            </w:r>
          </w:p>
        </w:tc>
        <w:tc>
          <w:tcPr>
            <w:tcW w:w="956" w:type="dxa"/>
            <w:tcBorders>
              <w:left w:val="nil"/>
              <w:right w:val="nil"/>
            </w:tcBorders>
          </w:tcPr>
          <w:p w:rsidR="009F0A92" w:rsidRDefault="009F0A92" w:rsidP="009543DB">
            <w:pPr>
              <w:pStyle w:val="Tabletextright"/>
            </w:pPr>
            <w:r>
              <w:t>585</w:t>
            </w:r>
          </w:p>
        </w:tc>
        <w:tc>
          <w:tcPr>
            <w:tcW w:w="957" w:type="dxa"/>
            <w:tcBorders>
              <w:left w:val="nil"/>
              <w:right w:val="nil"/>
            </w:tcBorders>
          </w:tcPr>
          <w:p w:rsidR="009F0A92" w:rsidRDefault="009F0A92" w:rsidP="009543DB">
            <w:pPr>
              <w:pStyle w:val="Tabletextright"/>
            </w:pPr>
            <w:r>
              <w:t>864</w:t>
            </w:r>
          </w:p>
        </w:tc>
        <w:tc>
          <w:tcPr>
            <w:tcW w:w="956" w:type="dxa"/>
            <w:tcBorders>
              <w:left w:val="nil"/>
              <w:right w:val="nil"/>
            </w:tcBorders>
          </w:tcPr>
          <w:p w:rsidR="009F0A92" w:rsidRDefault="009F0A92" w:rsidP="009543DB">
            <w:pPr>
              <w:pStyle w:val="Tabletextright"/>
            </w:pPr>
            <w:r>
              <w:t>1 036</w:t>
            </w:r>
          </w:p>
        </w:tc>
        <w:tc>
          <w:tcPr>
            <w:tcW w:w="957" w:type="dxa"/>
            <w:tcBorders>
              <w:left w:val="nil"/>
              <w:right w:val="nil"/>
            </w:tcBorders>
          </w:tcPr>
          <w:p w:rsidR="009F0A92" w:rsidRDefault="009F0A92" w:rsidP="009543DB">
            <w:pPr>
              <w:pStyle w:val="Tabletextright"/>
            </w:pPr>
            <w:r>
              <w:t>972</w:t>
            </w:r>
          </w:p>
        </w:tc>
        <w:tc>
          <w:tcPr>
            <w:tcW w:w="956" w:type="dxa"/>
            <w:tcBorders>
              <w:left w:val="nil"/>
              <w:right w:val="nil"/>
            </w:tcBorders>
          </w:tcPr>
          <w:p w:rsidR="009F0A92" w:rsidRDefault="009F0A92" w:rsidP="009543DB">
            <w:pPr>
              <w:pStyle w:val="Tabletextright"/>
            </w:pPr>
            <w:r>
              <w:t>993</w:t>
            </w:r>
          </w:p>
        </w:tc>
        <w:tc>
          <w:tcPr>
            <w:tcW w:w="957" w:type="dxa"/>
            <w:tcBorders>
              <w:left w:val="nil"/>
              <w:right w:val="nil"/>
            </w:tcBorders>
          </w:tcPr>
          <w:p w:rsidR="009F0A92" w:rsidRDefault="009F0A92" w:rsidP="009543DB">
            <w:pPr>
              <w:pStyle w:val="Tabletextright"/>
            </w:pPr>
            <w:r>
              <w:t>1 399</w:t>
            </w:r>
          </w:p>
        </w:tc>
        <w:tc>
          <w:tcPr>
            <w:tcW w:w="956" w:type="dxa"/>
            <w:tcBorders>
              <w:left w:val="nil"/>
              <w:right w:val="nil"/>
            </w:tcBorders>
          </w:tcPr>
          <w:p w:rsidR="009F0A92" w:rsidRDefault="009F0A92" w:rsidP="009543DB">
            <w:pPr>
              <w:pStyle w:val="Tabletextright"/>
            </w:pPr>
            <w:r>
              <w:t>1 462</w:t>
            </w:r>
          </w:p>
        </w:tc>
        <w:tc>
          <w:tcPr>
            <w:tcW w:w="957" w:type="dxa"/>
            <w:tcBorders>
              <w:left w:val="nil"/>
              <w:right w:val="nil"/>
            </w:tcBorders>
          </w:tcPr>
          <w:p w:rsidR="009F0A92" w:rsidRDefault="009F0A92" w:rsidP="009543DB">
            <w:pPr>
              <w:pStyle w:val="Tabletextright"/>
            </w:pPr>
            <w:r>
              <w:t>1 457</w:t>
            </w:r>
          </w:p>
        </w:tc>
        <w:tc>
          <w:tcPr>
            <w:tcW w:w="956" w:type="dxa"/>
            <w:tcBorders>
              <w:left w:val="nil"/>
              <w:right w:val="nil"/>
            </w:tcBorders>
          </w:tcPr>
          <w:p w:rsidR="009F0A92" w:rsidRDefault="009F0A92" w:rsidP="009543DB">
            <w:pPr>
              <w:pStyle w:val="Tabletextright"/>
            </w:pPr>
            <w:r>
              <w:t>1 785</w:t>
            </w:r>
          </w:p>
        </w:tc>
        <w:tc>
          <w:tcPr>
            <w:tcW w:w="957" w:type="dxa"/>
            <w:tcBorders>
              <w:left w:val="nil"/>
              <w:right w:val="nil"/>
            </w:tcBorders>
          </w:tcPr>
          <w:p w:rsidR="009F0A92" w:rsidRDefault="009F0A92" w:rsidP="009543DB">
            <w:pPr>
              <w:pStyle w:val="Tabletextright"/>
            </w:pPr>
            <w:r>
              <w:t>1 987</w:t>
            </w:r>
          </w:p>
        </w:tc>
        <w:tc>
          <w:tcPr>
            <w:tcW w:w="957" w:type="dxa"/>
            <w:tcBorders>
              <w:left w:val="nil"/>
              <w:right w:val="nil"/>
            </w:tcBorders>
          </w:tcPr>
          <w:p w:rsidR="009F0A92" w:rsidRDefault="009F0A92" w:rsidP="009543DB">
            <w:pPr>
              <w:pStyle w:val="Tabletextright"/>
            </w:pPr>
            <w:r>
              <w:t>1 801</w:t>
            </w:r>
          </w:p>
        </w:tc>
      </w:tr>
      <w:tr w:rsidR="009F0A92" w:rsidTr="009543DB">
        <w:tc>
          <w:tcPr>
            <w:tcW w:w="1214" w:type="dxa"/>
            <w:vMerge/>
            <w:tcBorders>
              <w:left w:val="nil"/>
              <w:right w:val="nil"/>
            </w:tcBorders>
          </w:tcPr>
          <w:p w:rsidR="009F0A92" w:rsidRDefault="009F0A92" w:rsidP="009543DB">
            <w:pPr>
              <w:pStyle w:val="Tabletextheading"/>
            </w:pPr>
          </w:p>
        </w:tc>
        <w:tc>
          <w:tcPr>
            <w:tcW w:w="2296" w:type="dxa"/>
            <w:tcBorders>
              <w:left w:val="nil"/>
              <w:right w:val="nil"/>
            </w:tcBorders>
          </w:tcPr>
          <w:p w:rsidR="009F0A92" w:rsidRDefault="009F0A92" w:rsidP="009543DB">
            <w:pPr>
              <w:pStyle w:val="Tabletextheading"/>
            </w:pPr>
            <w:r>
              <w:t>Total airport</w:t>
            </w:r>
          </w:p>
        </w:tc>
        <w:tc>
          <w:tcPr>
            <w:tcW w:w="956" w:type="dxa"/>
            <w:tcBorders>
              <w:left w:val="nil"/>
              <w:right w:val="nil"/>
            </w:tcBorders>
          </w:tcPr>
          <w:p w:rsidR="009F0A92" w:rsidRDefault="009F0A92" w:rsidP="009543DB">
            <w:pPr>
              <w:pStyle w:val="Tabletextheadingright"/>
            </w:pPr>
            <w:r>
              <w:t>5 870</w:t>
            </w:r>
          </w:p>
        </w:tc>
        <w:tc>
          <w:tcPr>
            <w:tcW w:w="957" w:type="dxa"/>
            <w:tcBorders>
              <w:left w:val="nil"/>
              <w:right w:val="nil"/>
            </w:tcBorders>
          </w:tcPr>
          <w:p w:rsidR="009F0A92" w:rsidRDefault="009F0A92" w:rsidP="009543DB">
            <w:pPr>
              <w:pStyle w:val="Tabletextheadingright"/>
            </w:pPr>
            <w:r>
              <w:t>6 049</w:t>
            </w:r>
          </w:p>
        </w:tc>
        <w:tc>
          <w:tcPr>
            <w:tcW w:w="956" w:type="dxa"/>
            <w:tcBorders>
              <w:left w:val="nil"/>
              <w:right w:val="nil"/>
            </w:tcBorders>
          </w:tcPr>
          <w:p w:rsidR="009F0A92" w:rsidRDefault="009F0A92" w:rsidP="009543DB">
            <w:pPr>
              <w:pStyle w:val="Tabletextheadingright"/>
            </w:pPr>
            <w:r>
              <w:t>6 141</w:t>
            </w:r>
          </w:p>
        </w:tc>
        <w:tc>
          <w:tcPr>
            <w:tcW w:w="957" w:type="dxa"/>
            <w:tcBorders>
              <w:left w:val="nil"/>
              <w:right w:val="nil"/>
            </w:tcBorders>
          </w:tcPr>
          <w:p w:rsidR="009F0A92" w:rsidRDefault="009F0A92" w:rsidP="009543DB">
            <w:pPr>
              <w:pStyle w:val="Tabletextheadingright"/>
            </w:pPr>
            <w:r>
              <w:t>5 448</w:t>
            </w:r>
          </w:p>
        </w:tc>
        <w:tc>
          <w:tcPr>
            <w:tcW w:w="956" w:type="dxa"/>
            <w:tcBorders>
              <w:left w:val="nil"/>
              <w:right w:val="nil"/>
            </w:tcBorders>
          </w:tcPr>
          <w:p w:rsidR="009F0A92" w:rsidRDefault="009F0A92" w:rsidP="009543DB">
            <w:pPr>
              <w:pStyle w:val="Tabletextheadingright"/>
            </w:pPr>
            <w:r>
              <w:t>5 557</w:t>
            </w:r>
          </w:p>
        </w:tc>
        <w:tc>
          <w:tcPr>
            <w:tcW w:w="957" w:type="dxa"/>
            <w:tcBorders>
              <w:left w:val="nil"/>
              <w:right w:val="nil"/>
            </w:tcBorders>
          </w:tcPr>
          <w:p w:rsidR="009F0A92" w:rsidRDefault="009F0A92" w:rsidP="009543DB">
            <w:pPr>
              <w:pStyle w:val="Tabletextheadingright"/>
            </w:pPr>
            <w:r>
              <w:t>5 742</w:t>
            </w:r>
          </w:p>
        </w:tc>
        <w:tc>
          <w:tcPr>
            <w:tcW w:w="956" w:type="dxa"/>
            <w:tcBorders>
              <w:left w:val="nil"/>
              <w:right w:val="nil"/>
            </w:tcBorders>
          </w:tcPr>
          <w:p w:rsidR="009F0A92" w:rsidRDefault="009F0A92" w:rsidP="009543DB">
            <w:pPr>
              <w:pStyle w:val="Tabletextheadingright"/>
            </w:pPr>
            <w:r>
              <w:t>5 574</w:t>
            </w:r>
          </w:p>
        </w:tc>
        <w:tc>
          <w:tcPr>
            <w:tcW w:w="957" w:type="dxa"/>
            <w:tcBorders>
              <w:left w:val="nil"/>
              <w:right w:val="nil"/>
            </w:tcBorders>
          </w:tcPr>
          <w:p w:rsidR="009F0A92" w:rsidRDefault="009F0A92" w:rsidP="009543DB">
            <w:pPr>
              <w:pStyle w:val="Tabletextheadingright"/>
            </w:pPr>
            <w:r>
              <w:t>5 338</w:t>
            </w:r>
          </w:p>
        </w:tc>
        <w:tc>
          <w:tcPr>
            <w:tcW w:w="956" w:type="dxa"/>
            <w:tcBorders>
              <w:left w:val="nil"/>
              <w:right w:val="nil"/>
            </w:tcBorders>
          </w:tcPr>
          <w:p w:rsidR="009F0A92" w:rsidRDefault="009F0A92" w:rsidP="009543DB">
            <w:pPr>
              <w:pStyle w:val="Tabletextheadingright"/>
            </w:pPr>
            <w:r>
              <w:t>7 627</w:t>
            </w:r>
          </w:p>
        </w:tc>
        <w:tc>
          <w:tcPr>
            <w:tcW w:w="957" w:type="dxa"/>
            <w:tcBorders>
              <w:left w:val="nil"/>
              <w:right w:val="nil"/>
            </w:tcBorders>
          </w:tcPr>
          <w:p w:rsidR="009F0A92" w:rsidRDefault="009F0A92" w:rsidP="009543DB">
            <w:pPr>
              <w:pStyle w:val="Tabletextheadingright"/>
            </w:pPr>
            <w:r>
              <w:t>7 681</w:t>
            </w:r>
          </w:p>
        </w:tc>
        <w:tc>
          <w:tcPr>
            <w:tcW w:w="957" w:type="dxa"/>
            <w:tcBorders>
              <w:left w:val="nil"/>
              <w:right w:val="nil"/>
            </w:tcBorders>
          </w:tcPr>
          <w:p w:rsidR="009F0A92" w:rsidRDefault="009F0A92" w:rsidP="009543DB">
            <w:pPr>
              <w:pStyle w:val="Tabletextheadingright"/>
            </w:pPr>
            <w:r>
              <w:t>7 000</w:t>
            </w:r>
          </w:p>
        </w:tc>
      </w:tr>
    </w:tbl>
    <w:p w:rsidR="009F0A92" w:rsidRDefault="009F0A92" w:rsidP="009F0A92">
      <w:pPr>
        <w:sectPr w:rsidR="009F0A92" w:rsidSect="009543DB">
          <w:type w:val="continuous"/>
          <w:pgSz w:w="16838" w:h="11906" w:orient="landscape"/>
          <w:pgMar w:top="1729" w:right="1440" w:bottom="1729" w:left="1582" w:header="709" w:footer="709" w:gutter="0"/>
          <w:cols w:space="708"/>
          <w:docGrid w:linePitch="360"/>
        </w:sectPr>
      </w:pPr>
    </w:p>
    <w:p w:rsidR="009F0A92" w:rsidRDefault="009F0A92" w:rsidP="009F0A92">
      <w:pPr>
        <w:pStyle w:val="Numberedheading3"/>
      </w:pPr>
      <w:r>
        <w:lastRenderedPageBreak/>
        <w:t>Prices</w:t>
      </w:r>
    </w:p>
    <w:p w:rsidR="009F0A92" w:rsidRDefault="009F0A92" w:rsidP="009F0A92">
      <w:r>
        <w:t>The following section assesses the trends in Brisbane Airport’s ‘drive-up’ car parking charges in real terms from 30 June 2005 to 30 June 2015. The ACCC notes that Brisbane Airport also provides an online car park booking system, which provides customers with access to charges that are at a discount to Brisbane Airport’s ‘drive</w:t>
      </w:r>
      <w:r>
        <w:noBreakHyphen/>
        <w:t>up’ charges. As such, the ACCC has also compared ‘drive-up’, online, and the average charges that customers have pay at Brisbane Airport’s car parking facilities for 2014</w:t>
      </w:r>
      <w:r>
        <w:noBreakHyphen/>
        <w:t>15.</w:t>
      </w:r>
    </w:p>
    <w:p w:rsidR="009F0A92" w:rsidRDefault="009F0A92" w:rsidP="009F0A92">
      <w:pPr>
        <w:pStyle w:val="Standardheading"/>
      </w:pPr>
      <w:r>
        <w:t>International terminal—short term and long term car parking</w:t>
      </w:r>
    </w:p>
    <w:p w:rsidR="009F0A92" w:rsidRDefault="009F0A92" w:rsidP="009F0A92">
      <w:r>
        <w:t>Chart 2.4.1 shows short term prices for Brisbane Airport’s international terminal. Brisbane Airport increased prices for every duration longer than four hours in 2014</w:t>
      </w:r>
      <w:r>
        <w:noBreakHyphen/>
        <w:t>15, and did not change the nominal prices for less than four hours parking (chart 2.4.1). In particular, prices for 4-24 hours parking increased by 31.1 per cent in real terms during 2014</w:t>
      </w:r>
      <w:r>
        <w:noBreakHyphen/>
        <w:t xml:space="preserve">15. Brisbane Airport said that the price increase for 4-24 hours was to align pricing with the domestic car park. </w:t>
      </w:r>
    </w:p>
    <w:p w:rsidR="009F0A92" w:rsidRDefault="009F0A92" w:rsidP="009F0A92">
      <w:pPr>
        <w:pStyle w:val="Numberedcharttitle"/>
      </w:pPr>
      <w:r>
        <w:t>Chart 2.4.1:</w:t>
      </w:r>
      <w:r>
        <w:tab/>
        <w:t>Brisbane Airport—selected short term parking prices at the international terminal car park in real terms: 30 June 2005 to 30 June 2015</w:t>
      </w:r>
    </w:p>
    <w:p w:rsidR="009F0A92" w:rsidRDefault="009F0A92" w:rsidP="009F0A92">
      <w:r w:rsidRPr="008418B5">
        <w:rPr>
          <w:noProof/>
          <w:lang w:eastAsia="en-AU"/>
        </w:rPr>
        <w:drawing>
          <wp:inline distT="0" distB="0" distL="0" distR="0" wp14:anchorId="358C32BE" wp14:editId="5E8369FB">
            <wp:extent cx="5355771" cy="2636322"/>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64480" cy="2640609"/>
                    </a:xfrm>
                    <a:prstGeom prst="rect">
                      <a:avLst/>
                    </a:prstGeom>
                    <a:noFill/>
                    <a:ln>
                      <a:noFill/>
                    </a:ln>
                  </pic:spPr>
                </pic:pic>
              </a:graphicData>
            </a:graphic>
          </wp:inline>
        </w:drawing>
      </w:r>
    </w:p>
    <w:p w:rsidR="009F0A92" w:rsidRDefault="009F0A92" w:rsidP="009F0A92">
      <w:pPr>
        <w:pStyle w:val="Sourceandnotes"/>
      </w:pPr>
      <w:r>
        <w:t>Note:</w:t>
      </w:r>
      <w:r>
        <w:tab/>
        <w:t>Real values in 2014</w:t>
      </w:r>
      <w:r>
        <w:noBreakHyphen/>
        <w:t>15 dollars</w:t>
      </w:r>
    </w:p>
    <w:p w:rsidR="009F0A92" w:rsidRPr="00112C4F" w:rsidRDefault="009F0A92" w:rsidP="009F0A92">
      <w:pPr>
        <w:rPr>
          <w:b/>
          <w:i/>
          <w:color w:val="FF0000"/>
          <w:u w:val="single"/>
        </w:rPr>
      </w:pPr>
      <w:r>
        <w:t xml:space="preserve">Chart 2.4.2 presents selected long-term prices at Brisbane Airport’s international terminal. The increases in prices for 1-7 days parking ranged from 13.8 per cent in real terms for three days parking to 32.3 per cent in real terms for seven days parking. </w:t>
      </w:r>
      <w:proofErr w:type="gramStart"/>
      <w:r>
        <w:t>For each parking duration</w:t>
      </w:r>
      <w:proofErr w:type="gramEnd"/>
      <w:r>
        <w:t>, the price increases in 2014</w:t>
      </w:r>
      <w:r>
        <w:noBreakHyphen/>
        <w:t xml:space="preserve">15 represent the largest annual increase in real terms over the time series. The car park is situated within walking distance of the international terminal with most parking bays under cover.  </w:t>
      </w:r>
    </w:p>
    <w:p w:rsidR="009F0A92" w:rsidRDefault="009F0A92" w:rsidP="009543DB">
      <w:pPr>
        <w:pStyle w:val="Numberedcharttitle"/>
      </w:pPr>
      <w:r>
        <w:lastRenderedPageBreak/>
        <w:t>Chart 2.4.2:</w:t>
      </w:r>
      <w:r>
        <w:tab/>
        <w:t>Brisbane Airport—selected long term parking prices at the international terminal car park in real terms: 30 June 2005 to 30 June 2015</w:t>
      </w:r>
    </w:p>
    <w:p w:rsidR="009F0A92" w:rsidRDefault="009F0A92" w:rsidP="009543DB">
      <w:pPr>
        <w:keepNext/>
      </w:pPr>
      <w:r w:rsidRPr="008418B5">
        <w:rPr>
          <w:noProof/>
          <w:lang w:eastAsia="en-AU"/>
        </w:rPr>
        <w:drawing>
          <wp:inline distT="0" distB="0" distL="0" distR="0" wp14:anchorId="72859C8B" wp14:editId="0AD382F3">
            <wp:extent cx="5353049" cy="2714625"/>
            <wp:effectExtent l="0" t="0" r="63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64480" cy="2720422"/>
                    </a:xfrm>
                    <a:prstGeom prst="rect">
                      <a:avLst/>
                    </a:prstGeom>
                    <a:noFill/>
                    <a:ln>
                      <a:noFill/>
                    </a:ln>
                  </pic:spPr>
                </pic:pic>
              </a:graphicData>
            </a:graphic>
          </wp:inline>
        </w:drawing>
      </w:r>
    </w:p>
    <w:p w:rsidR="009F0A92" w:rsidRDefault="009F0A92" w:rsidP="009543DB">
      <w:pPr>
        <w:pStyle w:val="Sourceandnotes"/>
      </w:pPr>
      <w:r>
        <w:t>Note:</w:t>
      </w:r>
      <w:r>
        <w:tab/>
        <w:t>Real values in 2014</w:t>
      </w:r>
      <w:r>
        <w:noBreakHyphen/>
        <w:t>15 dollars</w:t>
      </w:r>
    </w:p>
    <w:p w:rsidR="009F0A92" w:rsidRDefault="009F0A92" w:rsidP="009543DB">
      <w:pPr>
        <w:keepNext/>
      </w:pPr>
      <w:r>
        <w:t>Since 2004</w:t>
      </w:r>
      <w:r>
        <w:noBreakHyphen/>
        <w:t>05, the movement in most short term car parking prices has trended steadily upwards in real terms, excluding charges for less than 30 minutes parking. However, the increase in the 24 hour rate in 2014</w:t>
      </w:r>
      <w:r>
        <w:noBreakHyphen/>
        <w:t>15 is the most significant yearly increase in the 24 hour rate over the time series. Long term car parking prices have been more varied over the time series, with increases and decreases in these charges over time. As stated above, the increases during 2014</w:t>
      </w:r>
      <w:r>
        <w:noBreakHyphen/>
        <w:t>15 have been the most significant increases in long term car parking prices over the time series.</w:t>
      </w:r>
    </w:p>
    <w:p w:rsidR="009F0A92" w:rsidRDefault="009F0A92" w:rsidP="009543DB">
      <w:pPr>
        <w:keepNext/>
      </w:pPr>
      <w:r>
        <w:t>As noted, Brisbane Airport also provides online pre-booking of car parking spaces, which provides customers with discounted charges. Table 2.4.2 below compares the drive-up charges with the average online car parking charges paid by customers during the year. In addition, the table also displays the average price paid by customers during 2014</w:t>
      </w:r>
      <w:r>
        <w:noBreakHyphen/>
        <w:t>15 at Brisbane Airport’s international terminal car park. It shows that consumers are obtaining a discount of around one third for 6-7 days’ parking.</w:t>
      </w:r>
    </w:p>
    <w:p w:rsidR="009F0A92" w:rsidRDefault="009F0A92" w:rsidP="009543DB">
      <w:pPr>
        <w:pStyle w:val="Numberedcharttitle"/>
      </w:pPr>
      <w:r>
        <w:t>Table 2.4.2:</w:t>
      </w:r>
      <w:r>
        <w:tab/>
        <w:t>Brisbane Airport—drive-up, online and average parking charges at the international terminal car park: 2014</w:t>
      </w:r>
      <w:r>
        <w:noBreakHyphen/>
        <w:t>15</w:t>
      </w:r>
    </w:p>
    <w:tbl>
      <w:tblPr>
        <w:tblStyle w:val="TableGrid"/>
        <w:tblW w:w="0" w:type="auto"/>
        <w:tblLook w:val="04A0" w:firstRow="1" w:lastRow="0" w:firstColumn="1" w:lastColumn="0" w:noHBand="0" w:noVBand="1"/>
      </w:tblPr>
      <w:tblGrid>
        <w:gridCol w:w="2166"/>
        <w:gridCol w:w="2166"/>
        <w:gridCol w:w="2166"/>
        <w:gridCol w:w="2166"/>
      </w:tblGrid>
      <w:tr w:rsidR="009F0A92" w:rsidTr="009543DB">
        <w:tc>
          <w:tcPr>
            <w:tcW w:w="2166" w:type="dxa"/>
            <w:tcBorders>
              <w:left w:val="nil"/>
              <w:bottom w:val="single" w:sz="4" w:space="0" w:color="auto"/>
              <w:right w:val="nil"/>
            </w:tcBorders>
            <w:shd w:val="clear" w:color="auto" w:fill="DFE0DC"/>
          </w:tcPr>
          <w:p w:rsidR="009F0A92" w:rsidRDefault="009F0A92" w:rsidP="009543DB">
            <w:pPr>
              <w:pStyle w:val="Tabletextheading"/>
              <w:keepNext/>
            </w:pPr>
            <w:r>
              <w:t>Length of stay</w:t>
            </w:r>
          </w:p>
        </w:tc>
        <w:tc>
          <w:tcPr>
            <w:tcW w:w="2166" w:type="dxa"/>
            <w:tcBorders>
              <w:left w:val="nil"/>
              <w:bottom w:val="single" w:sz="4" w:space="0" w:color="auto"/>
              <w:right w:val="nil"/>
            </w:tcBorders>
            <w:shd w:val="clear" w:color="auto" w:fill="DFE0DC"/>
          </w:tcPr>
          <w:p w:rsidR="009F0A92" w:rsidRDefault="009F0A92" w:rsidP="009543DB">
            <w:pPr>
              <w:pStyle w:val="Tabletextheadingright"/>
              <w:keepNext/>
            </w:pPr>
            <w:r>
              <w:t xml:space="preserve">Drive-up </w:t>
            </w:r>
            <w:r>
              <w:br/>
              <w:t>($)</w:t>
            </w:r>
          </w:p>
        </w:tc>
        <w:tc>
          <w:tcPr>
            <w:tcW w:w="2166" w:type="dxa"/>
            <w:tcBorders>
              <w:left w:val="nil"/>
              <w:bottom w:val="single" w:sz="4" w:space="0" w:color="auto"/>
              <w:right w:val="single" w:sz="4" w:space="0" w:color="auto"/>
            </w:tcBorders>
            <w:shd w:val="clear" w:color="auto" w:fill="DFE0DC"/>
          </w:tcPr>
          <w:p w:rsidR="009F0A92" w:rsidRDefault="009F0A92" w:rsidP="009543DB">
            <w:pPr>
              <w:pStyle w:val="Tabletextheadingright"/>
              <w:keepNext/>
            </w:pPr>
            <w:r>
              <w:t xml:space="preserve">Average online </w:t>
            </w:r>
            <w:r>
              <w:br/>
              <w:t>($)</w:t>
            </w:r>
          </w:p>
        </w:tc>
        <w:tc>
          <w:tcPr>
            <w:tcW w:w="2166" w:type="dxa"/>
            <w:tcBorders>
              <w:left w:val="single" w:sz="4" w:space="0" w:color="auto"/>
              <w:bottom w:val="single" w:sz="4" w:space="0" w:color="auto"/>
              <w:right w:val="nil"/>
            </w:tcBorders>
            <w:shd w:val="clear" w:color="auto" w:fill="DFE0DC"/>
          </w:tcPr>
          <w:p w:rsidR="009F0A92" w:rsidRDefault="009F0A92" w:rsidP="009543DB">
            <w:pPr>
              <w:pStyle w:val="Tabletextheadingright"/>
              <w:keepNext/>
            </w:pPr>
            <w:r>
              <w:t>Weighted average of drive-up and online ($)</w:t>
            </w:r>
          </w:p>
        </w:tc>
      </w:tr>
      <w:tr w:rsidR="009F0A92" w:rsidTr="009543DB">
        <w:tc>
          <w:tcPr>
            <w:tcW w:w="2166" w:type="dxa"/>
            <w:tcBorders>
              <w:left w:val="nil"/>
              <w:bottom w:val="nil"/>
              <w:right w:val="nil"/>
            </w:tcBorders>
          </w:tcPr>
          <w:p w:rsidR="009F0A92" w:rsidRDefault="009F0A92" w:rsidP="009543DB">
            <w:pPr>
              <w:pStyle w:val="Tabletextleft"/>
              <w:keepNext/>
            </w:pPr>
            <w:r>
              <w:t>4-24 hours</w:t>
            </w:r>
          </w:p>
        </w:tc>
        <w:tc>
          <w:tcPr>
            <w:tcW w:w="2166" w:type="dxa"/>
            <w:tcBorders>
              <w:left w:val="nil"/>
              <w:bottom w:val="nil"/>
              <w:right w:val="nil"/>
            </w:tcBorders>
          </w:tcPr>
          <w:p w:rsidR="009F0A92" w:rsidRDefault="009F0A92" w:rsidP="009543DB">
            <w:pPr>
              <w:pStyle w:val="Tabletextright"/>
              <w:keepNext/>
            </w:pPr>
            <w:r>
              <w:t>48.00</w:t>
            </w:r>
          </w:p>
        </w:tc>
        <w:tc>
          <w:tcPr>
            <w:tcW w:w="2166" w:type="dxa"/>
            <w:tcBorders>
              <w:left w:val="nil"/>
              <w:bottom w:val="nil"/>
              <w:right w:val="single" w:sz="4" w:space="0" w:color="auto"/>
            </w:tcBorders>
          </w:tcPr>
          <w:p w:rsidR="009F0A92" w:rsidRDefault="009F0A92" w:rsidP="009543DB">
            <w:pPr>
              <w:pStyle w:val="Tabletextright"/>
              <w:keepNext/>
            </w:pPr>
            <w:r>
              <w:t>43.03</w:t>
            </w:r>
          </w:p>
        </w:tc>
        <w:tc>
          <w:tcPr>
            <w:tcW w:w="2166" w:type="dxa"/>
            <w:tcBorders>
              <w:left w:val="single" w:sz="4" w:space="0" w:color="auto"/>
              <w:bottom w:val="nil"/>
              <w:right w:val="nil"/>
            </w:tcBorders>
          </w:tcPr>
          <w:p w:rsidR="009F0A92" w:rsidRDefault="009F0A92" w:rsidP="009543DB">
            <w:pPr>
              <w:pStyle w:val="Tabletextright"/>
              <w:keepNext/>
            </w:pPr>
            <w:r>
              <w:t>46.89</w:t>
            </w:r>
          </w:p>
        </w:tc>
      </w:tr>
      <w:tr w:rsidR="009F0A92" w:rsidTr="009543DB">
        <w:tc>
          <w:tcPr>
            <w:tcW w:w="2166" w:type="dxa"/>
            <w:tcBorders>
              <w:top w:val="nil"/>
              <w:left w:val="nil"/>
              <w:bottom w:val="nil"/>
              <w:right w:val="nil"/>
            </w:tcBorders>
          </w:tcPr>
          <w:p w:rsidR="009F0A92" w:rsidRDefault="009F0A92" w:rsidP="009543DB">
            <w:pPr>
              <w:pStyle w:val="Tabletextleft"/>
              <w:keepNext/>
            </w:pPr>
            <w:r>
              <w:t>1-2 days</w:t>
            </w:r>
          </w:p>
        </w:tc>
        <w:tc>
          <w:tcPr>
            <w:tcW w:w="2166" w:type="dxa"/>
            <w:tcBorders>
              <w:top w:val="nil"/>
              <w:left w:val="nil"/>
              <w:bottom w:val="nil"/>
              <w:right w:val="nil"/>
            </w:tcBorders>
          </w:tcPr>
          <w:p w:rsidR="009F0A92" w:rsidRDefault="009F0A92" w:rsidP="009543DB">
            <w:pPr>
              <w:pStyle w:val="Tabletextright"/>
              <w:keepNext/>
            </w:pPr>
            <w:r>
              <w:t>68.00</w:t>
            </w:r>
          </w:p>
        </w:tc>
        <w:tc>
          <w:tcPr>
            <w:tcW w:w="2166" w:type="dxa"/>
            <w:tcBorders>
              <w:top w:val="nil"/>
              <w:left w:val="nil"/>
              <w:bottom w:val="nil"/>
              <w:right w:val="single" w:sz="4" w:space="0" w:color="auto"/>
            </w:tcBorders>
          </w:tcPr>
          <w:p w:rsidR="009F0A92" w:rsidRDefault="009F0A92" w:rsidP="009543DB">
            <w:pPr>
              <w:pStyle w:val="Tabletextright"/>
              <w:keepNext/>
            </w:pPr>
            <w:r>
              <w:t>58.52</w:t>
            </w:r>
          </w:p>
        </w:tc>
        <w:tc>
          <w:tcPr>
            <w:tcW w:w="2166" w:type="dxa"/>
            <w:tcBorders>
              <w:top w:val="nil"/>
              <w:left w:val="single" w:sz="4" w:space="0" w:color="auto"/>
              <w:bottom w:val="nil"/>
              <w:right w:val="nil"/>
            </w:tcBorders>
          </w:tcPr>
          <w:p w:rsidR="009F0A92" w:rsidRDefault="009F0A92" w:rsidP="009543DB">
            <w:pPr>
              <w:pStyle w:val="Tabletextright"/>
              <w:keepNext/>
            </w:pPr>
            <w:r>
              <w:t>65.70</w:t>
            </w:r>
          </w:p>
        </w:tc>
      </w:tr>
      <w:tr w:rsidR="009F0A92" w:rsidTr="009543DB">
        <w:tc>
          <w:tcPr>
            <w:tcW w:w="2166" w:type="dxa"/>
            <w:tcBorders>
              <w:top w:val="nil"/>
              <w:left w:val="nil"/>
              <w:bottom w:val="nil"/>
              <w:right w:val="nil"/>
            </w:tcBorders>
          </w:tcPr>
          <w:p w:rsidR="009F0A92" w:rsidRDefault="009F0A92" w:rsidP="009543DB">
            <w:pPr>
              <w:pStyle w:val="Tabletextleft"/>
              <w:keepNext/>
            </w:pPr>
            <w:r>
              <w:t>2-3 days</w:t>
            </w:r>
          </w:p>
        </w:tc>
        <w:tc>
          <w:tcPr>
            <w:tcW w:w="2166" w:type="dxa"/>
            <w:tcBorders>
              <w:top w:val="nil"/>
              <w:left w:val="nil"/>
              <w:bottom w:val="nil"/>
              <w:right w:val="nil"/>
            </w:tcBorders>
          </w:tcPr>
          <w:p w:rsidR="009F0A92" w:rsidRDefault="009F0A92" w:rsidP="009543DB">
            <w:pPr>
              <w:pStyle w:val="Tabletextright"/>
              <w:keepNext/>
            </w:pPr>
            <w:r>
              <w:t>88.00</w:t>
            </w:r>
          </w:p>
        </w:tc>
        <w:tc>
          <w:tcPr>
            <w:tcW w:w="2166" w:type="dxa"/>
            <w:tcBorders>
              <w:top w:val="nil"/>
              <w:left w:val="nil"/>
              <w:bottom w:val="nil"/>
              <w:right w:val="single" w:sz="4" w:space="0" w:color="auto"/>
            </w:tcBorders>
          </w:tcPr>
          <w:p w:rsidR="009F0A92" w:rsidRDefault="009F0A92" w:rsidP="009543DB">
            <w:pPr>
              <w:pStyle w:val="Tabletextright"/>
              <w:keepNext/>
            </w:pPr>
            <w:r>
              <w:t>74.90</w:t>
            </w:r>
          </w:p>
        </w:tc>
        <w:tc>
          <w:tcPr>
            <w:tcW w:w="2166" w:type="dxa"/>
            <w:tcBorders>
              <w:top w:val="nil"/>
              <w:left w:val="single" w:sz="4" w:space="0" w:color="auto"/>
              <w:bottom w:val="nil"/>
              <w:right w:val="nil"/>
            </w:tcBorders>
          </w:tcPr>
          <w:p w:rsidR="009F0A92" w:rsidRDefault="009F0A92" w:rsidP="009543DB">
            <w:pPr>
              <w:pStyle w:val="Tabletextright"/>
              <w:keepNext/>
            </w:pPr>
            <w:r>
              <w:t>83.32</w:t>
            </w:r>
          </w:p>
        </w:tc>
      </w:tr>
      <w:tr w:rsidR="009F0A92" w:rsidTr="009543DB">
        <w:tc>
          <w:tcPr>
            <w:tcW w:w="2166" w:type="dxa"/>
            <w:tcBorders>
              <w:top w:val="nil"/>
              <w:left w:val="nil"/>
              <w:bottom w:val="nil"/>
              <w:right w:val="nil"/>
            </w:tcBorders>
          </w:tcPr>
          <w:p w:rsidR="009F0A92" w:rsidRDefault="009F0A92" w:rsidP="009543DB">
            <w:pPr>
              <w:pStyle w:val="Tabletextleft"/>
              <w:keepNext/>
            </w:pPr>
            <w:r>
              <w:t>3-4 days</w:t>
            </w:r>
          </w:p>
        </w:tc>
        <w:tc>
          <w:tcPr>
            <w:tcW w:w="2166" w:type="dxa"/>
            <w:tcBorders>
              <w:top w:val="nil"/>
              <w:left w:val="nil"/>
              <w:bottom w:val="nil"/>
              <w:right w:val="nil"/>
            </w:tcBorders>
          </w:tcPr>
          <w:p w:rsidR="009F0A92" w:rsidRDefault="009F0A92" w:rsidP="009543DB">
            <w:pPr>
              <w:pStyle w:val="Tabletextright"/>
              <w:keepNext/>
            </w:pPr>
            <w:r>
              <w:t>108.00</w:t>
            </w:r>
          </w:p>
        </w:tc>
        <w:tc>
          <w:tcPr>
            <w:tcW w:w="2166" w:type="dxa"/>
            <w:tcBorders>
              <w:top w:val="nil"/>
              <w:left w:val="nil"/>
              <w:bottom w:val="nil"/>
              <w:right w:val="single" w:sz="4" w:space="0" w:color="auto"/>
            </w:tcBorders>
          </w:tcPr>
          <w:p w:rsidR="009F0A92" w:rsidRDefault="009F0A92" w:rsidP="009543DB">
            <w:pPr>
              <w:pStyle w:val="Tabletextright"/>
              <w:keepNext/>
            </w:pPr>
            <w:r>
              <w:t>92.73</w:t>
            </w:r>
          </w:p>
        </w:tc>
        <w:tc>
          <w:tcPr>
            <w:tcW w:w="2166" w:type="dxa"/>
            <w:tcBorders>
              <w:top w:val="nil"/>
              <w:left w:val="single" w:sz="4" w:space="0" w:color="auto"/>
              <w:bottom w:val="nil"/>
              <w:right w:val="nil"/>
            </w:tcBorders>
          </w:tcPr>
          <w:p w:rsidR="009F0A92" w:rsidRDefault="009F0A92" w:rsidP="009543DB">
            <w:pPr>
              <w:pStyle w:val="Tabletextright"/>
              <w:keepNext/>
            </w:pPr>
            <w:r>
              <w:t>100.08</w:t>
            </w:r>
          </w:p>
        </w:tc>
      </w:tr>
      <w:tr w:rsidR="009F0A92" w:rsidTr="009543DB">
        <w:tc>
          <w:tcPr>
            <w:tcW w:w="2166" w:type="dxa"/>
            <w:tcBorders>
              <w:top w:val="nil"/>
              <w:left w:val="nil"/>
              <w:bottom w:val="nil"/>
              <w:right w:val="nil"/>
            </w:tcBorders>
          </w:tcPr>
          <w:p w:rsidR="009F0A92" w:rsidRDefault="009F0A92" w:rsidP="009543DB">
            <w:pPr>
              <w:pStyle w:val="Tabletextleft"/>
              <w:keepNext/>
            </w:pPr>
            <w:r>
              <w:t>4-5 days</w:t>
            </w:r>
          </w:p>
        </w:tc>
        <w:tc>
          <w:tcPr>
            <w:tcW w:w="2166" w:type="dxa"/>
            <w:tcBorders>
              <w:top w:val="nil"/>
              <w:left w:val="nil"/>
              <w:bottom w:val="nil"/>
              <w:right w:val="nil"/>
            </w:tcBorders>
          </w:tcPr>
          <w:p w:rsidR="009F0A92" w:rsidRDefault="009F0A92" w:rsidP="009543DB">
            <w:pPr>
              <w:pStyle w:val="Tabletextright"/>
              <w:keepNext/>
            </w:pPr>
            <w:r>
              <w:t>128.00</w:t>
            </w:r>
          </w:p>
        </w:tc>
        <w:tc>
          <w:tcPr>
            <w:tcW w:w="2166" w:type="dxa"/>
            <w:tcBorders>
              <w:top w:val="nil"/>
              <w:left w:val="nil"/>
              <w:bottom w:val="nil"/>
              <w:right w:val="single" w:sz="4" w:space="0" w:color="auto"/>
            </w:tcBorders>
          </w:tcPr>
          <w:p w:rsidR="009F0A92" w:rsidRDefault="009F0A92" w:rsidP="009543DB">
            <w:pPr>
              <w:pStyle w:val="Tabletextright"/>
              <w:keepNext/>
            </w:pPr>
            <w:r>
              <w:t>99.23</w:t>
            </w:r>
          </w:p>
        </w:tc>
        <w:tc>
          <w:tcPr>
            <w:tcW w:w="2166" w:type="dxa"/>
            <w:tcBorders>
              <w:top w:val="nil"/>
              <w:left w:val="single" w:sz="4" w:space="0" w:color="auto"/>
              <w:bottom w:val="nil"/>
              <w:right w:val="nil"/>
            </w:tcBorders>
          </w:tcPr>
          <w:p w:rsidR="009F0A92" w:rsidRDefault="009F0A92" w:rsidP="009543DB">
            <w:pPr>
              <w:pStyle w:val="Tabletextright"/>
              <w:keepNext/>
            </w:pPr>
            <w:r>
              <w:t>111.38</w:t>
            </w:r>
          </w:p>
        </w:tc>
      </w:tr>
      <w:tr w:rsidR="009F0A92" w:rsidTr="009543DB">
        <w:tc>
          <w:tcPr>
            <w:tcW w:w="2166" w:type="dxa"/>
            <w:tcBorders>
              <w:top w:val="nil"/>
              <w:left w:val="nil"/>
              <w:bottom w:val="nil"/>
              <w:right w:val="nil"/>
            </w:tcBorders>
          </w:tcPr>
          <w:p w:rsidR="009F0A92" w:rsidRDefault="009F0A92" w:rsidP="009543DB">
            <w:pPr>
              <w:pStyle w:val="Tabletextleft"/>
              <w:keepNext/>
            </w:pPr>
            <w:r>
              <w:t>5-6 days</w:t>
            </w:r>
          </w:p>
        </w:tc>
        <w:tc>
          <w:tcPr>
            <w:tcW w:w="2166" w:type="dxa"/>
            <w:tcBorders>
              <w:top w:val="nil"/>
              <w:left w:val="nil"/>
              <w:bottom w:val="nil"/>
              <w:right w:val="nil"/>
            </w:tcBorders>
          </w:tcPr>
          <w:p w:rsidR="009F0A92" w:rsidRDefault="009F0A92" w:rsidP="009543DB">
            <w:pPr>
              <w:pStyle w:val="Tabletextright"/>
              <w:keepNext/>
            </w:pPr>
            <w:r>
              <w:t>138.00</w:t>
            </w:r>
          </w:p>
        </w:tc>
        <w:tc>
          <w:tcPr>
            <w:tcW w:w="2166" w:type="dxa"/>
            <w:tcBorders>
              <w:top w:val="nil"/>
              <w:left w:val="nil"/>
              <w:bottom w:val="nil"/>
              <w:right w:val="single" w:sz="4" w:space="0" w:color="auto"/>
            </w:tcBorders>
          </w:tcPr>
          <w:p w:rsidR="009F0A92" w:rsidRDefault="009F0A92" w:rsidP="009543DB">
            <w:pPr>
              <w:pStyle w:val="Tabletextright"/>
              <w:keepNext/>
            </w:pPr>
            <w:r>
              <w:t>99.66</w:t>
            </w:r>
          </w:p>
        </w:tc>
        <w:tc>
          <w:tcPr>
            <w:tcW w:w="2166" w:type="dxa"/>
            <w:tcBorders>
              <w:top w:val="nil"/>
              <w:left w:val="single" w:sz="4" w:space="0" w:color="auto"/>
              <w:bottom w:val="nil"/>
              <w:right w:val="nil"/>
            </w:tcBorders>
          </w:tcPr>
          <w:p w:rsidR="009F0A92" w:rsidRDefault="009F0A92" w:rsidP="009543DB">
            <w:pPr>
              <w:pStyle w:val="Tabletextright"/>
              <w:keepNext/>
            </w:pPr>
            <w:r>
              <w:t>113.95</w:t>
            </w:r>
          </w:p>
        </w:tc>
      </w:tr>
      <w:tr w:rsidR="009F0A92" w:rsidTr="009543DB">
        <w:tc>
          <w:tcPr>
            <w:tcW w:w="2166" w:type="dxa"/>
            <w:tcBorders>
              <w:top w:val="nil"/>
              <w:left w:val="nil"/>
              <w:bottom w:val="single" w:sz="4" w:space="0" w:color="auto"/>
              <w:right w:val="nil"/>
            </w:tcBorders>
          </w:tcPr>
          <w:p w:rsidR="009F0A92" w:rsidRDefault="009F0A92" w:rsidP="009543DB">
            <w:pPr>
              <w:pStyle w:val="Tabletextleft"/>
              <w:keepNext/>
            </w:pPr>
            <w:r>
              <w:t>6-7 days</w:t>
            </w:r>
          </w:p>
        </w:tc>
        <w:tc>
          <w:tcPr>
            <w:tcW w:w="2166" w:type="dxa"/>
            <w:tcBorders>
              <w:top w:val="nil"/>
              <w:left w:val="nil"/>
              <w:bottom w:val="single" w:sz="4" w:space="0" w:color="auto"/>
              <w:right w:val="nil"/>
            </w:tcBorders>
          </w:tcPr>
          <w:p w:rsidR="009F0A92" w:rsidRDefault="009F0A92" w:rsidP="009543DB">
            <w:pPr>
              <w:pStyle w:val="Tabletextright"/>
              <w:keepNext/>
            </w:pPr>
            <w:r>
              <w:t>148.00</w:t>
            </w:r>
          </w:p>
        </w:tc>
        <w:tc>
          <w:tcPr>
            <w:tcW w:w="2166" w:type="dxa"/>
            <w:tcBorders>
              <w:top w:val="nil"/>
              <w:left w:val="nil"/>
              <w:bottom w:val="single" w:sz="4" w:space="0" w:color="auto"/>
              <w:right w:val="single" w:sz="4" w:space="0" w:color="auto"/>
            </w:tcBorders>
          </w:tcPr>
          <w:p w:rsidR="009F0A92" w:rsidRDefault="009F0A92" w:rsidP="009543DB">
            <w:pPr>
              <w:pStyle w:val="Tabletextright"/>
              <w:keepNext/>
            </w:pPr>
            <w:r>
              <w:t>100.28</w:t>
            </w:r>
          </w:p>
        </w:tc>
        <w:tc>
          <w:tcPr>
            <w:tcW w:w="2166" w:type="dxa"/>
            <w:tcBorders>
              <w:top w:val="nil"/>
              <w:left w:val="single" w:sz="4" w:space="0" w:color="auto"/>
              <w:bottom w:val="single" w:sz="4" w:space="0" w:color="auto"/>
              <w:right w:val="nil"/>
            </w:tcBorders>
          </w:tcPr>
          <w:p w:rsidR="009F0A92" w:rsidRDefault="009F0A92" w:rsidP="009543DB">
            <w:pPr>
              <w:pStyle w:val="Tabletextright"/>
              <w:keepNext/>
            </w:pPr>
            <w:r>
              <w:t>114.93</w:t>
            </w:r>
          </w:p>
        </w:tc>
      </w:tr>
    </w:tbl>
    <w:p w:rsidR="009F0A92" w:rsidRDefault="009F0A92" w:rsidP="009543DB">
      <w:pPr>
        <w:pStyle w:val="Sourceandnotes"/>
      </w:pPr>
      <w:r>
        <w:t>Note:</w:t>
      </w:r>
      <w:r>
        <w:tab/>
        <w:t>Average car parking charges are calculated as the weighted average of drive-up and online charges</w:t>
      </w:r>
    </w:p>
    <w:p w:rsidR="009543DB" w:rsidRDefault="009543DB" w:rsidP="009F0A92">
      <w:pPr>
        <w:pStyle w:val="Standardheading"/>
      </w:pPr>
    </w:p>
    <w:p w:rsidR="008C69ED" w:rsidRDefault="008C69ED" w:rsidP="009F0A92">
      <w:pPr>
        <w:pStyle w:val="Standardheading"/>
      </w:pPr>
    </w:p>
    <w:p w:rsidR="009F0A92" w:rsidRDefault="009F0A92" w:rsidP="009F0A92">
      <w:pPr>
        <w:pStyle w:val="Standardheading"/>
      </w:pPr>
      <w:r>
        <w:lastRenderedPageBreak/>
        <w:t>Domestic terminal—short term and long term car parking</w:t>
      </w:r>
    </w:p>
    <w:p w:rsidR="009F0A92" w:rsidRDefault="009F0A92" w:rsidP="009543DB">
      <w:pPr>
        <w:keepNext/>
      </w:pPr>
      <w:r>
        <w:t xml:space="preserve">Chart 2.4.3 shows that Brisbane Airport reduced almost </w:t>
      </w:r>
      <w:proofErr w:type="gramStart"/>
      <w:r>
        <w:t>all of its</w:t>
      </w:r>
      <w:proofErr w:type="gramEnd"/>
      <w:r>
        <w:t xml:space="preserve"> short term car parking charges during 2014</w:t>
      </w:r>
      <w:r>
        <w:noBreakHyphen/>
        <w:t>15 in real terms. The exception was the one hour rate, which increased by 5.3 per cent in real terms.</w:t>
      </w:r>
    </w:p>
    <w:p w:rsidR="009F0A92" w:rsidRDefault="009F0A92" w:rsidP="009543DB">
      <w:pPr>
        <w:pStyle w:val="Numberedcharttitle"/>
      </w:pPr>
      <w:r>
        <w:t>Chart 2.4.3:</w:t>
      </w:r>
      <w:r>
        <w:tab/>
        <w:t>Brisbane Airport—selected short term parking prices at the domestic terminal car park in real terms: 30 June 2005 to 30 June 2015</w:t>
      </w:r>
    </w:p>
    <w:p w:rsidR="009F0A92" w:rsidRDefault="009F0A92" w:rsidP="009543DB">
      <w:pPr>
        <w:keepNext/>
      </w:pPr>
      <w:r w:rsidRPr="008F591F">
        <w:t xml:space="preserve"> </w:t>
      </w:r>
      <w:r w:rsidRPr="008F591F">
        <w:rPr>
          <w:noProof/>
          <w:lang w:eastAsia="en-AU"/>
        </w:rPr>
        <w:drawing>
          <wp:inline distT="0" distB="0" distL="0" distR="0" wp14:anchorId="6F5360E4" wp14:editId="6CB90901">
            <wp:extent cx="5359958" cy="273367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64480" cy="2735982"/>
                    </a:xfrm>
                    <a:prstGeom prst="rect">
                      <a:avLst/>
                    </a:prstGeom>
                    <a:noFill/>
                    <a:ln>
                      <a:noFill/>
                    </a:ln>
                  </pic:spPr>
                </pic:pic>
              </a:graphicData>
            </a:graphic>
          </wp:inline>
        </w:drawing>
      </w:r>
    </w:p>
    <w:p w:rsidR="009F0A92" w:rsidRDefault="009F0A92" w:rsidP="009543DB">
      <w:pPr>
        <w:pStyle w:val="Sourceandnotes"/>
      </w:pPr>
      <w:r>
        <w:t>Note:</w:t>
      </w:r>
      <w:r>
        <w:tab/>
        <w:t>Real values in 2014</w:t>
      </w:r>
      <w:r>
        <w:noBreakHyphen/>
        <w:t>15 dollars</w:t>
      </w:r>
    </w:p>
    <w:p w:rsidR="009F0A92" w:rsidRDefault="009F0A92" w:rsidP="009543DB">
      <w:pPr>
        <w:keepNext/>
      </w:pPr>
      <w:r>
        <w:t xml:space="preserve">Chart 2.4.4 shows that Brisbane Airport increased each of its long term car parking charges at its domestic terminal car park. </w:t>
      </w:r>
    </w:p>
    <w:p w:rsidR="009F0A92" w:rsidRDefault="009F0A92" w:rsidP="009543DB">
      <w:pPr>
        <w:pStyle w:val="Numberedcharttitle"/>
      </w:pPr>
      <w:r>
        <w:t>Chart 2.4.4:</w:t>
      </w:r>
      <w:r>
        <w:tab/>
        <w:t>Brisbane Airport—selected long term parking prices at the domestic terminal car park in real terms: 30 June 2005 to 30 June 2015</w:t>
      </w:r>
    </w:p>
    <w:p w:rsidR="009F0A92" w:rsidRDefault="009F0A92" w:rsidP="009543DB">
      <w:pPr>
        <w:keepNext/>
      </w:pPr>
      <w:r w:rsidRPr="008418B5">
        <w:rPr>
          <w:noProof/>
          <w:lang w:eastAsia="en-AU"/>
        </w:rPr>
        <w:drawing>
          <wp:inline distT="0" distB="0" distL="0" distR="0" wp14:anchorId="119B6713" wp14:editId="11CDF32F">
            <wp:extent cx="5362043" cy="27432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64480" cy="2744447"/>
                    </a:xfrm>
                    <a:prstGeom prst="rect">
                      <a:avLst/>
                    </a:prstGeom>
                    <a:noFill/>
                    <a:ln>
                      <a:noFill/>
                    </a:ln>
                  </pic:spPr>
                </pic:pic>
              </a:graphicData>
            </a:graphic>
          </wp:inline>
        </w:drawing>
      </w:r>
    </w:p>
    <w:p w:rsidR="009F0A92" w:rsidRDefault="009F0A92" w:rsidP="009543DB">
      <w:pPr>
        <w:pStyle w:val="Sourceandnotes"/>
      </w:pPr>
      <w:r>
        <w:t>Note:</w:t>
      </w:r>
      <w:r>
        <w:tab/>
        <w:t>Real values in 2014-15 dollars</w:t>
      </w:r>
    </w:p>
    <w:p w:rsidR="009F0A92" w:rsidRDefault="009F0A92" w:rsidP="009F0A92">
      <w:r>
        <w:lastRenderedPageBreak/>
        <w:t xml:space="preserve">The increases ranged from 1.8 per cent in real terms for seven days parking to 9.7 per cent for one day parking. The domestic car park is situated within walking distance of the terminal and provides for undercover parking. </w:t>
      </w:r>
    </w:p>
    <w:p w:rsidR="009F0A92" w:rsidRDefault="009F0A92" w:rsidP="009F0A92">
      <w:r>
        <w:t>During 2014</w:t>
      </w:r>
      <w:r>
        <w:noBreakHyphen/>
        <w:t>15, Brisbane Airport aligned its car parking charges across the international and domestic terminal car parking facilities.</w:t>
      </w:r>
    </w:p>
    <w:p w:rsidR="009F0A92" w:rsidRDefault="009F0A92" w:rsidP="009F0A92">
      <w:r>
        <w:t>As noted, Brisbane Airport also provides online pre-booking of car parking spaces, which provides customers with discounted charges. Table 2.4.3 below displays the drive-up charges, average online charges and the weighted average of drive-up and online charges in 2014</w:t>
      </w:r>
      <w:r>
        <w:noBreakHyphen/>
        <w:t>15.</w:t>
      </w:r>
    </w:p>
    <w:p w:rsidR="009F0A92" w:rsidRDefault="009F0A92" w:rsidP="009F0A92">
      <w:pPr>
        <w:pStyle w:val="Numberedcharttitle"/>
      </w:pPr>
      <w:r>
        <w:t>Table 2.4.3:</w:t>
      </w:r>
      <w:r>
        <w:tab/>
        <w:t>Brisbane Airport—drive-up, online and average parking charges at the domestic terminal car park: 2014</w:t>
      </w:r>
      <w:r>
        <w:noBreakHyphen/>
        <w:t>15</w:t>
      </w:r>
    </w:p>
    <w:tbl>
      <w:tblPr>
        <w:tblStyle w:val="TableGrid"/>
        <w:tblW w:w="0" w:type="auto"/>
        <w:tblLook w:val="04A0" w:firstRow="1" w:lastRow="0" w:firstColumn="1" w:lastColumn="0" w:noHBand="0" w:noVBand="1"/>
      </w:tblPr>
      <w:tblGrid>
        <w:gridCol w:w="2166"/>
        <w:gridCol w:w="2166"/>
        <w:gridCol w:w="2166"/>
        <w:gridCol w:w="2166"/>
      </w:tblGrid>
      <w:tr w:rsidR="009F0A92" w:rsidTr="009543DB">
        <w:tc>
          <w:tcPr>
            <w:tcW w:w="2166" w:type="dxa"/>
            <w:tcBorders>
              <w:left w:val="nil"/>
              <w:bottom w:val="single" w:sz="4" w:space="0" w:color="auto"/>
              <w:right w:val="nil"/>
            </w:tcBorders>
            <w:shd w:val="clear" w:color="auto" w:fill="DFE0DC"/>
          </w:tcPr>
          <w:p w:rsidR="009F0A92" w:rsidRDefault="009F0A92" w:rsidP="009543DB">
            <w:pPr>
              <w:pStyle w:val="Tabletextheading"/>
            </w:pPr>
            <w:r>
              <w:t>Length of stay</w:t>
            </w:r>
          </w:p>
        </w:tc>
        <w:tc>
          <w:tcPr>
            <w:tcW w:w="2166" w:type="dxa"/>
            <w:tcBorders>
              <w:left w:val="nil"/>
              <w:bottom w:val="single" w:sz="4" w:space="0" w:color="auto"/>
              <w:right w:val="nil"/>
            </w:tcBorders>
            <w:shd w:val="clear" w:color="auto" w:fill="DFE0DC"/>
          </w:tcPr>
          <w:p w:rsidR="009F0A92" w:rsidRDefault="009F0A92" w:rsidP="009543DB">
            <w:pPr>
              <w:pStyle w:val="Tabletextheadingright"/>
            </w:pPr>
            <w:r>
              <w:t xml:space="preserve">Drive-up </w:t>
            </w:r>
            <w:r>
              <w:br/>
              <w:t>($)</w:t>
            </w:r>
          </w:p>
        </w:tc>
        <w:tc>
          <w:tcPr>
            <w:tcW w:w="2166" w:type="dxa"/>
            <w:tcBorders>
              <w:left w:val="nil"/>
              <w:bottom w:val="single" w:sz="4" w:space="0" w:color="auto"/>
              <w:right w:val="single" w:sz="4" w:space="0" w:color="auto"/>
            </w:tcBorders>
            <w:shd w:val="clear" w:color="auto" w:fill="DFE0DC"/>
          </w:tcPr>
          <w:p w:rsidR="009F0A92" w:rsidRDefault="009F0A92" w:rsidP="009543DB">
            <w:pPr>
              <w:pStyle w:val="Tabletextheadingright"/>
            </w:pPr>
            <w:r>
              <w:t xml:space="preserve">Average online </w:t>
            </w:r>
            <w:r>
              <w:br/>
              <w:t>($)</w:t>
            </w:r>
          </w:p>
        </w:tc>
        <w:tc>
          <w:tcPr>
            <w:tcW w:w="2166" w:type="dxa"/>
            <w:tcBorders>
              <w:left w:val="single" w:sz="4" w:space="0" w:color="auto"/>
              <w:bottom w:val="single" w:sz="4" w:space="0" w:color="auto"/>
              <w:right w:val="nil"/>
            </w:tcBorders>
            <w:shd w:val="clear" w:color="auto" w:fill="DFE0DC"/>
          </w:tcPr>
          <w:p w:rsidR="009F0A92" w:rsidRDefault="009F0A92" w:rsidP="009543DB">
            <w:pPr>
              <w:pStyle w:val="Tabletextheadingright"/>
            </w:pPr>
            <w:r>
              <w:t>Weighted average of drive-up and online ($)</w:t>
            </w:r>
          </w:p>
        </w:tc>
      </w:tr>
      <w:tr w:rsidR="009F0A92" w:rsidTr="009543DB">
        <w:tc>
          <w:tcPr>
            <w:tcW w:w="2166" w:type="dxa"/>
            <w:tcBorders>
              <w:left w:val="nil"/>
              <w:bottom w:val="nil"/>
              <w:right w:val="nil"/>
            </w:tcBorders>
          </w:tcPr>
          <w:p w:rsidR="009F0A92" w:rsidRDefault="009F0A92" w:rsidP="009543DB">
            <w:pPr>
              <w:pStyle w:val="Tabletextleft"/>
            </w:pPr>
            <w:r>
              <w:t>4-24 hours</w:t>
            </w:r>
          </w:p>
        </w:tc>
        <w:tc>
          <w:tcPr>
            <w:tcW w:w="2166" w:type="dxa"/>
            <w:tcBorders>
              <w:left w:val="nil"/>
              <w:bottom w:val="nil"/>
              <w:right w:val="nil"/>
            </w:tcBorders>
          </w:tcPr>
          <w:p w:rsidR="009F0A92" w:rsidRDefault="009F0A92" w:rsidP="009543DB">
            <w:pPr>
              <w:pStyle w:val="Tabletextright"/>
            </w:pPr>
            <w:r>
              <w:t>48.00</w:t>
            </w:r>
          </w:p>
        </w:tc>
        <w:tc>
          <w:tcPr>
            <w:tcW w:w="2166" w:type="dxa"/>
            <w:tcBorders>
              <w:left w:val="nil"/>
              <w:bottom w:val="nil"/>
              <w:right w:val="single" w:sz="4" w:space="0" w:color="auto"/>
            </w:tcBorders>
          </w:tcPr>
          <w:p w:rsidR="009F0A92" w:rsidRDefault="009F0A92" w:rsidP="009543DB">
            <w:pPr>
              <w:pStyle w:val="Tabletextright"/>
            </w:pPr>
            <w:r>
              <w:t>44.18</w:t>
            </w:r>
          </w:p>
        </w:tc>
        <w:tc>
          <w:tcPr>
            <w:tcW w:w="2166" w:type="dxa"/>
            <w:tcBorders>
              <w:left w:val="single" w:sz="4" w:space="0" w:color="auto"/>
              <w:bottom w:val="nil"/>
              <w:right w:val="nil"/>
            </w:tcBorders>
          </w:tcPr>
          <w:p w:rsidR="009F0A92" w:rsidRDefault="009F0A92" w:rsidP="009543DB">
            <w:pPr>
              <w:pStyle w:val="Tabletextright"/>
            </w:pPr>
            <w:r>
              <w:t>47.88</w:t>
            </w:r>
          </w:p>
        </w:tc>
      </w:tr>
      <w:tr w:rsidR="009F0A92" w:rsidTr="009543DB">
        <w:tc>
          <w:tcPr>
            <w:tcW w:w="2166" w:type="dxa"/>
            <w:tcBorders>
              <w:top w:val="nil"/>
              <w:left w:val="nil"/>
              <w:bottom w:val="nil"/>
              <w:right w:val="nil"/>
            </w:tcBorders>
          </w:tcPr>
          <w:p w:rsidR="009F0A92" w:rsidRDefault="009F0A92" w:rsidP="009543DB">
            <w:pPr>
              <w:pStyle w:val="Tabletextleft"/>
            </w:pPr>
            <w:r>
              <w:t>1-2 days</w:t>
            </w:r>
          </w:p>
        </w:tc>
        <w:tc>
          <w:tcPr>
            <w:tcW w:w="2166" w:type="dxa"/>
            <w:tcBorders>
              <w:top w:val="nil"/>
              <w:left w:val="nil"/>
              <w:bottom w:val="nil"/>
              <w:right w:val="nil"/>
            </w:tcBorders>
          </w:tcPr>
          <w:p w:rsidR="009F0A92" w:rsidRDefault="009F0A92" w:rsidP="009543DB">
            <w:pPr>
              <w:pStyle w:val="Tabletextright"/>
            </w:pPr>
            <w:r>
              <w:t>68.00</w:t>
            </w:r>
          </w:p>
        </w:tc>
        <w:tc>
          <w:tcPr>
            <w:tcW w:w="2166" w:type="dxa"/>
            <w:tcBorders>
              <w:top w:val="nil"/>
              <w:left w:val="nil"/>
              <w:bottom w:val="nil"/>
              <w:right w:val="single" w:sz="4" w:space="0" w:color="auto"/>
            </w:tcBorders>
          </w:tcPr>
          <w:p w:rsidR="009F0A92" w:rsidRDefault="009F0A92" w:rsidP="009543DB">
            <w:pPr>
              <w:pStyle w:val="Tabletextright"/>
            </w:pPr>
            <w:r>
              <w:t>59.16</w:t>
            </w:r>
          </w:p>
        </w:tc>
        <w:tc>
          <w:tcPr>
            <w:tcW w:w="2166" w:type="dxa"/>
            <w:tcBorders>
              <w:top w:val="nil"/>
              <w:left w:val="single" w:sz="4" w:space="0" w:color="auto"/>
              <w:bottom w:val="nil"/>
              <w:right w:val="nil"/>
            </w:tcBorders>
          </w:tcPr>
          <w:p w:rsidR="009F0A92" w:rsidRDefault="009F0A92" w:rsidP="009543DB">
            <w:pPr>
              <w:pStyle w:val="Tabletextright"/>
            </w:pPr>
            <w:r>
              <w:t>66.76</w:t>
            </w:r>
          </w:p>
        </w:tc>
      </w:tr>
      <w:tr w:rsidR="009F0A92" w:rsidTr="009543DB">
        <w:tc>
          <w:tcPr>
            <w:tcW w:w="2166" w:type="dxa"/>
            <w:tcBorders>
              <w:top w:val="nil"/>
              <w:left w:val="nil"/>
              <w:bottom w:val="nil"/>
              <w:right w:val="nil"/>
            </w:tcBorders>
          </w:tcPr>
          <w:p w:rsidR="009F0A92" w:rsidRDefault="009F0A92" w:rsidP="009543DB">
            <w:pPr>
              <w:pStyle w:val="Tabletextleft"/>
            </w:pPr>
            <w:r>
              <w:t>2-3 days</w:t>
            </w:r>
          </w:p>
        </w:tc>
        <w:tc>
          <w:tcPr>
            <w:tcW w:w="2166" w:type="dxa"/>
            <w:tcBorders>
              <w:top w:val="nil"/>
              <w:left w:val="nil"/>
              <w:bottom w:val="nil"/>
              <w:right w:val="nil"/>
            </w:tcBorders>
          </w:tcPr>
          <w:p w:rsidR="009F0A92" w:rsidRDefault="009F0A92" w:rsidP="009543DB">
            <w:pPr>
              <w:pStyle w:val="Tabletextright"/>
            </w:pPr>
            <w:r>
              <w:t>88.00</w:t>
            </w:r>
          </w:p>
        </w:tc>
        <w:tc>
          <w:tcPr>
            <w:tcW w:w="2166" w:type="dxa"/>
            <w:tcBorders>
              <w:top w:val="nil"/>
              <w:left w:val="nil"/>
              <w:bottom w:val="nil"/>
              <w:right w:val="single" w:sz="4" w:space="0" w:color="auto"/>
            </w:tcBorders>
          </w:tcPr>
          <w:p w:rsidR="009F0A92" w:rsidRDefault="009F0A92" w:rsidP="009543DB">
            <w:pPr>
              <w:pStyle w:val="Tabletextright"/>
            </w:pPr>
            <w:r>
              <w:t>73.18</w:t>
            </w:r>
          </w:p>
        </w:tc>
        <w:tc>
          <w:tcPr>
            <w:tcW w:w="2166" w:type="dxa"/>
            <w:tcBorders>
              <w:top w:val="nil"/>
              <w:left w:val="single" w:sz="4" w:space="0" w:color="auto"/>
              <w:bottom w:val="nil"/>
              <w:right w:val="nil"/>
            </w:tcBorders>
          </w:tcPr>
          <w:p w:rsidR="009F0A92" w:rsidRDefault="009F0A92" w:rsidP="009543DB">
            <w:pPr>
              <w:pStyle w:val="Tabletextright"/>
            </w:pPr>
            <w:r>
              <w:t>82.18</w:t>
            </w:r>
          </w:p>
        </w:tc>
      </w:tr>
      <w:tr w:rsidR="009F0A92" w:rsidTr="009543DB">
        <w:tc>
          <w:tcPr>
            <w:tcW w:w="2166" w:type="dxa"/>
            <w:tcBorders>
              <w:top w:val="nil"/>
              <w:left w:val="nil"/>
              <w:bottom w:val="nil"/>
              <w:right w:val="nil"/>
            </w:tcBorders>
          </w:tcPr>
          <w:p w:rsidR="009F0A92" w:rsidRDefault="009F0A92" w:rsidP="009543DB">
            <w:pPr>
              <w:pStyle w:val="Tabletextleft"/>
            </w:pPr>
            <w:r>
              <w:t>3-4 days</w:t>
            </w:r>
          </w:p>
        </w:tc>
        <w:tc>
          <w:tcPr>
            <w:tcW w:w="2166" w:type="dxa"/>
            <w:tcBorders>
              <w:top w:val="nil"/>
              <w:left w:val="nil"/>
              <w:bottom w:val="nil"/>
              <w:right w:val="nil"/>
            </w:tcBorders>
          </w:tcPr>
          <w:p w:rsidR="009F0A92" w:rsidRDefault="009F0A92" w:rsidP="009543DB">
            <w:pPr>
              <w:pStyle w:val="Tabletextright"/>
            </w:pPr>
            <w:r>
              <w:t>108.00</w:t>
            </w:r>
          </w:p>
        </w:tc>
        <w:tc>
          <w:tcPr>
            <w:tcW w:w="2166" w:type="dxa"/>
            <w:tcBorders>
              <w:top w:val="nil"/>
              <w:left w:val="nil"/>
              <w:bottom w:val="nil"/>
              <w:right w:val="single" w:sz="4" w:space="0" w:color="auto"/>
            </w:tcBorders>
          </w:tcPr>
          <w:p w:rsidR="009F0A92" w:rsidRDefault="009F0A92" w:rsidP="009543DB">
            <w:pPr>
              <w:pStyle w:val="Tabletextright"/>
            </w:pPr>
            <w:r>
              <w:t>97.35</w:t>
            </w:r>
          </w:p>
        </w:tc>
        <w:tc>
          <w:tcPr>
            <w:tcW w:w="2166" w:type="dxa"/>
            <w:tcBorders>
              <w:top w:val="nil"/>
              <w:left w:val="single" w:sz="4" w:space="0" w:color="auto"/>
              <w:bottom w:val="nil"/>
              <w:right w:val="nil"/>
            </w:tcBorders>
          </w:tcPr>
          <w:p w:rsidR="009F0A92" w:rsidRDefault="009F0A92" w:rsidP="009543DB">
            <w:pPr>
              <w:pStyle w:val="Tabletextright"/>
            </w:pPr>
            <w:r>
              <w:t>102.56</w:t>
            </w:r>
          </w:p>
        </w:tc>
      </w:tr>
      <w:tr w:rsidR="009F0A92" w:rsidTr="009543DB">
        <w:tc>
          <w:tcPr>
            <w:tcW w:w="2166" w:type="dxa"/>
            <w:tcBorders>
              <w:top w:val="nil"/>
              <w:left w:val="nil"/>
              <w:bottom w:val="nil"/>
              <w:right w:val="nil"/>
            </w:tcBorders>
          </w:tcPr>
          <w:p w:rsidR="009F0A92" w:rsidRDefault="009F0A92" w:rsidP="009543DB">
            <w:pPr>
              <w:pStyle w:val="Tabletextleft"/>
            </w:pPr>
            <w:r>
              <w:t>4-5 days</w:t>
            </w:r>
          </w:p>
        </w:tc>
        <w:tc>
          <w:tcPr>
            <w:tcW w:w="2166" w:type="dxa"/>
            <w:tcBorders>
              <w:top w:val="nil"/>
              <w:left w:val="nil"/>
              <w:bottom w:val="nil"/>
              <w:right w:val="nil"/>
            </w:tcBorders>
          </w:tcPr>
          <w:p w:rsidR="009F0A92" w:rsidRDefault="009F0A92" w:rsidP="009543DB">
            <w:pPr>
              <w:pStyle w:val="Tabletextright"/>
            </w:pPr>
            <w:r>
              <w:t>128.00</w:t>
            </w:r>
          </w:p>
        </w:tc>
        <w:tc>
          <w:tcPr>
            <w:tcW w:w="2166" w:type="dxa"/>
            <w:tcBorders>
              <w:top w:val="nil"/>
              <w:left w:val="nil"/>
              <w:bottom w:val="nil"/>
              <w:right w:val="single" w:sz="4" w:space="0" w:color="auto"/>
            </w:tcBorders>
          </w:tcPr>
          <w:p w:rsidR="009F0A92" w:rsidRDefault="009F0A92" w:rsidP="009543DB">
            <w:pPr>
              <w:pStyle w:val="Tabletextright"/>
            </w:pPr>
            <w:r>
              <w:t>98.84</w:t>
            </w:r>
          </w:p>
        </w:tc>
        <w:tc>
          <w:tcPr>
            <w:tcW w:w="2166" w:type="dxa"/>
            <w:tcBorders>
              <w:top w:val="nil"/>
              <w:left w:val="single" w:sz="4" w:space="0" w:color="auto"/>
              <w:bottom w:val="nil"/>
              <w:right w:val="nil"/>
            </w:tcBorders>
          </w:tcPr>
          <w:p w:rsidR="009F0A92" w:rsidRDefault="009F0A92" w:rsidP="009543DB">
            <w:pPr>
              <w:pStyle w:val="Tabletextright"/>
            </w:pPr>
            <w:r>
              <w:t>111.57</w:t>
            </w:r>
          </w:p>
        </w:tc>
      </w:tr>
      <w:tr w:rsidR="009F0A92" w:rsidTr="009543DB">
        <w:tc>
          <w:tcPr>
            <w:tcW w:w="2166" w:type="dxa"/>
            <w:tcBorders>
              <w:top w:val="nil"/>
              <w:left w:val="nil"/>
              <w:bottom w:val="nil"/>
              <w:right w:val="nil"/>
            </w:tcBorders>
          </w:tcPr>
          <w:p w:rsidR="009F0A92" w:rsidRDefault="009F0A92" w:rsidP="009543DB">
            <w:pPr>
              <w:pStyle w:val="Tabletextleft"/>
            </w:pPr>
            <w:r>
              <w:t>5-6 days</w:t>
            </w:r>
          </w:p>
        </w:tc>
        <w:tc>
          <w:tcPr>
            <w:tcW w:w="2166" w:type="dxa"/>
            <w:tcBorders>
              <w:top w:val="nil"/>
              <w:left w:val="nil"/>
              <w:bottom w:val="nil"/>
              <w:right w:val="nil"/>
            </w:tcBorders>
          </w:tcPr>
          <w:p w:rsidR="009F0A92" w:rsidRDefault="009F0A92" w:rsidP="009543DB">
            <w:pPr>
              <w:pStyle w:val="Tabletextright"/>
            </w:pPr>
            <w:r>
              <w:t>138.00</w:t>
            </w:r>
          </w:p>
        </w:tc>
        <w:tc>
          <w:tcPr>
            <w:tcW w:w="2166" w:type="dxa"/>
            <w:tcBorders>
              <w:top w:val="nil"/>
              <w:left w:val="nil"/>
              <w:bottom w:val="nil"/>
              <w:right w:val="single" w:sz="4" w:space="0" w:color="auto"/>
            </w:tcBorders>
          </w:tcPr>
          <w:p w:rsidR="009F0A92" w:rsidRDefault="009F0A92" w:rsidP="009543DB">
            <w:pPr>
              <w:pStyle w:val="Tabletextright"/>
            </w:pPr>
            <w:r>
              <w:t>99.91</w:t>
            </w:r>
          </w:p>
        </w:tc>
        <w:tc>
          <w:tcPr>
            <w:tcW w:w="2166" w:type="dxa"/>
            <w:tcBorders>
              <w:top w:val="nil"/>
              <w:left w:val="single" w:sz="4" w:space="0" w:color="auto"/>
              <w:bottom w:val="nil"/>
              <w:right w:val="nil"/>
            </w:tcBorders>
          </w:tcPr>
          <w:p w:rsidR="009F0A92" w:rsidRDefault="009F0A92" w:rsidP="009543DB">
            <w:pPr>
              <w:pStyle w:val="Tabletextright"/>
            </w:pPr>
            <w:r>
              <w:t>112.68</w:t>
            </w:r>
          </w:p>
        </w:tc>
      </w:tr>
      <w:tr w:rsidR="009F0A92" w:rsidTr="009543DB">
        <w:tc>
          <w:tcPr>
            <w:tcW w:w="2166" w:type="dxa"/>
            <w:tcBorders>
              <w:top w:val="nil"/>
              <w:left w:val="nil"/>
              <w:bottom w:val="single" w:sz="4" w:space="0" w:color="auto"/>
              <w:right w:val="nil"/>
            </w:tcBorders>
          </w:tcPr>
          <w:p w:rsidR="009F0A92" w:rsidRDefault="009F0A92" w:rsidP="009543DB">
            <w:pPr>
              <w:pStyle w:val="Tabletextleft"/>
            </w:pPr>
            <w:r>
              <w:t>6-7 days</w:t>
            </w:r>
          </w:p>
        </w:tc>
        <w:tc>
          <w:tcPr>
            <w:tcW w:w="2166" w:type="dxa"/>
            <w:tcBorders>
              <w:top w:val="nil"/>
              <w:left w:val="nil"/>
              <w:bottom w:val="single" w:sz="4" w:space="0" w:color="auto"/>
              <w:right w:val="nil"/>
            </w:tcBorders>
          </w:tcPr>
          <w:p w:rsidR="009F0A92" w:rsidRDefault="009F0A92" w:rsidP="009543DB">
            <w:pPr>
              <w:pStyle w:val="Tabletextright"/>
            </w:pPr>
            <w:r>
              <w:t>148.00</w:t>
            </w:r>
          </w:p>
        </w:tc>
        <w:tc>
          <w:tcPr>
            <w:tcW w:w="2166" w:type="dxa"/>
            <w:tcBorders>
              <w:top w:val="nil"/>
              <w:left w:val="nil"/>
              <w:bottom w:val="single" w:sz="4" w:space="0" w:color="auto"/>
              <w:right w:val="single" w:sz="4" w:space="0" w:color="auto"/>
            </w:tcBorders>
          </w:tcPr>
          <w:p w:rsidR="009F0A92" w:rsidRDefault="009F0A92" w:rsidP="009543DB">
            <w:pPr>
              <w:pStyle w:val="Tabletextright"/>
            </w:pPr>
            <w:r>
              <w:t>100.28</w:t>
            </w:r>
          </w:p>
        </w:tc>
        <w:tc>
          <w:tcPr>
            <w:tcW w:w="2166" w:type="dxa"/>
            <w:tcBorders>
              <w:top w:val="nil"/>
              <w:left w:val="single" w:sz="4" w:space="0" w:color="auto"/>
              <w:bottom w:val="single" w:sz="4" w:space="0" w:color="auto"/>
              <w:right w:val="nil"/>
            </w:tcBorders>
          </w:tcPr>
          <w:p w:rsidR="009F0A92" w:rsidRDefault="009F0A92" w:rsidP="009543DB">
            <w:pPr>
              <w:pStyle w:val="Tabletextright"/>
            </w:pPr>
            <w:r>
              <w:t>111.05</w:t>
            </w:r>
          </w:p>
        </w:tc>
      </w:tr>
    </w:tbl>
    <w:p w:rsidR="009F0A92" w:rsidRDefault="009F0A92" w:rsidP="009F0A92">
      <w:pPr>
        <w:pStyle w:val="Sourceandnotes"/>
      </w:pPr>
      <w:r>
        <w:t>Note:</w:t>
      </w:r>
      <w:r>
        <w:tab/>
        <w:t>Average car parking charges are calculated as the weighted average of drive-up and online charges</w:t>
      </w:r>
    </w:p>
    <w:p w:rsidR="009F0A92" w:rsidRDefault="009F0A92" w:rsidP="009F0A92">
      <w:pPr>
        <w:pStyle w:val="Numberedheading3"/>
      </w:pPr>
      <w:r>
        <w:t>Revenues, costs and profits</w:t>
      </w:r>
    </w:p>
    <w:p w:rsidR="009F0A92" w:rsidRDefault="009F0A92" w:rsidP="009F0A92">
      <w:r>
        <w:t>Table 2.4.4 outlines Brisbane Airport’s revenues, operating expenses and aggregate margin for car parking and total airport services from 2004</w:t>
      </w:r>
      <w:r>
        <w:noBreakHyphen/>
        <w:t>05 to 2014</w:t>
      </w:r>
      <w:r>
        <w:noBreakHyphen/>
        <w:t>15.</w:t>
      </w:r>
    </w:p>
    <w:p w:rsidR="009F0A92" w:rsidRDefault="009F0A92" w:rsidP="009F0A92">
      <w:r>
        <w:t>In 2014</w:t>
      </w:r>
      <w:r>
        <w:noBreakHyphen/>
        <w:t xml:space="preserve">15, </w:t>
      </w:r>
      <w:r w:rsidRPr="00BA07B6">
        <w:t>Brisbane Airport’s car parking revenue increased by 4.6 per cent in</w:t>
      </w:r>
      <w:r>
        <w:t xml:space="preserve"> real terms to $84.5 million. </w:t>
      </w:r>
      <w:r w:rsidRPr="00BA07B6">
        <w:t>This occurred despite total car parking throughput decreasing by 8.</w:t>
      </w:r>
      <w:r>
        <w:t>9</w:t>
      </w:r>
      <w:r w:rsidRPr="00BA07B6">
        <w:t> per cent during the year.</w:t>
      </w:r>
      <w:r>
        <w:t xml:space="preserve"> Since 2004</w:t>
      </w:r>
      <w:r>
        <w:noBreakHyphen/>
        <w:t>05, car parking revenue has increased by an average of 8.2 per cent per year in real terms.</w:t>
      </w:r>
    </w:p>
    <w:p w:rsidR="009F0A92" w:rsidRDefault="009F0A92" w:rsidP="009F0A92">
      <w:proofErr w:type="gramStart"/>
      <w:r>
        <w:t>Car parking operating expenses decreased by 3.9 per cent in real terms during 2014</w:t>
      </w:r>
      <w:r>
        <w:noBreakHyphen/>
        <w:t>15.</w:t>
      </w:r>
      <w:proofErr w:type="gramEnd"/>
      <w:r>
        <w:t xml:space="preserve"> This resulted in car parking aggregate margin significantly increasing by 9.4 per cent in real terms to $56.8 million. Since 2004</w:t>
      </w:r>
      <w:r>
        <w:noBreakHyphen/>
        <w:t>05, car parking aggregate margin has increased by an average of 7.0 per cent per year in real terms. The airport made a profit of 67.2 cents for each dollar in car parking revenue in 2014-15.</w:t>
      </w:r>
    </w:p>
    <w:p w:rsidR="009F0A92" w:rsidRDefault="009F0A92" w:rsidP="009F0A92">
      <w:r>
        <w:t xml:space="preserve">The trends were similar on a per car park space basis, with revenue increasing by 6.9 per cent in real terms. Operating expenses per car park space declined. </w:t>
      </w:r>
      <w:proofErr w:type="gramStart"/>
      <w:r>
        <w:t>Aggregate margin per car park space increased by 11.8 per cent in real terms during 2014</w:t>
      </w:r>
      <w:r>
        <w:noBreakHyphen/>
        <w:t>15, to $4153 per car park space.</w:t>
      </w:r>
      <w:proofErr w:type="gramEnd"/>
    </w:p>
    <w:p w:rsidR="009F0A92" w:rsidRDefault="009F0A92" w:rsidP="009F0A92"/>
    <w:p w:rsidR="009F0A92" w:rsidRDefault="009F0A92" w:rsidP="009F0A92">
      <w:pPr>
        <w:sectPr w:rsidR="009F0A92" w:rsidSect="009543DB">
          <w:headerReference w:type="even" r:id="rId78"/>
          <w:headerReference w:type="default" r:id="rId79"/>
          <w:footnotePr>
            <w:numStart w:val="93"/>
          </w:footnotePr>
          <w:pgSz w:w="11906" w:h="16838"/>
          <w:pgMar w:top="1440" w:right="1729" w:bottom="1582" w:left="1729" w:header="709" w:footer="709" w:gutter="0"/>
          <w:cols w:space="708"/>
          <w:docGrid w:linePitch="360"/>
        </w:sectPr>
      </w:pPr>
    </w:p>
    <w:p w:rsidR="009F0A92" w:rsidRDefault="009F0A92" w:rsidP="009F0A92">
      <w:pPr>
        <w:pStyle w:val="Numberedcharttitle"/>
      </w:pPr>
      <w:r>
        <w:lastRenderedPageBreak/>
        <w:t>Table 2.4.4:</w:t>
      </w:r>
      <w:r>
        <w:tab/>
        <w:t>Brisbane Airport—revenues, operating expenses and aggregate margins for car parking and total airport services in real terms: 2004</w:t>
      </w:r>
      <w:r>
        <w:noBreakHyphen/>
        <w:t>05 to 2014</w:t>
      </w:r>
      <w:r>
        <w:noBreakHyphen/>
        <w:t>15</w:t>
      </w:r>
    </w:p>
    <w:tbl>
      <w:tblPr>
        <w:tblStyle w:val="TableGrid"/>
        <w:tblW w:w="0" w:type="auto"/>
        <w:tblLook w:val="04A0" w:firstRow="1" w:lastRow="0" w:firstColumn="1" w:lastColumn="0" w:noHBand="0" w:noVBand="1"/>
      </w:tblPr>
      <w:tblGrid>
        <w:gridCol w:w="1243"/>
        <w:gridCol w:w="1984"/>
        <w:gridCol w:w="982"/>
        <w:gridCol w:w="982"/>
        <w:gridCol w:w="982"/>
        <w:gridCol w:w="983"/>
        <w:gridCol w:w="982"/>
        <w:gridCol w:w="982"/>
        <w:gridCol w:w="982"/>
        <w:gridCol w:w="983"/>
        <w:gridCol w:w="982"/>
        <w:gridCol w:w="982"/>
        <w:gridCol w:w="983"/>
      </w:tblGrid>
      <w:tr w:rsidR="009F0A92" w:rsidTr="009543DB">
        <w:tc>
          <w:tcPr>
            <w:tcW w:w="1243" w:type="dxa"/>
            <w:tcBorders>
              <w:left w:val="nil"/>
              <w:bottom w:val="single" w:sz="4" w:space="0" w:color="auto"/>
              <w:right w:val="nil"/>
            </w:tcBorders>
            <w:shd w:val="clear" w:color="auto" w:fill="DFE0DC"/>
          </w:tcPr>
          <w:p w:rsidR="009F0A92" w:rsidRDefault="009F0A92" w:rsidP="009543DB">
            <w:pPr>
              <w:pStyle w:val="Tabletextheading"/>
            </w:pPr>
          </w:p>
        </w:tc>
        <w:tc>
          <w:tcPr>
            <w:tcW w:w="1984" w:type="dxa"/>
            <w:tcBorders>
              <w:left w:val="nil"/>
              <w:bottom w:val="single" w:sz="4" w:space="0" w:color="auto"/>
              <w:right w:val="nil"/>
            </w:tcBorders>
            <w:shd w:val="clear" w:color="auto" w:fill="DFE0DC"/>
          </w:tcPr>
          <w:p w:rsidR="009F0A92" w:rsidRDefault="009F0A92" w:rsidP="009543DB">
            <w:pPr>
              <w:pStyle w:val="Tabletextheadingright"/>
            </w:pP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2004-05</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2005-06</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2006-07</w:t>
            </w:r>
          </w:p>
        </w:tc>
        <w:tc>
          <w:tcPr>
            <w:tcW w:w="983" w:type="dxa"/>
            <w:tcBorders>
              <w:left w:val="nil"/>
              <w:bottom w:val="single" w:sz="4" w:space="0" w:color="auto"/>
              <w:right w:val="nil"/>
            </w:tcBorders>
            <w:shd w:val="clear" w:color="auto" w:fill="DFE0DC"/>
          </w:tcPr>
          <w:p w:rsidR="009F0A92" w:rsidRDefault="009F0A92" w:rsidP="009543DB">
            <w:pPr>
              <w:pStyle w:val="Tabletextheadingright"/>
            </w:pPr>
            <w:r>
              <w:t>2007-08</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2008-09</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2009-10</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2010-11</w:t>
            </w:r>
          </w:p>
        </w:tc>
        <w:tc>
          <w:tcPr>
            <w:tcW w:w="983" w:type="dxa"/>
            <w:tcBorders>
              <w:left w:val="nil"/>
              <w:bottom w:val="single" w:sz="4" w:space="0" w:color="auto"/>
              <w:right w:val="nil"/>
            </w:tcBorders>
            <w:shd w:val="clear" w:color="auto" w:fill="DFE0DC"/>
          </w:tcPr>
          <w:p w:rsidR="009F0A92" w:rsidRDefault="009F0A92" w:rsidP="009543DB">
            <w:pPr>
              <w:pStyle w:val="Tabletextheadingright"/>
            </w:pPr>
            <w:r>
              <w:t>2011-12</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2012-13</w:t>
            </w:r>
          </w:p>
        </w:tc>
        <w:tc>
          <w:tcPr>
            <w:tcW w:w="982" w:type="dxa"/>
            <w:tcBorders>
              <w:left w:val="nil"/>
              <w:bottom w:val="single" w:sz="4" w:space="0" w:color="auto"/>
              <w:right w:val="nil"/>
            </w:tcBorders>
            <w:shd w:val="clear" w:color="auto" w:fill="DFE0DC"/>
          </w:tcPr>
          <w:p w:rsidR="009F0A92" w:rsidRDefault="009F0A92" w:rsidP="009543DB">
            <w:pPr>
              <w:pStyle w:val="Tabletextheadingright"/>
            </w:pPr>
            <w:r>
              <w:t>2013-14</w:t>
            </w:r>
          </w:p>
        </w:tc>
        <w:tc>
          <w:tcPr>
            <w:tcW w:w="983" w:type="dxa"/>
            <w:tcBorders>
              <w:left w:val="nil"/>
              <w:bottom w:val="single" w:sz="4" w:space="0" w:color="auto"/>
              <w:right w:val="nil"/>
            </w:tcBorders>
            <w:shd w:val="clear" w:color="auto" w:fill="DFE0DC"/>
          </w:tcPr>
          <w:p w:rsidR="009F0A92" w:rsidRDefault="009F0A92" w:rsidP="009543DB">
            <w:pPr>
              <w:pStyle w:val="Tabletextheadingright"/>
            </w:pPr>
            <w:r>
              <w:t>2014-15</w:t>
            </w:r>
          </w:p>
        </w:tc>
      </w:tr>
      <w:tr w:rsidR="009F0A92" w:rsidTr="009543DB">
        <w:tc>
          <w:tcPr>
            <w:tcW w:w="1243" w:type="dxa"/>
            <w:vMerge w:val="restart"/>
            <w:tcBorders>
              <w:left w:val="nil"/>
              <w:right w:val="nil"/>
            </w:tcBorders>
            <w:vAlign w:val="center"/>
          </w:tcPr>
          <w:p w:rsidR="009F0A92" w:rsidRDefault="009F0A92" w:rsidP="009543DB">
            <w:pPr>
              <w:pStyle w:val="Tabletextheadingcentre"/>
              <w:jc w:val="left"/>
            </w:pPr>
            <w:r>
              <w:t>Revenue ($million)</w:t>
            </w:r>
          </w:p>
        </w:tc>
        <w:tc>
          <w:tcPr>
            <w:tcW w:w="1984" w:type="dxa"/>
            <w:tcBorders>
              <w:left w:val="nil"/>
              <w:right w:val="nil"/>
            </w:tcBorders>
          </w:tcPr>
          <w:p w:rsidR="009F0A92" w:rsidRDefault="009F0A92" w:rsidP="009543DB">
            <w:pPr>
              <w:pStyle w:val="Tabletextleft"/>
            </w:pPr>
            <w:r>
              <w:t>Car parking</w:t>
            </w:r>
          </w:p>
        </w:tc>
        <w:tc>
          <w:tcPr>
            <w:tcW w:w="982" w:type="dxa"/>
            <w:tcBorders>
              <w:left w:val="nil"/>
              <w:right w:val="nil"/>
            </w:tcBorders>
          </w:tcPr>
          <w:p w:rsidR="009F0A92" w:rsidRDefault="009F0A92" w:rsidP="009543DB">
            <w:pPr>
              <w:pStyle w:val="Tabletextright"/>
            </w:pPr>
            <w:r>
              <w:t>38.4</w:t>
            </w:r>
          </w:p>
        </w:tc>
        <w:tc>
          <w:tcPr>
            <w:tcW w:w="982" w:type="dxa"/>
            <w:tcBorders>
              <w:left w:val="nil"/>
              <w:right w:val="nil"/>
            </w:tcBorders>
          </w:tcPr>
          <w:p w:rsidR="009F0A92" w:rsidRDefault="009F0A92" w:rsidP="009543DB">
            <w:pPr>
              <w:pStyle w:val="Tabletextright"/>
            </w:pPr>
            <w:r>
              <w:t>43.2</w:t>
            </w:r>
          </w:p>
        </w:tc>
        <w:tc>
          <w:tcPr>
            <w:tcW w:w="982" w:type="dxa"/>
            <w:tcBorders>
              <w:left w:val="nil"/>
              <w:right w:val="nil"/>
            </w:tcBorders>
          </w:tcPr>
          <w:p w:rsidR="009F0A92" w:rsidRDefault="009F0A92" w:rsidP="009543DB">
            <w:pPr>
              <w:pStyle w:val="Tabletextright"/>
            </w:pPr>
            <w:r>
              <w:t>49.0</w:t>
            </w:r>
          </w:p>
        </w:tc>
        <w:tc>
          <w:tcPr>
            <w:tcW w:w="983" w:type="dxa"/>
            <w:tcBorders>
              <w:left w:val="nil"/>
              <w:right w:val="nil"/>
            </w:tcBorders>
          </w:tcPr>
          <w:p w:rsidR="009F0A92" w:rsidRDefault="009F0A92" w:rsidP="009543DB">
            <w:pPr>
              <w:pStyle w:val="Tabletextright"/>
            </w:pPr>
            <w:r>
              <w:t>52.3</w:t>
            </w:r>
          </w:p>
        </w:tc>
        <w:tc>
          <w:tcPr>
            <w:tcW w:w="982" w:type="dxa"/>
            <w:tcBorders>
              <w:left w:val="nil"/>
              <w:right w:val="nil"/>
            </w:tcBorders>
          </w:tcPr>
          <w:p w:rsidR="009F0A92" w:rsidRDefault="009F0A92" w:rsidP="009543DB">
            <w:pPr>
              <w:pStyle w:val="Tabletextright"/>
            </w:pPr>
            <w:r>
              <w:t>60.3</w:t>
            </w:r>
          </w:p>
        </w:tc>
        <w:tc>
          <w:tcPr>
            <w:tcW w:w="982" w:type="dxa"/>
            <w:tcBorders>
              <w:left w:val="nil"/>
              <w:right w:val="nil"/>
            </w:tcBorders>
          </w:tcPr>
          <w:p w:rsidR="009F0A92" w:rsidRDefault="009F0A92" w:rsidP="009543DB">
            <w:pPr>
              <w:pStyle w:val="Tabletextright"/>
            </w:pPr>
            <w:r>
              <w:t>65.5</w:t>
            </w:r>
          </w:p>
        </w:tc>
        <w:tc>
          <w:tcPr>
            <w:tcW w:w="982" w:type="dxa"/>
            <w:tcBorders>
              <w:left w:val="nil"/>
              <w:right w:val="nil"/>
            </w:tcBorders>
          </w:tcPr>
          <w:p w:rsidR="009F0A92" w:rsidRDefault="009F0A92" w:rsidP="009543DB">
            <w:pPr>
              <w:pStyle w:val="Tabletextright"/>
            </w:pPr>
            <w:r>
              <w:t>65.7</w:t>
            </w:r>
          </w:p>
        </w:tc>
        <w:tc>
          <w:tcPr>
            <w:tcW w:w="983" w:type="dxa"/>
            <w:tcBorders>
              <w:left w:val="nil"/>
              <w:right w:val="nil"/>
            </w:tcBorders>
          </w:tcPr>
          <w:p w:rsidR="009F0A92" w:rsidRDefault="009F0A92" w:rsidP="009543DB">
            <w:pPr>
              <w:pStyle w:val="Tabletextright"/>
            </w:pPr>
            <w:r>
              <w:t>65.1</w:t>
            </w:r>
          </w:p>
        </w:tc>
        <w:tc>
          <w:tcPr>
            <w:tcW w:w="982" w:type="dxa"/>
            <w:tcBorders>
              <w:left w:val="nil"/>
              <w:right w:val="nil"/>
            </w:tcBorders>
          </w:tcPr>
          <w:p w:rsidR="009F0A92" w:rsidRDefault="009F0A92" w:rsidP="009543DB">
            <w:pPr>
              <w:pStyle w:val="Tabletextright"/>
            </w:pPr>
            <w:r>
              <w:t>75.1</w:t>
            </w:r>
          </w:p>
        </w:tc>
        <w:tc>
          <w:tcPr>
            <w:tcW w:w="982" w:type="dxa"/>
            <w:tcBorders>
              <w:left w:val="nil"/>
              <w:right w:val="nil"/>
            </w:tcBorders>
          </w:tcPr>
          <w:p w:rsidR="009F0A92" w:rsidRDefault="009F0A92" w:rsidP="009543DB">
            <w:pPr>
              <w:pStyle w:val="Tabletextright"/>
            </w:pPr>
            <w:r>
              <w:t>80.8</w:t>
            </w:r>
          </w:p>
        </w:tc>
        <w:tc>
          <w:tcPr>
            <w:tcW w:w="983" w:type="dxa"/>
            <w:tcBorders>
              <w:left w:val="nil"/>
              <w:right w:val="nil"/>
            </w:tcBorders>
          </w:tcPr>
          <w:p w:rsidR="009F0A92" w:rsidRDefault="009F0A92" w:rsidP="009543DB">
            <w:pPr>
              <w:pStyle w:val="Tabletextright"/>
            </w:pPr>
            <w:r>
              <w:t>84.5</w:t>
            </w:r>
          </w:p>
        </w:tc>
      </w:tr>
      <w:tr w:rsidR="009F0A92" w:rsidTr="009543DB">
        <w:tc>
          <w:tcPr>
            <w:tcW w:w="1243" w:type="dxa"/>
            <w:vMerge/>
            <w:tcBorders>
              <w:left w:val="nil"/>
              <w:right w:val="nil"/>
            </w:tcBorders>
          </w:tcPr>
          <w:p w:rsidR="009F0A92" w:rsidRDefault="009F0A92" w:rsidP="009543DB">
            <w:pPr>
              <w:pStyle w:val="Tabletextheading"/>
            </w:pPr>
          </w:p>
        </w:tc>
        <w:tc>
          <w:tcPr>
            <w:tcW w:w="1984" w:type="dxa"/>
            <w:tcBorders>
              <w:left w:val="nil"/>
              <w:right w:val="nil"/>
            </w:tcBorders>
          </w:tcPr>
          <w:p w:rsidR="009F0A92" w:rsidRDefault="009F0A92" w:rsidP="009543DB">
            <w:pPr>
              <w:pStyle w:val="Tabletextheading"/>
            </w:pPr>
            <w:r>
              <w:t>Total airport</w:t>
            </w:r>
          </w:p>
        </w:tc>
        <w:tc>
          <w:tcPr>
            <w:tcW w:w="982" w:type="dxa"/>
            <w:tcBorders>
              <w:left w:val="nil"/>
              <w:right w:val="nil"/>
            </w:tcBorders>
          </w:tcPr>
          <w:p w:rsidR="009F0A92" w:rsidRDefault="009F0A92" w:rsidP="009543DB">
            <w:pPr>
              <w:pStyle w:val="Tabletextheadingright"/>
            </w:pPr>
            <w:r>
              <w:t>320.1</w:t>
            </w:r>
          </w:p>
        </w:tc>
        <w:tc>
          <w:tcPr>
            <w:tcW w:w="982" w:type="dxa"/>
            <w:tcBorders>
              <w:left w:val="nil"/>
              <w:right w:val="nil"/>
            </w:tcBorders>
          </w:tcPr>
          <w:p w:rsidR="009F0A92" w:rsidRDefault="009F0A92" w:rsidP="009543DB">
            <w:pPr>
              <w:pStyle w:val="Tabletextheadingright"/>
            </w:pPr>
            <w:r>
              <w:t>398.8</w:t>
            </w:r>
          </w:p>
        </w:tc>
        <w:tc>
          <w:tcPr>
            <w:tcW w:w="982" w:type="dxa"/>
            <w:tcBorders>
              <w:left w:val="nil"/>
              <w:right w:val="nil"/>
            </w:tcBorders>
          </w:tcPr>
          <w:p w:rsidR="009F0A92" w:rsidRDefault="009F0A92" w:rsidP="009543DB">
            <w:pPr>
              <w:pStyle w:val="Tabletextheadingright"/>
            </w:pPr>
            <w:r>
              <w:t>408.8</w:t>
            </w:r>
          </w:p>
        </w:tc>
        <w:tc>
          <w:tcPr>
            <w:tcW w:w="983" w:type="dxa"/>
            <w:tcBorders>
              <w:left w:val="nil"/>
              <w:right w:val="nil"/>
            </w:tcBorders>
          </w:tcPr>
          <w:p w:rsidR="009F0A92" w:rsidRDefault="009F0A92" w:rsidP="009543DB">
            <w:pPr>
              <w:pStyle w:val="Tabletextheadingright"/>
            </w:pPr>
            <w:r>
              <w:t>467.8</w:t>
            </w:r>
          </w:p>
        </w:tc>
        <w:tc>
          <w:tcPr>
            <w:tcW w:w="982" w:type="dxa"/>
            <w:tcBorders>
              <w:left w:val="nil"/>
              <w:right w:val="nil"/>
            </w:tcBorders>
          </w:tcPr>
          <w:p w:rsidR="009F0A92" w:rsidRDefault="009F0A92" w:rsidP="009543DB">
            <w:pPr>
              <w:pStyle w:val="Tabletextheadingright"/>
            </w:pPr>
            <w:r>
              <w:t>440.4</w:t>
            </w:r>
          </w:p>
        </w:tc>
        <w:tc>
          <w:tcPr>
            <w:tcW w:w="982" w:type="dxa"/>
            <w:tcBorders>
              <w:left w:val="nil"/>
              <w:right w:val="nil"/>
            </w:tcBorders>
          </w:tcPr>
          <w:p w:rsidR="009F0A92" w:rsidRDefault="009F0A92" w:rsidP="009543DB">
            <w:pPr>
              <w:pStyle w:val="Tabletextheadingright"/>
            </w:pPr>
            <w:r>
              <w:t>477.6</w:t>
            </w:r>
          </w:p>
        </w:tc>
        <w:tc>
          <w:tcPr>
            <w:tcW w:w="982" w:type="dxa"/>
            <w:tcBorders>
              <w:left w:val="nil"/>
              <w:right w:val="nil"/>
            </w:tcBorders>
          </w:tcPr>
          <w:p w:rsidR="009F0A92" w:rsidRDefault="009F0A92" w:rsidP="009543DB">
            <w:pPr>
              <w:pStyle w:val="Tabletextheadingright"/>
            </w:pPr>
            <w:r>
              <w:t>499.0</w:t>
            </w:r>
          </w:p>
        </w:tc>
        <w:tc>
          <w:tcPr>
            <w:tcW w:w="983" w:type="dxa"/>
            <w:tcBorders>
              <w:left w:val="nil"/>
              <w:right w:val="nil"/>
            </w:tcBorders>
          </w:tcPr>
          <w:p w:rsidR="009F0A92" w:rsidRDefault="009F0A92" w:rsidP="009543DB">
            <w:pPr>
              <w:pStyle w:val="Tabletextheadingright"/>
            </w:pPr>
            <w:r>
              <w:t>519.4</w:t>
            </w:r>
          </w:p>
        </w:tc>
        <w:tc>
          <w:tcPr>
            <w:tcW w:w="982" w:type="dxa"/>
            <w:tcBorders>
              <w:left w:val="nil"/>
              <w:right w:val="nil"/>
            </w:tcBorders>
          </w:tcPr>
          <w:p w:rsidR="009F0A92" w:rsidRDefault="009F0A92" w:rsidP="009543DB">
            <w:pPr>
              <w:pStyle w:val="Tabletextheadingright"/>
            </w:pPr>
            <w:r>
              <w:t>550.5</w:t>
            </w:r>
          </w:p>
        </w:tc>
        <w:tc>
          <w:tcPr>
            <w:tcW w:w="982" w:type="dxa"/>
            <w:tcBorders>
              <w:left w:val="nil"/>
              <w:right w:val="nil"/>
            </w:tcBorders>
          </w:tcPr>
          <w:p w:rsidR="009F0A92" w:rsidRDefault="009F0A92" w:rsidP="009543DB">
            <w:pPr>
              <w:pStyle w:val="Tabletextheadingright"/>
            </w:pPr>
            <w:r>
              <w:t>573.7</w:t>
            </w:r>
          </w:p>
        </w:tc>
        <w:tc>
          <w:tcPr>
            <w:tcW w:w="983" w:type="dxa"/>
            <w:tcBorders>
              <w:left w:val="nil"/>
              <w:right w:val="nil"/>
            </w:tcBorders>
          </w:tcPr>
          <w:p w:rsidR="009F0A92" w:rsidRDefault="009F0A92" w:rsidP="009543DB">
            <w:pPr>
              <w:pStyle w:val="Tabletextheadingright"/>
            </w:pPr>
            <w:r>
              <w:t>610.7</w:t>
            </w:r>
          </w:p>
        </w:tc>
      </w:tr>
      <w:tr w:rsidR="009F0A92" w:rsidTr="009543DB">
        <w:tc>
          <w:tcPr>
            <w:tcW w:w="1243" w:type="dxa"/>
            <w:vMerge/>
            <w:tcBorders>
              <w:left w:val="nil"/>
              <w:right w:val="nil"/>
            </w:tcBorders>
          </w:tcPr>
          <w:p w:rsidR="009F0A92" w:rsidRDefault="009F0A92" w:rsidP="009543DB">
            <w:pPr>
              <w:pStyle w:val="Tabletextheading"/>
            </w:pPr>
          </w:p>
        </w:tc>
        <w:tc>
          <w:tcPr>
            <w:tcW w:w="1984" w:type="dxa"/>
            <w:tcBorders>
              <w:left w:val="nil"/>
              <w:right w:val="nil"/>
            </w:tcBorders>
          </w:tcPr>
          <w:p w:rsidR="009F0A92" w:rsidRDefault="009F0A92" w:rsidP="009543DB">
            <w:pPr>
              <w:pStyle w:val="Tabletextleft"/>
            </w:pPr>
            <w:r>
              <w:t>Car parking % of total</w:t>
            </w:r>
          </w:p>
        </w:tc>
        <w:tc>
          <w:tcPr>
            <w:tcW w:w="982" w:type="dxa"/>
            <w:tcBorders>
              <w:left w:val="nil"/>
              <w:right w:val="nil"/>
            </w:tcBorders>
          </w:tcPr>
          <w:p w:rsidR="009F0A92" w:rsidRDefault="009F0A92" w:rsidP="009543DB">
            <w:pPr>
              <w:pStyle w:val="Tabletextright"/>
            </w:pPr>
            <w:r>
              <w:t>12.0</w:t>
            </w:r>
          </w:p>
        </w:tc>
        <w:tc>
          <w:tcPr>
            <w:tcW w:w="982" w:type="dxa"/>
            <w:tcBorders>
              <w:left w:val="nil"/>
              <w:right w:val="nil"/>
            </w:tcBorders>
          </w:tcPr>
          <w:p w:rsidR="009F0A92" w:rsidRDefault="009F0A92" w:rsidP="009543DB">
            <w:pPr>
              <w:pStyle w:val="Tabletextright"/>
            </w:pPr>
            <w:r>
              <w:t>10.8</w:t>
            </w:r>
          </w:p>
        </w:tc>
        <w:tc>
          <w:tcPr>
            <w:tcW w:w="982" w:type="dxa"/>
            <w:tcBorders>
              <w:left w:val="nil"/>
              <w:right w:val="nil"/>
            </w:tcBorders>
          </w:tcPr>
          <w:p w:rsidR="009F0A92" w:rsidRDefault="009F0A92" w:rsidP="009543DB">
            <w:pPr>
              <w:pStyle w:val="Tabletextright"/>
            </w:pPr>
            <w:r>
              <w:t>12.0</w:t>
            </w:r>
          </w:p>
        </w:tc>
        <w:tc>
          <w:tcPr>
            <w:tcW w:w="983" w:type="dxa"/>
            <w:tcBorders>
              <w:left w:val="nil"/>
              <w:right w:val="nil"/>
            </w:tcBorders>
          </w:tcPr>
          <w:p w:rsidR="009F0A92" w:rsidRDefault="009F0A92" w:rsidP="009543DB">
            <w:pPr>
              <w:pStyle w:val="Tabletextright"/>
            </w:pPr>
            <w:r>
              <w:t>11.2</w:t>
            </w:r>
          </w:p>
        </w:tc>
        <w:tc>
          <w:tcPr>
            <w:tcW w:w="982" w:type="dxa"/>
            <w:tcBorders>
              <w:left w:val="nil"/>
              <w:right w:val="nil"/>
            </w:tcBorders>
          </w:tcPr>
          <w:p w:rsidR="009F0A92" w:rsidRDefault="009F0A92" w:rsidP="009543DB">
            <w:pPr>
              <w:pStyle w:val="Tabletextright"/>
            </w:pPr>
            <w:r>
              <w:t>13.7</w:t>
            </w:r>
          </w:p>
        </w:tc>
        <w:tc>
          <w:tcPr>
            <w:tcW w:w="982" w:type="dxa"/>
            <w:tcBorders>
              <w:left w:val="nil"/>
              <w:right w:val="nil"/>
            </w:tcBorders>
          </w:tcPr>
          <w:p w:rsidR="009F0A92" w:rsidRDefault="009F0A92" w:rsidP="009543DB">
            <w:pPr>
              <w:pStyle w:val="Tabletextright"/>
            </w:pPr>
            <w:r>
              <w:t>13.7</w:t>
            </w:r>
          </w:p>
        </w:tc>
        <w:tc>
          <w:tcPr>
            <w:tcW w:w="982" w:type="dxa"/>
            <w:tcBorders>
              <w:left w:val="nil"/>
              <w:right w:val="nil"/>
            </w:tcBorders>
          </w:tcPr>
          <w:p w:rsidR="009F0A92" w:rsidRDefault="009F0A92" w:rsidP="009543DB">
            <w:pPr>
              <w:pStyle w:val="Tabletextright"/>
            </w:pPr>
            <w:r>
              <w:t>13.2</w:t>
            </w:r>
          </w:p>
        </w:tc>
        <w:tc>
          <w:tcPr>
            <w:tcW w:w="983" w:type="dxa"/>
            <w:tcBorders>
              <w:left w:val="nil"/>
              <w:right w:val="nil"/>
            </w:tcBorders>
          </w:tcPr>
          <w:p w:rsidR="009F0A92" w:rsidRDefault="009F0A92" w:rsidP="009543DB">
            <w:pPr>
              <w:pStyle w:val="Tabletextright"/>
            </w:pPr>
            <w:r>
              <w:t>12.5</w:t>
            </w:r>
          </w:p>
        </w:tc>
        <w:tc>
          <w:tcPr>
            <w:tcW w:w="982" w:type="dxa"/>
            <w:tcBorders>
              <w:left w:val="nil"/>
              <w:right w:val="nil"/>
            </w:tcBorders>
          </w:tcPr>
          <w:p w:rsidR="009F0A92" w:rsidRDefault="009F0A92" w:rsidP="009543DB">
            <w:pPr>
              <w:pStyle w:val="Tabletextright"/>
            </w:pPr>
            <w:r>
              <w:t>13.6</w:t>
            </w:r>
          </w:p>
        </w:tc>
        <w:tc>
          <w:tcPr>
            <w:tcW w:w="982" w:type="dxa"/>
            <w:tcBorders>
              <w:left w:val="nil"/>
              <w:right w:val="nil"/>
            </w:tcBorders>
          </w:tcPr>
          <w:p w:rsidR="009F0A92" w:rsidRDefault="009F0A92" w:rsidP="009543DB">
            <w:pPr>
              <w:pStyle w:val="Tabletextright"/>
            </w:pPr>
            <w:r>
              <w:t>14.1</w:t>
            </w:r>
          </w:p>
        </w:tc>
        <w:tc>
          <w:tcPr>
            <w:tcW w:w="983" w:type="dxa"/>
            <w:tcBorders>
              <w:left w:val="nil"/>
              <w:right w:val="nil"/>
            </w:tcBorders>
          </w:tcPr>
          <w:p w:rsidR="009F0A92" w:rsidRDefault="009F0A92" w:rsidP="009543DB">
            <w:pPr>
              <w:pStyle w:val="Tabletextright"/>
            </w:pPr>
            <w:r>
              <w:t>13.8</w:t>
            </w:r>
          </w:p>
        </w:tc>
      </w:tr>
      <w:tr w:rsidR="009F0A92" w:rsidTr="009543DB">
        <w:tc>
          <w:tcPr>
            <w:tcW w:w="1243" w:type="dxa"/>
            <w:vMerge w:val="restart"/>
            <w:tcBorders>
              <w:left w:val="nil"/>
              <w:right w:val="nil"/>
            </w:tcBorders>
          </w:tcPr>
          <w:p w:rsidR="009F0A92" w:rsidRDefault="009F0A92" w:rsidP="009543DB">
            <w:pPr>
              <w:pStyle w:val="Tabletextheading"/>
            </w:pPr>
            <w:r>
              <w:t>Operating expenses ($million)</w:t>
            </w:r>
          </w:p>
        </w:tc>
        <w:tc>
          <w:tcPr>
            <w:tcW w:w="1984" w:type="dxa"/>
            <w:tcBorders>
              <w:left w:val="nil"/>
              <w:right w:val="nil"/>
            </w:tcBorders>
          </w:tcPr>
          <w:p w:rsidR="009F0A92" w:rsidRDefault="009F0A92" w:rsidP="009543DB">
            <w:pPr>
              <w:pStyle w:val="Tabletextleft"/>
            </w:pPr>
            <w:r>
              <w:t>Car parking</w:t>
            </w:r>
          </w:p>
        </w:tc>
        <w:tc>
          <w:tcPr>
            <w:tcW w:w="982" w:type="dxa"/>
            <w:tcBorders>
              <w:left w:val="nil"/>
              <w:right w:val="nil"/>
            </w:tcBorders>
          </w:tcPr>
          <w:p w:rsidR="009F0A92" w:rsidRDefault="009F0A92" w:rsidP="009543DB">
            <w:pPr>
              <w:pStyle w:val="Tabletextright"/>
            </w:pPr>
            <w:r>
              <w:t>9.4</w:t>
            </w:r>
          </w:p>
        </w:tc>
        <w:tc>
          <w:tcPr>
            <w:tcW w:w="982" w:type="dxa"/>
            <w:tcBorders>
              <w:left w:val="nil"/>
              <w:right w:val="nil"/>
            </w:tcBorders>
          </w:tcPr>
          <w:p w:rsidR="009F0A92" w:rsidRDefault="009F0A92" w:rsidP="009543DB">
            <w:pPr>
              <w:pStyle w:val="Tabletextright"/>
            </w:pPr>
            <w:r>
              <w:t>9.0</w:t>
            </w:r>
          </w:p>
        </w:tc>
        <w:tc>
          <w:tcPr>
            <w:tcW w:w="982" w:type="dxa"/>
            <w:tcBorders>
              <w:left w:val="nil"/>
              <w:right w:val="nil"/>
            </w:tcBorders>
          </w:tcPr>
          <w:p w:rsidR="009F0A92" w:rsidRDefault="009F0A92" w:rsidP="009543DB">
            <w:pPr>
              <w:pStyle w:val="Tabletextright"/>
            </w:pPr>
            <w:r>
              <w:t>11.0</w:t>
            </w:r>
          </w:p>
        </w:tc>
        <w:tc>
          <w:tcPr>
            <w:tcW w:w="983" w:type="dxa"/>
            <w:tcBorders>
              <w:left w:val="nil"/>
              <w:right w:val="nil"/>
            </w:tcBorders>
          </w:tcPr>
          <w:p w:rsidR="009F0A92" w:rsidRDefault="009F0A92" w:rsidP="009543DB">
            <w:pPr>
              <w:pStyle w:val="Tabletextright"/>
            </w:pPr>
            <w:r>
              <w:t>14.0</w:t>
            </w:r>
          </w:p>
        </w:tc>
        <w:tc>
          <w:tcPr>
            <w:tcW w:w="982" w:type="dxa"/>
            <w:tcBorders>
              <w:left w:val="nil"/>
              <w:right w:val="nil"/>
            </w:tcBorders>
          </w:tcPr>
          <w:p w:rsidR="009F0A92" w:rsidRDefault="009F0A92" w:rsidP="009543DB">
            <w:pPr>
              <w:pStyle w:val="Tabletextright"/>
            </w:pPr>
            <w:r>
              <w:t>14.5</w:t>
            </w:r>
          </w:p>
        </w:tc>
        <w:tc>
          <w:tcPr>
            <w:tcW w:w="982" w:type="dxa"/>
            <w:tcBorders>
              <w:left w:val="nil"/>
              <w:right w:val="nil"/>
            </w:tcBorders>
          </w:tcPr>
          <w:p w:rsidR="009F0A92" w:rsidRDefault="009F0A92" w:rsidP="009543DB">
            <w:pPr>
              <w:pStyle w:val="Tabletextright"/>
            </w:pPr>
            <w:r>
              <w:t>15.2</w:t>
            </w:r>
          </w:p>
        </w:tc>
        <w:tc>
          <w:tcPr>
            <w:tcW w:w="982" w:type="dxa"/>
            <w:tcBorders>
              <w:left w:val="nil"/>
              <w:right w:val="nil"/>
            </w:tcBorders>
          </w:tcPr>
          <w:p w:rsidR="009F0A92" w:rsidRDefault="009F0A92" w:rsidP="009543DB">
            <w:pPr>
              <w:pStyle w:val="Tabletextright"/>
            </w:pPr>
            <w:r>
              <w:t>18.7</w:t>
            </w:r>
          </w:p>
        </w:tc>
        <w:tc>
          <w:tcPr>
            <w:tcW w:w="983" w:type="dxa"/>
            <w:tcBorders>
              <w:left w:val="nil"/>
              <w:right w:val="nil"/>
            </w:tcBorders>
          </w:tcPr>
          <w:p w:rsidR="009F0A92" w:rsidRDefault="009F0A92" w:rsidP="009543DB">
            <w:pPr>
              <w:pStyle w:val="Tabletextright"/>
            </w:pPr>
            <w:r>
              <w:t>24.7</w:t>
            </w:r>
          </w:p>
        </w:tc>
        <w:tc>
          <w:tcPr>
            <w:tcW w:w="982" w:type="dxa"/>
            <w:tcBorders>
              <w:left w:val="nil"/>
              <w:right w:val="nil"/>
            </w:tcBorders>
          </w:tcPr>
          <w:p w:rsidR="009F0A92" w:rsidRDefault="009F0A92" w:rsidP="009543DB">
            <w:pPr>
              <w:pStyle w:val="Tabletextright"/>
            </w:pPr>
            <w:r>
              <w:t>26.0</w:t>
            </w:r>
          </w:p>
        </w:tc>
        <w:tc>
          <w:tcPr>
            <w:tcW w:w="982" w:type="dxa"/>
            <w:tcBorders>
              <w:left w:val="nil"/>
              <w:right w:val="nil"/>
            </w:tcBorders>
          </w:tcPr>
          <w:p w:rsidR="009F0A92" w:rsidRDefault="009F0A92" w:rsidP="009543DB">
            <w:pPr>
              <w:pStyle w:val="Tabletextright"/>
            </w:pPr>
            <w:r>
              <w:t>28.9</w:t>
            </w:r>
          </w:p>
        </w:tc>
        <w:tc>
          <w:tcPr>
            <w:tcW w:w="983" w:type="dxa"/>
            <w:tcBorders>
              <w:left w:val="nil"/>
              <w:right w:val="nil"/>
            </w:tcBorders>
          </w:tcPr>
          <w:p w:rsidR="009F0A92" w:rsidRDefault="009F0A92" w:rsidP="009543DB">
            <w:pPr>
              <w:pStyle w:val="Tabletextright"/>
            </w:pPr>
            <w:r>
              <w:t>27.7</w:t>
            </w:r>
          </w:p>
        </w:tc>
      </w:tr>
      <w:tr w:rsidR="009F0A92" w:rsidTr="009543DB">
        <w:tc>
          <w:tcPr>
            <w:tcW w:w="1243" w:type="dxa"/>
            <w:vMerge/>
            <w:tcBorders>
              <w:left w:val="nil"/>
              <w:right w:val="nil"/>
            </w:tcBorders>
          </w:tcPr>
          <w:p w:rsidR="009F0A92" w:rsidRDefault="009F0A92" w:rsidP="009543DB">
            <w:pPr>
              <w:pStyle w:val="Tabletextheading"/>
            </w:pPr>
          </w:p>
        </w:tc>
        <w:tc>
          <w:tcPr>
            <w:tcW w:w="1984" w:type="dxa"/>
            <w:tcBorders>
              <w:left w:val="nil"/>
              <w:right w:val="nil"/>
            </w:tcBorders>
            <w:vAlign w:val="center"/>
          </w:tcPr>
          <w:p w:rsidR="009F0A92" w:rsidRDefault="009F0A92" w:rsidP="009543DB">
            <w:pPr>
              <w:pStyle w:val="Tabletextleft-centred"/>
            </w:pPr>
            <w:r>
              <w:t>Total airport</w:t>
            </w:r>
          </w:p>
        </w:tc>
        <w:tc>
          <w:tcPr>
            <w:tcW w:w="982" w:type="dxa"/>
            <w:tcBorders>
              <w:left w:val="nil"/>
              <w:right w:val="nil"/>
            </w:tcBorders>
            <w:vAlign w:val="center"/>
          </w:tcPr>
          <w:p w:rsidR="009F0A92" w:rsidRDefault="009F0A92" w:rsidP="009543DB">
            <w:pPr>
              <w:pStyle w:val="Tabletextright-centred"/>
            </w:pPr>
            <w:r>
              <w:t>132.8</w:t>
            </w:r>
          </w:p>
        </w:tc>
        <w:tc>
          <w:tcPr>
            <w:tcW w:w="982" w:type="dxa"/>
            <w:tcBorders>
              <w:left w:val="nil"/>
              <w:right w:val="nil"/>
            </w:tcBorders>
            <w:vAlign w:val="center"/>
          </w:tcPr>
          <w:p w:rsidR="009F0A92" w:rsidRDefault="009F0A92" w:rsidP="009543DB">
            <w:pPr>
              <w:pStyle w:val="Tabletextright-centred"/>
            </w:pPr>
            <w:r>
              <w:t>139.4</w:t>
            </w:r>
          </w:p>
        </w:tc>
        <w:tc>
          <w:tcPr>
            <w:tcW w:w="982" w:type="dxa"/>
            <w:tcBorders>
              <w:left w:val="nil"/>
              <w:right w:val="nil"/>
            </w:tcBorders>
            <w:vAlign w:val="center"/>
          </w:tcPr>
          <w:p w:rsidR="009F0A92" w:rsidRDefault="009F0A92" w:rsidP="009543DB">
            <w:pPr>
              <w:pStyle w:val="Tabletextright-centred"/>
            </w:pPr>
            <w:r>
              <w:t>143.4</w:t>
            </w:r>
          </w:p>
        </w:tc>
        <w:tc>
          <w:tcPr>
            <w:tcW w:w="983" w:type="dxa"/>
            <w:tcBorders>
              <w:left w:val="nil"/>
              <w:right w:val="nil"/>
            </w:tcBorders>
            <w:vAlign w:val="center"/>
          </w:tcPr>
          <w:p w:rsidR="009F0A92" w:rsidRDefault="009F0A92" w:rsidP="009543DB">
            <w:pPr>
              <w:pStyle w:val="Tabletextright-centred"/>
            </w:pPr>
            <w:r>
              <w:t>164.6</w:t>
            </w:r>
          </w:p>
        </w:tc>
        <w:tc>
          <w:tcPr>
            <w:tcW w:w="982" w:type="dxa"/>
            <w:tcBorders>
              <w:left w:val="nil"/>
              <w:right w:val="nil"/>
            </w:tcBorders>
            <w:vAlign w:val="center"/>
          </w:tcPr>
          <w:p w:rsidR="009F0A92" w:rsidRDefault="009F0A92" w:rsidP="009543DB">
            <w:pPr>
              <w:pStyle w:val="Tabletextright-centred"/>
            </w:pPr>
            <w:r>
              <w:t>194.7</w:t>
            </w:r>
          </w:p>
        </w:tc>
        <w:tc>
          <w:tcPr>
            <w:tcW w:w="982" w:type="dxa"/>
            <w:tcBorders>
              <w:left w:val="nil"/>
              <w:right w:val="nil"/>
            </w:tcBorders>
            <w:vAlign w:val="center"/>
          </w:tcPr>
          <w:p w:rsidR="009F0A92" w:rsidRDefault="009F0A92" w:rsidP="009543DB">
            <w:pPr>
              <w:pStyle w:val="Tabletextright-centred"/>
            </w:pPr>
            <w:r>
              <w:t>198.1</w:t>
            </w:r>
          </w:p>
        </w:tc>
        <w:tc>
          <w:tcPr>
            <w:tcW w:w="982" w:type="dxa"/>
            <w:tcBorders>
              <w:left w:val="nil"/>
              <w:right w:val="nil"/>
            </w:tcBorders>
            <w:vAlign w:val="center"/>
          </w:tcPr>
          <w:p w:rsidR="009F0A92" w:rsidRDefault="009F0A92" w:rsidP="009543DB">
            <w:pPr>
              <w:pStyle w:val="Tabletextright-centred"/>
            </w:pPr>
            <w:r>
              <w:t>207.0</w:t>
            </w:r>
          </w:p>
        </w:tc>
        <w:tc>
          <w:tcPr>
            <w:tcW w:w="983" w:type="dxa"/>
            <w:tcBorders>
              <w:left w:val="nil"/>
              <w:right w:val="nil"/>
            </w:tcBorders>
            <w:vAlign w:val="center"/>
          </w:tcPr>
          <w:p w:rsidR="009F0A92" w:rsidRDefault="009F0A92" w:rsidP="009543DB">
            <w:pPr>
              <w:pStyle w:val="Tabletextright-centred"/>
            </w:pPr>
            <w:r>
              <w:t>211.6</w:t>
            </w:r>
          </w:p>
        </w:tc>
        <w:tc>
          <w:tcPr>
            <w:tcW w:w="982" w:type="dxa"/>
            <w:tcBorders>
              <w:left w:val="nil"/>
              <w:right w:val="nil"/>
            </w:tcBorders>
            <w:vAlign w:val="center"/>
          </w:tcPr>
          <w:p w:rsidR="009F0A92" w:rsidRDefault="009F0A92" w:rsidP="009543DB">
            <w:pPr>
              <w:pStyle w:val="Tabletextright-centred"/>
            </w:pPr>
            <w:r>
              <w:t>229.6</w:t>
            </w:r>
          </w:p>
        </w:tc>
        <w:tc>
          <w:tcPr>
            <w:tcW w:w="982" w:type="dxa"/>
            <w:tcBorders>
              <w:left w:val="nil"/>
              <w:right w:val="nil"/>
            </w:tcBorders>
            <w:vAlign w:val="center"/>
          </w:tcPr>
          <w:p w:rsidR="009F0A92" w:rsidRDefault="009F0A92" w:rsidP="009543DB">
            <w:pPr>
              <w:pStyle w:val="Tabletextright-centred"/>
            </w:pPr>
            <w:r>
              <w:t>240.9</w:t>
            </w:r>
          </w:p>
        </w:tc>
        <w:tc>
          <w:tcPr>
            <w:tcW w:w="983" w:type="dxa"/>
            <w:tcBorders>
              <w:left w:val="nil"/>
              <w:right w:val="nil"/>
            </w:tcBorders>
            <w:vAlign w:val="center"/>
          </w:tcPr>
          <w:p w:rsidR="009F0A92" w:rsidRDefault="009F0A92" w:rsidP="009543DB">
            <w:pPr>
              <w:pStyle w:val="Tabletextright-centred"/>
            </w:pPr>
            <w:r>
              <w:t>259.0</w:t>
            </w:r>
          </w:p>
        </w:tc>
      </w:tr>
      <w:tr w:rsidR="009F0A92" w:rsidTr="009543DB">
        <w:tc>
          <w:tcPr>
            <w:tcW w:w="1243" w:type="dxa"/>
            <w:vMerge w:val="restart"/>
            <w:tcBorders>
              <w:left w:val="nil"/>
              <w:right w:val="nil"/>
            </w:tcBorders>
          </w:tcPr>
          <w:p w:rsidR="009F0A92" w:rsidRDefault="009F0A92" w:rsidP="009543DB">
            <w:pPr>
              <w:pStyle w:val="Tabletextheading"/>
            </w:pPr>
            <w:r>
              <w:t>Aggregate</w:t>
            </w:r>
          </w:p>
          <w:p w:rsidR="009F0A92" w:rsidRDefault="009F0A92" w:rsidP="009543DB">
            <w:pPr>
              <w:pStyle w:val="Tabletextheading"/>
            </w:pPr>
            <w:r>
              <w:t>margin ($million)</w:t>
            </w:r>
          </w:p>
        </w:tc>
        <w:tc>
          <w:tcPr>
            <w:tcW w:w="1984" w:type="dxa"/>
            <w:tcBorders>
              <w:left w:val="nil"/>
              <w:right w:val="nil"/>
            </w:tcBorders>
          </w:tcPr>
          <w:p w:rsidR="009F0A92" w:rsidRDefault="009F0A92" w:rsidP="009543DB">
            <w:pPr>
              <w:pStyle w:val="Tabletextleft"/>
            </w:pPr>
            <w:r>
              <w:t>Car parking</w:t>
            </w:r>
          </w:p>
        </w:tc>
        <w:tc>
          <w:tcPr>
            <w:tcW w:w="982" w:type="dxa"/>
            <w:tcBorders>
              <w:left w:val="nil"/>
              <w:right w:val="nil"/>
            </w:tcBorders>
          </w:tcPr>
          <w:p w:rsidR="009F0A92" w:rsidRDefault="009F0A92" w:rsidP="009543DB">
            <w:pPr>
              <w:pStyle w:val="Tabletextright"/>
            </w:pPr>
            <w:r>
              <w:t>29.0</w:t>
            </w:r>
          </w:p>
        </w:tc>
        <w:tc>
          <w:tcPr>
            <w:tcW w:w="982" w:type="dxa"/>
            <w:tcBorders>
              <w:left w:val="nil"/>
              <w:right w:val="nil"/>
            </w:tcBorders>
          </w:tcPr>
          <w:p w:rsidR="009F0A92" w:rsidRDefault="009F0A92" w:rsidP="009543DB">
            <w:pPr>
              <w:pStyle w:val="Tabletextright"/>
            </w:pPr>
            <w:r>
              <w:t>34.2</w:t>
            </w:r>
          </w:p>
        </w:tc>
        <w:tc>
          <w:tcPr>
            <w:tcW w:w="982" w:type="dxa"/>
            <w:tcBorders>
              <w:left w:val="nil"/>
              <w:right w:val="nil"/>
            </w:tcBorders>
          </w:tcPr>
          <w:p w:rsidR="009F0A92" w:rsidRDefault="009F0A92" w:rsidP="009543DB">
            <w:pPr>
              <w:pStyle w:val="Tabletextright"/>
            </w:pPr>
            <w:r>
              <w:t>38.0</w:t>
            </w:r>
          </w:p>
        </w:tc>
        <w:tc>
          <w:tcPr>
            <w:tcW w:w="983" w:type="dxa"/>
            <w:tcBorders>
              <w:left w:val="nil"/>
              <w:right w:val="nil"/>
            </w:tcBorders>
          </w:tcPr>
          <w:p w:rsidR="009F0A92" w:rsidRDefault="009F0A92" w:rsidP="009543DB">
            <w:pPr>
              <w:pStyle w:val="Tabletextright"/>
            </w:pPr>
            <w:r>
              <w:t>38.2</w:t>
            </w:r>
          </w:p>
        </w:tc>
        <w:tc>
          <w:tcPr>
            <w:tcW w:w="982" w:type="dxa"/>
            <w:tcBorders>
              <w:left w:val="nil"/>
              <w:right w:val="nil"/>
            </w:tcBorders>
          </w:tcPr>
          <w:p w:rsidR="009F0A92" w:rsidRDefault="009F0A92" w:rsidP="009543DB">
            <w:pPr>
              <w:pStyle w:val="Tabletextright"/>
            </w:pPr>
            <w:r>
              <w:t>45.8</w:t>
            </w:r>
          </w:p>
        </w:tc>
        <w:tc>
          <w:tcPr>
            <w:tcW w:w="982" w:type="dxa"/>
            <w:tcBorders>
              <w:left w:val="nil"/>
              <w:right w:val="nil"/>
            </w:tcBorders>
          </w:tcPr>
          <w:p w:rsidR="009F0A92" w:rsidRDefault="009F0A92" w:rsidP="009543DB">
            <w:pPr>
              <w:pStyle w:val="Tabletextright"/>
            </w:pPr>
            <w:r>
              <w:t>50.3</w:t>
            </w:r>
          </w:p>
        </w:tc>
        <w:tc>
          <w:tcPr>
            <w:tcW w:w="982" w:type="dxa"/>
            <w:tcBorders>
              <w:left w:val="nil"/>
              <w:right w:val="nil"/>
            </w:tcBorders>
          </w:tcPr>
          <w:p w:rsidR="009F0A92" w:rsidRDefault="009F0A92" w:rsidP="009543DB">
            <w:pPr>
              <w:pStyle w:val="Tabletextright"/>
            </w:pPr>
            <w:r>
              <w:t>46.9</w:t>
            </w:r>
          </w:p>
        </w:tc>
        <w:tc>
          <w:tcPr>
            <w:tcW w:w="983" w:type="dxa"/>
            <w:tcBorders>
              <w:left w:val="nil"/>
              <w:right w:val="nil"/>
            </w:tcBorders>
          </w:tcPr>
          <w:p w:rsidR="009F0A92" w:rsidRDefault="009F0A92" w:rsidP="009543DB">
            <w:pPr>
              <w:pStyle w:val="Tabletextright"/>
            </w:pPr>
            <w:r>
              <w:t>40.5</w:t>
            </w:r>
          </w:p>
        </w:tc>
        <w:tc>
          <w:tcPr>
            <w:tcW w:w="982" w:type="dxa"/>
            <w:tcBorders>
              <w:left w:val="nil"/>
              <w:right w:val="nil"/>
            </w:tcBorders>
          </w:tcPr>
          <w:p w:rsidR="009F0A92" w:rsidRDefault="009F0A92" w:rsidP="009543DB">
            <w:pPr>
              <w:pStyle w:val="Tabletextright"/>
            </w:pPr>
            <w:r>
              <w:t>49.1</w:t>
            </w:r>
          </w:p>
        </w:tc>
        <w:tc>
          <w:tcPr>
            <w:tcW w:w="982" w:type="dxa"/>
            <w:tcBorders>
              <w:left w:val="nil"/>
              <w:right w:val="nil"/>
            </w:tcBorders>
          </w:tcPr>
          <w:p w:rsidR="009F0A92" w:rsidRDefault="009F0A92" w:rsidP="009543DB">
            <w:pPr>
              <w:pStyle w:val="Tabletextright"/>
            </w:pPr>
            <w:r>
              <w:t>51.9</w:t>
            </w:r>
          </w:p>
        </w:tc>
        <w:tc>
          <w:tcPr>
            <w:tcW w:w="983" w:type="dxa"/>
            <w:tcBorders>
              <w:left w:val="nil"/>
              <w:right w:val="nil"/>
            </w:tcBorders>
          </w:tcPr>
          <w:p w:rsidR="009F0A92" w:rsidRDefault="009F0A92" w:rsidP="009543DB">
            <w:pPr>
              <w:pStyle w:val="Tabletextright"/>
            </w:pPr>
            <w:r>
              <w:t>56.8</w:t>
            </w:r>
          </w:p>
        </w:tc>
      </w:tr>
      <w:tr w:rsidR="009F0A92" w:rsidTr="009543DB">
        <w:tc>
          <w:tcPr>
            <w:tcW w:w="1243" w:type="dxa"/>
            <w:vMerge/>
            <w:tcBorders>
              <w:left w:val="nil"/>
              <w:right w:val="nil"/>
            </w:tcBorders>
          </w:tcPr>
          <w:p w:rsidR="009F0A92" w:rsidRDefault="009F0A92" w:rsidP="009543DB">
            <w:pPr>
              <w:pStyle w:val="Tabletextheading"/>
            </w:pPr>
          </w:p>
        </w:tc>
        <w:tc>
          <w:tcPr>
            <w:tcW w:w="1984" w:type="dxa"/>
            <w:tcBorders>
              <w:left w:val="nil"/>
              <w:right w:val="nil"/>
            </w:tcBorders>
            <w:vAlign w:val="center"/>
          </w:tcPr>
          <w:p w:rsidR="009F0A92" w:rsidRDefault="009F0A92" w:rsidP="009543DB">
            <w:pPr>
              <w:pStyle w:val="Tabletextleft-centred"/>
            </w:pPr>
            <w:r>
              <w:t>Total airport</w:t>
            </w:r>
          </w:p>
        </w:tc>
        <w:tc>
          <w:tcPr>
            <w:tcW w:w="982" w:type="dxa"/>
            <w:tcBorders>
              <w:left w:val="nil"/>
              <w:right w:val="nil"/>
            </w:tcBorders>
            <w:vAlign w:val="center"/>
          </w:tcPr>
          <w:p w:rsidR="009F0A92" w:rsidRDefault="009F0A92" w:rsidP="009543DB">
            <w:pPr>
              <w:pStyle w:val="Tabletextright-centred"/>
            </w:pPr>
            <w:r>
              <w:t>187.4</w:t>
            </w:r>
          </w:p>
        </w:tc>
        <w:tc>
          <w:tcPr>
            <w:tcW w:w="982" w:type="dxa"/>
            <w:tcBorders>
              <w:left w:val="nil"/>
              <w:right w:val="nil"/>
            </w:tcBorders>
            <w:vAlign w:val="center"/>
          </w:tcPr>
          <w:p w:rsidR="009F0A92" w:rsidRDefault="009F0A92" w:rsidP="009543DB">
            <w:pPr>
              <w:pStyle w:val="Tabletextright-centred"/>
            </w:pPr>
            <w:r>
              <w:t>259.4</w:t>
            </w:r>
          </w:p>
        </w:tc>
        <w:tc>
          <w:tcPr>
            <w:tcW w:w="982" w:type="dxa"/>
            <w:tcBorders>
              <w:left w:val="nil"/>
              <w:right w:val="nil"/>
            </w:tcBorders>
            <w:vAlign w:val="center"/>
          </w:tcPr>
          <w:p w:rsidR="009F0A92" w:rsidRDefault="009F0A92" w:rsidP="009543DB">
            <w:pPr>
              <w:pStyle w:val="Tabletextright-centred"/>
            </w:pPr>
            <w:r>
              <w:t>265.4</w:t>
            </w:r>
          </w:p>
        </w:tc>
        <w:tc>
          <w:tcPr>
            <w:tcW w:w="983" w:type="dxa"/>
            <w:tcBorders>
              <w:left w:val="nil"/>
              <w:right w:val="nil"/>
            </w:tcBorders>
            <w:vAlign w:val="center"/>
          </w:tcPr>
          <w:p w:rsidR="009F0A92" w:rsidRDefault="009F0A92" w:rsidP="009543DB">
            <w:pPr>
              <w:pStyle w:val="Tabletextright-centred"/>
            </w:pPr>
            <w:r>
              <w:t>303.2</w:t>
            </w:r>
          </w:p>
        </w:tc>
        <w:tc>
          <w:tcPr>
            <w:tcW w:w="982" w:type="dxa"/>
            <w:tcBorders>
              <w:left w:val="nil"/>
              <w:right w:val="nil"/>
            </w:tcBorders>
            <w:vAlign w:val="center"/>
          </w:tcPr>
          <w:p w:rsidR="009F0A92" w:rsidRDefault="009F0A92" w:rsidP="009543DB">
            <w:pPr>
              <w:pStyle w:val="Tabletextright-centred"/>
            </w:pPr>
            <w:r>
              <w:t>245.7</w:t>
            </w:r>
          </w:p>
        </w:tc>
        <w:tc>
          <w:tcPr>
            <w:tcW w:w="982" w:type="dxa"/>
            <w:tcBorders>
              <w:left w:val="nil"/>
              <w:right w:val="nil"/>
            </w:tcBorders>
            <w:vAlign w:val="center"/>
          </w:tcPr>
          <w:p w:rsidR="009F0A92" w:rsidRDefault="009F0A92" w:rsidP="009543DB">
            <w:pPr>
              <w:pStyle w:val="Tabletextright-centred"/>
            </w:pPr>
            <w:r>
              <w:t>279.4</w:t>
            </w:r>
          </w:p>
        </w:tc>
        <w:tc>
          <w:tcPr>
            <w:tcW w:w="982" w:type="dxa"/>
            <w:tcBorders>
              <w:left w:val="nil"/>
              <w:right w:val="nil"/>
            </w:tcBorders>
            <w:vAlign w:val="center"/>
          </w:tcPr>
          <w:p w:rsidR="009F0A92" w:rsidRDefault="009F0A92" w:rsidP="009543DB">
            <w:pPr>
              <w:pStyle w:val="Tabletextright-centred"/>
            </w:pPr>
            <w:r>
              <w:t>292.1</w:t>
            </w:r>
          </w:p>
        </w:tc>
        <w:tc>
          <w:tcPr>
            <w:tcW w:w="983" w:type="dxa"/>
            <w:tcBorders>
              <w:left w:val="nil"/>
              <w:right w:val="nil"/>
            </w:tcBorders>
            <w:vAlign w:val="center"/>
          </w:tcPr>
          <w:p w:rsidR="009F0A92" w:rsidRDefault="009F0A92" w:rsidP="009543DB">
            <w:pPr>
              <w:pStyle w:val="Tabletextright-centred"/>
            </w:pPr>
            <w:r>
              <w:t>307.7</w:t>
            </w:r>
          </w:p>
        </w:tc>
        <w:tc>
          <w:tcPr>
            <w:tcW w:w="982" w:type="dxa"/>
            <w:tcBorders>
              <w:left w:val="nil"/>
              <w:right w:val="nil"/>
            </w:tcBorders>
            <w:vAlign w:val="center"/>
          </w:tcPr>
          <w:p w:rsidR="009F0A92" w:rsidRDefault="009F0A92" w:rsidP="009543DB">
            <w:pPr>
              <w:pStyle w:val="Tabletextright-centred"/>
            </w:pPr>
            <w:r>
              <w:t>320.9</w:t>
            </w:r>
          </w:p>
        </w:tc>
        <w:tc>
          <w:tcPr>
            <w:tcW w:w="982" w:type="dxa"/>
            <w:tcBorders>
              <w:left w:val="nil"/>
              <w:right w:val="nil"/>
            </w:tcBorders>
            <w:vAlign w:val="center"/>
          </w:tcPr>
          <w:p w:rsidR="009F0A92" w:rsidRDefault="009F0A92" w:rsidP="009543DB">
            <w:pPr>
              <w:pStyle w:val="Tabletextright-centred"/>
            </w:pPr>
            <w:r>
              <w:t>332.9</w:t>
            </w:r>
          </w:p>
        </w:tc>
        <w:tc>
          <w:tcPr>
            <w:tcW w:w="983" w:type="dxa"/>
            <w:tcBorders>
              <w:left w:val="nil"/>
              <w:right w:val="nil"/>
            </w:tcBorders>
            <w:vAlign w:val="center"/>
          </w:tcPr>
          <w:p w:rsidR="009F0A92" w:rsidRDefault="009F0A92" w:rsidP="009543DB">
            <w:pPr>
              <w:pStyle w:val="Tabletextright-centred"/>
            </w:pPr>
            <w:r>
              <w:t>351.7</w:t>
            </w:r>
          </w:p>
        </w:tc>
      </w:tr>
      <w:tr w:rsidR="009F0A92" w:rsidTr="009543DB">
        <w:tc>
          <w:tcPr>
            <w:tcW w:w="1243" w:type="dxa"/>
            <w:vMerge w:val="restart"/>
            <w:tcBorders>
              <w:left w:val="nil"/>
              <w:right w:val="nil"/>
            </w:tcBorders>
          </w:tcPr>
          <w:p w:rsidR="009F0A92" w:rsidRDefault="009F0A92" w:rsidP="009543DB">
            <w:pPr>
              <w:pStyle w:val="Tabletextheading"/>
            </w:pPr>
            <w:r>
              <w:t>Aggregate margin % of revenue</w:t>
            </w:r>
          </w:p>
        </w:tc>
        <w:tc>
          <w:tcPr>
            <w:tcW w:w="1984" w:type="dxa"/>
            <w:tcBorders>
              <w:left w:val="nil"/>
              <w:right w:val="nil"/>
            </w:tcBorders>
          </w:tcPr>
          <w:p w:rsidR="009F0A92" w:rsidRDefault="009F0A92" w:rsidP="009543DB">
            <w:pPr>
              <w:pStyle w:val="Tabletextleft"/>
            </w:pPr>
            <w:r>
              <w:t>Car parking</w:t>
            </w:r>
          </w:p>
        </w:tc>
        <w:tc>
          <w:tcPr>
            <w:tcW w:w="982" w:type="dxa"/>
            <w:tcBorders>
              <w:left w:val="nil"/>
              <w:right w:val="nil"/>
            </w:tcBorders>
          </w:tcPr>
          <w:p w:rsidR="009F0A92" w:rsidRDefault="009F0A92" w:rsidP="009543DB">
            <w:pPr>
              <w:pStyle w:val="Tabletextright"/>
            </w:pPr>
            <w:r>
              <w:t>75.4</w:t>
            </w:r>
          </w:p>
        </w:tc>
        <w:tc>
          <w:tcPr>
            <w:tcW w:w="982" w:type="dxa"/>
            <w:tcBorders>
              <w:left w:val="nil"/>
              <w:right w:val="nil"/>
            </w:tcBorders>
          </w:tcPr>
          <w:p w:rsidR="009F0A92" w:rsidRDefault="009F0A92" w:rsidP="009543DB">
            <w:pPr>
              <w:pStyle w:val="Tabletextright"/>
            </w:pPr>
            <w:r>
              <w:t>79.2</w:t>
            </w:r>
          </w:p>
        </w:tc>
        <w:tc>
          <w:tcPr>
            <w:tcW w:w="982" w:type="dxa"/>
            <w:tcBorders>
              <w:left w:val="nil"/>
              <w:right w:val="nil"/>
            </w:tcBorders>
          </w:tcPr>
          <w:p w:rsidR="009F0A92" w:rsidRDefault="009F0A92" w:rsidP="009543DB">
            <w:pPr>
              <w:pStyle w:val="Tabletextright"/>
            </w:pPr>
            <w:r>
              <w:t>77.6</w:t>
            </w:r>
          </w:p>
        </w:tc>
        <w:tc>
          <w:tcPr>
            <w:tcW w:w="983" w:type="dxa"/>
            <w:tcBorders>
              <w:left w:val="nil"/>
              <w:right w:val="nil"/>
            </w:tcBorders>
          </w:tcPr>
          <w:p w:rsidR="009F0A92" w:rsidRDefault="009F0A92" w:rsidP="009543DB">
            <w:pPr>
              <w:pStyle w:val="Tabletextright"/>
            </w:pPr>
            <w:r>
              <w:t>73.1</w:t>
            </w:r>
          </w:p>
        </w:tc>
        <w:tc>
          <w:tcPr>
            <w:tcW w:w="982" w:type="dxa"/>
            <w:tcBorders>
              <w:left w:val="nil"/>
              <w:right w:val="nil"/>
            </w:tcBorders>
          </w:tcPr>
          <w:p w:rsidR="009F0A92" w:rsidRDefault="009F0A92" w:rsidP="009543DB">
            <w:pPr>
              <w:pStyle w:val="Tabletextright"/>
            </w:pPr>
            <w:r>
              <w:t>76.0</w:t>
            </w:r>
          </w:p>
        </w:tc>
        <w:tc>
          <w:tcPr>
            <w:tcW w:w="982" w:type="dxa"/>
            <w:tcBorders>
              <w:left w:val="nil"/>
              <w:right w:val="nil"/>
            </w:tcBorders>
          </w:tcPr>
          <w:p w:rsidR="009F0A92" w:rsidRDefault="009F0A92" w:rsidP="009543DB">
            <w:pPr>
              <w:pStyle w:val="Tabletextright"/>
            </w:pPr>
            <w:r>
              <w:t>76.8</w:t>
            </w:r>
          </w:p>
        </w:tc>
        <w:tc>
          <w:tcPr>
            <w:tcW w:w="982" w:type="dxa"/>
            <w:tcBorders>
              <w:left w:val="nil"/>
              <w:right w:val="nil"/>
            </w:tcBorders>
          </w:tcPr>
          <w:p w:rsidR="009F0A92" w:rsidRDefault="009F0A92" w:rsidP="009543DB">
            <w:pPr>
              <w:pStyle w:val="Tabletextright"/>
            </w:pPr>
            <w:r>
              <w:t>71.5</w:t>
            </w:r>
          </w:p>
        </w:tc>
        <w:tc>
          <w:tcPr>
            <w:tcW w:w="983" w:type="dxa"/>
            <w:tcBorders>
              <w:left w:val="nil"/>
              <w:right w:val="nil"/>
            </w:tcBorders>
          </w:tcPr>
          <w:p w:rsidR="009F0A92" w:rsidRDefault="009F0A92" w:rsidP="009543DB">
            <w:pPr>
              <w:pStyle w:val="Tabletextright"/>
            </w:pPr>
            <w:r>
              <w:t>62.1</w:t>
            </w:r>
          </w:p>
        </w:tc>
        <w:tc>
          <w:tcPr>
            <w:tcW w:w="982" w:type="dxa"/>
            <w:tcBorders>
              <w:left w:val="nil"/>
              <w:right w:val="nil"/>
            </w:tcBorders>
          </w:tcPr>
          <w:p w:rsidR="009F0A92" w:rsidRDefault="009F0A92" w:rsidP="009543DB">
            <w:pPr>
              <w:pStyle w:val="Tabletextright"/>
            </w:pPr>
            <w:r>
              <w:t>65.4</w:t>
            </w:r>
          </w:p>
        </w:tc>
        <w:tc>
          <w:tcPr>
            <w:tcW w:w="982" w:type="dxa"/>
            <w:tcBorders>
              <w:left w:val="nil"/>
              <w:right w:val="nil"/>
            </w:tcBorders>
          </w:tcPr>
          <w:p w:rsidR="009F0A92" w:rsidRDefault="009F0A92" w:rsidP="009543DB">
            <w:pPr>
              <w:pStyle w:val="Tabletextright"/>
            </w:pPr>
            <w:r>
              <w:t>64.3</w:t>
            </w:r>
          </w:p>
        </w:tc>
        <w:tc>
          <w:tcPr>
            <w:tcW w:w="983" w:type="dxa"/>
            <w:tcBorders>
              <w:left w:val="nil"/>
              <w:right w:val="nil"/>
            </w:tcBorders>
          </w:tcPr>
          <w:p w:rsidR="009F0A92" w:rsidRDefault="009F0A92" w:rsidP="009543DB">
            <w:pPr>
              <w:pStyle w:val="Tabletextright"/>
            </w:pPr>
            <w:r>
              <w:t>67.2</w:t>
            </w:r>
          </w:p>
        </w:tc>
      </w:tr>
      <w:tr w:rsidR="009F0A92" w:rsidTr="009543DB">
        <w:tc>
          <w:tcPr>
            <w:tcW w:w="1243" w:type="dxa"/>
            <w:vMerge/>
            <w:tcBorders>
              <w:left w:val="nil"/>
              <w:bottom w:val="double" w:sz="4" w:space="0" w:color="auto"/>
              <w:right w:val="nil"/>
            </w:tcBorders>
          </w:tcPr>
          <w:p w:rsidR="009F0A92" w:rsidRDefault="009F0A92" w:rsidP="009543DB">
            <w:pPr>
              <w:pStyle w:val="Tabletextheading"/>
            </w:pPr>
          </w:p>
        </w:tc>
        <w:tc>
          <w:tcPr>
            <w:tcW w:w="1984" w:type="dxa"/>
            <w:tcBorders>
              <w:left w:val="nil"/>
              <w:bottom w:val="double" w:sz="4" w:space="0" w:color="auto"/>
              <w:right w:val="nil"/>
            </w:tcBorders>
            <w:vAlign w:val="center"/>
          </w:tcPr>
          <w:p w:rsidR="009F0A92" w:rsidRDefault="009F0A92" w:rsidP="009543DB">
            <w:pPr>
              <w:pStyle w:val="Tabletextleft-centred"/>
            </w:pPr>
            <w:r>
              <w:t>Total airport</w:t>
            </w:r>
          </w:p>
        </w:tc>
        <w:tc>
          <w:tcPr>
            <w:tcW w:w="982" w:type="dxa"/>
            <w:tcBorders>
              <w:left w:val="nil"/>
              <w:bottom w:val="double" w:sz="4" w:space="0" w:color="auto"/>
              <w:right w:val="nil"/>
            </w:tcBorders>
            <w:vAlign w:val="center"/>
          </w:tcPr>
          <w:p w:rsidR="009F0A92" w:rsidRDefault="009F0A92" w:rsidP="009543DB">
            <w:pPr>
              <w:pStyle w:val="Tabletextright-centred"/>
            </w:pPr>
            <w:r>
              <w:t>58.5</w:t>
            </w:r>
          </w:p>
        </w:tc>
        <w:tc>
          <w:tcPr>
            <w:tcW w:w="982" w:type="dxa"/>
            <w:tcBorders>
              <w:left w:val="nil"/>
              <w:bottom w:val="double" w:sz="4" w:space="0" w:color="auto"/>
              <w:right w:val="nil"/>
            </w:tcBorders>
            <w:vAlign w:val="center"/>
          </w:tcPr>
          <w:p w:rsidR="009F0A92" w:rsidRDefault="009F0A92" w:rsidP="009543DB">
            <w:pPr>
              <w:pStyle w:val="Tabletextright-centred"/>
            </w:pPr>
            <w:r>
              <w:t>65.1</w:t>
            </w:r>
          </w:p>
        </w:tc>
        <w:tc>
          <w:tcPr>
            <w:tcW w:w="982" w:type="dxa"/>
            <w:tcBorders>
              <w:left w:val="nil"/>
              <w:bottom w:val="double" w:sz="4" w:space="0" w:color="auto"/>
              <w:right w:val="nil"/>
            </w:tcBorders>
            <w:vAlign w:val="center"/>
          </w:tcPr>
          <w:p w:rsidR="009F0A92" w:rsidRDefault="009F0A92" w:rsidP="009543DB">
            <w:pPr>
              <w:pStyle w:val="Tabletextright-centred"/>
            </w:pPr>
            <w:r>
              <w:t>64.9</w:t>
            </w:r>
          </w:p>
        </w:tc>
        <w:tc>
          <w:tcPr>
            <w:tcW w:w="983" w:type="dxa"/>
            <w:tcBorders>
              <w:left w:val="nil"/>
              <w:bottom w:val="double" w:sz="4" w:space="0" w:color="auto"/>
              <w:right w:val="nil"/>
            </w:tcBorders>
            <w:vAlign w:val="center"/>
          </w:tcPr>
          <w:p w:rsidR="009F0A92" w:rsidRDefault="009F0A92" w:rsidP="009543DB">
            <w:pPr>
              <w:pStyle w:val="Tabletextright-centred"/>
            </w:pPr>
            <w:r>
              <w:t>64.8</w:t>
            </w:r>
          </w:p>
        </w:tc>
        <w:tc>
          <w:tcPr>
            <w:tcW w:w="982" w:type="dxa"/>
            <w:tcBorders>
              <w:left w:val="nil"/>
              <w:bottom w:val="double" w:sz="4" w:space="0" w:color="auto"/>
              <w:right w:val="nil"/>
            </w:tcBorders>
            <w:vAlign w:val="center"/>
          </w:tcPr>
          <w:p w:rsidR="009F0A92" w:rsidRDefault="009F0A92" w:rsidP="009543DB">
            <w:pPr>
              <w:pStyle w:val="Tabletextright-centred"/>
            </w:pPr>
            <w:r>
              <w:t>55.8</w:t>
            </w:r>
          </w:p>
        </w:tc>
        <w:tc>
          <w:tcPr>
            <w:tcW w:w="982" w:type="dxa"/>
            <w:tcBorders>
              <w:left w:val="nil"/>
              <w:bottom w:val="double" w:sz="4" w:space="0" w:color="auto"/>
              <w:right w:val="nil"/>
            </w:tcBorders>
            <w:vAlign w:val="center"/>
          </w:tcPr>
          <w:p w:rsidR="009F0A92" w:rsidRDefault="009F0A92" w:rsidP="009543DB">
            <w:pPr>
              <w:pStyle w:val="Tabletextright-centred"/>
            </w:pPr>
            <w:r>
              <w:t>58.5</w:t>
            </w:r>
          </w:p>
        </w:tc>
        <w:tc>
          <w:tcPr>
            <w:tcW w:w="982" w:type="dxa"/>
            <w:tcBorders>
              <w:left w:val="nil"/>
              <w:bottom w:val="double" w:sz="4" w:space="0" w:color="auto"/>
              <w:right w:val="nil"/>
            </w:tcBorders>
            <w:vAlign w:val="center"/>
          </w:tcPr>
          <w:p w:rsidR="009F0A92" w:rsidRDefault="009F0A92" w:rsidP="009543DB">
            <w:pPr>
              <w:pStyle w:val="Tabletextright-centred"/>
            </w:pPr>
            <w:r>
              <w:t>58.5</w:t>
            </w:r>
          </w:p>
        </w:tc>
        <w:tc>
          <w:tcPr>
            <w:tcW w:w="983" w:type="dxa"/>
            <w:tcBorders>
              <w:left w:val="nil"/>
              <w:bottom w:val="double" w:sz="4" w:space="0" w:color="auto"/>
              <w:right w:val="nil"/>
            </w:tcBorders>
            <w:vAlign w:val="center"/>
          </w:tcPr>
          <w:p w:rsidR="009F0A92" w:rsidRDefault="009F0A92" w:rsidP="009543DB">
            <w:pPr>
              <w:pStyle w:val="Tabletextright-centred"/>
            </w:pPr>
            <w:r>
              <w:t>59.3</w:t>
            </w:r>
          </w:p>
        </w:tc>
        <w:tc>
          <w:tcPr>
            <w:tcW w:w="982" w:type="dxa"/>
            <w:tcBorders>
              <w:left w:val="nil"/>
              <w:bottom w:val="double" w:sz="4" w:space="0" w:color="auto"/>
              <w:right w:val="nil"/>
            </w:tcBorders>
            <w:vAlign w:val="center"/>
          </w:tcPr>
          <w:p w:rsidR="009F0A92" w:rsidRDefault="009F0A92" w:rsidP="009543DB">
            <w:pPr>
              <w:pStyle w:val="Tabletextright-centred"/>
            </w:pPr>
            <w:r>
              <w:t>58.3</w:t>
            </w:r>
          </w:p>
        </w:tc>
        <w:tc>
          <w:tcPr>
            <w:tcW w:w="982" w:type="dxa"/>
            <w:tcBorders>
              <w:left w:val="nil"/>
              <w:bottom w:val="double" w:sz="4" w:space="0" w:color="auto"/>
              <w:right w:val="nil"/>
            </w:tcBorders>
            <w:vAlign w:val="center"/>
          </w:tcPr>
          <w:p w:rsidR="009F0A92" w:rsidRDefault="009F0A92" w:rsidP="009543DB">
            <w:pPr>
              <w:pStyle w:val="Tabletextright-centred"/>
            </w:pPr>
            <w:r>
              <w:t>58.0</w:t>
            </w:r>
          </w:p>
        </w:tc>
        <w:tc>
          <w:tcPr>
            <w:tcW w:w="983" w:type="dxa"/>
            <w:tcBorders>
              <w:left w:val="nil"/>
              <w:bottom w:val="double" w:sz="4" w:space="0" w:color="auto"/>
              <w:right w:val="nil"/>
            </w:tcBorders>
            <w:vAlign w:val="center"/>
          </w:tcPr>
          <w:p w:rsidR="009F0A92" w:rsidRDefault="009F0A92" w:rsidP="009543DB">
            <w:pPr>
              <w:pStyle w:val="Tabletextright-centred"/>
            </w:pPr>
            <w:r>
              <w:t>57.6</w:t>
            </w:r>
          </w:p>
        </w:tc>
      </w:tr>
      <w:tr w:rsidR="009F0A92" w:rsidTr="009543DB">
        <w:tc>
          <w:tcPr>
            <w:tcW w:w="3227" w:type="dxa"/>
            <w:gridSpan w:val="2"/>
            <w:tcBorders>
              <w:top w:val="double" w:sz="4" w:space="0" w:color="auto"/>
              <w:left w:val="nil"/>
              <w:bottom w:val="double" w:sz="4" w:space="0" w:color="auto"/>
              <w:right w:val="nil"/>
            </w:tcBorders>
          </w:tcPr>
          <w:p w:rsidR="009F0A92" w:rsidRDefault="009F0A92" w:rsidP="009543DB">
            <w:pPr>
              <w:pStyle w:val="Tabletextheading"/>
            </w:pPr>
            <w:r>
              <w:t>Revenue per space ($)</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4 899</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4 959</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5 682</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5 063</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6 082</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6 820</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6 724</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5 063</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5 370</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5 780</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6 181</w:t>
            </w:r>
          </w:p>
        </w:tc>
      </w:tr>
      <w:tr w:rsidR="009F0A92" w:rsidTr="009543DB">
        <w:tc>
          <w:tcPr>
            <w:tcW w:w="3227" w:type="dxa"/>
            <w:gridSpan w:val="2"/>
            <w:tcBorders>
              <w:top w:val="double" w:sz="4" w:space="0" w:color="auto"/>
              <w:left w:val="nil"/>
              <w:bottom w:val="double" w:sz="4" w:space="0" w:color="auto"/>
              <w:right w:val="nil"/>
            </w:tcBorders>
          </w:tcPr>
          <w:p w:rsidR="009F0A92" w:rsidRDefault="009F0A92" w:rsidP="009543DB">
            <w:pPr>
              <w:pStyle w:val="Tabletextheading"/>
            </w:pPr>
            <w:r>
              <w:t>Operating expenses per space ($)</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1 204</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1 033</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1 272</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1 360</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1 458</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1 581</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1 917</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1 917</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1 858</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2 065</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2 028</w:t>
            </w:r>
          </w:p>
        </w:tc>
      </w:tr>
      <w:tr w:rsidR="009F0A92" w:rsidTr="009543DB">
        <w:tc>
          <w:tcPr>
            <w:tcW w:w="3227" w:type="dxa"/>
            <w:gridSpan w:val="2"/>
            <w:tcBorders>
              <w:top w:val="double" w:sz="4" w:space="0" w:color="auto"/>
              <w:left w:val="nil"/>
              <w:bottom w:val="double" w:sz="4" w:space="0" w:color="auto"/>
              <w:right w:val="nil"/>
            </w:tcBorders>
          </w:tcPr>
          <w:p w:rsidR="009F0A92" w:rsidRDefault="009F0A92" w:rsidP="009543DB">
            <w:pPr>
              <w:pStyle w:val="Tabletextheading"/>
            </w:pPr>
            <w:r>
              <w:t>Aggregate margin per space ($)</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3 695</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3 927</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4 410</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3 703</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4 624</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5 238</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4 806</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3 146</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3 512</w:t>
            </w:r>
          </w:p>
        </w:tc>
        <w:tc>
          <w:tcPr>
            <w:tcW w:w="982" w:type="dxa"/>
            <w:tcBorders>
              <w:top w:val="double" w:sz="4" w:space="0" w:color="auto"/>
              <w:left w:val="nil"/>
              <w:bottom w:val="double" w:sz="4" w:space="0" w:color="auto"/>
              <w:right w:val="nil"/>
            </w:tcBorders>
          </w:tcPr>
          <w:p w:rsidR="009F0A92" w:rsidRDefault="009F0A92" w:rsidP="009543DB">
            <w:pPr>
              <w:pStyle w:val="Tabletextright"/>
            </w:pPr>
            <w:r>
              <w:t>3 716</w:t>
            </w:r>
          </w:p>
        </w:tc>
        <w:tc>
          <w:tcPr>
            <w:tcW w:w="983" w:type="dxa"/>
            <w:tcBorders>
              <w:top w:val="double" w:sz="4" w:space="0" w:color="auto"/>
              <w:left w:val="nil"/>
              <w:bottom w:val="double" w:sz="4" w:space="0" w:color="auto"/>
              <w:right w:val="nil"/>
            </w:tcBorders>
          </w:tcPr>
          <w:p w:rsidR="009F0A92" w:rsidRDefault="009F0A92" w:rsidP="009543DB">
            <w:pPr>
              <w:pStyle w:val="Tabletextright"/>
            </w:pPr>
            <w:r>
              <w:t>4 153</w:t>
            </w:r>
          </w:p>
        </w:tc>
      </w:tr>
    </w:tbl>
    <w:p w:rsidR="009F0A92" w:rsidRDefault="009F0A92" w:rsidP="009F0A92">
      <w:pPr>
        <w:pStyle w:val="Sourceandnotes"/>
      </w:pPr>
      <w:r>
        <w:t>Note:</w:t>
      </w:r>
      <w:r>
        <w:tab/>
        <w:t>Real values in 2014-15 dollars</w:t>
      </w:r>
    </w:p>
    <w:p w:rsidR="009F0A92" w:rsidRDefault="009F0A92" w:rsidP="009F0A92">
      <w:pPr>
        <w:sectPr w:rsidR="009F0A92" w:rsidSect="009543DB">
          <w:headerReference w:type="even" r:id="rId80"/>
          <w:headerReference w:type="default" r:id="rId81"/>
          <w:footnotePr>
            <w:numStart w:val="93"/>
          </w:footnotePr>
          <w:pgSz w:w="16838" w:h="11906" w:orient="landscape"/>
          <w:pgMar w:top="1729" w:right="1440" w:bottom="1729" w:left="1582" w:header="709" w:footer="709" w:gutter="0"/>
          <w:cols w:space="708"/>
          <w:docGrid w:linePitch="360"/>
        </w:sectPr>
      </w:pPr>
    </w:p>
    <w:p w:rsidR="009F0A92" w:rsidRDefault="009F0A92" w:rsidP="009F0A92">
      <w:pPr>
        <w:pStyle w:val="Numberedheading3"/>
      </w:pPr>
      <w:r>
        <w:lastRenderedPageBreak/>
        <w:t>Quality of car parking facilities</w:t>
      </w:r>
    </w:p>
    <w:p w:rsidR="009F0A92" w:rsidRDefault="009F0A92" w:rsidP="009543DB">
      <w:pPr>
        <w:keepNext/>
      </w:pPr>
      <w:r>
        <w:t>Chart 2.4.5 shows that international passengers’ ratings of the time taken to enter, availability and standard of Brisbane Airport’s car parking facilities all remained as ‘good’ during 2014</w:t>
      </w:r>
      <w:r>
        <w:noBreakHyphen/>
        <w:t>15.</w:t>
      </w:r>
    </w:p>
    <w:p w:rsidR="009F0A92" w:rsidRDefault="009F0A92" w:rsidP="009543DB">
      <w:pPr>
        <w:pStyle w:val="Numberedcharttitle"/>
      </w:pPr>
      <w:r>
        <w:t>Chart 2.4.5:</w:t>
      </w:r>
      <w:r>
        <w:tab/>
        <w:t>Brisbane Airport—international passenger survey ratings of the quality of car parking facilities: 2004</w:t>
      </w:r>
      <w:r>
        <w:noBreakHyphen/>
        <w:t>05 to 2014</w:t>
      </w:r>
      <w:r>
        <w:noBreakHyphen/>
        <w:t>15</w:t>
      </w:r>
    </w:p>
    <w:p w:rsidR="009F0A92" w:rsidRDefault="009F0A92" w:rsidP="009543DB">
      <w:pPr>
        <w:keepNext/>
      </w:pPr>
      <w:r w:rsidRPr="00B2098E">
        <w:t xml:space="preserve"> </w:t>
      </w:r>
      <w:r w:rsidRPr="00B2098E">
        <w:rPr>
          <w:noProof/>
          <w:lang w:eastAsia="en-AU"/>
        </w:rPr>
        <w:drawing>
          <wp:inline distT="0" distB="0" distL="0" distR="0" wp14:anchorId="24F71D28" wp14:editId="37263B28">
            <wp:extent cx="5364480" cy="2932477"/>
            <wp:effectExtent l="0" t="0" r="7620"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64480" cy="2932477"/>
                    </a:xfrm>
                    <a:prstGeom prst="rect">
                      <a:avLst/>
                    </a:prstGeom>
                    <a:noFill/>
                    <a:ln>
                      <a:noFill/>
                    </a:ln>
                  </pic:spPr>
                </pic:pic>
              </a:graphicData>
            </a:graphic>
          </wp:inline>
        </w:drawing>
      </w:r>
    </w:p>
    <w:p w:rsidR="009F0A92" w:rsidRPr="003C60BA" w:rsidRDefault="009F0A92" w:rsidP="009543DB">
      <w:pPr>
        <w:pStyle w:val="Sourceandnotes"/>
      </w:pPr>
      <w:r w:rsidRPr="003C60BA">
        <w:t>Source:</w:t>
      </w:r>
      <w:r w:rsidRPr="003C60BA">
        <w:tab/>
        <w:t>Passenger surveys</w:t>
      </w:r>
    </w:p>
    <w:p w:rsidR="009F0A92" w:rsidRDefault="009F0A92" w:rsidP="009543DB">
      <w:pPr>
        <w:keepNext/>
      </w:pPr>
      <w:r>
        <w:t>Chart 2.4.6 shows domestic passengers’ rating of the standard of Brisbane Airport’s car parking facilities improved within the ‘excellent’ range in 2014</w:t>
      </w:r>
      <w:r>
        <w:noBreakHyphen/>
        <w:t xml:space="preserve">15. </w:t>
      </w:r>
    </w:p>
    <w:p w:rsidR="009F0A92" w:rsidRDefault="009F0A92" w:rsidP="009543DB">
      <w:pPr>
        <w:pStyle w:val="Numberedcharttitle"/>
      </w:pPr>
      <w:r>
        <w:t>Chart 2.4.6:</w:t>
      </w:r>
      <w:r>
        <w:tab/>
        <w:t>Brisbane Airport—domestic passenger survey ratings of the quality of car parking facilities: 2004</w:t>
      </w:r>
      <w:r>
        <w:noBreakHyphen/>
        <w:t>05 to 2014</w:t>
      </w:r>
      <w:r>
        <w:noBreakHyphen/>
        <w:t>15</w:t>
      </w:r>
    </w:p>
    <w:p w:rsidR="009F0A92" w:rsidRDefault="009F0A92" w:rsidP="009543DB">
      <w:pPr>
        <w:keepNext/>
      </w:pPr>
      <w:r w:rsidRPr="00B2098E">
        <w:rPr>
          <w:noProof/>
          <w:lang w:eastAsia="en-AU"/>
        </w:rPr>
        <w:drawing>
          <wp:inline distT="0" distB="0" distL="0" distR="0" wp14:anchorId="50B84D24" wp14:editId="49742F3A">
            <wp:extent cx="5365404" cy="2760453"/>
            <wp:effectExtent l="0" t="0" r="6985"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64480" cy="2759978"/>
                    </a:xfrm>
                    <a:prstGeom prst="rect">
                      <a:avLst/>
                    </a:prstGeom>
                    <a:noFill/>
                    <a:ln>
                      <a:noFill/>
                    </a:ln>
                  </pic:spPr>
                </pic:pic>
              </a:graphicData>
            </a:graphic>
          </wp:inline>
        </w:drawing>
      </w:r>
    </w:p>
    <w:p w:rsidR="009F0A92" w:rsidRPr="003C60BA" w:rsidRDefault="009F0A92" w:rsidP="009543DB">
      <w:pPr>
        <w:pStyle w:val="Sourceandnotes"/>
      </w:pPr>
      <w:r w:rsidRPr="003C60BA">
        <w:t>Source:</w:t>
      </w:r>
      <w:r w:rsidRPr="003C60BA">
        <w:tab/>
        <w:t>Passenger surveys</w:t>
      </w:r>
    </w:p>
    <w:p w:rsidR="009F0A92" w:rsidRDefault="009F0A92" w:rsidP="009F0A92">
      <w:r w:rsidRPr="00E03985">
        <w:lastRenderedPageBreak/>
        <w:t>Domestic passengers’ ratings of the time taken to enter and the availability of car parking both increased from ‘good’ in 2013</w:t>
      </w:r>
      <w:r>
        <w:t>-1</w:t>
      </w:r>
      <w:r w:rsidRPr="00E03985">
        <w:t>4 to ‘excellent’ in 2014</w:t>
      </w:r>
      <w:r>
        <w:t>-</w:t>
      </w:r>
      <w:r w:rsidRPr="00E03985">
        <w:t>15.</w:t>
      </w:r>
    </w:p>
    <w:p w:rsidR="009F0A92" w:rsidRDefault="009F0A92" w:rsidP="009F0A92">
      <w:pPr>
        <w:pStyle w:val="Numberedheading3"/>
      </w:pPr>
      <w:r>
        <w:t>Other transport options</w:t>
      </w:r>
    </w:p>
    <w:p w:rsidR="009F0A92" w:rsidRDefault="009F0A92" w:rsidP="009F0A92">
      <w:r>
        <w:t>In addition to car parking options, there are a number of alternative transport options to and from Brisbane Airport, including buses, taxis, train and private cars. Brisbane Airport imposes a landside access charge on some of these alternative transport options. Table 2.4.5 outlines the landside access charges for 2014</w:t>
      </w:r>
      <w:r>
        <w:noBreakHyphen/>
        <w:t>15, as well as the indexed average list prices between 2010</w:t>
      </w:r>
      <w:r>
        <w:noBreakHyphen/>
        <w:t>11 and 2014</w:t>
      </w:r>
      <w:r>
        <w:noBreakHyphen/>
        <w:t xml:space="preserve">15 in real terms. Brisbane Airport operates a free inter-terminal bus service between the domestic and international terminal. </w:t>
      </w:r>
    </w:p>
    <w:p w:rsidR="009F0A92" w:rsidRDefault="009F0A92" w:rsidP="009F0A92">
      <w:pPr>
        <w:pStyle w:val="Numberedcharttitle"/>
      </w:pPr>
      <w:r>
        <w:t>Table 2.4.5:</w:t>
      </w:r>
      <w:r>
        <w:tab/>
        <w:t>Brisbane Airport—landside access charges in 2014</w:t>
      </w:r>
      <w:r>
        <w:noBreakHyphen/>
        <w:t>15 and indexed average access charges in real terms: 2010</w:t>
      </w:r>
      <w:r>
        <w:noBreakHyphen/>
        <w:t>11 to 2014</w:t>
      </w:r>
      <w:r>
        <w:noBreakHyphen/>
        <w:t>15</w:t>
      </w:r>
    </w:p>
    <w:tbl>
      <w:tblPr>
        <w:tblStyle w:val="TableGrid"/>
        <w:tblW w:w="0" w:type="auto"/>
        <w:tblLook w:val="04A0" w:firstRow="1" w:lastRow="0" w:firstColumn="1" w:lastColumn="0" w:noHBand="0" w:noVBand="1"/>
      </w:tblPr>
      <w:tblGrid>
        <w:gridCol w:w="2830"/>
        <w:gridCol w:w="1247"/>
        <w:gridCol w:w="917"/>
        <w:gridCol w:w="917"/>
        <w:gridCol w:w="918"/>
        <w:gridCol w:w="917"/>
        <w:gridCol w:w="918"/>
      </w:tblGrid>
      <w:tr w:rsidR="009F0A92" w:rsidTr="009543DB">
        <w:trPr>
          <w:trHeight w:val="629"/>
        </w:trPr>
        <w:tc>
          <w:tcPr>
            <w:tcW w:w="2830" w:type="dxa"/>
            <w:tcBorders>
              <w:left w:val="nil"/>
              <w:bottom w:val="nil"/>
              <w:right w:val="nil"/>
            </w:tcBorders>
            <w:shd w:val="clear" w:color="auto" w:fill="DFE0DC"/>
          </w:tcPr>
          <w:p w:rsidR="009F0A92" w:rsidRDefault="009F0A92" w:rsidP="009543DB">
            <w:pPr>
              <w:pStyle w:val="Tabletextheading"/>
              <w:keepNext/>
            </w:pPr>
            <w:r>
              <w:t>Transport option</w:t>
            </w:r>
          </w:p>
        </w:tc>
        <w:tc>
          <w:tcPr>
            <w:tcW w:w="1247" w:type="dxa"/>
            <w:vMerge w:val="restart"/>
            <w:tcBorders>
              <w:left w:val="nil"/>
              <w:bottom w:val="single" w:sz="4" w:space="0" w:color="auto"/>
              <w:right w:val="single" w:sz="4" w:space="0" w:color="auto"/>
            </w:tcBorders>
            <w:shd w:val="clear" w:color="auto" w:fill="DFE0DC"/>
          </w:tcPr>
          <w:p w:rsidR="009F0A92" w:rsidRDefault="009F0A92" w:rsidP="009543DB">
            <w:pPr>
              <w:pStyle w:val="Tabletextheadingright"/>
              <w:keepNext/>
            </w:pPr>
            <w:r>
              <w:t>Average list prices</w:t>
            </w:r>
            <w:r>
              <w:br/>
              <w:t>($)</w:t>
            </w:r>
            <w:r>
              <w:br/>
              <w:t>2014-15</w:t>
            </w:r>
          </w:p>
        </w:tc>
        <w:tc>
          <w:tcPr>
            <w:tcW w:w="4587" w:type="dxa"/>
            <w:gridSpan w:val="5"/>
            <w:tcBorders>
              <w:left w:val="single" w:sz="4" w:space="0" w:color="auto"/>
              <w:bottom w:val="nil"/>
              <w:right w:val="nil"/>
            </w:tcBorders>
            <w:shd w:val="clear" w:color="auto" w:fill="DFE0DC"/>
          </w:tcPr>
          <w:p w:rsidR="009F0A92" w:rsidRDefault="009F0A92" w:rsidP="009543DB">
            <w:pPr>
              <w:pStyle w:val="Tabletextheadingcentre"/>
            </w:pPr>
            <w:r>
              <w:t>Indexed average list prices</w:t>
            </w:r>
            <w:r>
              <w:br/>
              <w:t>(2014-15 base year = 100)</w:t>
            </w:r>
          </w:p>
        </w:tc>
      </w:tr>
      <w:tr w:rsidR="009F0A92" w:rsidTr="009543DB">
        <w:tc>
          <w:tcPr>
            <w:tcW w:w="2830" w:type="dxa"/>
            <w:tcBorders>
              <w:top w:val="nil"/>
              <w:left w:val="nil"/>
              <w:bottom w:val="single" w:sz="4" w:space="0" w:color="auto"/>
              <w:right w:val="nil"/>
            </w:tcBorders>
            <w:shd w:val="clear" w:color="auto" w:fill="DFE0DC"/>
          </w:tcPr>
          <w:p w:rsidR="009F0A92" w:rsidRPr="0078295A" w:rsidRDefault="009F0A92" w:rsidP="009543DB">
            <w:pPr>
              <w:pStyle w:val="Tabletextleft"/>
            </w:pPr>
          </w:p>
        </w:tc>
        <w:tc>
          <w:tcPr>
            <w:tcW w:w="1247" w:type="dxa"/>
            <w:vMerge/>
            <w:tcBorders>
              <w:top w:val="nil"/>
              <w:left w:val="nil"/>
              <w:bottom w:val="single" w:sz="4" w:space="0" w:color="auto"/>
              <w:right w:val="single" w:sz="4" w:space="0" w:color="auto"/>
            </w:tcBorders>
            <w:shd w:val="clear" w:color="auto" w:fill="DFE0DC"/>
          </w:tcPr>
          <w:p w:rsidR="009F0A92" w:rsidRDefault="009F0A92" w:rsidP="009543DB">
            <w:pPr>
              <w:pStyle w:val="Tabletextleft"/>
            </w:pPr>
          </w:p>
        </w:tc>
        <w:tc>
          <w:tcPr>
            <w:tcW w:w="917" w:type="dxa"/>
            <w:tcBorders>
              <w:top w:val="nil"/>
              <w:left w:val="single" w:sz="4" w:space="0" w:color="auto"/>
              <w:bottom w:val="single" w:sz="4" w:space="0" w:color="auto"/>
              <w:right w:val="nil"/>
            </w:tcBorders>
            <w:shd w:val="clear" w:color="auto" w:fill="DFE0DC"/>
          </w:tcPr>
          <w:p w:rsidR="009F0A92" w:rsidRDefault="009F0A92" w:rsidP="009543DB">
            <w:pPr>
              <w:pStyle w:val="Tabletextheadingright"/>
              <w:keepNext/>
            </w:pPr>
            <w:r>
              <w:t>2010-11</w:t>
            </w:r>
          </w:p>
        </w:tc>
        <w:tc>
          <w:tcPr>
            <w:tcW w:w="917" w:type="dxa"/>
            <w:tcBorders>
              <w:top w:val="nil"/>
              <w:left w:val="nil"/>
              <w:bottom w:val="single" w:sz="4" w:space="0" w:color="auto"/>
              <w:right w:val="nil"/>
            </w:tcBorders>
            <w:shd w:val="clear" w:color="auto" w:fill="DFE0DC"/>
          </w:tcPr>
          <w:p w:rsidR="009F0A92" w:rsidRDefault="009F0A92" w:rsidP="009543DB">
            <w:pPr>
              <w:pStyle w:val="Tabletextheadingright"/>
              <w:keepNext/>
            </w:pPr>
            <w:r>
              <w:t>2011-12</w:t>
            </w:r>
          </w:p>
        </w:tc>
        <w:tc>
          <w:tcPr>
            <w:tcW w:w="918" w:type="dxa"/>
            <w:tcBorders>
              <w:top w:val="nil"/>
              <w:left w:val="nil"/>
              <w:bottom w:val="single" w:sz="4" w:space="0" w:color="auto"/>
              <w:right w:val="nil"/>
            </w:tcBorders>
            <w:shd w:val="clear" w:color="auto" w:fill="DFE0DC"/>
          </w:tcPr>
          <w:p w:rsidR="009F0A92" w:rsidRDefault="009F0A92" w:rsidP="009543DB">
            <w:pPr>
              <w:pStyle w:val="Tabletextheadingright"/>
              <w:keepNext/>
            </w:pPr>
            <w:r>
              <w:t>2012-13</w:t>
            </w:r>
          </w:p>
        </w:tc>
        <w:tc>
          <w:tcPr>
            <w:tcW w:w="917" w:type="dxa"/>
            <w:tcBorders>
              <w:top w:val="nil"/>
              <w:left w:val="nil"/>
              <w:bottom w:val="single" w:sz="4" w:space="0" w:color="auto"/>
              <w:right w:val="nil"/>
            </w:tcBorders>
            <w:shd w:val="clear" w:color="auto" w:fill="DFE0DC"/>
          </w:tcPr>
          <w:p w:rsidR="009F0A92" w:rsidRDefault="009F0A92" w:rsidP="009543DB">
            <w:pPr>
              <w:pStyle w:val="Tabletextheadingright"/>
              <w:keepNext/>
            </w:pPr>
            <w:r>
              <w:t>2013-14</w:t>
            </w:r>
          </w:p>
        </w:tc>
        <w:tc>
          <w:tcPr>
            <w:tcW w:w="918" w:type="dxa"/>
            <w:tcBorders>
              <w:top w:val="nil"/>
              <w:left w:val="nil"/>
              <w:bottom w:val="single" w:sz="4" w:space="0" w:color="auto"/>
              <w:right w:val="nil"/>
            </w:tcBorders>
            <w:shd w:val="clear" w:color="auto" w:fill="DFE0DC"/>
          </w:tcPr>
          <w:p w:rsidR="009F0A92" w:rsidRDefault="009F0A92" w:rsidP="009543DB">
            <w:pPr>
              <w:pStyle w:val="Tabletextheadingright"/>
              <w:keepNext/>
            </w:pPr>
            <w:r>
              <w:t>2014-15</w:t>
            </w:r>
          </w:p>
        </w:tc>
      </w:tr>
      <w:tr w:rsidR="009F0A92" w:rsidTr="009543DB">
        <w:tc>
          <w:tcPr>
            <w:tcW w:w="2830" w:type="dxa"/>
            <w:tcBorders>
              <w:left w:val="nil"/>
              <w:bottom w:val="single" w:sz="4" w:space="0" w:color="auto"/>
              <w:right w:val="nil"/>
            </w:tcBorders>
            <w:shd w:val="clear" w:color="auto" w:fill="auto"/>
          </w:tcPr>
          <w:p w:rsidR="009F0A92" w:rsidRDefault="009F0A92" w:rsidP="009543DB">
            <w:pPr>
              <w:pStyle w:val="Tabletextleft"/>
            </w:pPr>
            <w:r>
              <w:t>Public bus</w:t>
            </w:r>
          </w:p>
        </w:tc>
        <w:tc>
          <w:tcPr>
            <w:tcW w:w="1247" w:type="dxa"/>
            <w:tcBorders>
              <w:left w:val="nil"/>
              <w:bottom w:val="single" w:sz="4" w:space="0" w:color="auto"/>
            </w:tcBorders>
            <w:shd w:val="clear" w:color="auto" w:fill="auto"/>
          </w:tcPr>
          <w:p w:rsidR="009F0A92" w:rsidRDefault="009F0A92" w:rsidP="009543DB">
            <w:pPr>
              <w:pStyle w:val="Tabletextright"/>
              <w:keepNext/>
            </w:pPr>
            <w:r>
              <w:t>Monthly fee</w:t>
            </w:r>
          </w:p>
        </w:tc>
        <w:tc>
          <w:tcPr>
            <w:tcW w:w="917" w:type="dxa"/>
            <w:tcBorders>
              <w:bottom w:val="single" w:sz="4" w:space="0" w:color="auto"/>
              <w:right w:val="nil"/>
            </w:tcBorders>
            <w:shd w:val="clear" w:color="auto" w:fill="auto"/>
          </w:tcPr>
          <w:p w:rsidR="009F0A92" w:rsidRDefault="009F0A92" w:rsidP="009543DB">
            <w:pPr>
              <w:pStyle w:val="Tabletextright"/>
              <w:keepNext/>
            </w:pPr>
            <w:r>
              <w:t>NA</w:t>
            </w:r>
          </w:p>
        </w:tc>
        <w:tc>
          <w:tcPr>
            <w:tcW w:w="917" w:type="dxa"/>
            <w:tcBorders>
              <w:left w:val="nil"/>
              <w:bottom w:val="single" w:sz="4" w:space="0" w:color="auto"/>
              <w:right w:val="nil"/>
            </w:tcBorders>
            <w:shd w:val="clear" w:color="auto" w:fill="auto"/>
          </w:tcPr>
          <w:p w:rsidR="009F0A92" w:rsidRDefault="009F0A92" w:rsidP="009543DB">
            <w:pPr>
              <w:pStyle w:val="Tabletextright"/>
              <w:keepNext/>
            </w:pPr>
            <w:r>
              <w:t>NA</w:t>
            </w:r>
          </w:p>
        </w:tc>
        <w:tc>
          <w:tcPr>
            <w:tcW w:w="918" w:type="dxa"/>
            <w:tcBorders>
              <w:left w:val="nil"/>
              <w:bottom w:val="single" w:sz="4" w:space="0" w:color="auto"/>
              <w:right w:val="nil"/>
            </w:tcBorders>
            <w:shd w:val="clear" w:color="auto" w:fill="auto"/>
          </w:tcPr>
          <w:p w:rsidR="009F0A92" w:rsidRDefault="009F0A92" w:rsidP="009543DB">
            <w:pPr>
              <w:pStyle w:val="Tabletextright"/>
              <w:keepNext/>
            </w:pPr>
            <w:r>
              <w:t>NA</w:t>
            </w:r>
          </w:p>
        </w:tc>
        <w:tc>
          <w:tcPr>
            <w:tcW w:w="917" w:type="dxa"/>
            <w:tcBorders>
              <w:left w:val="nil"/>
              <w:bottom w:val="single" w:sz="4" w:space="0" w:color="auto"/>
              <w:right w:val="nil"/>
            </w:tcBorders>
            <w:shd w:val="clear" w:color="auto" w:fill="auto"/>
          </w:tcPr>
          <w:p w:rsidR="009F0A92" w:rsidRDefault="009F0A92" w:rsidP="009543DB">
            <w:pPr>
              <w:pStyle w:val="Tabletextright"/>
              <w:keepNext/>
            </w:pPr>
            <w:r>
              <w:t>NA</w:t>
            </w:r>
          </w:p>
        </w:tc>
        <w:tc>
          <w:tcPr>
            <w:tcW w:w="918" w:type="dxa"/>
            <w:tcBorders>
              <w:left w:val="nil"/>
              <w:bottom w:val="single" w:sz="4" w:space="0" w:color="auto"/>
              <w:right w:val="nil"/>
            </w:tcBorders>
            <w:shd w:val="clear" w:color="auto" w:fill="auto"/>
          </w:tcPr>
          <w:p w:rsidR="009F0A92" w:rsidRDefault="009F0A92" w:rsidP="009543DB">
            <w:pPr>
              <w:pStyle w:val="Tabletextright"/>
              <w:keepNext/>
            </w:pPr>
            <w:r>
              <w:t>NA</w:t>
            </w:r>
          </w:p>
        </w:tc>
      </w:tr>
      <w:tr w:rsidR="009F0A92" w:rsidTr="009543DB">
        <w:tc>
          <w:tcPr>
            <w:tcW w:w="2830" w:type="dxa"/>
            <w:tcBorders>
              <w:top w:val="single" w:sz="4" w:space="0" w:color="auto"/>
              <w:left w:val="nil"/>
              <w:bottom w:val="single" w:sz="4" w:space="0" w:color="auto"/>
              <w:right w:val="nil"/>
            </w:tcBorders>
          </w:tcPr>
          <w:p w:rsidR="009F0A92" w:rsidRDefault="009F0A92" w:rsidP="009543DB">
            <w:pPr>
              <w:pStyle w:val="Tabletextleft"/>
            </w:pPr>
            <w:r>
              <w:t>Off-airport car parking</w:t>
            </w:r>
          </w:p>
        </w:tc>
        <w:tc>
          <w:tcPr>
            <w:tcW w:w="1247" w:type="dxa"/>
            <w:tcBorders>
              <w:top w:val="single" w:sz="4" w:space="0" w:color="auto"/>
              <w:left w:val="nil"/>
              <w:bottom w:val="single" w:sz="4" w:space="0" w:color="auto"/>
            </w:tcBorders>
          </w:tcPr>
          <w:p w:rsidR="009F0A92" w:rsidRDefault="009F0A92" w:rsidP="009543DB">
            <w:pPr>
              <w:pStyle w:val="Tabletextright"/>
              <w:keepNext/>
            </w:pPr>
            <w:r>
              <w:t>Monthly fee</w:t>
            </w:r>
          </w:p>
        </w:tc>
        <w:tc>
          <w:tcPr>
            <w:tcW w:w="917" w:type="dxa"/>
            <w:tcBorders>
              <w:top w:val="single" w:sz="4" w:space="0" w:color="auto"/>
              <w:bottom w:val="single" w:sz="4" w:space="0" w:color="auto"/>
              <w:right w:val="nil"/>
            </w:tcBorders>
          </w:tcPr>
          <w:p w:rsidR="009F0A92" w:rsidRDefault="009F0A92" w:rsidP="009543DB">
            <w:pPr>
              <w:pStyle w:val="Tabletextright"/>
              <w:keepNex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NA</w:t>
            </w:r>
          </w:p>
        </w:tc>
      </w:tr>
      <w:tr w:rsidR="009F0A92" w:rsidTr="009543DB">
        <w:tc>
          <w:tcPr>
            <w:tcW w:w="2830" w:type="dxa"/>
            <w:tcBorders>
              <w:top w:val="single" w:sz="4" w:space="0" w:color="auto"/>
              <w:left w:val="nil"/>
              <w:bottom w:val="single" w:sz="4" w:space="0" w:color="auto"/>
              <w:right w:val="nil"/>
            </w:tcBorders>
          </w:tcPr>
          <w:p w:rsidR="009F0A92" w:rsidRDefault="009F0A92" w:rsidP="009543DB">
            <w:pPr>
              <w:pStyle w:val="Tabletextleft"/>
            </w:pPr>
            <w:r>
              <w:t>Taxis (per pick-up)</w:t>
            </w:r>
          </w:p>
        </w:tc>
        <w:tc>
          <w:tcPr>
            <w:tcW w:w="1247" w:type="dxa"/>
            <w:tcBorders>
              <w:top w:val="single" w:sz="4" w:space="0" w:color="auto"/>
              <w:left w:val="nil"/>
              <w:bottom w:val="single" w:sz="4" w:space="0" w:color="auto"/>
            </w:tcBorders>
          </w:tcPr>
          <w:p w:rsidR="009F0A92" w:rsidRDefault="009F0A92" w:rsidP="009543DB">
            <w:pPr>
              <w:pStyle w:val="Tabletextright"/>
              <w:keepNext/>
            </w:pPr>
            <w:r>
              <w:t>3.40</w:t>
            </w:r>
          </w:p>
        </w:tc>
        <w:tc>
          <w:tcPr>
            <w:tcW w:w="917" w:type="dxa"/>
            <w:tcBorders>
              <w:top w:val="single" w:sz="4" w:space="0" w:color="auto"/>
              <w:bottom w:val="single" w:sz="4" w:space="0" w:color="auto"/>
              <w:right w:val="nil"/>
            </w:tcBorders>
          </w:tcPr>
          <w:p w:rsidR="009F0A92" w:rsidRDefault="009F0A92" w:rsidP="009543DB">
            <w:pPr>
              <w:pStyle w:val="Tabletextright"/>
              <w:keepNext/>
            </w:pPr>
            <w:r>
              <w:t>96.5</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94.3</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101.4</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98.7</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100.0</w:t>
            </w:r>
          </w:p>
        </w:tc>
      </w:tr>
      <w:tr w:rsidR="009F0A92" w:rsidTr="009543DB">
        <w:tc>
          <w:tcPr>
            <w:tcW w:w="2830" w:type="dxa"/>
            <w:tcBorders>
              <w:top w:val="single" w:sz="4" w:space="0" w:color="auto"/>
              <w:left w:val="nil"/>
              <w:bottom w:val="single" w:sz="4" w:space="0" w:color="auto"/>
              <w:right w:val="nil"/>
            </w:tcBorders>
          </w:tcPr>
          <w:p w:rsidR="009F0A92" w:rsidRDefault="009F0A92" w:rsidP="009543DB">
            <w:pPr>
              <w:pStyle w:val="Tabletextleft"/>
            </w:pPr>
            <w:r>
              <w:t>Train (corridor lease)</w:t>
            </w:r>
          </w:p>
        </w:tc>
        <w:tc>
          <w:tcPr>
            <w:tcW w:w="1247" w:type="dxa"/>
            <w:tcBorders>
              <w:top w:val="single" w:sz="4" w:space="0" w:color="auto"/>
              <w:left w:val="nil"/>
              <w:bottom w:val="single" w:sz="4" w:space="0" w:color="auto"/>
            </w:tcBorders>
          </w:tcPr>
          <w:p w:rsidR="009F0A92" w:rsidRDefault="009F0A92" w:rsidP="009543DB">
            <w:pPr>
              <w:pStyle w:val="Tabletextright"/>
              <w:keepNext/>
            </w:pPr>
            <w:r>
              <w:t>162 000</w:t>
            </w:r>
          </w:p>
        </w:tc>
        <w:tc>
          <w:tcPr>
            <w:tcW w:w="917" w:type="dxa"/>
            <w:tcBorders>
              <w:top w:val="single" w:sz="4" w:space="0" w:color="auto"/>
              <w:bottom w:val="single" w:sz="4" w:space="0" w:color="auto"/>
              <w:right w:val="nil"/>
            </w:tcBorders>
          </w:tcPr>
          <w:p w:rsidR="009F0A92" w:rsidRDefault="009F0A92" w:rsidP="009543DB">
            <w:pPr>
              <w:pStyle w:val="Tabletextright"/>
              <w:keepNext/>
            </w:pPr>
            <w:r>
              <w:t>97.8</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98.3</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80.6</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96.7</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100.0</w:t>
            </w:r>
          </w:p>
        </w:tc>
      </w:tr>
      <w:tr w:rsidR="009F0A92" w:rsidTr="009543DB">
        <w:tc>
          <w:tcPr>
            <w:tcW w:w="2830" w:type="dxa"/>
            <w:tcBorders>
              <w:top w:val="single" w:sz="4" w:space="0" w:color="auto"/>
              <w:left w:val="nil"/>
              <w:bottom w:val="single" w:sz="4" w:space="0" w:color="auto"/>
              <w:right w:val="nil"/>
            </w:tcBorders>
          </w:tcPr>
          <w:p w:rsidR="009F0A92" w:rsidRDefault="009F0A92" w:rsidP="009543DB">
            <w:pPr>
              <w:pStyle w:val="Tabletextleft"/>
            </w:pPr>
            <w:r>
              <w:t>Private bus and private car operators</w:t>
            </w:r>
          </w:p>
        </w:tc>
        <w:tc>
          <w:tcPr>
            <w:tcW w:w="1247" w:type="dxa"/>
            <w:tcBorders>
              <w:top w:val="single" w:sz="4" w:space="0" w:color="auto"/>
              <w:left w:val="nil"/>
              <w:bottom w:val="single" w:sz="4" w:space="0" w:color="auto"/>
            </w:tcBorders>
          </w:tcPr>
          <w:p w:rsidR="009F0A92" w:rsidRDefault="009F0A92" w:rsidP="009543DB">
            <w:pPr>
              <w:pStyle w:val="Tabletextright"/>
              <w:keepNext/>
            </w:pPr>
            <w:r>
              <w:t>Various</w:t>
            </w:r>
          </w:p>
        </w:tc>
        <w:tc>
          <w:tcPr>
            <w:tcW w:w="917" w:type="dxa"/>
            <w:tcBorders>
              <w:top w:val="single" w:sz="4" w:space="0" w:color="auto"/>
              <w:bottom w:val="single" w:sz="4" w:space="0" w:color="auto"/>
              <w:right w:val="nil"/>
            </w:tcBorders>
          </w:tcPr>
          <w:p w:rsidR="009F0A92" w:rsidRDefault="009F0A92" w:rsidP="009543DB">
            <w:pPr>
              <w:pStyle w:val="Tabletextright"/>
              <w:keepNex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NA</w:t>
            </w:r>
          </w:p>
        </w:tc>
        <w:tc>
          <w:tcPr>
            <w:tcW w:w="917" w:type="dxa"/>
            <w:tcBorders>
              <w:top w:val="single" w:sz="4" w:space="0" w:color="auto"/>
              <w:left w:val="nil"/>
              <w:bottom w:val="single" w:sz="4" w:space="0" w:color="auto"/>
              <w:right w:val="nil"/>
            </w:tcBorders>
          </w:tcPr>
          <w:p w:rsidR="009F0A92" w:rsidRDefault="009F0A92" w:rsidP="009543DB">
            <w:pPr>
              <w:pStyle w:val="Tabletextright"/>
              <w:keepNext/>
            </w:pPr>
            <w:r>
              <w:t>NA</w:t>
            </w:r>
          </w:p>
        </w:tc>
        <w:tc>
          <w:tcPr>
            <w:tcW w:w="918" w:type="dxa"/>
            <w:tcBorders>
              <w:top w:val="single" w:sz="4" w:space="0" w:color="auto"/>
              <w:left w:val="nil"/>
              <w:bottom w:val="single" w:sz="4" w:space="0" w:color="auto"/>
              <w:right w:val="nil"/>
            </w:tcBorders>
          </w:tcPr>
          <w:p w:rsidR="009F0A92" w:rsidRDefault="009F0A92" w:rsidP="009543DB">
            <w:pPr>
              <w:pStyle w:val="Tabletextright"/>
              <w:keepNext/>
            </w:pPr>
            <w:r>
              <w:t>NA</w:t>
            </w:r>
          </w:p>
        </w:tc>
      </w:tr>
    </w:tbl>
    <w:p w:rsidR="009F0A92" w:rsidRDefault="009F0A92" w:rsidP="009F0A92">
      <w:pPr>
        <w:pStyle w:val="Sourceandnotes"/>
      </w:pPr>
      <w:r>
        <w:t>Note:</w:t>
      </w:r>
      <w:r>
        <w:tab/>
        <w:t>Real prices in 2014-15 dollars</w:t>
      </w:r>
    </w:p>
    <w:p w:rsidR="009F0A92" w:rsidRDefault="009F0A92" w:rsidP="009F0A92">
      <w:r>
        <w:t>Brisbane Airport provides 13 designated spaces for passenger pick</w:t>
      </w:r>
      <w:r>
        <w:noBreakHyphen/>
        <w:t>up and drop</w:t>
      </w:r>
      <w:r>
        <w:noBreakHyphen/>
        <w:t>off at the international terminal, and 46 spaces at the domestic terminal. Brisbane Airport also provides 225 parking spaces that are free for the first 30 minutes.</w:t>
      </w:r>
    </w:p>
    <w:p w:rsidR="009F0A92" w:rsidRDefault="009F0A92" w:rsidP="009F0A92">
      <w:pPr>
        <w:rPr>
          <w:rStyle w:val="Emphasis"/>
        </w:rPr>
      </w:pPr>
      <w:r>
        <w:rPr>
          <w:rStyle w:val="Emphasis"/>
        </w:rPr>
        <w:t>Private and public buses</w:t>
      </w:r>
    </w:p>
    <w:p w:rsidR="008C69ED" w:rsidRDefault="009F0A92" w:rsidP="009F0A92">
      <w:pPr>
        <w:rPr>
          <w:iCs/>
        </w:rPr>
        <w:sectPr w:rsidR="008C69ED" w:rsidSect="009F0A92">
          <w:footnotePr>
            <w:numStart w:val="93"/>
          </w:footnotePr>
          <w:pgSz w:w="11906" w:h="16838"/>
          <w:pgMar w:top="1440" w:right="1729" w:bottom="1582" w:left="1729" w:header="709" w:footer="709" w:gutter="0"/>
          <w:cols w:space="708"/>
          <w:docGrid w:linePitch="360"/>
        </w:sectPr>
      </w:pPr>
      <w:r>
        <w:rPr>
          <w:iCs/>
        </w:rPr>
        <w:t>Brisbane Airport operates a free shuttle bus to and from the Skygate shopping precinct and between the terminals. In terms of getting to and from the airport, commercial bus companies service the airport and provide CBD and hotel pick</w:t>
      </w:r>
      <w:r>
        <w:rPr>
          <w:iCs/>
        </w:rPr>
        <w:noBreakHyphen/>
        <w:t>up, as well as travel to the Gold Coast and Sunshine Coast.</w:t>
      </w:r>
      <w:r w:rsidRPr="003A3B1B">
        <w:rPr>
          <w:iCs/>
        </w:rPr>
        <w:t xml:space="preserve"> </w:t>
      </w:r>
      <w:r>
        <w:rPr>
          <w:iCs/>
        </w:rPr>
        <w:t>In addition, TransLink</w:t>
      </w:r>
      <w:r w:rsidRPr="0062186E">
        <w:rPr>
          <w:iCs/>
        </w:rPr>
        <w:t xml:space="preserve"> provides various </w:t>
      </w:r>
      <w:r>
        <w:rPr>
          <w:iCs/>
        </w:rPr>
        <w:t xml:space="preserve">public </w:t>
      </w:r>
      <w:r w:rsidRPr="0062186E">
        <w:rPr>
          <w:iCs/>
        </w:rPr>
        <w:t xml:space="preserve">bus services to </w:t>
      </w:r>
      <w:r>
        <w:rPr>
          <w:iCs/>
        </w:rPr>
        <w:t xml:space="preserve">and from </w:t>
      </w:r>
      <w:r w:rsidRPr="0062186E">
        <w:rPr>
          <w:iCs/>
        </w:rPr>
        <w:t>the airport precinct.</w:t>
      </w:r>
    </w:p>
    <w:p w:rsidR="009F0A92" w:rsidRPr="0074747D" w:rsidRDefault="009F0A92" w:rsidP="009F0A92">
      <w:pPr>
        <w:rPr>
          <w:iCs/>
        </w:rPr>
      </w:pPr>
      <w:r w:rsidRPr="0062186E">
        <w:rPr>
          <w:rStyle w:val="FootnoteReference"/>
          <w:iCs/>
        </w:rPr>
        <w:lastRenderedPageBreak/>
        <w:footnoteReference w:id="100"/>
      </w:r>
    </w:p>
    <w:p w:rsidR="009F0A92" w:rsidRPr="0074747D" w:rsidRDefault="009F0A92" w:rsidP="009F0A92">
      <w:pPr>
        <w:rPr>
          <w:rStyle w:val="Emphasis"/>
        </w:rPr>
      </w:pPr>
      <w:r w:rsidRPr="0074747D">
        <w:rPr>
          <w:rStyle w:val="Emphasis"/>
        </w:rPr>
        <w:t>Off-airport car parking operators</w:t>
      </w:r>
    </w:p>
    <w:p w:rsidR="009F0A92" w:rsidRDefault="009F0A92" w:rsidP="009F0A92">
      <w:pPr>
        <w:rPr>
          <w:iCs/>
        </w:rPr>
      </w:pPr>
      <w:r>
        <w:rPr>
          <w:iCs/>
        </w:rPr>
        <w:t>A number of off</w:t>
      </w:r>
      <w:r>
        <w:rPr>
          <w:iCs/>
        </w:rPr>
        <w:noBreakHyphen/>
        <w:t xml:space="preserve">airport car parking operators service Brisbane Airport. Prices sampled by the ACCC ranged </w:t>
      </w:r>
      <w:r w:rsidRPr="0062186E">
        <w:rPr>
          <w:iCs/>
        </w:rPr>
        <w:t>from $18</w:t>
      </w:r>
      <w:r>
        <w:rPr>
          <w:iCs/>
        </w:rPr>
        <w:t>.00</w:t>
      </w:r>
      <w:r w:rsidRPr="0062186E">
        <w:rPr>
          <w:iCs/>
        </w:rPr>
        <w:t xml:space="preserve"> to $27</w:t>
      </w:r>
      <w:r>
        <w:rPr>
          <w:iCs/>
        </w:rPr>
        <w:t>.00</w:t>
      </w:r>
      <w:r w:rsidRPr="0062186E">
        <w:rPr>
          <w:iCs/>
        </w:rPr>
        <w:t xml:space="preserve"> for one day parking and $35</w:t>
      </w:r>
      <w:r>
        <w:rPr>
          <w:iCs/>
        </w:rPr>
        <w:t>.00</w:t>
      </w:r>
      <w:r w:rsidRPr="0062186E">
        <w:rPr>
          <w:iCs/>
        </w:rPr>
        <w:t xml:space="preserve"> to $48</w:t>
      </w:r>
      <w:r>
        <w:rPr>
          <w:iCs/>
        </w:rPr>
        <w:t>.00</w:t>
      </w:r>
      <w:r w:rsidRPr="0062186E">
        <w:rPr>
          <w:iCs/>
        </w:rPr>
        <w:t xml:space="preserve"> for</w:t>
      </w:r>
      <w:r>
        <w:rPr>
          <w:iCs/>
        </w:rPr>
        <w:t xml:space="preserve"> three days parking.</w:t>
      </w:r>
      <w:r>
        <w:rPr>
          <w:rStyle w:val="FootnoteReference"/>
          <w:iCs/>
        </w:rPr>
        <w:footnoteReference w:id="101"/>
      </w:r>
    </w:p>
    <w:p w:rsidR="009F0A92" w:rsidRPr="0074747D" w:rsidRDefault="009F0A92" w:rsidP="009F0A92">
      <w:pPr>
        <w:rPr>
          <w:rStyle w:val="Emphasis"/>
        </w:rPr>
      </w:pPr>
      <w:r w:rsidRPr="0074747D">
        <w:rPr>
          <w:rStyle w:val="Emphasis"/>
        </w:rPr>
        <w:t>Taxis</w:t>
      </w:r>
    </w:p>
    <w:p w:rsidR="009F0A92" w:rsidRPr="001B5AE4" w:rsidRDefault="009F0A92" w:rsidP="009F0A92">
      <w:pPr>
        <w:rPr>
          <w:iCs/>
        </w:rPr>
      </w:pPr>
      <w:r>
        <w:rPr>
          <w:iCs/>
        </w:rPr>
        <w:t>Brisbane Airport charges a $3.40 airport access fee for each taxi pick</w:t>
      </w:r>
      <w:r>
        <w:rPr>
          <w:iCs/>
        </w:rPr>
        <w:noBreakHyphen/>
        <w:t>up, and does not charge for drop-offs. Brisbane Airport received a total of $4.1 million in revenue from taxi access fees in 2014</w:t>
      </w:r>
      <w:r>
        <w:rPr>
          <w:iCs/>
        </w:rPr>
        <w:noBreakHyphen/>
        <w:t>15, an increase of 3.0 per cent in real terms.</w:t>
      </w:r>
    </w:p>
    <w:p w:rsidR="009F0A92" w:rsidRPr="0074747D" w:rsidRDefault="009F0A92" w:rsidP="009F0A92">
      <w:pPr>
        <w:keepNext/>
        <w:rPr>
          <w:rStyle w:val="Emphasis"/>
        </w:rPr>
      </w:pPr>
      <w:r w:rsidRPr="0074747D">
        <w:rPr>
          <w:rStyle w:val="Emphasis"/>
        </w:rPr>
        <w:lastRenderedPageBreak/>
        <w:t>Train</w:t>
      </w:r>
    </w:p>
    <w:p w:rsidR="009F0A92" w:rsidRDefault="009F0A92" w:rsidP="009F0A92">
      <w:pPr>
        <w:rPr>
          <w:iCs/>
        </w:rPr>
      </w:pPr>
      <w:r>
        <w:rPr>
          <w:iCs/>
        </w:rPr>
        <w:t xml:space="preserve">Brisbane Airport is </w:t>
      </w:r>
      <w:r w:rsidRPr="0062186E">
        <w:rPr>
          <w:iCs/>
        </w:rPr>
        <w:t>serviced by a privately</w:t>
      </w:r>
      <w:r w:rsidRPr="0062186E">
        <w:rPr>
          <w:iCs/>
        </w:rPr>
        <w:noBreakHyphen/>
        <w:t>owned and operated train service, which is integrated into the suburban train network. Train fares are $17</w:t>
      </w:r>
      <w:r>
        <w:rPr>
          <w:iCs/>
        </w:rPr>
        <w:t>.00</w:t>
      </w:r>
      <w:r w:rsidRPr="0062186E">
        <w:rPr>
          <w:iCs/>
        </w:rPr>
        <w:t xml:space="preserve"> one</w:t>
      </w:r>
      <w:r w:rsidRPr="0062186E">
        <w:rPr>
          <w:iCs/>
        </w:rPr>
        <w:noBreakHyphen/>
        <w:t>way between the airport and the CBD, or $32</w:t>
      </w:r>
      <w:r>
        <w:rPr>
          <w:iCs/>
        </w:rPr>
        <w:t>.00</w:t>
      </w:r>
      <w:r w:rsidRPr="0062186E">
        <w:rPr>
          <w:iCs/>
        </w:rPr>
        <w:t xml:space="preserve"> return.</w:t>
      </w:r>
      <w:r>
        <w:rPr>
          <w:rStyle w:val="FootnoteReference"/>
          <w:iCs/>
        </w:rPr>
        <w:footnoteReference w:id="102"/>
      </w:r>
      <w:r w:rsidRPr="0062186E">
        <w:rPr>
          <w:iCs/>
        </w:rPr>
        <w:t xml:space="preserve"> Brisbane Airport earns revenue from the train service through a corridor lease</w:t>
      </w:r>
      <w:r>
        <w:rPr>
          <w:iCs/>
        </w:rPr>
        <w:t xml:space="preserve"> ($162 000 in 2014</w:t>
      </w:r>
      <w:r>
        <w:rPr>
          <w:iCs/>
        </w:rPr>
        <w:noBreakHyphen/>
        <w:t>15).</w:t>
      </w:r>
    </w:p>
    <w:p w:rsidR="009F0A92" w:rsidRDefault="009F0A92" w:rsidP="009F0A92">
      <w:pPr>
        <w:pStyle w:val="Standardheading"/>
      </w:pPr>
      <w:r>
        <w:t>Quality of landside access services and facilities provided by Brisbane Airport</w:t>
      </w:r>
    </w:p>
    <w:p w:rsidR="009F0A92" w:rsidRDefault="009F0A92" w:rsidP="009F0A92">
      <w:r>
        <w:t>Airport operators control access to airport land, including landside access areas. Further, the landside areas of monitored airports are bottleneck facilities essential in the supply of services to passengers and companies seeking access. Passengers, off</w:t>
      </w:r>
      <w:r>
        <w:noBreakHyphen/>
        <w:t>airport car parking operators, taxis, buses and private cars all require access to landside areas for the pick-up and drop</w:t>
      </w:r>
      <w:r>
        <w:noBreakHyphen/>
        <w:t xml:space="preserve">off of passengers. Airport operators have the incentive to restrict access and impede competition from alternatives to on-airport parking by imposing excessive charges or restrictive terms and conditions. </w:t>
      </w:r>
    </w:p>
    <w:p w:rsidR="009F0A92" w:rsidRDefault="009F0A92" w:rsidP="009F0A92">
      <w:r>
        <w:t>This section contains the quality of service results for Brisbane Airport’s landside areas gathered from both passengers and businesses seeking access. The ACCC has collected landside service ratings from passengers for a number of years. Since 2013</w:t>
      </w:r>
      <w:r>
        <w:noBreakHyphen/>
        <w:t>14, the ACCC has been collecting ratings on landside areas and facilities from companies requiring access, including taxis, buses, and off-airport parking operators.</w:t>
      </w:r>
    </w:p>
    <w:p w:rsidR="009F0A92" w:rsidRDefault="009F0A92" w:rsidP="009F0A92">
      <w:pPr>
        <w:rPr>
          <w:i/>
        </w:rPr>
      </w:pPr>
      <w:r>
        <w:rPr>
          <w:i/>
        </w:rPr>
        <w:t>Passenger ratings</w:t>
      </w:r>
    </w:p>
    <w:p w:rsidR="009F0A92" w:rsidRDefault="009F0A92" w:rsidP="009F0A92">
      <w:r>
        <w:t>Table 2.4.6 shows that the majority of passengers’ ratings of international terminal landside services and facilities were unchanged at ‘good’ in 2014</w:t>
      </w:r>
      <w:r>
        <w:noBreakHyphen/>
        <w:t>15. The exception was passengers’ rating for taxi facilities waiting time, which increased from ‘good’ to ‘excellent’ in 2014</w:t>
      </w:r>
      <w:r>
        <w:noBreakHyphen/>
        <w:t>15. Passengers’ ratings of domestic terminal landside services all increased within the ‘good’ range during 2014</w:t>
      </w:r>
      <w:r>
        <w:noBreakHyphen/>
        <w:t>15.</w:t>
      </w:r>
    </w:p>
    <w:p w:rsidR="009F0A92" w:rsidRDefault="009F0A92" w:rsidP="009F0A92">
      <w:pPr>
        <w:pStyle w:val="Numberedcharttitle"/>
      </w:pPr>
      <w:r>
        <w:t>Table 2.4.6:</w:t>
      </w:r>
      <w:r>
        <w:tab/>
        <w:t>Brisbane Airport—passenger ratings of quality of landside access services and facilities: 2014-15, 1-year change, and change since 2010-11</w:t>
      </w:r>
    </w:p>
    <w:tbl>
      <w:tblPr>
        <w:tblStyle w:val="TableGrid"/>
        <w:tblW w:w="0" w:type="auto"/>
        <w:tblLook w:val="04A0" w:firstRow="1" w:lastRow="0" w:firstColumn="1" w:lastColumn="0" w:noHBand="0" w:noVBand="1"/>
      </w:tblPr>
      <w:tblGrid>
        <w:gridCol w:w="1732"/>
        <w:gridCol w:w="3479"/>
        <w:gridCol w:w="1418"/>
        <w:gridCol w:w="1017"/>
        <w:gridCol w:w="1018"/>
      </w:tblGrid>
      <w:tr w:rsidR="009F0A92" w:rsidTr="009543DB">
        <w:tc>
          <w:tcPr>
            <w:tcW w:w="1732" w:type="dxa"/>
            <w:tcBorders>
              <w:left w:val="nil"/>
              <w:bottom w:val="single" w:sz="4" w:space="0" w:color="auto"/>
              <w:right w:val="nil"/>
            </w:tcBorders>
            <w:shd w:val="clear" w:color="auto" w:fill="DFE0DC"/>
            <w:vAlign w:val="center"/>
          </w:tcPr>
          <w:p w:rsidR="009F0A92" w:rsidRDefault="009F0A92" w:rsidP="009543DB">
            <w:pPr>
              <w:pStyle w:val="Tabletextleft-centred"/>
              <w:keepNext/>
            </w:pPr>
            <w:r>
              <w:t>Terminal</w:t>
            </w:r>
          </w:p>
        </w:tc>
        <w:tc>
          <w:tcPr>
            <w:tcW w:w="3479" w:type="dxa"/>
            <w:tcBorders>
              <w:left w:val="nil"/>
              <w:bottom w:val="single" w:sz="4" w:space="0" w:color="auto"/>
              <w:right w:val="nil"/>
            </w:tcBorders>
            <w:shd w:val="clear" w:color="auto" w:fill="DFE0DC"/>
            <w:vAlign w:val="center"/>
          </w:tcPr>
          <w:p w:rsidR="009F0A92" w:rsidRDefault="009F0A92" w:rsidP="009543DB">
            <w:pPr>
              <w:pStyle w:val="Tabletextleft-centred"/>
              <w:keepNext/>
            </w:pPr>
            <w:r>
              <w:t>Indicator</w:t>
            </w:r>
          </w:p>
        </w:tc>
        <w:tc>
          <w:tcPr>
            <w:tcW w:w="1418" w:type="dxa"/>
            <w:tcBorders>
              <w:left w:val="nil"/>
              <w:bottom w:val="single" w:sz="4" w:space="0" w:color="auto"/>
              <w:right w:val="nil"/>
            </w:tcBorders>
            <w:shd w:val="clear" w:color="auto" w:fill="DFE0DC"/>
            <w:vAlign w:val="center"/>
          </w:tcPr>
          <w:p w:rsidR="009F0A92" w:rsidRDefault="009F0A92" w:rsidP="009543DB">
            <w:pPr>
              <w:pStyle w:val="Tabletextleft-centred"/>
              <w:keepNext/>
            </w:pPr>
            <w:r>
              <w:t>Rating category</w:t>
            </w:r>
            <w:r>
              <w:br/>
              <w:t>2014-15</w:t>
            </w:r>
          </w:p>
        </w:tc>
        <w:tc>
          <w:tcPr>
            <w:tcW w:w="1017" w:type="dxa"/>
            <w:tcBorders>
              <w:left w:val="nil"/>
              <w:bottom w:val="single" w:sz="4" w:space="0" w:color="auto"/>
              <w:right w:val="nil"/>
            </w:tcBorders>
            <w:shd w:val="clear" w:color="auto" w:fill="DFE0DC"/>
            <w:vAlign w:val="center"/>
          </w:tcPr>
          <w:p w:rsidR="009F0A92" w:rsidRDefault="009F0A92" w:rsidP="009543DB">
            <w:pPr>
              <w:pStyle w:val="Tabletextleft-centred"/>
              <w:keepNext/>
            </w:pPr>
            <w:r>
              <w:t>1-year change</w:t>
            </w:r>
          </w:p>
        </w:tc>
        <w:tc>
          <w:tcPr>
            <w:tcW w:w="1018" w:type="dxa"/>
            <w:tcBorders>
              <w:left w:val="nil"/>
              <w:bottom w:val="single" w:sz="4" w:space="0" w:color="auto"/>
              <w:right w:val="nil"/>
            </w:tcBorders>
            <w:shd w:val="clear" w:color="auto" w:fill="DFE0DC"/>
            <w:vAlign w:val="center"/>
          </w:tcPr>
          <w:p w:rsidR="009F0A92" w:rsidRDefault="009F0A92" w:rsidP="009543DB">
            <w:pPr>
              <w:pStyle w:val="Tabletextleft-centred"/>
              <w:keepNext/>
            </w:pPr>
            <w:r>
              <w:t>Change since 2010-11</w:t>
            </w:r>
          </w:p>
        </w:tc>
      </w:tr>
      <w:tr w:rsidR="009F0A92" w:rsidTr="009543DB">
        <w:tc>
          <w:tcPr>
            <w:tcW w:w="1732" w:type="dxa"/>
            <w:vMerge w:val="restart"/>
            <w:tcBorders>
              <w:left w:val="nil"/>
              <w:right w:val="nil"/>
            </w:tcBorders>
          </w:tcPr>
          <w:p w:rsidR="009F0A92" w:rsidRDefault="009F0A92" w:rsidP="009543DB">
            <w:pPr>
              <w:pStyle w:val="Tabletextheading"/>
              <w:keepNext/>
            </w:pPr>
            <w:r>
              <w:t>International</w:t>
            </w:r>
          </w:p>
        </w:tc>
        <w:tc>
          <w:tcPr>
            <w:tcW w:w="3479" w:type="dxa"/>
            <w:tcBorders>
              <w:left w:val="nil"/>
              <w:bottom w:val="nil"/>
              <w:right w:val="nil"/>
            </w:tcBorders>
          </w:tcPr>
          <w:p w:rsidR="009F0A92" w:rsidRDefault="009F0A92" w:rsidP="009543DB">
            <w:pPr>
              <w:pStyle w:val="Tabletextleft"/>
            </w:pPr>
            <w:r>
              <w:t>Kerbside pick-up and drop-off facilities</w:t>
            </w:r>
          </w:p>
        </w:tc>
        <w:tc>
          <w:tcPr>
            <w:tcW w:w="1418" w:type="dxa"/>
            <w:tcBorders>
              <w:left w:val="nil"/>
              <w:bottom w:val="nil"/>
              <w:right w:val="nil"/>
            </w:tcBorders>
          </w:tcPr>
          <w:p w:rsidR="009F0A92" w:rsidRDefault="009F0A92" w:rsidP="009543DB">
            <w:pPr>
              <w:pStyle w:val="Tabletextleft"/>
            </w:pPr>
            <w:r>
              <w:t>Good</w:t>
            </w:r>
          </w:p>
        </w:tc>
        <w:tc>
          <w:tcPr>
            <w:tcW w:w="1017" w:type="dxa"/>
            <w:tcBorders>
              <w:left w:val="nil"/>
              <w:bottom w:val="nil"/>
              <w:right w:val="nil"/>
            </w:tcBorders>
          </w:tcPr>
          <w:p w:rsidR="009F0A92" w:rsidRDefault="009F0A92" w:rsidP="009543DB">
            <w:pPr>
              <w:pStyle w:val="Tabletextleft"/>
            </w:pPr>
            <w:r>
              <w:rPr>
                <w:rFonts w:cs="Arial"/>
                <w:color w:val="4BACC6"/>
              </w:rPr>
              <w:t>▬</w:t>
            </w:r>
          </w:p>
        </w:tc>
        <w:tc>
          <w:tcPr>
            <w:tcW w:w="1018" w:type="dxa"/>
            <w:tcBorders>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r>
      <w:tr w:rsidR="009F0A92" w:rsidTr="009543DB">
        <w:tc>
          <w:tcPr>
            <w:tcW w:w="1732" w:type="dxa"/>
            <w:vMerge/>
            <w:tcBorders>
              <w:left w:val="nil"/>
              <w:right w:val="nil"/>
            </w:tcBorders>
          </w:tcPr>
          <w:p w:rsidR="009F0A92" w:rsidRDefault="009F0A92" w:rsidP="009543DB">
            <w:pPr>
              <w:pStyle w:val="Tabletextheading"/>
              <w:keepNext/>
            </w:pPr>
          </w:p>
        </w:tc>
        <w:tc>
          <w:tcPr>
            <w:tcW w:w="3479" w:type="dxa"/>
            <w:tcBorders>
              <w:top w:val="nil"/>
              <w:left w:val="nil"/>
              <w:bottom w:val="nil"/>
              <w:right w:val="nil"/>
            </w:tcBorders>
          </w:tcPr>
          <w:p w:rsidR="009F0A92" w:rsidRDefault="009F0A92" w:rsidP="009543DB">
            <w:pPr>
              <w:pStyle w:val="Tabletextleft"/>
            </w:pPr>
            <w:r>
              <w:t>Taxi facilities waiting time</w:t>
            </w:r>
          </w:p>
        </w:tc>
        <w:tc>
          <w:tcPr>
            <w:tcW w:w="1418" w:type="dxa"/>
            <w:tcBorders>
              <w:top w:val="nil"/>
              <w:left w:val="nil"/>
              <w:bottom w:val="nil"/>
              <w:right w:val="nil"/>
            </w:tcBorders>
          </w:tcPr>
          <w:p w:rsidR="009F0A92" w:rsidRDefault="009F0A92" w:rsidP="009543DB">
            <w:pPr>
              <w:pStyle w:val="Tabletextleft"/>
            </w:pPr>
            <w:r>
              <w:t>Excellent</w:t>
            </w:r>
          </w:p>
        </w:tc>
        <w:tc>
          <w:tcPr>
            <w:tcW w:w="1017" w:type="dxa"/>
            <w:tcBorders>
              <w:top w:val="nil"/>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r w:rsidRPr="0044484F">
              <w:rPr>
                <w:color w:val="000000" w:themeColor="text1"/>
                <w:lang w:eastAsia="en-AU"/>
              </w:rPr>
              <w:t>*</w:t>
            </w:r>
          </w:p>
        </w:tc>
        <w:tc>
          <w:tcPr>
            <w:tcW w:w="1018" w:type="dxa"/>
            <w:tcBorders>
              <w:top w:val="nil"/>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r w:rsidRPr="0044484F">
              <w:rPr>
                <w:color w:val="000000" w:themeColor="text1"/>
                <w:lang w:eastAsia="en-AU"/>
              </w:rPr>
              <w:t>*</w:t>
            </w:r>
          </w:p>
        </w:tc>
      </w:tr>
      <w:tr w:rsidR="009F0A92" w:rsidTr="009543DB">
        <w:tc>
          <w:tcPr>
            <w:tcW w:w="1732" w:type="dxa"/>
            <w:vMerge/>
            <w:tcBorders>
              <w:left w:val="nil"/>
              <w:right w:val="nil"/>
            </w:tcBorders>
          </w:tcPr>
          <w:p w:rsidR="009F0A92" w:rsidRDefault="009F0A92" w:rsidP="009543DB">
            <w:pPr>
              <w:pStyle w:val="Tabletextheading"/>
              <w:keepNext/>
            </w:pPr>
          </w:p>
        </w:tc>
        <w:tc>
          <w:tcPr>
            <w:tcW w:w="3479" w:type="dxa"/>
            <w:tcBorders>
              <w:top w:val="nil"/>
              <w:left w:val="nil"/>
              <w:bottom w:val="single" w:sz="4" w:space="0" w:color="auto"/>
              <w:right w:val="nil"/>
            </w:tcBorders>
          </w:tcPr>
          <w:p w:rsidR="009F0A92" w:rsidRDefault="009F0A92" w:rsidP="009543DB">
            <w:pPr>
              <w:pStyle w:val="Tabletextleft"/>
            </w:pPr>
            <w:r>
              <w:t>Kerbside space congestion</w:t>
            </w:r>
          </w:p>
        </w:tc>
        <w:tc>
          <w:tcPr>
            <w:tcW w:w="1418" w:type="dxa"/>
            <w:tcBorders>
              <w:top w:val="nil"/>
              <w:left w:val="nil"/>
              <w:bottom w:val="single" w:sz="4" w:space="0" w:color="auto"/>
              <w:right w:val="nil"/>
            </w:tcBorders>
          </w:tcPr>
          <w:p w:rsidR="009F0A92" w:rsidRDefault="009F0A92" w:rsidP="009543DB">
            <w:pPr>
              <w:pStyle w:val="Tabletextleft"/>
            </w:pPr>
            <w:r>
              <w:t>Good</w:t>
            </w:r>
          </w:p>
        </w:tc>
        <w:tc>
          <w:tcPr>
            <w:tcW w:w="1017" w:type="dxa"/>
            <w:tcBorders>
              <w:top w:val="nil"/>
              <w:left w:val="nil"/>
              <w:bottom w:val="single" w:sz="4" w:space="0" w:color="auto"/>
              <w:right w:val="nil"/>
            </w:tcBorders>
          </w:tcPr>
          <w:p w:rsidR="009F0A92" w:rsidRDefault="009F0A92" w:rsidP="009543DB">
            <w:pPr>
              <w:pStyle w:val="Tabletextleft"/>
            </w:pPr>
            <w:r>
              <w:rPr>
                <w:rFonts w:cs="Arial"/>
                <w:color w:val="4BACC6"/>
              </w:rPr>
              <w:t>▬</w:t>
            </w:r>
          </w:p>
        </w:tc>
        <w:tc>
          <w:tcPr>
            <w:tcW w:w="1018"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r>
      <w:tr w:rsidR="009F0A92" w:rsidTr="009543DB">
        <w:tc>
          <w:tcPr>
            <w:tcW w:w="1732" w:type="dxa"/>
            <w:vMerge w:val="restart"/>
            <w:tcBorders>
              <w:left w:val="nil"/>
              <w:right w:val="nil"/>
            </w:tcBorders>
          </w:tcPr>
          <w:p w:rsidR="009F0A92" w:rsidRDefault="009F0A92" w:rsidP="009543DB">
            <w:pPr>
              <w:pStyle w:val="Tabletextheading"/>
              <w:keepNext/>
            </w:pPr>
            <w:r>
              <w:t>Domestic</w:t>
            </w:r>
          </w:p>
        </w:tc>
        <w:tc>
          <w:tcPr>
            <w:tcW w:w="3479" w:type="dxa"/>
            <w:tcBorders>
              <w:top w:val="single" w:sz="4" w:space="0" w:color="auto"/>
              <w:left w:val="nil"/>
              <w:bottom w:val="nil"/>
              <w:right w:val="nil"/>
            </w:tcBorders>
          </w:tcPr>
          <w:p w:rsidR="009F0A92" w:rsidRDefault="009F0A92" w:rsidP="009543DB">
            <w:pPr>
              <w:pStyle w:val="Tabletextleft"/>
            </w:pPr>
            <w:r>
              <w:t>Kerbside pick-up and drop-off facilities</w:t>
            </w:r>
          </w:p>
        </w:tc>
        <w:tc>
          <w:tcPr>
            <w:tcW w:w="1418" w:type="dxa"/>
            <w:tcBorders>
              <w:top w:val="single" w:sz="4" w:space="0" w:color="auto"/>
              <w:left w:val="nil"/>
              <w:bottom w:val="nil"/>
              <w:right w:val="nil"/>
            </w:tcBorders>
          </w:tcPr>
          <w:p w:rsidR="009F0A92" w:rsidRDefault="009F0A92" w:rsidP="009543DB">
            <w:pPr>
              <w:pStyle w:val="Tabletextleft"/>
            </w:pPr>
            <w:r>
              <w:t>Good</w:t>
            </w:r>
          </w:p>
        </w:tc>
        <w:tc>
          <w:tcPr>
            <w:tcW w:w="1017" w:type="dxa"/>
            <w:tcBorders>
              <w:top w:val="single" w:sz="4" w:space="0" w:color="auto"/>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top w:val="single" w:sz="4" w:space="0" w:color="auto"/>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r>
      <w:tr w:rsidR="009F0A92" w:rsidTr="009543DB">
        <w:tc>
          <w:tcPr>
            <w:tcW w:w="1732" w:type="dxa"/>
            <w:vMerge/>
            <w:tcBorders>
              <w:left w:val="nil"/>
              <w:right w:val="nil"/>
            </w:tcBorders>
          </w:tcPr>
          <w:p w:rsidR="009F0A92" w:rsidRDefault="009F0A92" w:rsidP="009543DB">
            <w:pPr>
              <w:pStyle w:val="Tabletextheading"/>
              <w:keepNext/>
            </w:pPr>
          </w:p>
        </w:tc>
        <w:tc>
          <w:tcPr>
            <w:tcW w:w="3479" w:type="dxa"/>
            <w:tcBorders>
              <w:top w:val="nil"/>
              <w:left w:val="nil"/>
              <w:bottom w:val="nil"/>
              <w:right w:val="nil"/>
            </w:tcBorders>
          </w:tcPr>
          <w:p w:rsidR="009F0A92" w:rsidRDefault="009F0A92" w:rsidP="009543DB">
            <w:pPr>
              <w:pStyle w:val="Tabletextleft"/>
            </w:pPr>
            <w:r>
              <w:t>Taxi facilities waiting time</w:t>
            </w:r>
          </w:p>
        </w:tc>
        <w:tc>
          <w:tcPr>
            <w:tcW w:w="1418" w:type="dxa"/>
            <w:tcBorders>
              <w:top w:val="nil"/>
              <w:left w:val="nil"/>
              <w:bottom w:val="nil"/>
              <w:right w:val="nil"/>
            </w:tcBorders>
          </w:tcPr>
          <w:p w:rsidR="009F0A92" w:rsidRDefault="009F0A92" w:rsidP="009543DB">
            <w:pPr>
              <w:pStyle w:val="Tabletextleft"/>
            </w:pPr>
            <w:r>
              <w:t>Good</w:t>
            </w:r>
          </w:p>
        </w:tc>
        <w:tc>
          <w:tcPr>
            <w:tcW w:w="1017" w:type="dxa"/>
            <w:tcBorders>
              <w:top w:val="nil"/>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top w:val="nil"/>
              <w:left w:val="nil"/>
              <w:bottom w:val="nil"/>
              <w:right w:val="nil"/>
            </w:tcBorders>
          </w:tcPr>
          <w:p w:rsidR="009F0A92" w:rsidRDefault="009F0A92" w:rsidP="009543DB">
            <w:pPr>
              <w:pStyle w:val="Tabletextleft"/>
            </w:pPr>
            <w:r w:rsidRPr="00F617F8">
              <w:rPr>
                <w:rFonts w:eastAsia="Times New Roman" w:cs="Times New Roman"/>
                <w:color w:val="943634"/>
                <w:szCs w:val="24"/>
                <w:lang w:eastAsia="en-AU"/>
              </w:rPr>
              <w:t>▲</w:t>
            </w:r>
          </w:p>
        </w:tc>
      </w:tr>
      <w:tr w:rsidR="009F0A92" w:rsidTr="009543DB">
        <w:tc>
          <w:tcPr>
            <w:tcW w:w="1732" w:type="dxa"/>
            <w:vMerge/>
            <w:tcBorders>
              <w:left w:val="nil"/>
              <w:bottom w:val="single" w:sz="4" w:space="0" w:color="auto"/>
              <w:right w:val="nil"/>
            </w:tcBorders>
          </w:tcPr>
          <w:p w:rsidR="009F0A92" w:rsidRDefault="009F0A92" w:rsidP="009543DB">
            <w:pPr>
              <w:pStyle w:val="Tabletextheading"/>
            </w:pPr>
          </w:p>
        </w:tc>
        <w:tc>
          <w:tcPr>
            <w:tcW w:w="3479" w:type="dxa"/>
            <w:tcBorders>
              <w:top w:val="nil"/>
              <w:left w:val="nil"/>
              <w:bottom w:val="single" w:sz="4" w:space="0" w:color="auto"/>
              <w:right w:val="nil"/>
            </w:tcBorders>
          </w:tcPr>
          <w:p w:rsidR="009F0A92" w:rsidRDefault="009F0A92" w:rsidP="009543DB">
            <w:pPr>
              <w:pStyle w:val="Tabletextleft"/>
            </w:pPr>
            <w:r>
              <w:t>Kerbside space congestion</w:t>
            </w:r>
          </w:p>
        </w:tc>
        <w:tc>
          <w:tcPr>
            <w:tcW w:w="1418" w:type="dxa"/>
            <w:tcBorders>
              <w:top w:val="nil"/>
              <w:left w:val="nil"/>
              <w:bottom w:val="single" w:sz="4" w:space="0" w:color="auto"/>
              <w:right w:val="nil"/>
            </w:tcBorders>
          </w:tcPr>
          <w:p w:rsidR="009F0A92" w:rsidRDefault="009F0A92" w:rsidP="009543DB">
            <w:pPr>
              <w:pStyle w:val="Tabletextleft"/>
            </w:pPr>
            <w:r>
              <w:t>Good</w:t>
            </w:r>
          </w:p>
        </w:tc>
        <w:tc>
          <w:tcPr>
            <w:tcW w:w="1017"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c>
          <w:tcPr>
            <w:tcW w:w="1018" w:type="dxa"/>
            <w:tcBorders>
              <w:top w:val="nil"/>
              <w:left w:val="nil"/>
              <w:bottom w:val="single" w:sz="4" w:space="0" w:color="auto"/>
              <w:right w:val="nil"/>
            </w:tcBorders>
          </w:tcPr>
          <w:p w:rsidR="009F0A92" w:rsidRDefault="009F0A92" w:rsidP="009543DB">
            <w:pPr>
              <w:pStyle w:val="Tabletextleft"/>
            </w:pPr>
            <w:r w:rsidRPr="00F617F8">
              <w:rPr>
                <w:rFonts w:eastAsia="Times New Roman" w:cs="Times New Roman"/>
                <w:color w:val="943634"/>
                <w:szCs w:val="24"/>
                <w:lang w:eastAsia="en-AU"/>
              </w:rPr>
              <w:t>▲</w:t>
            </w:r>
          </w:p>
        </w:tc>
      </w:tr>
    </w:tbl>
    <w:p w:rsidR="009F0A92" w:rsidRDefault="009F0A92" w:rsidP="009F0A92">
      <w:pPr>
        <w:pStyle w:val="Sourceandnotes"/>
      </w:pPr>
      <w:r>
        <w:t>Note:</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p>
    <w:p w:rsidR="009F0A92" w:rsidRPr="00004294" w:rsidRDefault="009F0A92" w:rsidP="009F0A92">
      <w:pPr>
        <w:rPr>
          <w:i/>
        </w:rPr>
      </w:pPr>
      <w:r>
        <w:rPr>
          <w:i/>
        </w:rPr>
        <w:t>Landside operator ratings</w:t>
      </w:r>
    </w:p>
    <w:p w:rsidR="009F0A92" w:rsidRDefault="009F0A92" w:rsidP="009F0A92">
      <w:r>
        <w:t>In 2014</w:t>
      </w:r>
      <w:r>
        <w:noBreakHyphen/>
        <w:t>15, Brisbane Airport provided 60 designated spaces for passenger pick</w:t>
      </w:r>
      <w:r>
        <w:noBreakHyphen/>
        <w:t>up and drop</w:t>
      </w:r>
      <w:r>
        <w:noBreakHyphen/>
        <w:t>off for landside operators at the international terminal, and 172 spaces at the domestic terminal. Landside operators include taxis, buses and off</w:t>
      </w:r>
      <w:r>
        <w:noBreakHyphen/>
        <w:t>airport car parking operators.</w:t>
      </w:r>
    </w:p>
    <w:p w:rsidR="009F0A92" w:rsidRDefault="009F0A92" w:rsidP="009F0A92">
      <w:r>
        <w:lastRenderedPageBreak/>
        <w:t>The overall average rating from landside operator responses of Brisbane Airport’s landside services and facilities was ‘satisfactory’ in 2014</w:t>
      </w:r>
      <w:r>
        <w:noBreakHyphen/>
        <w:t>15. The overall average rating is unchanged from 2013</w:t>
      </w:r>
      <w:r>
        <w:noBreakHyphen/>
        <w:t>14.</w:t>
      </w:r>
    </w:p>
    <w:p w:rsidR="009F0A92" w:rsidRDefault="009F0A92" w:rsidP="009F0A92">
      <w:r>
        <w:t>Commentary received from off</w:t>
      </w:r>
      <w:r>
        <w:noBreakHyphen/>
        <w:t>airport parking operators indicated that things have not changed materially at Brisbane Airport during 2014</w:t>
      </w:r>
      <w:r>
        <w:noBreakHyphen/>
        <w:t>15 and that the same issues remain relevant. In particular, off</w:t>
      </w:r>
      <w:r>
        <w:noBreakHyphen/>
        <w:t>airport parking operators said that pick</w:t>
      </w:r>
      <w:r>
        <w:noBreakHyphen/>
        <w:t xml:space="preserve">up points are inconvenient and that Brisbane Airport refuses to erect signage to indicate to their customers where these services are located in the airport precinct. In response, Brisbane Airport said that it had no requests for off-airport car parking signage in the past 12 months. Brisbane Airport also stated that it did not want to brand a common user area. </w:t>
      </w:r>
    </w:p>
    <w:p w:rsidR="009F0A92" w:rsidRDefault="009F0A92" w:rsidP="009F0A92">
      <w:r>
        <w:t>Industry groups were positive about their experiences at Brisbane Airport, noting that the standard of facilities is high and that the current availability of kerbside space is sufficient to cater for passengers.</w:t>
      </w:r>
    </w:p>
    <w:p w:rsidR="009F0A92" w:rsidRDefault="009F0A92" w:rsidP="009F0A92">
      <w:r>
        <w:t>In terms of management responsiveness, industry groups stated that Brisbane Airport works closely with the industries and have regular meetings to address concerns and issues. However, off</w:t>
      </w:r>
      <w:r>
        <w:noBreakHyphen/>
        <w:t>airport parking operators commented that Brisbane Airport is unresponsive to their needs and have poor communication. Off</w:t>
      </w:r>
      <w:r>
        <w:noBreakHyphen/>
        <w:t xml:space="preserve">airport parking operators suggested that there used to be regular meetings, which no longer occur. Brisbane Airport said in response that operators have failed to attend recent scheduled meetings.  </w:t>
      </w:r>
    </w:p>
    <w:p w:rsidR="009F0A92" w:rsidRDefault="009F0A92" w:rsidP="009F0A92">
      <w:r>
        <w:t>Of concern to off</w:t>
      </w:r>
      <w:r>
        <w:noBreakHyphen/>
        <w:t>airport parking operators is their view that Brisbane Airport does not make decisions on access terms and conditions in a fair and reasonable way.</w:t>
      </w:r>
    </w:p>
    <w:p w:rsidR="009F0A92" w:rsidRDefault="009F0A92" w:rsidP="009F0A92"/>
    <w:p w:rsidR="009F0A92" w:rsidRDefault="009F0A92" w:rsidP="009F0A92"/>
    <w:p w:rsidR="009F0A92" w:rsidRDefault="009F0A92" w:rsidP="009F0A92"/>
    <w:p w:rsidR="009F0A92" w:rsidRDefault="009F0A92" w:rsidP="009F0A92"/>
    <w:p w:rsidR="009F0A92" w:rsidRDefault="009F0A92" w:rsidP="009F0A92"/>
    <w:p w:rsidR="009F0A92" w:rsidRDefault="009F0A92" w:rsidP="009F0A92"/>
    <w:p w:rsidR="009543DB" w:rsidRDefault="009543DB" w:rsidP="009F0A92"/>
    <w:p w:rsidR="009543DB" w:rsidRDefault="009543DB" w:rsidP="009F0A92"/>
    <w:p w:rsidR="009543DB" w:rsidRDefault="009543DB" w:rsidP="009F0A92"/>
    <w:p w:rsidR="009543DB" w:rsidRDefault="009543DB" w:rsidP="009F0A92"/>
    <w:p w:rsidR="009543DB" w:rsidRDefault="009543DB" w:rsidP="009F0A92"/>
    <w:p w:rsidR="009543DB" w:rsidRDefault="009543DB" w:rsidP="009F0A92"/>
    <w:p w:rsidR="009543DB" w:rsidRDefault="009543DB" w:rsidP="009F0A92"/>
    <w:p w:rsidR="009543DB" w:rsidRDefault="009543DB" w:rsidP="009F0A92"/>
    <w:p w:rsidR="009543DB" w:rsidRDefault="009543DB" w:rsidP="009F0A92"/>
    <w:p w:rsidR="009543DB" w:rsidRDefault="009543DB" w:rsidP="009F0A92">
      <w:pPr>
        <w:sectPr w:rsidR="009543DB" w:rsidSect="008C69ED">
          <w:type w:val="continuous"/>
          <w:pgSz w:w="11906" w:h="16838"/>
          <w:pgMar w:top="1440" w:right="1729" w:bottom="1582" w:left="1729" w:header="709" w:footer="709" w:gutter="0"/>
          <w:cols w:space="708"/>
          <w:docGrid w:linePitch="360"/>
        </w:sectPr>
      </w:pPr>
    </w:p>
    <w:p w:rsidR="009543DB" w:rsidRDefault="009543DB" w:rsidP="00F14A07">
      <w:pPr>
        <w:pStyle w:val="Numberedheading1"/>
        <w:keepNext/>
      </w:pPr>
      <w:r>
        <w:lastRenderedPageBreak/>
        <w:t>Melbourne Airport</w:t>
      </w:r>
    </w:p>
    <w:p w:rsidR="00F14A07" w:rsidRPr="00F14A07" w:rsidRDefault="00F14A07" w:rsidP="00F14A07">
      <w:pPr>
        <w:pStyle w:val="Listbullet1"/>
        <w:keepNext/>
        <w:numPr>
          <w:ilvl w:val="0"/>
          <w:numId w:val="0"/>
        </w:numPr>
        <w:shd w:val="clear" w:color="auto" w:fill="DFE0DC"/>
        <w:rPr>
          <w:rFonts w:ascii="Lucida Fax" w:eastAsiaTheme="majorEastAsia" w:hAnsi="Lucida Fax" w:cstheme="majorBidi"/>
          <w:bCs/>
          <w:color w:val="51626F"/>
          <w:sz w:val="28"/>
          <w:szCs w:val="28"/>
        </w:rPr>
      </w:pPr>
      <w:r w:rsidRPr="00F14A07">
        <w:rPr>
          <w:rFonts w:ascii="Lucida Fax" w:eastAsiaTheme="majorEastAsia" w:hAnsi="Lucida Fax" w:cstheme="majorBidi"/>
          <w:bCs/>
          <w:color w:val="51626F"/>
          <w:sz w:val="28"/>
          <w:szCs w:val="28"/>
        </w:rPr>
        <w:t>Key points—2014-15</w:t>
      </w:r>
    </w:p>
    <w:p w:rsidR="009543DB" w:rsidRPr="001932E6" w:rsidRDefault="009543DB" w:rsidP="00F14A07">
      <w:pPr>
        <w:pStyle w:val="Listbullet1"/>
        <w:keepNext/>
        <w:shd w:val="clear" w:color="auto" w:fill="DFE0DC"/>
      </w:pPr>
      <w:r w:rsidRPr="001932E6">
        <w:t>Melbourne Airport’s passenger numbers increased by 3.6 per cent to 32.3 million.</w:t>
      </w:r>
    </w:p>
    <w:p w:rsidR="009543DB" w:rsidRPr="001932E6" w:rsidRDefault="009543DB" w:rsidP="00F14A07">
      <w:pPr>
        <w:pStyle w:val="Listbullet1"/>
        <w:keepNext/>
        <w:shd w:val="clear" w:color="auto" w:fill="DFE0DC"/>
      </w:pPr>
      <w:r w:rsidRPr="001932E6">
        <w:t xml:space="preserve">Total aeronautical revenue increased by 7.7 per cent in real terms to $338.2 million, while aeronautical </w:t>
      </w:r>
      <w:r>
        <w:t>aggregate</w:t>
      </w:r>
      <w:r w:rsidRPr="001932E6">
        <w:t xml:space="preserve"> margin increased by 3.4 per cent in real terms to $146.8 million.</w:t>
      </w:r>
      <w:r>
        <w:t xml:space="preserve"> This equated to a profit of 43.4 cents for each dollar of aeronautical revenue.</w:t>
      </w:r>
    </w:p>
    <w:p w:rsidR="009543DB" w:rsidRPr="001932E6" w:rsidRDefault="009543DB" w:rsidP="00F14A07">
      <w:pPr>
        <w:pStyle w:val="Listbullet1"/>
        <w:keepNext/>
        <w:shd w:val="clear" w:color="auto" w:fill="DFE0DC"/>
      </w:pPr>
      <w:r w:rsidRPr="001932E6">
        <w:t>Rate of return on tangible aeronautical non</w:t>
      </w:r>
      <w:r w:rsidRPr="001932E6">
        <w:noBreakHyphen/>
        <w:t>current assets decreased by 1.9 percentage points to 9.2 per cent.</w:t>
      </w:r>
    </w:p>
    <w:p w:rsidR="009543DB" w:rsidRPr="006B740F" w:rsidRDefault="009543DB" w:rsidP="00F14A07">
      <w:pPr>
        <w:pStyle w:val="Listbullet1"/>
        <w:keepNext/>
        <w:numPr>
          <w:ilvl w:val="0"/>
          <w:numId w:val="17"/>
        </w:numPr>
        <w:shd w:val="clear" w:color="auto" w:fill="DFE0DC"/>
        <w:ind w:left="357" w:hanging="357"/>
      </w:pPr>
      <w:r w:rsidRPr="00D96E87">
        <w:t>Total aeronautical capital expenditure was $483.7 million</w:t>
      </w:r>
      <w:r>
        <w:t xml:space="preserve">, </w:t>
      </w:r>
      <w:r w:rsidRPr="00F808E8">
        <w:t xml:space="preserve">representing the largest yearly spend since privatisation. </w:t>
      </w:r>
    </w:p>
    <w:p w:rsidR="009543DB" w:rsidRPr="007B11C3" w:rsidRDefault="009543DB" w:rsidP="00F14A07">
      <w:pPr>
        <w:pStyle w:val="Listbullet1"/>
        <w:keepNext/>
        <w:shd w:val="clear" w:color="auto" w:fill="DFE0DC"/>
      </w:pPr>
      <w:r w:rsidRPr="007B11C3">
        <w:t xml:space="preserve">Melbourne Airport’s average overall quality of service rating </w:t>
      </w:r>
      <w:r>
        <w:t>remained</w:t>
      </w:r>
      <w:r w:rsidRPr="007B11C3">
        <w:t xml:space="preserve"> at ‘satisfactory’.</w:t>
      </w:r>
      <w:r>
        <w:t xml:space="preserve"> Its performance was equal lowest (with Sydney) of the four airports. </w:t>
      </w:r>
    </w:p>
    <w:p w:rsidR="009543DB" w:rsidRPr="001932E6" w:rsidRDefault="009543DB" w:rsidP="00F14A07">
      <w:pPr>
        <w:pStyle w:val="Listbullet1"/>
        <w:keepNext/>
        <w:shd w:val="clear" w:color="auto" w:fill="DFE0DC"/>
      </w:pPr>
      <w:r w:rsidRPr="001932E6">
        <w:t xml:space="preserve">Total car parking </w:t>
      </w:r>
      <w:r>
        <w:t>aggregate</w:t>
      </w:r>
      <w:r w:rsidRPr="001932E6">
        <w:t xml:space="preserve"> margin increased by 21.6 per cent in real terms to $107.6 million.</w:t>
      </w:r>
      <w:r>
        <w:t xml:space="preserve"> The airport made a profit of 73.2 cents for each dollar of car parking revenue.</w:t>
      </w:r>
    </w:p>
    <w:p w:rsidR="009543DB" w:rsidRDefault="009543DB" w:rsidP="00F14A07">
      <w:pPr>
        <w:pStyle w:val="Numberedheading2"/>
      </w:pPr>
      <w:r>
        <w:t>Airport overview and major investments</w:t>
      </w:r>
    </w:p>
    <w:p w:rsidR="009543DB" w:rsidRDefault="009543DB" w:rsidP="00F14A07">
      <w:pPr>
        <w:keepNext/>
      </w:pPr>
      <w:r>
        <w:t>This section outlines information about Melbourne Airport, as well as activity and investment during 2014</w:t>
      </w:r>
      <w:r>
        <w:noBreakHyphen/>
        <w:t>15. This includes passenger/traffic levels (Section 3.1.1), terminal configurations and car parking facilities (Section 3.1.2), and major airport investments (Section 3.1.3).</w:t>
      </w:r>
    </w:p>
    <w:p w:rsidR="009543DB" w:rsidRDefault="009543DB" w:rsidP="00F14A07">
      <w:pPr>
        <w:pStyle w:val="Numberedheading3"/>
      </w:pPr>
      <w:r>
        <w:t>Activity levels</w:t>
      </w:r>
    </w:p>
    <w:p w:rsidR="009543DB" w:rsidRDefault="009543DB" w:rsidP="00F14A07">
      <w:pPr>
        <w:keepNext/>
      </w:pPr>
      <w:r>
        <w:t>Chart 3.1.1 shows that total passenger volumes increased by 3.6 per cent at Melbourne Airport during 2014</w:t>
      </w:r>
      <w:r>
        <w:noBreakHyphen/>
        <w:t>15 to reach 32.3 million. This is the highest annual growth reported by Melbourne Airport and places it behind only Sydney Airport in terms of patronage.</w:t>
      </w:r>
    </w:p>
    <w:p w:rsidR="009543DB" w:rsidRDefault="009543DB" w:rsidP="00F14A07">
      <w:pPr>
        <w:keepNext/>
      </w:pPr>
      <w:r>
        <w:t>Passenger growth in 2014</w:t>
      </w:r>
      <w:r>
        <w:noBreakHyphen/>
        <w:t>15 was largely driven by a 7.7 per cent increase in international passengers (including transit) during the year. Domestic passenger numbers (including on</w:t>
      </w:r>
      <w:r>
        <w:noBreakHyphen/>
        <w:t>carriage) also increased in 2014</w:t>
      </w:r>
      <w:r>
        <w:noBreakHyphen/>
        <w:t>15, by 2.2 per cent.</w:t>
      </w:r>
    </w:p>
    <w:p w:rsidR="009543DB" w:rsidRPr="006B740F" w:rsidRDefault="009543DB" w:rsidP="00F14A07">
      <w:pPr>
        <w:keepNext/>
        <w:rPr>
          <w:b/>
          <w:i/>
          <w:color w:val="FF0000"/>
          <w:u w:val="single"/>
        </w:rPr>
      </w:pPr>
      <w:r>
        <w:t>Total aircraft movements increased by 2.5 per cent during 2014-15. Domestic aircraft movements were relatively flat with a small increase of 1.6 per cent. However, international aircraft movements increased by 5.4 per during 2014-15. General aviation aircraft movements increased by 38.9 per cent during 2014</w:t>
      </w:r>
      <w:r>
        <w:noBreakHyphen/>
        <w:t>15 to 1,320, following a decline in these movements in 2013</w:t>
      </w:r>
      <w:r>
        <w:noBreakHyphen/>
        <w:t xml:space="preserve">14. </w:t>
      </w:r>
    </w:p>
    <w:p w:rsidR="009543DB" w:rsidRDefault="009543DB" w:rsidP="009543DB">
      <w:pPr>
        <w:keepNext/>
      </w:pPr>
    </w:p>
    <w:p w:rsidR="009543DB" w:rsidRDefault="009543DB" w:rsidP="009543DB">
      <w:pPr>
        <w:keepNext/>
      </w:pPr>
    </w:p>
    <w:p w:rsidR="009543DB" w:rsidRDefault="009543DB" w:rsidP="009543DB">
      <w:pPr>
        <w:keepNext/>
      </w:pPr>
    </w:p>
    <w:p w:rsidR="009543DB" w:rsidRDefault="009543DB" w:rsidP="009543DB">
      <w:pPr>
        <w:keepNext/>
      </w:pPr>
    </w:p>
    <w:p w:rsidR="009543DB" w:rsidRDefault="009543DB" w:rsidP="009543DB">
      <w:pPr>
        <w:pStyle w:val="Numberedcharttitle"/>
      </w:pPr>
    </w:p>
    <w:p w:rsidR="009543DB" w:rsidRDefault="009543DB" w:rsidP="009543DB">
      <w:pPr>
        <w:pStyle w:val="Numberedcharttitle"/>
      </w:pPr>
      <w:r>
        <w:lastRenderedPageBreak/>
        <w:t>Chart 3.1.1:</w:t>
      </w:r>
      <w:r>
        <w:tab/>
        <w:t>Melbourne Airport—volume of passengers, tonnes landed and aircraft movements: 2004</w:t>
      </w:r>
      <w:r>
        <w:noBreakHyphen/>
        <w:t>05 to 2014</w:t>
      </w:r>
      <w:r>
        <w:noBreakHyphen/>
        <w:t>15</w:t>
      </w:r>
      <w:r>
        <w:rPr>
          <w:rStyle w:val="FootnoteReference"/>
        </w:rPr>
        <w:footnoteReference w:id="103"/>
      </w:r>
    </w:p>
    <w:p w:rsidR="009543DB" w:rsidRDefault="009543DB" w:rsidP="009543DB">
      <w:pPr>
        <w:keepNext/>
      </w:pPr>
      <w:r w:rsidRPr="00D46470">
        <w:rPr>
          <w:noProof/>
          <w:lang w:eastAsia="en-AU"/>
        </w:rPr>
        <w:drawing>
          <wp:inline distT="0" distB="0" distL="0" distR="0" wp14:anchorId="0944930C" wp14:editId="26C9F812">
            <wp:extent cx="5357003" cy="2932982"/>
            <wp:effectExtent l="0" t="0" r="0"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64480" cy="2937076"/>
                    </a:xfrm>
                    <a:prstGeom prst="rect">
                      <a:avLst/>
                    </a:prstGeom>
                    <a:noFill/>
                    <a:ln>
                      <a:noFill/>
                    </a:ln>
                  </pic:spPr>
                </pic:pic>
              </a:graphicData>
            </a:graphic>
          </wp:inline>
        </w:drawing>
      </w:r>
    </w:p>
    <w:p w:rsidR="009543DB" w:rsidRDefault="009543DB" w:rsidP="009543DB">
      <w:pPr>
        <w:pStyle w:val="Numberedheading3"/>
      </w:pPr>
      <w:r>
        <w:t>Terminal configurations and car parking facilities</w:t>
      </w:r>
    </w:p>
    <w:p w:rsidR="009543DB" w:rsidRDefault="009543DB" w:rsidP="009543DB">
      <w:pPr>
        <w:pStyle w:val="Numberedheading4"/>
        <w:keepNext/>
      </w:pPr>
      <w:r>
        <w:t>Terminal configurations</w:t>
      </w:r>
    </w:p>
    <w:p w:rsidR="009543DB" w:rsidRPr="00722042" w:rsidRDefault="009543DB" w:rsidP="009543DB">
      <w:pPr>
        <w:keepNext/>
      </w:pPr>
      <w:r w:rsidRPr="00722042">
        <w:t>Melbourne Airport has one international terminal and three domestic terminals:</w:t>
      </w:r>
    </w:p>
    <w:p w:rsidR="009543DB" w:rsidRPr="00722042" w:rsidRDefault="009543DB" w:rsidP="009543DB">
      <w:pPr>
        <w:pStyle w:val="Listbullet1"/>
        <w:keepNext/>
      </w:pPr>
      <w:r w:rsidRPr="00722042">
        <w:t>Terminal 1 (T1) is occupied and operated by Qantas under a domestic terminal lease (DTL)</w:t>
      </w:r>
      <w:r>
        <w:t>. This terminal i</w:t>
      </w:r>
      <w:r w:rsidRPr="00722042">
        <w:t>s not subject to monitoring</w:t>
      </w:r>
      <w:r>
        <w:t xml:space="preserve"> and is </w:t>
      </w:r>
      <w:r w:rsidRPr="00722042">
        <w:t>not included in the ACCC’s monitoring results.</w:t>
      </w:r>
    </w:p>
    <w:p w:rsidR="009543DB" w:rsidRDefault="009543DB" w:rsidP="009543DB">
      <w:pPr>
        <w:pStyle w:val="Listbullet1"/>
        <w:keepNext/>
      </w:pPr>
      <w:r w:rsidRPr="00722042">
        <w:t xml:space="preserve">The international terminal (T2) is a common user terminal used by all international airlines flying to and from Melbourne Airport. </w:t>
      </w:r>
    </w:p>
    <w:p w:rsidR="009543DB" w:rsidRPr="00722042" w:rsidRDefault="009543DB" w:rsidP="009543DB">
      <w:pPr>
        <w:pStyle w:val="Listbullet1"/>
        <w:keepNext/>
      </w:pPr>
      <w:r w:rsidRPr="00722042">
        <w:t xml:space="preserve">Terminal 3 (T3) is a common user domestic terminal that is currently used by Virgin Australia and Regional Express. </w:t>
      </w:r>
    </w:p>
    <w:p w:rsidR="009543DB" w:rsidRPr="00722042" w:rsidRDefault="009543DB" w:rsidP="009543DB">
      <w:pPr>
        <w:pStyle w:val="Listbullet1"/>
        <w:keepNext/>
      </w:pPr>
      <w:r w:rsidRPr="00722042">
        <w:t>Terminal 4 (T4) is a common user domestic terminal that has been used by Tigerair since November 2007.</w:t>
      </w:r>
    </w:p>
    <w:p w:rsidR="009543DB" w:rsidRDefault="009543DB" w:rsidP="009543DB">
      <w:pPr>
        <w:pStyle w:val="Numberedheading4"/>
        <w:keepNext/>
      </w:pPr>
      <w:r>
        <w:t>Car parking facilities</w:t>
      </w:r>
    </w:p>
    <w:p w:rsidR="009543DB" w:rsidRDefault="009543DB" w:rsidP="009543DB">
      <w:pPr>
        <w:keepNext/>
      </w:pPr>
      <w:r w:rsidRPr="00722042">
        <w:t xml:space="preserve">Melbourne Airport provides multiple car parking facilities that are combined for both domestic and international passengers. </w:t>
      </w:r>
      <w:r>
        <w:t xml:space="preserve">This </w:t>
      </w:r>
      <w:r w:rsidRPr="009B6FA0">
        <w:t>included undercover short</w:t>
      </w:r>
      <w:r>
        <w:t xml:space="preserve"> </w:t>
      </w:r>
      <w:r w:rsidRPr="009B6FA0">
        <w:t>term and multi-level long term parking opposite the terminals</w:t>
      </w:r>
      <w:r>
        <w:t xml:space="preserve">. There is also </w:t>
      </w:r>
      <w:r w:rsidRPr="009B6FA0">
        <w:t xml:space="preserve">a long term car park </w:t>
      </w:r>
      <w:r>
        <w:t xml:space="preserve">which is </w:t>
      </w:r>
      <w:r w:rsidRPr="009B6FA0">
        <w:t>serviced by a shuttle bus</w:t>
      </w:r>
      <w:r>
        <w:t>. Other car parks include</w:t>
      </w:r>
      <w:r w:rsidRPr="009B6FA0">
        <w:t xml:space="preserve"> an additional overflow car park operated at peak times (Value Long Stay car park) and a business car park within walking distance of the terminals.</w:t>
      </w:r>
      <w:r>
        <w:t xml:space="preserve"> The Business Car Park was incorporated into the multi-level long term car park. </w:t>
      </w:r>
    </w:p>
    <w:p w:rsidR="009543DB" w:rsidRDefault="009543DB" w:rsidP="009543DB">
      <w:pPr>
        <w:keepNext/>
      </w:pPr>
    </w:p>
    <w:p w:rsidR="009543DB" w:rsidRDefault="009543DB" w:rsidP="009543DB">
      <w:pPr>
        <w:keepNext/>
      </w:pPr>
    </w:p>
    <w:p w:rsidR="009543DB" w:rsidRPr="006B740F" w:rsidRDefault="009543DB" w:rsidP="009543DB">
      <w:pPr>
        <w:keepNext/>
        <w:rPr>
          <w:i/>
          <w:color w:val="FF0000"/>
          <w:u w:val="single"/>
        </w:rPr>
      </w:pPr>
    </w:p>
    <w:p w:rsidR="009543DB" w:rsidRDefault="009543DB" w:rsidP="009543DB">
      <w:pPr>
        <w:pStyle w:val="Numberedheading3"/>
      </w:pPr>
      <w:r>
        <w:lastRenderedPageBreak/>
        <w:t>Major airport investments</w:t>
      </w:r>
    </w:p>
    <w:p w:rsidR="009543DB" w:rsidRDefault="009543DB" w:rsidP="009543DB">
      <w:pPr>
        <w:keepNext/>
      </w:pPr>
      <w:r>
        <w:t>Table 3.1.1 provides details of major aeronautical investments that have been completed, commenced or planned during 2014</w:t>
      </w:r>
      <w:r>
        <w:noBreakHyphen/>
        <w:t>15. The Australian Government approved Melbourne Airport’s latest Master Plan</w:t>
      </w:r>
      <w:r>
        <w:rPr>
          <w:rStyle w:val="FootnoteReference"/>
        </w:rPr>
        <w:footnoteReference w:id="104"/>
      </w:r>
      <w:r>
        <w:t xml:space="preserve"> on 18 December 2013.</w:t>
      </w:r>
      <w:r>
        <w:rPr>
          <w:rStyle w:val="FootnoteReference"/>
        </w:rPr>
        <w:footnoteReference w:id="105"/>
      </w:r>
      <w:r w:rsidRPr="005B46AA">
        <w:t xml:space="preserve"> </w:t>
      </w:r>
    </w:p>
    <w:p w:rsidR="009543DB" w:rsidRDefault="009543DB" w:rsidP="009543DB">
      <w:pPr>
        <w:pStyle w:val="Numberedcharttitle"/>
      </w:pPr>
      <w:r>
        <w:t>Table 3</w:t>
      </w:r>
      <w:r w:rsidRPr="00FE72C4">
        <w:t>.1.1:</w:t>
      </w:r>
      <w:r w:rsidRPr="00FE72C4">
        <w:tab/>
      </w:r>
      <w:r>
        <w:t>Melbourn</w:t>
      </w:r>
      <w:r w:rsidRPr="00FE72C4">
        <w:t>e Airport—major investments in aeronautical services and facilities</w:t>
      </w:r>
    </w:p>
    <w:tbl>
      <w:tblPr>
        <w:tblStyle w:val="TableGrid"/>
        <w:tblW w:w="0" w:type="auto"/>
        <w:tblLayout w:type="fixed"/>
        <w:tblLook w:val="04A0" w:firstRow="1" w:lastRow="0" w:firstColumn="1" w:lastColumn="0" w:noHBand="0" w:noVBand="1"/>
      </w:tblPr>
      <w:tblGrid>
        <w:gridCol w:w="5070"/>
        <w:gridCol w:w="1185"/>
        <w:gridCol w:w="1185"/>
        <w:gridCol w:w="1186"/>
      </w:tblGrid>
      <w:tr w:rsidR="009543DB" w:rsidTr="009543DB">
        <w:trPr>
          <w:tblHeader/>
        </w:trPr>
        <w:tc>
          <w:tcPr>
            <w:tcW w:w="5070" w:type="dxa"/>
            <w:tcBorders>
              <w:left w:val="nil"/>
              <w:bottom w:val="single" w:sz="4" w:space="0" w:color="auto"/>
              <w:right w:val="nil"/>
            </w:tcBorders>
            <w:shd w:val="clear" w:color="auto" w:fill="DFE0DC"/>
          </w:tcPr>
          <w:p w:rsidR="009543DB" w:rsidRDefault="009543DB" w:rsidP="009543DB">
            <w:pPr>
              <w:pStyle w:val="Tabletextheading"/>
              <w:keepNext/>
            </w:pPr>
            <w:r>
              <w:t>Description of investment</w:t>
            </w:r>
          </w:p>
        </w:tc>
        <w:tc>
          <w:tcPr>
            <w:tcW w:w="1185" w:type="dxa"/>
            <w:tcBorders>
              <w:left w:val="nil"/>
              <w:bottom w:val="single" w:sz="4" w:space="0" w:color="auto"/>
              <w:right w:val="nil"/>
            </w:tcBorders>
            <w:shd w:val="clear" w:color="auto" w:fill="DFE0DC"/>
          </w:tcPr>
          <w:p w:rsidR="009543DB" w:rsidRDefault="009543DB" w:rsidP="009543DB">
            <w:pPr>
              <w:pStyle w:val="Tabletextheadingright"/>
              <w:keepNext/>
            </w:pPr>
            <w:r>
              <w:t>Value ($m)</w:t>
            </w:r>
          </w:p>
        </w:tc>
        <w:tc>
          <w:tcPr>
            <w:tcW w:w="1185" w:type="dxa"/>
            <w:tcBorders>
              <w:left w:val="nil"/>
              <w:bottom w:val="single" w:sz="4" w:space="0" w:color="auto"/>
              <w:right w:val="nil"/>
            </w:tcBorders>
            <w:shd w:val="clear" w:color="auto" w:fill="DFE0DC"/>
          </w:tcPr>
          <w:p w:rsidR="009543DB" w:rsidRDefault="009543DB" w:rsidP="009543DB">
            <w:pPr>
              <w:pStyle w:val="Tabletextheadingright"/>
              <w:keepNext/>
            </w:pPr>
            <w:r>
              <w:t>Started</w:t>
            </w:r>
          </w:p>
        </w:tc>
        <w:tc>
          <w:tcPr>
            <w:tcW w:w="1186" w:type="dxa"/>
            <w:tcBorders>
              <w:left w:val="nil"/>
              <w:bottom w:val="single" w:sz="4" w:space="0" w:color="auto"/>
              <w:right w:val="nil"/>
            </w:tcBorders>
            <w:shd w:val="clear" w:color="auto" w:fill="DFE0DC"/>
          </w:tcPr>
          <w:p w:rsidR="009543DB" w:rsidRDefault="009543DB" w:rsidP="009543DB">
            <w:pPr>
              <w:pStyle w:val="Tabletextheadingright"/>
              <w:keepNext/>
            </w:pPr>
            <w:r>
              <w:t>Completed</w:t>
            </w:r>
          </w:p>
        </w:tc>
      </w:tr>
      <w:tr w:rsidR="009543DB" w:rsidTr="009543DB">
        <w:tc>
          <w:tcPr>
            <w:tcW w:w="5070" w:type="dxa"/>
            <w:tcBorders>
              <w:left w:val="nil"/>
              <w:bottom w:val="nil"/>
              <w:right w:val="nil"/>
            </w:tcBorders>
          </w:tcPr>
          <w:p w:rsidR="009543DB" w:rsidRDefault="009543DB" w:rsidP="009543DB">
            <w:pPr>
              <w:pStyle w:val="Tabletextleft"/>
              <w:keepNext/>
            </w:pPr>
            <w:r>
              <w:t>Bussing, Premium Lounge and Transfer Screening facilities</w:t>
            </w:r>
          </w:p>
        </w:tc>
        <w:tc>
          <w:tcPr>
            <w:tcW w:w="1185" w:type="dxa"/>
            <w:tcBorders>
              <w:left w:val="nil"/>
              <w:bottom w:val="nil"/>
              <w:right w:val="nil"/>
            </w:tcBorders>
          </w:tcPr>
          <w:p w:rsidR="009543DB" w:rsidRPr="00F04673" w:rsidRDefault="009543DB" w:rsidP="009543DB">
            <w:pPr>
              <w:pStyle w:val="Tabletextright"/>
              <w:keepNext/>
            </w:pPr>
            <w:r>
              <w:t>N/A</w:t>
            </w:r>
          </w:p>
        </w:tc>
        <w:tc>
          <w:tcPr>
            <w:tcW w:w="1185" w:type="dxa"/>
            <w:tcBorders>
              <w:left w:val="nil"/>
              <w:bottom w:val="nil"/>
              <w:right w:val="nil"/>
            </w:tcBorders>
          </w:tcPr>
          <w:p w:rsidR="009543DB" w:rsidRPr="00F04673" w:rsidRDefault="009543DB" w:rsidP="009543DB">
            <w:pPr>
              <w:pStyle w:val="Tabletextrightitalic"/>
              <w:keepNext/>
            </w:pPr>
            <w:r>
              <w:t>Q1 2014</w:t>
            </w:r>
          </w:p>
        </w:tc>
        <w:tc>
          <w:tcPr>
            <w:tcW w:w="1186" w:type="dxa"/>
            <w:tcBorders>
              <w:left w:val="nil"/>
              <w:bottom w:val="nil"/>
              <w:right w:val="nil"/>
            </w:tcBorders>
          </w:tcPr>
          <w:p w:rsidR="009543DB" w:rsidRPr="00F04673" w:rsidRDefault="009543DB" w:rsidP="009543DB">
            <w:pPr>
              <w:pStyle w:val="Tabletextrightitalic"/>
              <w:keepNext/>
            </w:pPr>
            <w:r>
              <w:t>Q2 2015</w:t>
            </w:r>
          </w:p>
        </w:tc>
      </w:tr>
      <w:tr w:rsidR="009543DB" w:rsidTr="009543DB">
        <w:tc>
          <w:tcPr>
            <w:tcW w:w="5070" w:type="dxa"/>
            <w:tcBorders>
              <w:top w:val="nil"/>
              <w:left w:val="nil"/>
              <w:bottom w:val="nil"/>
              <w:right w:val="nil"/>
            </w:tcBorders>
          </w:tcPr>
          <w:p w:rsidR="009543DB" w:rsidRDefault="009543DB" w:rsidP="009543DB">
            <w:pPr>
              <w:pStyle w:val="Tabletextleft"/>
              <w:keepNext/>
            </w:pPr>
            <w:r>
              <w:t>T2 check-in enhancement</w:t>
            </w:r>
          </w:p>
        </w:tc>
        <w:tc>
          <w:tcPr>
            <w:tcW w:w="1185" w:type="dxa"/>
            <w:tcBorders>
              <w:top w:val="nil"/>
              <w:left w:val="nil"/>
              <w:bottom w:val="nil"/>
              <w:right w:val="nil"/>
            </w:tcBorders>
          </w:tcPr>
          <w:p w:rsidR="009543DB" w:rsidRPr="00F04673" w:rsidRDefault="009543DB" w:rsidP="009543DB">
            <w:pPr>
              <w:pStyle w:val="Tabletextright"/>
              <w:keepNext/>
            </w:pPr>
            <w:r>
              <w:t>N/A</w:t>
            </w:r>
          </w:p>
        </w:tc>
        <w:tc>
          <w:tcPr>
            <w:tcW w:w="1185" w:type="dxa"/>
            <w:tcBorders>
              <w:top w:val="nil"/>
              <w:left w:val="nil"/>
              <w:bottom w:val="nil"/>
              <w:right w:val="nil"/>
            </w:tcBorders>
          </w:tcPr>
          <w:p w:rsidR="009543DB" w:rsidRPr="00F04673" w:rsidRDefault="009543DB" w:rsidP="009543DB">
            <w:pPr>
              <w:pStyle w:val="Tabletextrightitalic"/>
              <w:keepNext/>
            </w:pPr>
            <w:r>
              <w:t>Q2 2014</w:t>
            </w:r>
          </w:p>
        </w:tc>
        <w:tc>
          <w:tcPr>
            <w:tcW w:w="1186" w:type="dxa"/>
            <w:tcBorders>
              <w:top w:val="nil"/>
              <w:left w:val="nil"/>
              <w:bottom w:val="nil"/>
              <w:right w:val="nil"/>
            </w:tcBorders>
          </w:tcPr>
          <w:p w:rsidR="009543DB" w:rsidRPr="00F04673" w:rsidRDefault="009543DB" w:rsidP="009543DB">
            <w:pPr>
              <w:pStyle w:val="Tabletextrightitalic"/>
              <w:keepNext/>
            </w:pPr>
            <w:r>
              <w:t>Q4 2014</w:t>
            </w:r>
          </w:p>
        </w:tc>
      </w:tr>
      <w:tr w:rsidR="009543DB" w:rsidTr="009543DB">
        <w:trPr>
          <w:trHeight w:val="319"/>
        </w:trPr>
        <w:tc>
          <w:tcPr>
            <w:tcW w:w="5070" w:type="dxa"/>
            <w:tcBorders>
              <w:top w:val="nil"/>
              <w:left w:val="nil"/>
              <w:bottom w:val="single" w:sz="4" w:space="0" w:color="auto"/>
              <w:right w:val="nil"/>
            </w:tcBorders>
          </w:tcPr>
          <w:p w:rsidR="009543DB" w:rsidRDefault="009543DB" w:rsidP="009543DB">
            <w:pPr>
              <w:pStyle w:val="Tabletextleft"/>
              <w:keepNext/>
            </w:pPr>
            <w:r>
              <w:t>Secondary Examination Area upgrade</w:t>
            </w:r>
          </w:p>
        </w:tc>
        <w:tc>
          <w:tcPr>
            <w:tcW w:w="1185" w:type="dxa"/>
            <w:tcBorders>
              <w:top w:val="nil"/>
              <w:left w:val="nil"/>
              <w:bottom w:val="single" w:sz="4" w:space="0" w:color="auto"/>
              <w:right w:val="nil"/>
            </w:tcBorders>
          </w:tcPr>
          <w:p w:rsidR="009543DB" w:rsidRPr="00F04673" w:rsidRDefault="009543DB" w:rsidP="009543DB">
            <w:pPr>
              <w:pStyle w:val="Tabletextright"/>
              <w:keepNext/>
            </w:pPr>
            <w:r>
              <w:t>N/A</w:t>
            </w:r>
          </w:p>
        </w:tc>
        <w:tc>
          <w:tcPr>
            <w:tcW w:w="1185" w:type="dxa"/>
            <w:tcBorders>
              <w:top w:val="nil"/>
              <w:left w:val="nil"/>
              <w:bottom w:val="single" w:sz="4" w:space="0" w:color="auto"/>
              <w:right w:val="nil"/>
            </w:tcBorders>
          </w:tcPr>
          <w:p w:rsidR="009543DB" w:rsidRPr="00F04673" w:rsidRDefault="009543DB" w:rsidP="009543DB">
            <w:pPr>
              <w:pStyle w:val="Tabletextrightitalic"/>
              <w:keepNext/>
            </w:pPr>
            <w:r>
              <w:t>Q2 2013</w:t>
            </w:r>
          </w:p>
        </w:tc>
        <w:tc>
          <w:tcPr>
            <w:tcW w:w="1186" w:type="dxa"/>
            <w:tcBorders>
              <w:top w:val="nil"/>
              <w:left w:val="nil"/>
              <w:bottom w:val="single" w:sz="4" w:space="0" w:color="auto"/>
              <w:right w:val="nil"/>
            </w:tcBorders>
          </w:tcPr>
          <w:p w:rsidR="009543DB" w:rsidRPr="00F04673" w:rsidRDefault="009543DB" w:rsidP="009543DB">
            <w:pPr>
              <w:pStyle w:val="Tabletextrightitalic"/>
              <w:keepNext/>
            </w:pPr>
            <w:r>
              <w:t>Q1 2014</w:t>
            </w:r>
          </w:p>
        </w:tc>
      </w:tr>
      <w:tr w:rsidR="009543DB" w:rsidRPr="00F10A70" w:rsidTr="009543DB">
        <w:tc>
          <w:tcPr>
            <w:tcW w:w="5070" w:type="dxa"/>
            <w:tcBorders>
              <w:top w:val="nil"/>
              <w:left w:val="nil"/>
              <w:bottom w:val="nil"/>
              <w:right w:val="nil"/>
            </w:tcBorders>
          </w:tcPr>
          <w:p w:rsidR="009543DB" w:rsidRDefault="009543DB" w:rsidP="009543DB">
            <w:pPr>
              <w:pStyle w:val="Tabletextleft"/>
              <w:keepNext/>
            </w:pPr>
            <w:r>
              <w:t>Golf Pier</w:t>
            </w:r>
          </w:p>
        </w:tc>
        <w:tc>
          <w:tcPr>
            <w:tcW w:w="1185" w:type="dxa"/>
            <w:tcBorders>
              <w:top w:val="nil"/>
              <w:left w:val="nil"/>
              <w:bottom w:val="nil"/>
              <w:right w:val="nil"/>
            </w:tcBorders>
          </w:tcPr>
          <w:p w:rsidR="009543DB" w:rsidRPr="00F04673" w:rsidRDefault="009543DB" w:rsidP="009543DB">
            <w:pPr>
              <w:pStyle w:val="Tabletextright"/>
              <w:keepNext/>
            </w:pPr>
            <w:r>
              <w:t>N/A</w:t>
            </w:r>
          </w:p>
        </w:tc>
        <w:tc>
          <w:tcPr>
            <w:tcW w:w="1185" w:type="dxa"/>
            <w:tcBorders>
              <w:top w:val="nil"/>
              <w:left w:val="nil"/>
              <w:bottom w:val="nil"/>
              <w:right w:val="nil"/>
            </w:tcBorders>
          </w:tcPr>
          <w:p w:rsidR="009543DB" w:rsidRPr="00F04673" w:rsidRDefault="009543DB" w:rsidP="009543DB">
            <w:pPr>
              <w:pStyle w:val="Tabletextrightitalic"/>
              <w:keepNext/>
            </w:pPr>
            <w:r>
              <w:t>Q3 2015</w:t>
            </w:r>
          </w:p>
        </w:tc>
        <w:tc>
          <w:tcPr>
            <w:tcW w:w="1186" w:type="dxa"/>
            <w:tcBorders>
              <w:top w:val="nil"/>
              <w:left w:val="nil"/>
              <w:bottom w:val="nil"/>
              <w:right w:val="nil"/>
            </w:tcBorders>
          </w:tcPr>
          <w:p w:rsidR="009543DB" w:rsidRPr="00F04673" w:rsidRDefault="009543DB" w:rsidP="009543DB">
            <w:pPr>
              <w:pStyle w:val="Tabletextrightitalic"/>
              <w:keepNext/>
            </w:pPr>
            <w:r>
              <w:t>Q3 2015</w:t>
            </w:r>
          </w:p>
        </w:tc>
      </w:tr>
      <w:tr w:rsidR="009543DB" w:rsidRPr="00F10A70" w:rsidTr="009543DB">
        <w:tc>
          <w:tcPr>
            <w:tcW w:w="5070" w:type="dxa"/>
            <w:tcBorders>
              <w:top w:val="nil"/>
              <w:left w:val="nil"/>
              <w:bottom w:val="nil"/>
              <w:right w:val="nil"/>
            </w:tcBorders>
          </w:tcPr>
          <w:p w:rsidR="009543DB" w:rsidRDefault="009543DB" w:rsidP="009543DB">
            <w:pPr>
              <w:pStyle w:val="Tabletextleft"/>
              <w:keepNext/>
            </w:pPr>
            <w:r>
              <w:t>Construction Services Tunnel</w:t>
            </w:r>
          </w:p>
        </w:tc>
        <w:tc>
          <w:tcPr>
            <w:tcW w:w="1185" w:type="dxa"/>
            <w:tcBorders>
              <w:top w:val="nil"/>
              <w:left w:val="nil"/>
              <w:bottom w:val="nil"/>
              <w:right w:val="nil"/>
            </w:tcBorders>
          </w:tcPr>
          <w:p w:rsidR="009543DB" w:rsidRPr="00F04673" w:rsidDel="000A21A3" w:rsidRDefault="009543DB" w:rsidP="009543DB">
            <w:pPr>
              <w:pStyle w:val="Tabletextright"/>
              <w:keepNext/>
            </w:pPr>
            <w:r>
              <w:t>N/A</w:t>
            </w:r>
          </w:p>
        </w:tc>
        <w:tc>
          <w:tcPr>
            <w:tcW w:w="1185" w:type="dxa"/>
            <w:tcBorders>
              <w:top w:val="nil"/>
              <w:left w:val="nil"/>
              <w:bottom w:val="nil"/>
              <w:right w:val="nil"/>
            </w:tcBorders>
          </w:tcPr>
          <w:p w:rsidR="009543DB" w:rsidRPr="00F04673" w:rsidDel="000A21A3" w:rsidRDefault="009543DB" w:rsidP="009543DB">
            <w:pPr>
              <w:pStyle w:val="Tabletextrightitalic"/>
              <w:keepNext/>
            </w:pPr>
            <w:r>
              <w:t>Q3 2015</w:t>
            </w:r>
          </w:p>
        </w:tc>
        <w:tc>
          <w:tcPr>
            <w:tcW w:w="1186" w:type="dxa"/>
            <w:tcBorders>
              <w:top w:val="nil"/>
              <w:left w:val="nil"/>
              <w:bottom w:val="nil"/>
              <w:right w:val="nil"/>
            </w:tcBorders>
          </w:tcPr>
          <w:p w:rsidR="009543DB" w:rsidRPr="00F04673" w:rsidDel="000A21A3" w:rsidRDefault="009543DB" w:rsidP="009543DB">
            <w:pPr>
              <w:pStyle w:val="Tabletextrightitalic"/>
              <w:keepNext/>
            </w:pPr>
            <w:r>
              <w:t>Q3 2015</w:t>
            </w:r>
          </w:p>
        </w:tc>
      </w:tr>
      <w:tr w:rsidR="009543DB" w:rsidRPr="00F10A70" w:rsidTr="009543DB">
        <w:tc>
          <w:tcPr>
            <w:tcW w:w="5070" w:type="dxa"/>
            <w:tcBorders>
              <w:top w:val="nil"/>
              <w:left w:val="nil"/>
              <w:bottom w:val="single" w:sz="4" w:space="0" w:color="auto"/>
              <w:right w:val="nil"/>
            </w:tcBorders>
          </w:tcPr>
          <w:p w:rsidR="009543DB" w:rsidRDefault="009543DB" w:rsidP="009543DB">
            <w:pPr>
              <w:pStyle w:val="Tabletextleft"/>
              <w:keepNext/>
            </w:pPr>
            <w:r>
              <w:t>Southern Apron Expansion</w:t>
            </w:r>
          </w:p>
        </w:tc>
        <w:tc>
          <w:tcPr>
            <w:tcW w:w="1185" w:type="dxa"/>
            <w:tcBorders>
              <w:top w:val="nil"/>
              <w:left w:val="nil"/>
              <w:bottom w:val="single" w:sz="4" w:space="0" w:color="auto"/>
              <w:right w:val="nil"/>
            </w:tcBorders>
          </w:tcPr>
          <w:p w:rsidR="009543DB" w:rsidRPr="00F04673" w:rsidDel="000A21A3" w:rsidRDefault="009543DB" w:rsidP="009543DB">
            <w:pPr>
              <w:pStyle w:val="Tabletextright"/>
              <w:keepNext/>
            </w:pPr>
            <w:r>
              <w:t>N/A</w:t>
            </w:r>
          </w:p>
        </w:tc>
        <w:tc>
          <w:tcPr>
            <w:tcW w:w="1185" w:type="dxa"/>
            <w:tcBorders>
              <w:top w:val="nil"/>
              <w:left w:val="nil"/>
              <w:bottom w:val="single" w:sz="4" w:space="0" w:color="auto"/>
              <w:right w:val="nil"/>
            </w:tcBorders>
          </w:tcPr>
          <w:p w:rsidR="009543DB" w:rsidRPr="00F04673" w:rsidDel="000A21A3" w:rsidRDefault="009543DB" w:rsidP="009543DB">
            <w:pPr>
              <w:pStyle w:val="Tabletextrightitalic"/>
              <w:keepNext/>
            </w:pPr>
            <w:r>
              <w:t>Q3 2013</w:t>
            </w:r>
          </w:p>
        </w:tc>
        <w:tc>
          <w:tcPr>
            <w:tcW w:w="1186" w:type="dxa"/>
            <w:tcBorders>
              <w:top w:val="nil"/>
              <w:left w:val="nil"/>
              <w:bottom w:val="single" w:sz="4" w:space="0" w:color="auto"/>
              <w:right w:val="nil"/>
            </w:tcBorders>
          </w:tcPr>
          <w:p w:rsidR="009543DB" w:rsidRPr="00F04673" w:rsidDel="000A21A3" w:rsidRDefault="009543DB" w:rsidP="009543DB">
            <w:pPr>
              <w:pStyle w:val="Tabletextrightitalic"/>
              <w:keepNext/>
            </w:pPr>
            <w:r>
              <w:t>Q3 2015</w:t>
            </w:r>
          </w:p>
        </w:tc>
      </w:tr>
      <w:tr w:rsidR="009543DB" w:rsidTr="009543DB">
        <w:tc>
          <w:tcPr>
            <w:tcW w:w="5070" w:type="dxa"/>
            <w:tcBorders>
              <w:top w:val="nil"/>
              <w:left w:val="nil"/>
              <w:bottom w:val="nil"/>
              <w:right w:val="nil"/>
            </w:tcBorders>
          </w:tcPr>
          <w:p w:rsidR="009543DB" w:rsidRDefault="009543DB" w:rsidP="009543DB">
            <w:pPr>
              <w:pStyle w:val="Tabletextleft"/>
              <w:keepNext/>
            </w:pPr>
            <w:r>
              <w:t>T2 deployment of Smart Gates (inbound and outbound)</w:t>
            </w:r>
          </w:p>
        </w:tc>
        <w:tc>
          <w:tcPr>
            <w:tcW w:w="1185" w:type="dxa"/>
            <w:tcBorders>
              <w:top w:val="nil"/>
              <w:left w:val="nil"/>
              <w:bottom w:val="nil"/>
              <w:right w:val="nil"/>
            </w:tcBorders>
          </w:tcPr>
          <w:p w:rsidR="009543DB" w:rsidRPr="00F04673" w:rsidRDefault="009543DB" w:rsidP="009543DB">
            <w:pPr>
              <w:pStyle w:val="Tabletextright"/>
              <w:keepNext/>
            </w:pPr>
            <w:r>
              <w:t>N/A</w:t>
            </w:r>
          </w:p>
        </w:tc>
        <w:tc>
          <w:tcPr>
            <w:tcW w:w="1185" w:type="dxa"/>
            <w:tcBorders>
              <w:top w:val="nil"/>
              <w:left w:val="nil"/>
              <w:bottom w:val="nil"/>
              <w:right w:val="nil"/>
            </w:tcBorders>
          </w:tcPr>
          <w:p w:rsidR="009543DB" w:rsidRPr="00F04673" w:rsidRDefault="009543DB" w:rsidP="009543DB">
            <w:pPr>
              <w:pStyle w:val="Tabletextrightitalic"/>
              <w:keepNext/>
            </w:pPr>
            <w:r>
              <w:t>Q4 2015</w:t>
            </w:r>
          </w:p>
        </w:tc>
        <w:tc>
          <w:tcPr>
            <w:tcW w:w="1186" w:type="dxa"/>
            <w:tcBorders>
              <w:top w:val="nil"/>
              <w:left w:val="nil"/>
              <w:bottom w:val="nil"/>
              <w:right w:val="nil"/>
            </w:tcBorders>
          </w:tcPr>
          <w:p w:rsidR="009543DB" w:rsidRPr="00F04673" w:rsidRDefault="009543DB" w:rsidP="009543DB">
            <w:pPr>
              <w:pStyle w:val="Tabletextrightitalic"/>
              <w:keepNext/>
            </w:pPr>
            <w:r>
              <w:t>Q2 2016</w:t>
            </w:r>
          </w:p>
        </w:tc>
      </w:tr>
      <w:tr w:rsidR="009543DB" w:rsidTr="009543DB">
        <w:tc>
          <w:tcPr>
            <w:tcW w:w="5070" w:type="dxa"/>
            <w:tcBorders>
              <w:top w:val="nil"/>
              <w:left w:val="nil"/>
              <w:bottom w:val="nil"/>
              <w:right w:val="nil"/>
            </w:tcBorders>
            <w:shd w:val="clear" w:color="auto" w:fill="auto"/>
          </w:tcPr>
          <w:p w:rsidR="009543DB" w:rsidRPr="00F04673" w:rsidRDefault="009543DB" w:rsidP="009543DB">
            <w:pPr>
              <w:pStyle w:val="Tabletextleft"/>
              <w:keepNext/>
            </w:pPr>
            <w:r>
              <w:t>T2 Security Screening enhancement</w:t>
            </w:r>
          </w:p>
        </w:tc>
        <w:tc>
          <w:tcPr>
            <w:tcW w:w="1185" w:type="dxa"/>
            <w:tcBorders>
              <w:top w:val="nil"/>
              <w:left w:val="nil"/>
              <w:bottom w:val="nil"/>
              <w:right w:val="nil"/>
            </w:tcBorders>
          </w:tcPr>
          <w:p w:rsidR="009543DB" w:rsidRPr="00F04673" w:rsidRDefault="009543DB" w:rsidP="009543DB">
            <w:pPr>
              <w:pStyle w:val="Tabletextright"/>
              <w:keepNext/>
            </w:pPr>
            <w:r>
              <w:t>N/A</w:t>
            </w:r>
          </w:p>
        </w:tc>
        <w:tc>
          <w:tcPr>
            <w:tcW w:w="1185" w:type="dxa"/>
            <w:tcBorders>
              <w:top w:val="nil"/>
              <w:left w:val="nil"/>
              <w:bottom w:val="nil"/>
              <w:right w:val="nil"/>
            </w:tcBorders>
          </w:tcPr>
          <w:p w:rsidR="009543DB" w:rsidRPr="00F04673" w:rsidRDefault="009543DB" w:rsidP="009543DB">
            <w:pPr>
              <w:pStyle w:val="Tabletextrightitalic"/>
              <w:keepNext/>
            </w:pPr>
            <w:r>
              <w:t>Q4 2015</w:t>
            </w:r>
          </w:p>
        </w:tc>
        <w:tc>
          <w:tcPr>
            <w:tcW w:w="1186" w:type="dxa"/>
            <w:tcBorders>
              <w:top w:val="nil"/>
              <w:left w:val="nil"/>
              <w:bottom w:val="nil"/>
              <w:right w:val="nil"/>
            </w:tcBorders>
          </w:tcPr>
          <w:p w:rsidR="009543DB" w:rsidRPr="00F04673" w:rsidRDefault="009543DB" w:rsidP="009543DB">
            <w:pPr>
              <w:pStyle w:val="Tabletextrightitalic"/>
              <w:keepNext/>
            </w:pPr>
            <w:r>
              <w:t>Q4 2015</w:t>
            </w:r>
          </w:p>
        </w:tc>
      </w:tr>
      <w:tr w:rsidR="009543DB" w:rsidTr="009543DB">
        <w:tc>
          <w:tcPr>
            <w:tcW w:w="5070" w:type="dxa"/>
            <w:tcBorders>
              <w:top w:val="nil"/>
              <w:left w:val="nil"/>
              <w:right w:val="nil"/>
            </w:tcBorders>
            <w:shd w:val="clear" w:color="auto" w:fill="auto"/>
          </w:tcPr>
          <w:p w:rsidR="009543DB" w:rsidRPr="00F04673" w:rsidRDefault="009543DB" w:rsidP="009543DB">
            <w:pPr>
              <w:pStyle w:val="Tabletextleft"/>
              <w:keepNext/>
            </w:pPr>
            <w:r>
              <w:t>T3/T4 integration</w:t>
            </w:r>
          </w:p>
        </w:tc>
        <w:tc>
          <w:tcPr>
            <w:tcW w:w="1185" w:type="dxa"/>
            <w:tcBorders>
              <w:top w:val="nil"/>
              <w:left w:val="nil"/>
              <w:right w:val="nil"/>
            </w:tcBorders>
          </w:tcPr>
          <w:p w:rsidR="009543DB" w:rsidRPr="00F04673" w:rsidRDefault="009543DB" w:rsidP="009543DB">
            <w:pPr>
              <w:pStyle w:val="Tabletextright"/>
              <w:keepNext/>
            </w:pPr>
            <w:r>
              <w:t>N/A</w:t>
            </w:r>
          </w:p>
        </w:tc>
        <w:tc>
          <w:tcPr>
            <w:tcW w:w="1185" w:type="dxa"/>
            <w:tcBorders>
              <w:top w:val="nil"/>
              <w:left w:val="nil"/>
              <w:right w:val="nil"/>
            </w:tcBorders>
          </w:tcPr>
          <w:p w:rsidR="009543DB" w:rsidRPr="00F04673" w:rsidRDefault="009543DB" w:rsidP="009543DB">
            <w:pPr>
              <w:pStyle w:val="Tabletextrightitalic"/>
              <w:keepNext/>
            </w:pPr>
            <w:r>
              <w:t>Q3 2016</w:t>
            </w:r>
          </w:p>
        </w:tc>
        <w:tc>
          <w:tcPr>
            <w:tcW w:w="1186" w:type="dxa"/>
            <w:tcBorders>
              <w:top w:val="nil"/>
              <w:left w:val="nil"/>
              <w:right w:val="nil"/>
            </w:tcBorders>
          </w:tcPr>
          <w:p w:rsidR="009543DB" w:rsidRPr="00F04673" w:rsidRDefault="009543DB" w:rsidP="009543DB">
            <w:pPr>
              <w:pStyle w:val="Tabletextrightitalic"/>
              <w:keepNext/>
            </w:pPr>
            <w:r>
              <w:t>Q2 2019</w:t>
            </w:r>
          </w:p>
        </w:tc>
      </w:tr>
    </w:tbl>
    <w:p w:rsidR="009543DB" w:rsidRDefault="009543DB" w:rsidP="009543DB">
      <w:pPr>
        <w:keepNext/>
      </w:pPr>
    </w:p>
    <w:p w:rsidR="009543DB" w:rsidRDefault="009543DB" w:rsidP="009543DB">
      <w:pPr>
        <w:keepNext/>
      </w:pPr>
      <w:r>
        <w:t>Melbourne Airport completed a number of aeronautical projects during 2014</w:t>
      </w:r>
      <w:r>
        <w:noBreakHyphen/>
        <w:t>15 with the major completed project being the ‘Bussing, Premium Lounge and Transfer Screening facilities’ project for the international terminal. Other major projects in the international terminal included additional bag drop facilities in the baggage hall and layout upgrades to screening areas.</w:t>
      </w:r>
    </w:p>
    <w:p w:rsidR="009543DB" w:rsidRDefault="009543DB" w:rsidP="009543DB">
      <w:pPr>
        <w:keepNext/>
      </w:pPr>
      <w:r>
        <w:t>Melbourne Airport’s major ongoing aeronautical project was the construction of a new Terminal 4. This new domestic terminal will have the first fully self</w:t>
      </w:r>
      <w:r>
        <w:noBreakHyphen/>
        <w:t>service departures hall in the Asia Pacific region. Melbourne Airport began its staged opening of this new terminal on 18 August 2015.</w:t>
      </w:r>
      <w:r>
        <w:rPr>
          <w:rStyle w:val="FootnoteReference"/>
        </w:rPr>
        <w:footnoteReference w:id="106"/>
      </w:r>
    </w:p>
    <w:p w:rsidR="009543DB" w:rsidRDefault="009543DB" w:rsidP="009543DB">
      <w:pPr>
        <w:keepNext/>
      </w:pPr>
      <w:r>
        <w:t>Table 3</w:t>
      </w:r>
      <w:r w:rsidRPr="00815176">
        <w:t>.1.2 provides details of major car parking / landside related investments that have been completed, c</w:t>
      </w:r>
      <w:r>
        <w:t>ommenced or planned during 2014</w:t>
      </w:r>
      <w:r>
        <w:noBreakHyphen/>
      </w:r>
      <w:r w:rsidRPr="00815176">
        <w:t>15.</w:t>
      </w:r>
      <w:r>
        <w:t xml:space="preserve"> For example, Melbourne Airport completed its ‘Airport Drive &amp; Steel Creek North’ project in 2014</w:t>
      </w:r>
      <w:r>
        <w:noBreakHyphen/>
        <w:t>15, which provided a 3.3 kilometre four</w:t>
      </w:r>
      <w:r>
        <w:noBreakHyphen/>
        <w:t>lane road that connects to the M80 Western Ring Road. Melbourne Airport’s major ongoing car parking project is the multi</w:t>
      </w:r>
      <w:r>
        <w:noBreakHyphen/>
        <w:t>level structure for the new Terminal 4, which will provide more than 2500 car parking spaces, a ground transport hub and public pick</w:t>
      </w:r>
      <w:r>
        <w:noBreakHyphen/>
        <w:t>up and drop</w:t>
      </w:r>
      <w:r>
        <w:noBreakHyphen/>
        <w:t>off lanes.</w:t>
      </w:r>
    </w:p>
    <w:p w:rsidR="009543DB" w:rsidRDefault="009543DB" w:rsidP="009543DB">
      <w:pPr>
        <w:keepNext/>
      </w:pPr>
    </w:p>
    <w:p w:rsidR="009543DB" w:rsidRDefault="009543DB" w:rsidP="009543DB">
      <w:pPr>
        <w:keepNext/>
      </w:pPr>
    </w:p>
    <w:p w:rsidR="009543DB" w:rsidRDefault="009543DB" w:rsidP="009543DB">
      <w:pPr>
        <w:keepNext/>
      </w:pPr>
    </w:p>
    <w:p w:rsidR="009543DB" w:rsidRDefault="009543DB" w:rsidP="009543DB">
      <w:pPr>
        <w:keepNext/>
      </w:pPr>
    </w:p>
    <w:p w:rsidR="009543DB" w:rsidRDefault="009543DB" w:rsidP="009543DB">
      <w:pPr>
        <w:pStyle w:val="Numberedcharttitle"/>
      </w:pPr>
      <w:r w:rsidRPr="00882869">
        <w:lastRenderedPageBreak/>
        <w:t xml:space="preserve">Table </w:t>
      </w:r>
      <w:r>
        <w:t>3</w:t>
      </w:r>
      <w:r w:rsidRPr="00882869">
        <w:t>.1.2:</w:t>
      </w:r>
      <w:r w:rsidRPr="00882869">
        <w:tab/>
      </w:r>
      <w:r>
        <w:t>Melbourne</w:t>
      </w:r>
      <w:r w:rsidRPr="00882869">
        <w:t xml:space="preserve"> Airport—major investments in car parking and landside access services</w:t>
      </w:r>
    </w:p>
    <w:tbl>
      <w:tblPr>
        <w:tblStyle w:val="TableGrid"/>
        <w:tblW w:w="0" w:type="auto"/>
        <w:tblLayout w:type="fixed"/>
        <w:tblLook w:val="04A0" w:firstRow="1" w:lastRow="0" w:firstColumn="1" w:lastColumn="0" w:noHBand="0" w:noVBand="1"/>
      </w:tblPr>
      <w:tblGrid>
        <w:gridCol w:w="5070"/>
        <w:gridCol w:w="1185"/>
        <w:gridCol w:w="1185"/>
        <w:gridCol w:w="1186"/>
      </w:tblGrid>
      <w:tr w:rsidR="009543DB" w:rsidTr="009543DB">
        <w:tc>
          <w:tcPr>
            <w:tcW w:w="5070" w:type="dxa"/>
            <w:tcBorders>
              <w:left w:val="nil"/>
              <w:bottom w:val="single" w:sz="4" w:space="0" w:color="auto"/>
              <w:right w:val="nil"/>
            </w:tcBorders>
            <w:shd w:val="clear" w:color="auto" w:fill="DFE0DC"/>
          </w:tcPr>
          <w:p w:rsidR="009543DB" w:rsidRDefault="009543DB" w:rsidP="009543DB">
            <w:pPr>
              <w:pStyle w:val="Tabletextheading"/>
              <w:keepNext/>
            </w:pPr>
            <w:r>
              <w:t>Description of investment</w:t>
            </w:r>
          </w:p>
        </w:tc>
        <w:tc>
          <w:tcPr>
            <w:tcW w:w="1185" w:type="dxa"/>
            <w:tcBorders>
              <w:left w:val="nil"/>
              <w:bottom w:val="single" w:sz="4" w:space="0" w:color="auto"/>
              <w:right w:val="nil"/>
            </w:tcBorders>
            <w:shd w:val="clear" w:color="auto" w:fill="DFE0DC"/>
          </w:tcPr>
          <w:p w:rsidR="009543DB" w:rsidRDefault="009543DB" w:rsidP="009543DB">
            <w:pPr>
              <w:pStyle w:val="Tabletextheadingright"/>
              <w:keepNext/>
            </w:pPr>
            <w:r>
              <w:t>Value ($m)</w:t>
            </w:r>
          </w:p>
        </w:tc>
        <w:tc>
          <w:tcPr>
            <w:tcW w:w="1185" w:type="dxa"/>
            <w:tcBorders>
              <w:left w:val="nil"/>
              <w:bottom w:val="single" w:sz="4" w:space="0" w:color="auto"/>
              <w:right w:val="nil"/>
            </w:tcBorders>
            <w:shd w:val="clear" w:color="auto" w:fill="DFE0DC"/>
          </w:tcPr>
          <w:p w:rsidR="009543DB" w:rsidRDefault="009543DB" w:rsidP="009543DB">
            <w:pPr>
              <w:pStyle w:val="Tabletextheadingright"/>
              <w:keepNext/>
            </w:pPr>
            <w:r>
              <w:t>Started</w:t>
            </w:r>
          </w:p>
        </w:tc>
        <w:tc>
          <w:tcPr>
            <w:tcW w:w="1186" w:type="dxa"/>
            <w:tcBorders>
              <w:left w:val="nil"/>
              <w:bottom w:val="single" w:sz="4" w:space="0" w:color="auto"/>
              <w:right w:val="nil"/>
            </w:tcBorders>
            <w:shd w:val="clear" w:color="auto" w:fill="DFE0DC"/>
          </w:tcPr>
          <w:p w:rsidR="009543DB" w:rsidRDefault="009543DB" w:rsidP="009543DB">
            <w:pPr>
              <w:pStyle w:val="Tabletextheadingright"/>
              <w:keepNext/>
            </w:pPr>
            <w:r>
              <w:t>Completed</w:t>
            </w:r>
          </w:p>
        </w:tc>
      </w:tr>
      <w:tr w:rsidR="009543DB" w:rsidTr="009543DB">
        <w:tc>
          <w:tcPr>
            <w:tcW w:w="5070" w:type="dxa"/>
            <w:tcBorders>
              <w:left w:val="nil"/>
              <w:bottom w:val="nil"/>
              <w:right w:val="nil"/>
            </w:tcBorders>
          </w:tcPr>
          <w:p w:rsidR="009543DB" w:rsidRDefault="009543DB" w:rsidP="009543DB">
            <w:pPr>
              <w:pStyle w:val="Tabletextleft"/>
              <w:keepNext/>
            </w:pPr>
            <w:r>
              <w:t>Airport Drive &amp; Steele Creek North</w:t>
            </w:r>
          </w:p>
        </w:tc>
        <w:tc>
          <w:tcPr>
            <w:tcW w:w="1185" w:type="dxa"/>
            <w:tcBorders>
              <w:left w:val="nil"/>
              <w:bottom w:val="nil"/>
              <w:right w:val="nil"/>
            </w:tcBorders>
          </w:tcPr>
          <w:p w:rsidR="009543DB" w:rsidRPr="00F04673" w:rsidRDefault="009543DB" w:rsidP="009543DB">
            <w:pPr>
              <w:pStyle w:val="Tabletextright"/>
              <w:keepNext/>
            </w:pPr>
            <w:r>
              <w:t>N/A</w:t>
            </w:r>
          </w:p>
        </w:tc>
        <w:tc>
          <w:tcPr>
            <w:tcW w:w="1185" w:type="dxa"/>
            <w:tcBorders>
              <w:left w:val="nil"/>
              <w:bottom w:val="nil"/>
              <w:right w:val="nil"/>
            </w:tcBorders>
          </w:tcPr>
          <w:p w:rsidR="009543DB" w:rsidRPr="00F04673" w:rsidRDefault="009543DB" w:rsidP="009543DB">
            <w:pPr>
              <w:pStyle w:val="Tabletextrightitalic"/>
              <w:keepNext/>
            </w:pPr>
            <w:r>
              <w:t>Q1 2013</w:t>
            </w:r>
          </w:p>
        </w:tc>
        <w:tc>
          <w:tcPr>
            <w:tcW w:w="1186" w:type="dxa"/>
            <w:tcBorders>
              <w:left w:val="nil"/>
              <w:bottom w:val="nil"/>
              <w:right w:val="nil"/>
            </w:tcBorders>
          </w:tcPr>
          <w:p w:rsidR="009543DB" w:rsidRPr="00F04673" w:rsidRDefault="009543DB" w:rsidP="009543DB">
            <w:pPr>
              <w:pStyle w:val="Tabletextrightitalic"/>
              <w:keepNext/>
            </w:pPr>
            <w:r>
              <w:t>Q2 2015</w:t>
            </w:r>
          </w:p>
        </w:tc>
      </w:tr>
      <w:tr w:rsidR="009543DB" w:rsidTr="009543DB">
        <w:tc>
          <w:tcPr>
            <w:tcW w:w="5070" w:type="dxa"/>
            <w:tcBorders>
              <w:top w:val="nil"/>
              <w:left w:val="nil"/>
              <w:bottom w:val="nil"/>
              <w:right w:val="nil"/>
            </w:tcBorders>
          </w:tcPr>
          <w:p w:rsidR="009543DB" w:rsidRDefault="009543DB" w:rsidP="009543DB">
            <w:pPr>
              <w:pStyle w:val="Tabletextleft"/>
              <w:keepNext/>
            </w:pPr>
            <w:r>
              <w:t>Interim Premium Parking/Valet facility</w:t>
            </w:r>
          </w:p>
        </w:tc>
        <w:tc>
          <w:tcPr>
            <w:tcW w:w="1185" w:type="dxa"/>
            <w:tcBorders>
              <w:top w:val="nil"/>
              <w:left w:val="nil"/>
              <w:bottom w:val="nil"/>
              <w:right w:val="nil"/>
            </w:tcBorders>
          </w:tcPr>
          <w:p w:rsidR="009543DB" w:rsidRPr="00F04673" w:rsidRDefault="009543DB" w:rsidP="009543DB">
            <w:pPr>
              <w:pStyle w:val="Tabletextright"/>
              <w:keepNext/>
            </w:pPr>
            <w:r>
              <w:t>N/A</w:t>
            </w:r>
          </w:p>
        </w:tc>
        <w:tc>
          <w:tcPr>
            <w:tcW w:w="1185" w:type="dxa"/>
            <w:tcBorders>
              <w:top w:val="nil"/>
              <w:left w:val="nil"/>
              <w:bottom w:val="nil"/>
              <w:right w:val="nil"/>
            </w:tcBorders>
          </w:tcPr>
          <w:p w:rsidR="009543DB" w:rsidRPr="00F04673" w:rsidRDefault="009543DB" w:rsidP="009543DB">
            <w:pPr>
              <w:pStyle w:val="Tabletextrightitalic"/>
              <w:keepNext/>
            </w:pPr>
            <w:r>
              <w:t>Q3 2013</w:t>
            </w:r>
          </w:p>
        </w:tc>
        <w:tc>
          <w:tcPr>
            <w:tcW w:w="1186" w:type="dxa"/>
            <w:tcBorders>
              <w:top w:val="nil"/>
              <w:left w:val="nil"/>
              <w:bottom w:val="nil"/>
              <w:right w:val="nil"/>
            </w:tcBorders>
          </w:tcPr>
          <w:p w:rsidR="009543DB" w:rsidRPr="00F04673" w:rsidRDefault="009543DB" w:rsidP="009543DB">
            <w:pPr>
              <w:pStyle w:val="Tabletextrightitalic"/>
              <w:keepNext/>
            </w:pPr>
            <w:r>
              <w:t>Q4 2014</w:t>
            </w:r>
          </w:p>
        </w:tc>
      </w:tr>
      <w:tr w:rsidR="009543DB" w:rsidTr="009543DB">
        <w:tc>
          <w:tcPr>
            <w:tcW w:w="5070" w:type="dxa"/>
            <w:tcBorders>
              <w:top w:val="nil"/>
              <w:left w:val="nil"/>
              <w:bottom w:val="single" w:sz="4" w:space="0" w:color="auto"/>
              <w:right w:val="nil"/>
            </w:tcBorders>
          </w:tcPr>
          <w:p w:rsidR="009543DB" w:rsidRDefault="009543DB" w:rsidP="009543DB">
            <w:pPr>
              <w:pStyle w:val="Tabletextleft"/>
              <w:keepNext/>
            </w:pPr>
            <w:r>
              <w:t>Licence Plate Recognition</w:t>
            </w:r>
          </w:p>
        </w:tc>
        <w:tc>
          <w:tcPr>
            <w:tcW w:w="1185" w:type="dxa"/>
            <w:tcBorders>
              <w:top w:val="nil"/>
              <w:left w:val="nil"/>
              <w:bottom w:val="single" w:sz="4" w:space="0" w:color="auto"/>
              <w:right w:val="nil"/>
            </w:tcBorders>
          </w:tcPr>
          <w:p w:rsidR="009543DB" w:rsidRPr="00F04673" w:rsidRDefault="009543DB" w:rsidP="009543DB">
            <w:pPr>
              <w:pStyle w:val="Tabletextright"/>
              <w:keepNext/>
            </w:pPr>
            <w:r>
              <w:t>N/A</w:t>
            </w:r>
          </w:p>
        </w:tc>
        <w:tc>
          <w:tcPr>
            <w:tcW w:w="1185" w:type="dxa"/>
            <w:tcBorders>
              <w:top w:val="nil"/>
              <w:left w:val="nil"/>
              <w:bottom w:val="single" w:sz="4" w:space="0" w:color="auto"/>
              <w:right w:val="nil"/>
            </w:tcBorders>
          </w:tcPr>
          <w:p w:rsidR="009543DB" w:rsidRPr="00F04673" w:rsidRDefault="009543DB" w:rsidP="009543DB">
            <w:pPr>
              <w:pStyle w:val="Tabletextrightitalic"/>
              <w:keepNext/>
            </w:pPr>
            <w:r>
              <w:t>Q3 2014</w:t>
            </w:r>
          </w:p>
        </w:tc>
        <w:tc>
          <w:tcPr>
            <w:tcW w:w="1186" w:type="dxa"/>
            <w:tcBorders>
              <w:top w:val="nil"/>
              <w:left w:val="nil"/>
              <w:bottom w:val="single" w:sz="4" w:space="0" w:color="auto"/>
              <w:right w:val="nil"/>
            </w:tcBorders>
          </w:tcPr>
          <w:p w:rsidR="009543DB" w:rsidRPr="00F04673" w:rsidRDefault="009543DB" w:rsidP="009543DB">
            <w:pPr>
              <w:pStyle w:val="Tabletextrightitalic"/>
              <w:keepNext/>
            </w:pPr>
            <w:r>
              <w:t>Q2 2015</w:t>
            </w:r>
          </w:p>
        </w:tc>
      </w:tr>
      <w:tr w:rsidR="009543DB" w:rsidTr="009543DB">
        <w:tc>
          <w:tcPr>
            <w:tcW w:w="5070" w:type="dxa"/>
            <w:tcBorders>
              <w:left w:val="nil"/>
              <w:bottom w:val="single" w:sz="4" w:space="0" w:color="auto"/>
              <w:right w:val="nil"/>
            </w:tcBorders>
          </w:tcPr>
          <w:p w:rsidR="009543DB" w:rsidRDefault="009543DB" w:rsidP="009543DB">
            <w:pPr>
              <w:pStyle w:val="Tabletextleft"/>
              <w:keepNext/>
            </w:pPr>
            <w:r>
              <w:t>Multi</w:t>
            </w:r>
            <w:r>
              <w:noBreakHyphen/>
              <w:t>level structure at T4</w:t>
            </w:r>
          </w:p>
        </w:tc>
        <w:tc>
          <w:tcPr>
            <w:tcW w:w="1185" w:type="dxa"/>
            <w:tcBorders>
              <w:left w:val="nil"/>
              <w:bottom w:val="single" w:sz="4" w:space="0" w:color="auto"/>
              <w:right w:val="nil"/>
            </w:tcBorders>
          </w:tcPr>
          <w:p w:rsidR="009543DB" w:rsidRPr="00F04673" w:rsidRDefault="009543DB" w:rsidP="009543DB">
            <w:pPr>
              <w:pStyle w:val="Tabletextright"/>
              <w:keepNext/>
            </w:pPr>
            <w:r>
              <w:t>N/A</w:t>
            </w:r>
          </w:p>
        </w:tc>
        <w:tc>
          <w:tcPr>
            <w:tcW w:w="1185" w:type="dxa"/>
            <w:tcBorders>
              <w:left w:val="nil"/>
              <w:bottom w:val="single" w:sz="4" w:space="0" w:color="auto"/>
              <w:right w:val="nil"/>
            </w:tcBorders>
          </w:tcPr>
          <w:p w:rsidR="009543DB" w:rsidRPr="00F04673" w:rsidRDefault="009543DB" w:rsidP="009543DB">
            <w:pPr>
              <w:pStyle w:val="Tabletextrightitalic"/>
              <w:keepNext/>
            </w:pPr>
            <w:r>
              <w:t>Q3 2013</w:t>
            </w:r>
          </w:p>
        </w:tc>
        <w:tc>
          <w:tcPr>
            <w:tcW w:w="1186" w:type="dxa"/>
            <w:tcBorders>
              <w:left w:val="nil"/>
              <w:bottom w:val="single" w:sz="4" w:space="0" w:color="auto"/>
              <w:right w:val="nil"/>
            </w:tcBorders>
          </w:tcPr>
          <w:p w:rsidR="009543DB" w:rsidRPr="00F04673" w:rsidRDefault="009543DB" w:rsidP="009543DB">
            <w:pPr>
              <w:pStyle w:val="Tabletextrightitalic"/>
              <w:keepNext/>
            </w:pPr>
            <w:r>
              <w:t>Q4 2015</w:t>
            </w:r>
          </w:p>
        </w:tc>
      </w:tr>
    </w:tbl>
    <w:p w:rsidR="009543DB" w:rsidRDefault="009543DB" w:rsidP="00114E05">
      <w:pPr>
        <w:pStyle w:val="Numberedheading2"/>
      </w:pPr>
      <w:r>
        <w:t>Aeronautical price monitoring and financial performance results</w:t>
      </w:r>
    </w:p>
    <w:p w:rsidR="009543DB" w:rsidRDefault="009543DB" w:rsidP="009543DB">
      <w:r w:rsidRPr="00815176">
        <w:t xml:space="preserve">This section presents </w:t>
      </w:r>
      <w:r>
        <w:t>Melbour</w:t>
      </w:r>
      <w:r w:rsidRPr="00815176">
        <w:t>ne Airport’s aeronautical price monitoring and financial reporting results. These results are categorised into prices (</w:t>
      </w:r>
      <w:r>
        <w:t>S</w:t>
      </w:r>
      <w:r w:rsidRPr="00815176">
        <w:t xml:space="preserve">ection </w:t>
      </w:r>
      <w:r>
        <w:t>3</w:t>
      </w:r>
      <w:r w:rsidRPr="00815176">
        <w:t>.2.1), revenu</w:t>
      </w:r>
      <w:r>
        <w:t>es, costs and profits (Section 3.2.2), and assets (Section 3</w:t>
      </w:r>
      <w:r w:rsidRPr="00815176">
        <w:t>.2.3), includ</w:t>
      </w:r>
      <w:r>
        <w:t>ing capital additions (Section 3</w:t>
      </w:r>
      <w:r w:rsidRPr="00815176">
        <w:t xml:space="preserve">.2.4) and rate of return </w:t>
      </w:r>
      <w:r>
        <w:t>on tangible non</w:t>
      </w:r>
      <w:r>
        <w:noBreakHyphen/>
        <w:t xml:space="preserve">current assets </w:t>
      </w:r>
      <w:r w:rsidRPr="00815176">
        <w:t>(</w:t>
      </w:r>
      <w:r>
        <w:t>S</w:t>
      </w:r>
      <w:r w:rsidRPr="00815176">
        <w:t xml:space="preserve">ection </w:t>
      </w:r>
      <w:r>
        <w:t>3</w:t>
      </w:r>
      <w:r w:rsidRPr="00815176">
        <w:t>.2.5).</w:t>
      </w:r>
    </w:p>
    <w:p w:rsidR="009543DB" w:rsidRDefault="009543DB" w:rsidP="009543DB">
      <w:pPr>
        <w:pStyle w:val="Numberedheading3"/>
      </w:pPr>
      <w:r>
        <w:t>Prices</w:t>
      </w:r>
    </w:p>
    <w:p w:rsidR="009543DB" w:rsidRDefault="009543DB" w:rsidP="009543DB">
      <w:r>
        <w:t>Melbourne Airport’s current pricing agreements with airlines have applied since 1 July 2012 and expire on 30 June 2017. Prices for this agreement were determined using a cost</w:t>
      </w:r>
      <w:r>
        <w:noBreakHyphen/>
        <w:t xml:space="preserve">based building block methodology, and prices are primarily adjusted by fixed annual increases with some charges adjusted by CPI during the term of the agreement. </w:t>
      </w:r>
      <w:r w:rsidRPr="00785F8E">
        <w:t xml:space="preserve">Table </w:t>
      </w:r>
      <w:r>
        <w:t>3</w:t>
      </w:r>
      <w:r w:rsidRPr="00785F8E">
        <w:t xml:space="preserve">.2.1 presents </w:t>
      </w:r>
      <w:r>
        <w:t>Melbourne</w:t>
      </w:r>
      <w:r w:rsidRPr="00785F8E">
        <w:t xml:space="preserve"> Airport’s average aeronautical charges in 2014</w:t>
      </w:r>
      <w:r>
        <w:noBreakHyphen/>
      </w:r>
      <w:r w:rsidRPr="00785F8E">
        <w:t>15, as well as the indexed average list pr</w:t>
      </w:r>
      <w:r>
        <w:t>ices in real terms between 2010</w:t>
      </w:r>
      <w:r>
        <w:noBreakHyphen/>
      </w:r>
      <w:r w:rsidRPr="00785F8E">
        <w:t>11 and 2014</w:t>
      </w:r>
      <w:r>
        <w:noBreakHyphen/>
      </w:r>
      <w:r w:rsidRPr="00785F8E">
        <w:t>15.</w:t>
      </w:r>
      <w:r>
        <w:t xml:space="preserve"> Commercial agreements mean that airlines may pay less than the list prices.</w:t>
      </w:r>
    </w:p>
    <w:p w:rsidR="009543DB" w:rsidRDefault="009543DB" w:rsidP="009543DB">
      <w:pPr>
        <w:pStyle w:val="Numberedcharttitle"/>
      </w:pPr>
      <w:r>
        <w:t>Table 3.2.1:</w:t>
      </w:r>
      <w:r>
        <w:tab/>
        <w:t>Melbourne Airport—schedule of average aeronautical charges in 2014</w:t>
      </w:r>
      <w:r>
        <w:noBreakHyphen/>
        <w:t>15 and indexed average list prices (including GST) in real terms from 2010</w:t>
      </w:r>
      <w:r>
        <w:noBreakHyphen/>
        <w:t>11 to 2014</w:t>
      </w:r>
      <w:r>
        <w:noBreakHyphen/>
        <w:t>15</w:t>
      </w:r>
    </w:p>
    <w:tbl>
      <w:tblPr>
        <w:tblStyle w:val="TableGrid"/>
        <w:tblW w:w="0" w:type="auto"/>
        <w:tblLook w:val="04A0" w:firstRow="1" w:lastRow="0" w:firstColumn="1" w:lastColumn="0" w:noHBand="0" w:noVBand="1"/>
      </w:tblPr>
      <w:tblGrid>
        <w:gridCol w:w="3085"/>
        <w:gridCol w:w="992"/>
        <w:gridCol w:w="917"/>
        <w:gridCol w:w="917"/>
        <w:gridCol w:w="918"/>
        <w:gridCol w:w="917"/>
        <w:gridCol w:w="918"/>
      </w:tblGrid>
      <w:tr w:rsidR="009543DB" w:rsidTr="009543DB">
        <w:trPr>
          <w:tblHeader/>
        </w:trPr>
        <w:tc>
          <w:tcPr>
            <w:tcW w:w="3085" w:type="dxa"/>
            <w:tcBorders>
              <w:left w:val="nil"/>
              <w:bottom w:val="nil"/>
              <w:right w:val="nil"/>
            </w:tcBorders>
            <w:shd w:val="clear" w:color="auto" w:fill="DFE0DC"/>
          </w:tcPr>
          <w:p w:rsidR="009543DB" w:rsidRDefault="009543DB" w:rsidP="009543DB">
            <w:pPr>
              <w:pStyle w:val="Tabletextleft"/>
            </w:pPr>
          </w:p>
        </w:tc>
        <w:tc>
          <w:tcPr>
            <w:tcW w:w="992" w:type="dxa"/>
            <w:vMerge w:val="restart"/>
            <w:tcBorders>
              <w:left w:val="nil"/>
              <w:bottom w:val="single" w:sz="4" w:space="0" w:color="auto"/>
              <w:right w:val="single" w:sz="4" w:space="0" w:color="auto"/>
            </w:tcBorders>
            <w:shd w:val="clear" w:color="auto" w:fill="DFE0DC"/>
          </w:tcPr>
          <w:p w:rsidR="009543DB" w:rsidRDefault="009543DB" w:rsidP="009543DB">
            <w:pPr>
              <w:pStyle w:val="Tabletextheadingright"/>
            </w:pPr>
            <w:r>
              <w:t>Average charge per unit</w:t>
            </w:r>
            <w:r>
              <w:br/>
              <w:t>($)</w:t>
            </w:r>
          </w:p>
        </w:tc>
        <w:tc>
          <w:tcPr>
            <w:tcW w:w="4587" w:type="dxa"/>
            <w:gridSpan w:val="5"/>
            <w:tcBorders>
              <w:left w:val="single" w:sz="4" w:space="0" w:color="auto"/>
              <w:bottom w:val="nil"/>
              <w:right w:val="nil"/>
            </w:tcBorders>
            <w:shd w:val="clear" w:color="auto" w:fill="DFE0DC"/>
          </w:tcPr>
          <w:p w:rsidR="009543DB" w:rsidRDefault="009543DB" w:rsidP="009543DB">
            <w:pPr>
              <w:pStyle w:val="Tabletextheadingcentre"/>
              <w:keepNext w:val="0"/>
            </w:pPr>
            <w:r>
              <w:t>Indexed average list prices</w:t>
            </w:r>
            <w:r>
              <w:br/>
              <w:t>(2014-15 base year = 100)</w:t>
            </w:r>
          </w:p>
        </w:tc>
      </w:tr>
      <w:tr w:rsidR="009543DB" w:rsidTr="009543DB">
        <w:trPr>
          <w:tblHeader/>
        </w:trPr>
        <w:tc>
          <w:tcPr>
            <w:tcW w:w="3085" w:type="dxa"/>
            <w:tcBorders>
              <w:top w:val="nil"/>
              <w:left w:val="nil"/>
              <w:bottom w:val="single" w:sz="4" w:space="0" w:color="auto"/>
              <w:right w:val="nil"/>
            </w:tcBorders>
            <w:shd w:val="clear" w:color="auto" w:fill="DFE0DC"/>
          </w:tcPr>
          <w:p w:rsidR="009543DB" w:rsidRPr="0078295A" w:rsidRDefault="009543DB" w:rsidP="009543DB">
            <w:pPr>
              <w:pStyle w:val="Tabletextleft"/>
            </w:pPr>
          </w:p>
        </w:tc>
        <w:tc>
          <w:tcPr>
            <w:tcW w:w="992" w:type="dxa"/>
            <w:vMerge/>
            <w:tcBorders>
              <w:top w:val="nil"/>
              <w:left w:val="nil"/>
              <w:bottom w:val="single" w:sz="4" w:space="0" w:color="auto"/>
              <w:right w:val="single" w:sz="4" w:space="0" w:color="auto"/>
            </w:tcBorders>
            <w:shd w:val="clear" w:color="auto" w:fill="DFE0DC"/>
          </w:tcPr>
          <w:p w:rsidR="009543DB" w:rsidRDefault="009543DB" w:rsidP="009543DB">
            <w:pPr>
              <w:pStyle w:val="Tabletextleft"/>
            </w:pPr>
          </w:p>
        </w:tc>
        <w:tc>
          <w:tcPr>
            <w:tcW w:w="917" w:type="dxa"/>
            <w:tcBorders>
              <w:top w:val="nil"/>
              <w:left w:val="single" w:sz="4" w:space="0" w:color="auto"/>
              <w:bottom w:val="single" w:sz="4" w:space="0" w:color="auto"/>
              <w:right w:val="nil"/>
            </w:tcBorders>
            <w:shd w:val="clear" w:color="auto" w:fill="DFE0DC"/>
          </w:tcPr>
          <w:p w:rsidR="009543DB" w:rsidRDefault="009543DB" w:rsidP="009543DB">
            <w:pPr>
              <w:pStyle w:val="Tabletextheadingright"/>
            </w:pPr>
            <w:r>
              <w:t>2010-11</w:t>
            </w:r>
          </w:p>
        </w:tc>
        <w:tc>
          <w:tcPr>
            <w:tcW w:w="917" w:type="dxa"/>
            <w:tcBorders>
              <w:top w:val="nil"/>
              <w:left w:val="nil"/>
              <w:bottom w:val="single" w:sz="4" w:space="0" w:color="auto"/>
              <w:right w:val="nil"/>
            </w:tcBorders>
            <w:shd w:val="clear" w:color="auto" w:fill="DFE0DC"/>
          </w:tcPr>
          <w:p w:rsidR="009543DB" w:rsidRDefault="009543DB" w:rsidP="009543DB">
            <w:pPr>
              <w:pStyle w:val="Tabletextheadingright"/>
            </w:pPr>
            <w:r>
              <w:t>2011-12</w:t>
            </w:r>
          </w:p>
        </w:tc>
        <w:tc>
          <w:tcPr>
            <w:tcW w:w="918" w:type="dxa"/>
            <w:tcBorders>
              <w:top w:val="nil"/>
              <w:left w:val="nil"/>
              <w:bottom w:val="single" w:sz="4" w:space="0" w:color="auto"/>
              <w:right w:val="nil"/>
            </w:tcBorders>
            <w:shd w:val="clear" w:color="auto" w:fill="DFE0DC"/>
          </w:tcPr>
          <w:p w:rsidR="009543DB" w:rsidRDefault="009543DB" w:rsidP="009543DB">
            <w:pPr>
              <w:pStyle w:val="Tabletextheadingright"/>
            </w:pPr>
            <w:r>
              <w:t>2012-13</w:t>
            </w:r>
          </w:p>
        </w:tc>
        <w:tc>
          <w:tcPr>
            <w:tcW w:w="917" w:type="dxa"/>
            <w:tcBorders>
              <w:top w:val="nil"/>
              <w:left w:val="nil"/>
              <w:bottom w:val="single" w:sz="4" w:space="0" w:color="auto"/>
              <w:right w:val="nil"/>
            </w:tcBorders>
            <w:shd w:val="clear" w:color="auto" w:fill="DFE0DC"/>
          </w:tcPr>
          <w:p w:rsidR="009543DB" w:rsidRDefault="009543DB" w:rsidP="009543DB">
            <w:pPr>
              <w:pStyle w:val="Tabletextheadingright"/>
            </w:pPr>
            <w:r>
              <w:t>2013-14</w:t>
            </w:r>
          </w:p>
        </w:tc>
        <w:tc>
          <w:tcPr>
            <w:tcW w:w="918" w:type="dxa"/>
            <w:tcBorders>
              <w:top w:val="nil"/>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rPr>
          <w:tblHeader/>
        </w:trPr>
        <w:tc>
          <w:tcPr>
            <w:tcW w:w="3085" w:type="dxa"/>
            <w:tcBorders>
              <w:left w:val="nil"/>
              <w:bottom w:val="single" w:sz="4" w:space="0" w:color="auto"/>
              <w:right w:val="nil"/>
            </w:tcBorders>
            <w:shd w:val="clear" w:color="auto" w:fill="DFE0DC"/>
          </w:tcPr>
          <w:p w:rsidR="009543DB" w:rsidRDefault="009543DB" w:rsidP="009543DB">
            <w:pPr>
              <w:pStyle w:val="Tabletextheading"/>
            </w:pPr>
            <w:r>
              <w:t>Landing fees</w:t>
            </w:r>
          </w:p>
        </w:tc>
        <w:tc>
          <w:tcPr>
            <w:tcW w:w="992" w:type="dxa"/>
            <w:tcBorders>
              <w:left w:val="nil"/>
              <w:bottom w:val="single" w:sz="4" w:space="0" w:color="auto"/>
            </w:tcBorders>
            <w:shd w:val="clear" w:color="auto" w:fill="DFE0DC"/>
          </w:tcPr>
          <w:p w:rsidR="009543DB" w:rsidRDefault="009543DB" w:rsidP="009543DB">
            <w:pPr>
              <w:pStyle w:val="Tabletextright"/>
            </w:pPr>
          </w:p>
        </w:tc>
        <w:tc>
          <w:tcPr>
            <w:tcW w:w="917" w:type="dxa"/>
            <w:tcBorders>
              <w:bottom w:val="single" w:sz="4" w:space="0" w:color="auto"/>
              <w:right w:val="nil"/>
            </w:tcBorders>
            <w:shd w:val="clear" w:color="auto" w:fill="DFE0DC"/>
          </w:tcPr>
          <w:p w:rsidR="009543DB" w:rsidRDefault="009543DB" w:rsidP="009543DB">
            <w:pPr>
              <w:pStyle w:val="Tabletextright"/>
            </w:pPr>
          </w:p>
        </w:tc>
        <w:tc>
          <w:tcPr>
            <w:tcW w:w="917" w:type="dxa"/>
            <w:tcBorders>
              <w:left w:val="nil"/>
              <w:bottom w:val="single" w:sz="4" w:space="0" w:color="auto"/>
              <w:right w:val="nil"/>
            </w:tcBorders>
            <w:shd w:val="clear" w:color="auto" w:fill="DFE0DC"/>
          </w:tcPr>
          <w:p w:rsidR="009543DB" w:rsidRDefault="009543DB" w:rsidP="009543DB">
            <w:pPr>
              <w:pStyle w:val="Tabletextright"/>
            </w:pPr>
          </w:p>
        </w:tc>
        <w:tc>
          <w:tcPr>
            <w:tcW w:w="918" w:type="dxa"/>
            <w:tcBorders>
              <w:left w:val="nil"/>
              <w:bottom w:val="single" w:sz="4" w:space="0" w:color="auto"/>
              <w:right w:val="nil"/>
            </w:tcBorders>
            <w:shd w:val="clear" w:color="auto" w:fill="DFE0DC"/>
          </w:tcPr>
          <w:p w:rsidR="009543DB" w:rsidRDefault="009543DB" w:rsidP="009543DB">
            <w:pPr>
              <w:pStyle w:val="Tabletextright"/>
            </w:pPr>
          </w:p>
        </w:tc>
        <w:tc>
          <w:tcPr>
            <w:tcW w:w="917" w:type="dxa"/>
            <w:tcBorders>
              <w:left w:val="nil"/>
              <w:bottom w:val="single" w:sz="4" w:space="0" w:color="auto"/>
              <w:right w:val="nil"/>
            </w:tcBorders>
            <w:shd w:val="clear" w:color="auto" w:fill="DFE0DC"/>
          </w:tcPr>
          <w:p w:rsidR="009543DB" w:rsidRDefault="009543DB" w:rsidP="009543DB">
            <w:pPr>
              <w:pStyle w:val="Tabletextright"/>
            </w:pPr>
          </w:p>
        </w:tc>
        <w:tc>
          <w:tcPr>
            <w:tcW w:w="918" w:type="dxa"/>
            <w:tcBorders>
              <w:left w:val="nil"/>
              <w:bottom w:val="single" w:sz="4" w:space="0" w:color="auto"/>
              <w:right w:val="nil"/>
            </w:tcBorders>
            <w:shd w:val="clear" w:color="auto" w:fill="DFE0DC"/>
          </w:tcPr>
          <w:p w:rsidR="009543DB" w:rsidRDefault="009543DB" w:rsidP="009543DB">
            <w:pPr>
              <w:pStyle w:val="Tabletextright"/>
            </w:pPr>
          </w:p>
        </w:tc>
      </w:tr>
      <w:tr w:rsidR="009543DB" w:rsidTr="009543DB">
        <w:tc>
          <w:tcPr>
            <w:tcW w:w="3085" w:type="dxa"/>
            <w:tcBorders>
              <w:top w:val="single" w:sz="4" w:space="0" w:color="auto"/>
              <w:left w:val="nil"/>
              <w:bottom w:val="single" w:sz="4" w:space="0" w:color="auto"/>
              <w:right w:val="nil"/>
            </w:tcBorders>
          </w:tcPr>
          <w:p w:rsidR="009543DB" w:rsidRDefault="009543DB" w:rsidP="009543DB">
            <w:pPr>
              <w:pStyle w:val="Tabletextleft"/>
            </w:pPr>
            <w:r>
              <w:t>International terminal</w:t>
            </w:r>
            <w:r>
              <w:br/>
              <w:t>(per passenger)</w:t>
            </w:r>
          </w:p>
        </w:tc>
        <w:tc>
          <w:tcPr>
            <w:tcW w:w="992" w:type="dxa"/>
            <w:tcBorders>
              <w:top w:val="single" w:sz="4" w:space="0" w:color="auto"/>
              <w:left w:val="nil"/>
              <w:bottom w:val="single" w:sz="4" w:space="0" w:color="auto"/>
            </w:tcBorders>
          </w:tcPr>
          <w:p w:rsidR="009543DB" w:rsidRDefault="009543DB" w:rsidP="009543DB">
            <w:pPr>
              <w:pStyle w:val="Tabletextright"/>
            </w:pPr>
            <w:r>
              <w:t>19.75</w:t>
            </w:r>
          </w:p>
        </w:tc>
        <w:tc>
          <w:tcPr>
            <w:tcW w:w="917" w:type="dxa"/>
            <w:tcBorders>
              <w:top w:val="single" w:sz="4" w:space="0" w:color="auto"/>
              <w:bottom w:val="single" w:sz="4" w:space="0" w:color="auto"/>
              <w:right w:val="nil"/>
            </w:tcBorders>
          </w:tcPr>
          <w:p w:rsidR="009543DB" w:rsidRDefault="009543DB" w:rsidP="009543DB">
            <w:pPr>
              <w:pStyle w:val="Tabletextright"/>
            </w:pPr>
            <w:r>
              <w:t>83.4</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84.3</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91.7</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95.2</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Default="009543DB" w:rsidP="009543DB">
            <w:pPr>
              <w:pStyle w:val="Tabletextleft"/>
            </w:pPr>
            <w:r>
              <w:t>Other (for aircraft not utilising international terminal)</w:t>
            </w:r>
            <w:r>
              <w:br/>
              <w:t>(per passenger)</w:t>
            </w:r>
          </w:p>
        </w:tc>
        <w:tc>
          <w:tcPr>
            <w:tcW w:w="992" w:type="dxa"/>
            <w:tcBorders>
              <w:top w:val="single" w:sz="4" w:space="0" w:color="auto"/>
              <w:left w:val="nil"/>
              <w:bottom w:val="single" w:sz="4" w:space="0" w:color="auto"/>
            </w:tcBorders>
          </w:tcPr>
          <w:p w:rsidR="009543DB" w:rsidRDefault="009543DB" w:rsidP="009543DB">
            <w:pPr>
              <w:pStyle w:val="Tabletextright"/>
            </w:pPr>
            <w:r>
              <w:t>4.48</w:t>
            </w:r>
          </w:p>
        </w:tc>
        <w:tc>
          <w:tcPr>
            <w:tcW w:w="917" w:type="dxa"/>
            <w:tcBorders>
              <w:top w:val="single" w:sz="4" w:space="0" w:color="auto"/>
              <w:bottom w:val="single" w:sz="4" w:space="0" w:color="auto"/>
              <w:right w:val="nil"/>
            </w:tcBorders>
          </w:tcPr>
          <w:p w:rsidR="009543DB" w:rsidRDefault="009543DB" w:rsidP="009543DB">
            <w:pPr>
              <w:pStyle w:val="Tabletextright"/>
            </w:pPr>
            <w:r>
              <w:t>93.0</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90.9</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97.5</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98.8</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Default="009543DB" w:rsidP="009543DB">
            <w:pPr>
              <w:pStyle w:val="Tabletextleft"/>
            </w:pPr>
            <w:r>
              <w:t>Common-user domestic terminals</w:t>
            </w:r>
            <w:r>
              <w:br/>
              <w:t>(per passenger)</w:t>
            </w:r>
          </w:p>
        </w:tc>
        <w:tc>
          <w:tcPr>
            <w:tcW w:w="992" w:type="dxa"/>
            <w:tcBorders>
              <w:top w:val="single" w:sz="4" w:space="0" w:color="auto"/>
              <w:left w:val="nil"/>
              <w:bottom w:val="single" w:sz="4" w:space="0" w:color="auto"/>
            </w:tcBorders>
          </w:tcPr>
          <w:p w:rsidR="009543DB" w:rsidRDefault="009543DB" w:rsidP="009543DB">
            <w:pPr>
              <w:pStyle w:val="Tabletextright"/>
            </w:pPr>
            <w:r>
              <w:t>5.58</w:t>
            </w:r>
          </w:p>
        </w:tc>
        <w:tc>
          <w:tcPr>
            <w:tcW w:w="917" w:type="dxa"/>
            <w:tcBorders>
              <w:top w:val="single" w:sz="4" w:space="0" w:color="auto"/>
              <w:bottom w:val="single" w:sz="4" w:space="0" w:color="auto"/>
              <w:right w:val="nil"/>
            </w:tcBorders>
          </w:tcPr>
          <w:p w:rsidR="009543DB" w:rsidRDefault="009543DB" w:rsidP="009543DB">
            <w:pPr>
              <w:pStyle w:val="Tabletextright"/>
            </w:pPr>
            <w:r>
              <w:t>97.8</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97.1</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100.2</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99.7</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Pr="009D7256" w:rsidRDefault="009543DB" w:rsidP="009543DB">
            <w:pPr>
              <w:pStyle w:val="Tabletextleft"/>
              <w:rPr>
                <w:vertAlign w:val="superscript"/>
              </w:rPr>
            </w:pPr>
            <w:r>
              <w:t>International freight (per MTOW)</w:t>
            </w:r>
            <w:r>
              <w:rPr>
                <w:vertAlign w:val="superscript"/>
              </w:rPr>
              <w:t>(a)</w:t>
            </w:r>
          </w:p>
        </w:tc>
        <w:tc>
          <w:tcPr>
            <w:tcW w:w="992" w:type="dxa"/>
            <w:tcBorders>
              <w:top w:val="single" w:sz="4" w:space="0" w:color="auto"/>
              <w:left w:val="nil"/>
              <w:bottom w:val="single" w:sz="4" w:space="0" w:color="auto"/>
            </w:tcBorders>
          </w:tcPr>
          <w:p w:rsidR="009543DB" w:rsidRDefault="009543DB" w:rsidP="009543DB">
            <w:pPr>
              <w:pStyle w:val="Tabletextright"/>
            </w:pPr>
            <w:r>
              <w:t>10.57</w:t>
            </w:r>
          </w:p>
        </w:tc>
        <w:tc>
          <w:tcPr>
            <w:tcW w:w="917" w:type="dxa"/>
            <w:tcBorders>
              <w:top w:val="single" w:sz="4" w:space="0" w:color="auto"/>
              <w:bottom w:val="single" w:sz="4" w:space="0" w:color="auto"/>
              <w:right w:val="nil"/>
            </w:tcBorders>
          </w:tcPr>
          <w:p w:rsidR="009543DB" w:rsidRDefault="009543DB" w:rsidP="009543DB">
            <w:pPr>
              <w:pStyle w:val="Tabletextright"/>
            </w:pPr>
            <w:r>
              <w:t>84.5</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85.5</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99.1</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98.9</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Pr="009D7256" w:rsidRDefault="009543DB" w:rsidP="009543DB">
            <w:pPr>
              <w:pStyle w:val="Tabletextleft"/>
              <w:rPr>
                <w:vertAlign w:val="superscript"/>
              </w:rPr>
            </w:pPr>
            <w:r>
              <w:t>Domestic freight (per MTOW)</w:t>
            </w:r>
            <w:r>
              <w:rPr>
                <w:vertAlign w:val="superscript"/>
              </w:rPr>
              <w:t>(a)</w:t>
            </w:r>
          </w:p>
        </w:tc>
        <w:tc>
          <w:tcPr>
            <w:tcW w:w="992" w:type="dxa"/>
            <w:tcBorders>
              <w:top w:val="single" w:sz="4" w:space="0" w:color="auto"/>
              <w:left w:val="nil"/>
              <w:bottom w:val="single" w:sz="4" w:space="0" w:color="auto"/>
            </w:tcBorders>
          </w:tcPr>
          <w:p w:rsidR="009543DB" w:rsidRDefault="009543DB" w:rsidP="009543DB">
            <w:pPr>
              <w:pStyle w:val="Tabletextright"/>
            </w:pPr>
            <w:r>
              <w:t>10.57</w:t>
            </w:r>
          </w:p>
        </w:tc>
        <w:tc>
          <w:tcPr>
            <w:tcW w:w="917" w:type="dxa"/>
            <w:tcBorders>
              <w:top w:val="single" w:sz="4" w:space="0" w:color="auto"/>
              <w:bottom w:val="single" w:sz="4" w:space="0" w:color="auto"/>
              <w:right w:val="nil"/>
            </w:tcBorders>
          </w:tcPr>
          <w:p w:rsidR="009543DB" w:rsidRDefault="009543DB" w:rsidP="009543DB">
            <w:pPr>
              <w:pStyle w:val="Tabletextright"/>
            </w:pPr>
            <w:r>
              <w:t>84.5</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85.5</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99.1</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98.9</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Pr="009D7256" w:rsidRDefault="009543DB" w:rsidP="009543DB">
            <w:pPr>
              <w:pStyle w:val="Tabletextleft"/>
              <w:rPr>
                <w:vertAlign w:val="superscript"/>
              </w:rPr>
            </w:pPr>
            <w:r>
              <w:t>General aviation (per MTOW)</w:t>
            </w:r>
            <w:r>
              <w:rPr>
                <w:vertAlign w:val="superscript"/>
              </w:rPr>
              <w:t>(a)</w:t>
            </w:r>
          </w:p>
        </w:tc>
        <w:tc>
          <w:tcPr>
            <w:tcW w:w="992" w:type="dxa"/>
            <w:tcBorders>
              <w:top w:val="single" w:sz="4" w:space="0" w:color="auto"/>
              <w:left w:val="nil"/>
              <w:bottom w:val="single" w:sz="4" w:space="0" w:color="auto"/>
            </w:tcBorders>
          </w:tcPr>
          <w:p w:rsidR="009543DB" w:rsidRDefault="009543DB" w:rsidP="009543DB">
            <w:pPr>
              <w:pStyle w:val="Tabletextright"/>
            </w:pPr>
            <w:r>
              <w:t>19.84</w:t>
            </w:r>
          </w:p>
        </w:tc>
        <w:tc>
          <w:tcPr>
            <w:tcW w:w="917" w:type="dxa"/>
            <w:tcBorders>
              <w:top w:val="single" w:sz="4" w:space="0" w:color="auto"/>
              <w:bottom w:val="single" w:sz="4" w:space="0" w:color="auto"/>
              <w:right w:val="nil"/>
            </w:tcBorders>
          </w:tcPr>
          <w:p w:rsidR="009543DB" w:rsidRDefault="009543DB" w:rsidP="009543DB">
            <w:pPr>
              <w:pStyle w:val="Tabletextright"/>
            </w:pPr>
            <w:r>
              <w:t>84.5</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85.5</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99.1</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98.9</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Default="009543DB" w:rsidP="009543DB">
            <w:pPr>
              <w:pStyle w:val="Tabletextleft"/>
            </w:pPr>
            <w:r>
              <w:t>Aircraft parking (per 15 minutes)</w:t>
            </w:r>
          </w:p>
        </w:tc>
        <w:tc>
          <w:tcPr>
            <w:tcW w:w="992" w:type="dxa"/>
            <w:tcBorders>
              <w:top w:val="single" w:sz="4" w:space="0" w:color="auto"/>
              <w:left w:val="nil"/>
              <w:bottom w:val="single" w:sz="4" w:space="0" w:color="auto"/>
            </w:tcBorders>
          </w:tcPr>
          <w:p w:rsidR="009543DB" w:rsidRDefault="009543DB" w:rsidP="009543DB">
            <w:pPr>
              <w:pStyle w:val="Tabletextright"/>
            </w:pPr>
            <w:r>
              <w:t>45.35</w:t>
            </w:r>
          </w:p>
        </w:tc>
        <w:tc>
          <w:tcPr>
            <w:tcW w:w="917" w:type="dxa"/>
            <w:tcBorders>
              <w:top w:val="single" w:sz="4" w:space="0" w:color="auto"/>
              <w:bottom w:val="single" w:sz="4" w:space="0" w:color="auto"/>
              <w:right w:val="nil"/>
            </w:tcBorders>
          </w:tcPr>
          <w:p w:rsidR="009543DB" w:rsidRDefault="009543DB" w:rsidP="009543DB">
            <w:pPr>
              <w:pStyle w:val="Tabletextright"/>
            </w:pPr>
            <w:r>
              <w:t>84.5</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85.5</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99.1</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98.9</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Pr="009D7256" w:rsidRDefault="009543DB" w:rsidP="009543DB">
            <w:pPr>
              <w:pStyle w:val="Tabletextleft"/>
              <w:rPr>
                <w:vertAlign w:val="superscript"/>
              </w:rPr>
            </w:pPr>
            <w:r>
              <w:t>Check-in desks (per hour)</w:t>
            </w:r>
            <w:r>
              <w:rPr>
                <w:vertAlign w:val="superscript"/>
              </w:rPr>
              <w:t>(b)</w:t>
            </w:r>
          </w:p>
        </w:tc>
        <w:tc>
          <w:tcPr>
            <w:tcW w:w="992" w:type="dxa"/>
            <w:tcBorders>
              <w:top w:val="single" w:sz="4" w:space="0" w:color="auto"/>
              <w:left w:val="nil"/>
              <w:bottom w:val="single" w:sz="4" w:space="0" w:color="auto"/>
            </w:tcBorders>
          </w:tcPr>
          <w:p w:rsidR="009543DB" w:rsidRDefault="009543DB" w:rsidP="009543DB">
            <w:pPr>
              <w:pStyle w:val="Tabletextright"/>
            </w:pPr>
            <w:r>
              <w:t>34.79</w:t>
            </w:r>
          </w:p>
        </w:tc>
        <w:tc>
          <w:tcPr>
            <w:tcW w:w="917" w:type="dxa"/>
            <w:tcBorders>
              <w:top w:val="single" w:sz="4" w:space="0" w:color="auto"/>
              <w:bottom w:val="single" w:sz="4" w:space="0" w:color="auto"/>
              <w:right w:val="nil"/>
            </w:tcBorders>
          </w:tcPr>
          <w:p w:rsidR="009543DB" w:rsidRDefault="009543DB" w:rsidP="009543DB">
            <w:pPr>
              <w:pStyle w:val="Tabletextright"/>
            </w:pPr>
            <w:r>
              <w:t>80.6</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81.5</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99.1</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98.9</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shd w:val="clear" w:color="auto" w:fill="DFE0DC"/>
          </w:tcPr>
          <w:p w:rsidR="009543DB" w:rsidRDefault="009543DB" w:rsidP="009543DB">
            <w:pPr>
              <w:pStyle w:val="Tabletextheading"/>
            </w:pPr>
            <w:r>
              <w:t>Minimum charges</w:t>
            </w:r>
          </w:p>
        </w:tc>
        <w:tc>
          <w:tcPr>
            <w:tcW w:w="992" w:type="dxa"/>
            <w:tcBorders>
              <w:top w:val="single" w:sz="4" w:space="0" w:color="auto"/>
              <w:left w:val="nil"/>
              <w:bottom w:val="single" w:sz="4" w:space="0" w:color="auto"/>
            </w:tcBorders>
            <w:shd w:val="clear" w:color="auto" w:fill="DFE0DC"/>
          </w:tcPr>
          <w:p w:rsidR="009543DB" w:rsidRDefault="009543DB" w:rsidP="009543DB">
            <w:pPr>
              <w:pStyle w:val="Tabletextright"/>
            </w:pPr>
          </w:p>
        </w:tc>
        <w:tc>
          <w:tcPr>
            <w:tcW w:w="917" w:type="dxa"/>
            <w:tcBorders>
              <w:top w:val="single" w:sz="4" w:space="0" w:color="auto"/>
              <w:bottom w:val="single" w:sz="4" w:space="0" w:color="auto"/>
              <w:right w:val="nil"/>
            </w:tcBorders>
            <w:shd w:val="clear" w:color="auto" w:fill="DFE0DC"/>
          </w:tcPr>
          <w:p w:rsidR="009543DB" w:rsidRDefault="009543DB"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r>
      <w:tr w:rsidR="009543DB" w:rsidTr="009543DB">
        <w:tc>
          <w:tcPr>
            <w:tcW w:w="3085" w:type="dxa"/>
            <w:tcBorders>
              <w:top w:val="single" w:sz="4" w:space="0" w:color="auto"/>
              <w:left w:val="nil"/>
              <w:bottom w:val="single" w:sz="4" w:space="0" w:color="auto"/>
              <w:right w:val="nil"/>
            </w:tcBorders>
          </w:tcPr>
          <w:p w:rsidR="009543DB" w:rsidRPr="009D7256" w:rsidRDefault="009543DB" w:rsidP="009543DB">
            <w:pPr>
              <w:pStyle w:val="Tabletextleft"/>
            </w:pPr>
            <w:r>
              <w:t>International and domestic freight</w:t>
            </w:r>
            <w:r>
              <w:br/>
              <w:t>(per landing)</w:t>
            </w:r>
          </w:p>
        </w:tc>
        <w:tc>
          <w:tcPr>
            <w:tcW w:w="992" w:type="dxa"/>
            <w:tcBorders>
              <w:top w:val="single" w:sz="4" w:space="0" w:color="auto"/>
              <w:left w:val="nil"/>
              <w:bottom w:val="single" w:sz="4" w:space="0" w:color="auto"/>
            </w:tcBorders>
          </w:tcPr>
          <w:p w:rsidR="009543DB" w:rsidRDefault="009543DB" w:rsidP="009543DB">
            <w:pPr>
              <w:pStyle w:val="Tabletextright"/>
            </w:pPr>
            <w:r>
              <w:t>N/A</w:t>
            </w:r>
          </w:p>
        </w:tc>
        <w:tc>
          <w:tcPr>
            <w:tcW w:w="917" w:type="dxa"/>
            <w:tcBorders>
              <w:top w:val="single" w:sz="4" w:space="0" w:color="auto"/>
              <w:bottom w:val="single" w:sz="4" w:space="0" w:color="auto"/>
              <w:right w:val="nil"/>
            </w:tcBorders>
          </w:tcPr>
          <w:p w:rsidR="009543DB" w:rsidRDefault="009543DB" w:rsidP="009543DB">
            <w:pPr>
              <w:pStyle w:val="Tabletextright"/>
            </w:pPr>
            <w:r>
              <w:t>88.3</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89.3</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102.7</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100.0</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N/A</w:t>
            </w:r>
          </w:p>
        </w:tc>
      </w:tr>
      <w:tr w:rsidR="009543DB" w:rsidTr="009543DB">
        <w:tc>
          <w:tcPr>
            <w:tcW w:w="3085" w:type="dxa"/>
            <w:tcBorders>
              <w:top w:val="single" w:sz="4" w:space="0" w:color="auto"/>
              <w:left w:val="nil"/>
              <w:bottom w:val="single" w:sz="4" w:space="0" w:color="auto"/>
              <w:right w:val="nil"/>
            </w:tcBorders>
          </w:tcPr>
          <w:p w:rsidR="009543DB" w:rsidRPr="00506399" w:rsidRDefault="009543DB" w:rsidP="009543DB">
            <w:pPr>
              <w:pStyle w:val="Tabletextleft"/>
            </w:pPr>
            <w:r>
              <w:t>General aviation (per landing)</w:t>
            </w:r>
          </w:p>
        </w:tc>
        <w:tc>
          <w:tcPr>
            <w:tcW w:w="992" w:type="dxa"/>
            <w:tcBorders>
              <w:top w:val="single" w:sz="4" w:space="0" w:color="auto"/>
              <w:left w:val="nil"/>
              <w:bottom w:val="single" w:sz="4" w:space="0" w:color="auto"/>
            </w:tcBorders>
          </w:tcPr>
          <w:p w:rsidR="009543DB" w:rsidRDefault="009543DB" w:rsidP="009543DB">
            <w:pPr>
              <w:pStyle w:val="Tabletextright"/>
            </w:pPr>
            <w:r>
              <w:t>287.00</w:t>
            </w:r>
          </w:p>
        </w:tc>
        <w:tc>
          <w:tcPr>
            <w:tcW w:w="917" w:type="dxa"/>
            <w:tcBorders>
              <w:top w:val="single" w:sz="4" w:space="0" w:color="auto"/>
              <w:bottom w:val="single" w:sz="4" w:space="0" w:color="auto"/>
              <w:right w:val="nil"/>
            </w:tcBorders>
          </w:tcPr>
          <w:p w:rsidR="009543DB" w:rsidRDefault="009543DB" w:rsidP="009543DB">
            <w:pPr>
              <w:pStyle w:val="Tabletextright"/>
            </w:pPr>
            <w:r>
              <w:t>85.5</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86.5</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101.9</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97.6</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shd w:val="clear" w:color="auto" w:fill="DFE0DC"/>
          </w:tcPr>
          <w:p w:rsidR="009543DB" w:rsidRDefault="009543DB" w:rsidP="009543DB">
            <w:pPr>
              <w:pStyle w:val="Tabletextheading"/>
            </w:pPr>
            <w:r>
              <w:lastRenderedPageBreak/>
              <w:t>Government-mandated security charges</w:t>
            </w:r>
          </w:p>
        </w:tc>
        <w:tc>
          <w:tcPr>
            <w:tcW w:w="992" w:type="dxa"/>
            <w:tcBorders>
              <w:top w:val="single" w:sz="4" w:space="0" w:color="auto"/>
              <w:left w:val="nil"/>
              <w:bottom w:val="single" w:sz="4" w:space="0" w:color="auto"/>
            </w:tcBorders>
            <w:shd w:val="clear" w:color="auto" w:fill="DFE0DC"/>
          </w:tcPr>
          <w:p w:rsidR="009543DB" w:rsidRDefault="009543DB" w:rsidP="009543DB">
            <w:pPr>
              <w:pStyle w:val="Tabletextright"/>
            </w:pPr>
          </w:p>
        </w:tc>
        <w:tc>
          <w:tcPr>
            <w:tcW w:w="917" w:type="dxa"/>
            <w:tcBorders>
              <w:top w:val="single" w:sz="4" w:space="0" w:color="auto"/>
              <w:bottom w:val="single" w:sz="4" w:space="0" w:color="auto"/>
              <w:right w:val="nil"/>
            </w:tcBorders>
            <w:shd w:val="clear" w:color="auto" w:fill="DFE0DC"/>
          </w:tcPr>
          <w:p w:rsidR="009543DB" w:rsidRDefault="009543DB"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c>
          <w:tcPr>
            <w:tcW w:w="917"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c>
          <w:tcPr>
            <w:tcW w:w="918" w:type="dxa"/>
            <w:tcBorders>
              <w:top w:val="single" w:sz="4" w:space="0" w:color="auto"/>
              <w:left w:val="nil"/>
              <w:bottom w:val="single" w:sz="4" w:space="0" w:color="auto"/>
              <w:right w:val="nil"/>
            </w:tcBorders>
            <w:shd w:val="clear" w:color="auto" w:fill="DFE0DC"/>
          </w:tcPr>
          <w:p w:rsidR="009543DB" w:rsidRDefault="009543DB" w:rsidP="009543DB">
            <w:pPr>
              <w:pStyle w:val="Tabletextright"/>
            </w:pPr>
          </w:p>
        </w:tc>
      </w:tr>
      <w:tr w:rsidR="009543DB" w:rsidTr="009543DB">
        <w:tc>
          <w:tcPr>
            <w:tcW w:w="3085" w:type="dxa"/>
            <w:tcBorders>
              <w:top w:val="single" w:sz="4" w:space="0" w:color="auto"/>
              <w:left w:val="nil"/>
              <w:bottom w:val="single" w:sz="4" w:space="0" w:color="auto"/>
              <w:right w:val="nil"/>
            </w:tcBorders>
          </w:tcPr>
          <w:p w:rsidR="009543DB" w:rsidRDefault="009543DB" w:rsidP="009543DB">
            <w:pPr>
              <w:pStyle w:val="Tabletextleft"/>
            </w:pPr>
            <w:r>
              <w:t>International terminal passenger screening (includes check baggage screening) (per passenger)</w:t>
            </w:r>
          </w:p>
        </w:tc>
        <w:tc>
          <w:tcPr>
            <w:tcW w:w="992" w:type="dxa"/>
            <w:tcBorders>
              <w:top w:val="single" w:sz="4" w:space="0" w:color="auto"/>
              <w:left w:val="nil"/>
              <w:bottom w:val="single" w:sz="4" w:space="0" w:color="auto"/>
            </w:tcBorders>
          </w:tcPr>
          <w:p w:rsidR="009543DB" w:rsidRDefault="009543DB" w:rsidP="009543DB">
            <w:pPr>
              <w:pStyle w:val="Tabletextright"/>
            </w:pPr>
            <w:r>
              <w:t>4.26</w:t>
            </w:r>
          </w:p>
        </w:tc>
        <w:tc>
          <w:tcPr>
            <w:tcW w:w="917" w:type="dxa"/>
            <w:tcBorders>
              <w:top w:val="single" w:sz="4" w:space="0" w:color="auto"/>
              <w:bottom w:val="single" w:sz="4" w:space="0" w:color="auto"/>
              <w:right w:val="nil"/>
            </w:tcBorders>
          </w:tcPr>
          <w:p w:rsidR="009543DB" w:rsidRDefault="009543DB" w:rsidP="009543DB">
            <w:pPr>
              <w:pStyle w:val="Tabletextright"/>
            </w:pPr>
            <w:r>
              <w:t>114.0</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104.1</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101.8</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105.3</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Default="009543DB" w:rsidP="009543DB">
            <w:pPr>
              <w:pStyle w:val="Tabletextleft"/>
            </w:pPr>
            <w:r>
              <w:t>Common</w:t>
            </w:r>
            <w:r>
              <w:noBreakHyphen/>
              <w:t xml:space="preserve">user domestic terminals passenger screening (includes check baggage screening) </w:t>
            </w:r>
            <w:r>
              <w:br/>
              <w:t>(per passenger)</w:t>
            </w:r>
          </w:p>
        </w:tc>
        <w:tc>
          <w:tcPr>
            <w:tcW w:w="992" w:type="dxa"/>
            <w:tcBorders>
              <w:top w:val="single" w:sz="4" w:space="0" w:color="auto"/>
              <w:left w:val="nil"/>
              <w:bottom w:val="single" w:sz="4" w:space="0" w:color="auto"/>
            </w:tcBorders>
          </w:tcPr>
          <w:p w:rsidR="009543DB" w:rsidRDefault="009543DB" w:rsidP="009543DB">
            <w:pPr>
              <w:pStyle w:val="Tabletextright"/>
            </w:pPr>
            <w:r>
              <w:t>2.88</w:t>
            </w:r>
          </w:p>
        </w:tc>
        <w:tc>
          <w:tcPr>
            <w:tcW w:w="917" w:type="dxa"/>
            <w:tcBorders>
              <w:top w:val="single" w:sz="4" w:space="0" w:color="auto"/>
              <w:bottom w:val="single" w:sz="4" w:space="0" w:color="auto"/>
              <w:right w:val="nil"/>
            </w:tcBorders>
          </w:tcPr>
          <w:p w:rsidR="009543DB" w:rsidRDefault="009543DB" w:rsidP="009543DB">
            <w:pPr>
              <w:pStyle w:val="Tabletextright"/>
            </w:pPr>
            <w:r>
              <w:t>90.5</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100.2</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101.9</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92.9</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bottom w:val="single" w:sz="4" w:space="0" w:color="auto"/>
              <w:right w:val="nil"/>
            </w:tcBorders>
          </w:tcPr>
          <w:p w:rsidR="009543DB" w:rsidRDefault="009543DB" w:rsidP="009543DB">
            <w:pPr>
              <w:pStyle w:val="Tabletextleft"/>
            </w:pPr>
            <w:r>
              <w:t>Airport security charge – passengers (per passenger)</w:t>
            </w:r>
          </w:p>
        </w:tc>
        <w:tc>
          <w:tcPr>
            <w:tcW w:w="992" w:type="dxa"/>
            <w:tcBorders>
              <w:top w:val="single" w:sz="4" w:space="0" w:color="auto"/>
              <w:left w:val="nil"/>
              <w:bottom w:val="single" w:sz="4" w:space="0" w:color="auto"/>
            </w:tcBorders>
          </w:tcPr>
          <w:p w:rsidR="009543DB" w:rsidRDefault="009543DB" w:rsidP="009543DB">
            <w:pPr>
              <w:pStyle w:val="Tabletextright"/>
            </w:pPr>
            <w:r>
              <w:t>0.21</w:t>
            </w:r>
          </w:p>
        </w:tc>
        <w:tc>
          <w:tcPr>
            <w:tcW w:w="917" w:type="dxa"/>
            <w:tcBorders>
              <w:top w:val="single" w:sz="4" w:space="0" w:color="auto"/>
              <w:bottom w:val="single" w:sz="4" w:space="0" w:color="auto"/>
              <w:right w:val="nil"/>
            </w:tcBorders>
          </w:tcPr>
          <w:p w:rsidR="009543DB" w:rsidRDefault="009543DB" w:rsidP="009543DB">
            <w:pPr>
              <w:pStyle w:val="Tabletextright"/>
            </w:pPr>
            <w:r>
              <w:t>135.4</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117.0</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114.4</w:t>
            </w:r>
          </w:p>
        </w:tc>
        <w:tc>
          <w:tcPr>
            <w:tcW w:w="917" w:type="dxa"/>
            <w:tcBorders>
              <w:top w:val="single" w:sz="4" w:space="0" w:color="auto"/>
              <w:left w:val="nil"/>
              <w:bottom w:val="single" w:sz="4" w:space="0" w:color="auto"/>
              <w:right w:val="nil"/>
            </w:tcBorders>
          </w:tcPr>
          <w:p w:rsidR="009543DB" w:rsidRDefault="009543DB" w:rsidP="009543DB">
            <w:pPr>
              <w:pStyle w:val="Tabletextright"/>
            </w:pPr>
            <w:r>
              <w:t>111.4</w:t>
            </w:r>
          </w:p>
        </w:tc>
        <w:tc>
          <w:tcPr>
            <w:tcW w:w="918" w:type="dxa"/>
            <w:tcBorders>
              <w:top w:val="single" w:sz="4" w:space="0" w:color="auto"/>
              <w:left w:val="nil"/>
              <w:bottom w:val="single" w:sz="4" w:space="0" w:color="auto"/>
              <w:right w:val="nil"/>
            </w:tcBorders>
          </w:tcPr>
          <w:p w:rsidR="009543DB" w:rsidRDefault="009543DB" w:rsidP="009543DB">
            <w:pPr>
              <w:pStyle w:val="Tabletextright"/>
            </w:pPr>
            <w:r>
              <w:t>100.0</w:t>
            </w:r>
          </w:p>
        </w:tc>
      </w:tr>
      <w:tr w:rsidR="009543DB" w:rsidTr="009543DB">
        <w:tc>
          <w:tcPr>
            <w:tcW w:w="3085" w:type="dxa"/>
            <w:tcBorders>
              <w:top w:val="single" w:sz="4" w:space="0" w:color="auto"/>
              <w:left w:val="nil"/>
              <w:right w:val="nil"/>
            </w:tcBorders>
          </w:tcPr>
          <w:p w:rsidR="009543DB" w:rsidRDefault="009543DB" w:rsidP="009543DB">
            <w:pPr>
              <w:pStyle w:val="Tabletextleft"/>
            </w:pPr>
            <w:r>
              <w:t>Airport security charge – freighters and general aviation (per MTOW)</w:t>
            </w:r>
          </w:p>
        </w:tc>
        <w:tc>
          <w:tcPr>
            <w:tcW w:w="992" w:type="dxa"/>
            <w:tcBorders>
              <w:top w:val="single" w:sz="4" w:space="0" w:color="auto"/>
              <w:left w:val="nil"/>
            </w:tcBorders>
          </w:tcPr>
          <w:p w:rsidR="009543DB" w:rsidRDefault="009543DB" w:rsidP="009543DB">
            <w:pPr>
              <w:pStyle w:val="Tabletextright"/>
            </w:pPr>
            <w:r>
              <w:t>0.21</w:t>
            </w:r>
          </w:p>
        </w:tc>
        <w:tc>
          <w:tcPr>
            <w:tcW w:w="917" w:type="dxa"/>
            <w:tcBorders>
              <w:top w:val="single" w:sz="4" w:space="0" w:color="auto"/>
              <w:right w:val="nil"/>
            </w:tcBorders>
          </w:tcPr>
          <w:p w:rsidR="009543DB" w:rsidRDefault="009543DB" w:rsidP="009543DB">
            <w:pPr>
              <w:pStyle w:val="Tabletextright"/>
            </w:pPr>
            <w:r>
              <w:t>135.4</w:t>
            </w:r>
          </w:p>
        </w:tc>
        <w:tc>
          <w:tcPr>
            <w:tcW w:w="917" w:type="dxa"/>
            <w:tcBorders>
              <w:top w:val="single" w:sz="4" w:space="0" w:color="auto"/>
              <w:left w:val="nil"/>
              <w:right w:val="nil"/>
            </w:tcBorders>
          </w:tcPr>
          <w:p w:rsidR="009543DB" w:rsidRDefault="009543DB" w:rsidP="009543DB">
            <w:pPr>
              <w:pStyle w:val="Tabletextright"/>
            </w:pPr>
            <w:r>
              <w:t>117.0</w:t>
            </w:r>
          </w:p>
        </w:tc>
        <w:tc>
          <w:tcPr>
            <w:tcW w:w="918" w:type="dxa"/>
            <w:tcBorders>
              <w:top w:val="single" w:sz="4" w:space="0" w:color="auto"/>
              <w:left w:val="nil"/>
              <w:right w:val="nil"/>
            </w:tcBorders>
          </w:tcPr>
          <w:p w:rsidR="009543DB" w:rsidRDefault="009543DB" w:rsidP="009543DB">
            <w:pPr>
              <w:pStyle w:val="Tabletextright"/>
            </w:pPr>
            <w:r>
              <w:t>114.4</w:t>
            </w:r>
          </w:p>
        </w:tc>
        <w:tc>
          <w:tcPr>
            <w:tcW w:w="917" w:type="dxa"/>
            <w:tcBorders>
              <w:top w:val="single" w:sz="4" w:space="0" w:color="auto"/>
              <w:left w:val="nil"/>
              <w:right w:val="nil"/>
            </w:tcBorders>
          </w:tcPr>
          <w:p w:rsidR="009543DB" w:rsidRDefault="009543DB" w:rsidP="009543DB">
            <w:pPr>
              <w:pStyle w:val="Tabletextright"/>
            </w:pPr>
            <w:r>
              <w:t>111.4</w:t>
            </w:r>
          </w:p>
        </w:tc>
        <w:tc>
          <w:tcPr>
            <w:tcW w:w="918" w:type="dxa"/>
            <w:tcBorders>
              <w:top w:val="single" w:sz="4" w:space="0" w:color="auto"/>
              <w:left w:val="nil"/>
              <w:right w:val="nil"/>
            </w:tcBorders>
          </w:tcPr>
          <w:p w:rsidR="009543DB" w:rsidRDefault="009543DB" w:rsidP="009543DB">
            <w:pPr>
              <w:pStyle w:val="Tabletextright"/>
            </w:pPr>
            <w:r>
              <w:t>100.0</w:t>
            </w:r>
          </w:p>
        </w:tc>
      </w:tr>
    </w:tbl>
    <w:p w:rsidR="009543DB" w:rsidRDefault="009543DB" w:rsidP="009543DB">
      <w:pPr>
        <w:pStyle w:val="Sourceandnotes"/>
      </w:pPr>
      <w:r>
        <w:t>Notes:</w:t>
      </w:r>
      <w:r>
        <w:tab/>
        <w:t>Real indexed prices are in 2014</w:t>
      </w:r>
      <w:r>
        <w:noBreakHyphen/>
        <w:t xml:space="preserve">15 dollars. N/A = Not </w:t>
      </w:r>
      <w:proofErr w:type="gramStart"/>
      <w:r>
        <w:t>applicable</w:t>
      </w:r>
      <w:proofErr w:type="gramEnd"/>
      <w:r>
        <w:br/>
        <w:t>(a)</w:t>
      </w:r>
      <w:r>
        <w:tab/>
        <w:t>Minimum charge applies. Melbourne Airport advised that this charge did not apply on ‘international</w:t>
      </w:r>
      <w:r>
        <w:tab/>
        <w:t>and domestic freight’ during 2014-15.</w:t>
      </w:r>
      <w:r>
        <w:br/>
        <w:t>(b)</w:t>
      </w:r>
      <w:r>
        <w:tab/>
        <w:t>Melbourne Airport also offers a ‘premium rate’ for check</w:t>
      </w:r>
      <w:r>
        <w:noBreakHyphen/>
        <w:t>in desks of $52.18 per hour.</w:t>
      </w:r>
    </w:p>
    <w:p w:rsidR="009543DB" w:rsidRDefault="009543DB" w:rsidP="009543DB">
      <w:r>
        <w:t>The majority of aeronautical charges at Melbourne Airport increased in real terms during 2014</w:t>
      </w:r>
      <w:r>
        <w:noBreakHyphen/>
        <w:t>15. The only charges to decrease in real terms were most of the government</w:t>
      </w:r>
      <w:r>
        <w:noBreakHyphen/>
        <w:t>mandated security charges, with real decreases ranging from 5.0 per cent (international passenger screening), to 10.2 per cent (airport security charges).</w:t>
      </w:r>
    </w:p>
    <w:p w:rsidR="009543DB" w:rsidRDefault="009543DB" w:rsidP="009543DB">
      <w:r>
        <w:t>Melbourne Airport increased the majority of its landing fees by around 1.1 per cent in real terms in 2014</w:t>
      </w:r>
      <w:r>
        <w:noBreakHyphen/>
        <w:t>15, with the main exception being the ‘international terminal’ landing fee that increased by 5.1 per cent in real terms.</w:t>
      </w:r>
    </w:p>
    <w:p w:rsidR="009543DB" w:rsidRDefault="009543DB" w:rsidP="009543DB">
      <w:pPr>
        <w:pStyle w:val="Numberedheading3"/>
      </w:pPr>
      <w:r w:rsidRPr="00F808E8">
        <w:t>Revenues, costs and profits for aeronautical and total airport services</w:t>
      </w:r>
    </w:p>
    <w:p w:rsidR="009543DB" w:rsidRDefault="009543DB" w:rsidP="009543DB">
      <w:r w:rsidRPr="004B00AE">
        <w:t xml:space="preserve">Table </w:t>
      </w:r>
      <w:r>
        <w:t>3</w:t>
      </w:r>
      <w:r w:rsidRPr="004B00AE">
        <w:t xml:space="preserve">.2.2 presents the revenues, operating expenses and </w:t>
      </w:r>
      <w:r>
        <w:t>aggregate</w:t>
      </w:r>
      <w:r w:rsidRPr="004B00AE">
        <w:t xml:space="preserve"> margins for aeronautical services, government mandated security services and the total airport in real terms from 2004</w:t>
      </w:r>
      <w:r>
        <w:noBreakHyphen/>
      </w:r>
      <w:r w:rsidRPr="004B00AE">
        <w:t>05 to 2014</w:t>
      </w:r>
      <w:r>
        <w:noBreakHyphen/>
      </w:r>
      <w:r w:rsidRPr="004B00AE">
        <w:t>15.</w:t>
      </w:r>
    </w:p>
    <w:p w:rsidR="009543DB" w:rsidRDefault="009543DB" w:rsidP="009543DB">
      <w:r>
        <w:t>In 2014</w:t>
      </w:r>
      <w:r>
        <w:noBreakHyphen/>
        <w:t>15, Melbourne Airport’s aeronautical revenue increased by 7.7 per cent in real terms to $338.2 million. This increase was driven by increased aeronautical charges, higher passenger numbers and a slight shift in passenger mix from domestic travel towards international travel. Since 2004</w:t>
      </w:r>
      <w:r>
        <w:noBreakHyphen/>
        <w:t>05, aeronautical revenue has increased by an average of 6.6 per cent per year in real terms.</w:t>
      </w:r>
    </w:p>
    <w:p w:rsidR="009543DB" w:rsidRDefault="009543DB" w:rsidP="009543DB">
      <w:r>
        <w:t>Melbourne Airport reported significant growth in aeronautical operating expenses during 2014</w:t>
      </w:r>
      <w:r>
        <w:noBreakHyphen/>
        <w:t>15, increasing by 11.2 per cent in real terms. The increase in aeronautical operating expenses was largely driven by increases in depreciation (14.7 per cent real increase), general administration (47.8 per cent real increase), and salaries and wages (10.2 per cent real increase). The increase in salaries and wages expenditure resulted from higher average wages for staff, as staffing levels remained stable during the year.</w:t>
      </w:r>
    </w:p>
    <w:p w:rsidR="009543DB" w:rsidRDefault="009543DB" w:rsidP="009543DB">
      <w:r>
        <w:t>Despite the large percentage increase in aeronautical operating expenses, Melbourne Airport reported growth in aeronautical aggregate margin in 2014</w:t>
      </w:r>
      <w:r>
        <w:noBreakHyphen/>
        <w:t>15, (3.4 per cent in real terms to $146.8 million). Since 2004</w:t>
      </w:r>
      <w:r>
        <w:noBreakHyphen/>
        <w:t>05, aeronautical aggregate margin has increased by an average of 5.9 per cent per year in real terms. The airport made a profit of 43.4 cents for each dollar of aeronautical revenue in 2014-15.</w:t>
      </w:r>
    </w:p>
    <w:p w:rsidR="009543DB" w:rsidRDefault="009543DB" w:rsidP="009543DB">
      <w:r>
        <w:lastRenderedPageBreak/>
        <w:t xml:space="preserve">On a per passenger basis, both aeronautical revenue (3.9 per cent) and operating expenses (7.3 per cent) increased in real terms during the year. However, aeronautical aggregate margin per passenger decreased during the year by 0.2 per cent in real terms to $4.54. For the second consecutive year, Melbourne Airport has reported the lowest values of aeronautical revenue, operating expenses and aggregate margin on a per passenger basis of the monitored airports. </w:t>
      </w:r>
    </w:p>
    <w:p w:rsidR="009543DB" w:rsidRDefault="009543DB" w:rsidP="009543DB">
      <w:pPr>
        <w:pStyle w:val="Numberedheading3"/>
      </w:pPr>
      <w:r>
        <w:t>Assets for aeronautical and total airport services</w:t>
      </w:r>
    </w:p>
    <w:p w:rsidR="009543DB" w:rsidRDefault="009543DB" w:rsidP="009543DB">
      <w:r w:rsidRPr="006A437A">
        <w:t xml:space="preserve">Table </w:t>
      </w:r>
      <w:r>
        <w:t>3</w:t>
      </w:r>
      <w:r w:rsidRPr="006A437A">
        <w:t>.2.</w:t>
      </w:r>
      <w:r>
        <w:t>3</w:t>
      </w:r>
      <w:r w:rsidRPr="006A437A">
        <w:t xml:space="preserve"> outlines </w:t>
      </w:r>
      <w:r>
        <w:t>Melbourne Airport’s tangible non</w:t>
      </w:r>
      <w:r>
        <w:noBreakHyphen/>
      </w:r>
      <w:r w:rsidRPr="006A437A">
        <w:t>current assets for aeronautical and t</w:t>
      </w:r>
      <w:r>
        <w:t>otal airport services from 2004</w:t>
      </w:r>
      <w:r>
        <w:noBreakHyphen/>
      </w:r>
      <w:r w:rsidRPr="006A437A">
        <w:t>05 to 2014</w:t>
      </w:r>
      <w:r>
        <w:noBreakHyphen/>
      </w:r>
      <w:r w:rsidRPr="006A437A">
        <w:t xml:space="preserve">15. </w:t>
      </w:r>
    </w:p>
    <w:p w:rsidR="009543DB" w:rsidRPr="006B740F" w:rsidRDefault="009543DB" w:rsidP="009543DB">
      <w:pPr>
        <w:rPr>
          <w:b/>
          <w:i/>
          <w:color w:val="FF0000"/>
          <w:u w:val="single"/>
        </w:rPr>
      </w:pPr>
      <w:r>
        <w:t>In 2014</w:t>
      </w:r>
      <w:r>
        <w:noBreakHyphen/>
        <w:t>15, the value of aeronautical tangible non</w:t>
      </w:r>
      <w:r>
        <w:noBreakHyphen/>
        <w:t>current assets at Melbourne Airport increased by 28.1 per cent in real terms to $1.8 billion. This increase was driven by an increase in the value of property, plant and equipment, which grew by 29.2 per cent in real terms during 2014</w:t>
      </w:r>
      <w:r>
        <w:noBreakHyphen/>
        <w:t>15. Since 2004</w:t>
      </w:r>
      <w:r>
        <w:noBreakHyphen/>
        <w:t>05, aeronautical tangible non</w:t>
      </w:r>
      <w:r>
        <w:noBreakHyphen/>
        <w:t xml:space="preserve">current assets have increased in value by 189.4 per cent in real terms. </w:t>
      </w:r>
    </w:p>
    <w:p w:rsidR="009543DB" w:rsidRDefault="009543DB" w:rsidP="009543DB">
      <w:r>
        <w:t>Tangible non</w:t>
      </w:r>
      <w:r>
        <w:noBreakHyphen/>
        <w:t>current assets for the total airport increased in value by 28.6 per cent in real terms to around $4.0 billion in 2014</w:t>
      </w:r>
      <w:r>
        <w:noBreakHyphen/>
        <w:t>15. This was driven by an increase in the value of all asset categories. In particular, the value of ‘other’ non</w:t>
      </w:r>
      <w:r>
        <w:noBreakHyphen/>
        <w:t>current assets (including financial assets and accrued revenue) increased by 140.4 per cent in real terms, while the value of land increased by 46.1 per cent in real terms.</w:t>
      </w:r>
      <w:r w:rsidRPr="00DE2FD4">
        <w:t xml:space="preserve"> </w:t>
      </w:r>
    </w:p>
    <w:p w:rsidR="009543DB" w:rsidRPr="00F808E8" w:rsidRDefault="009543DB" w:rsidP="009543DB">
      <w:r>
        <w:t>Melbourne Airport advised in its regulatory accounts that a schedule of LIS values for aeronautical assets is not required as its total aeronautical asset base used for the regulatory accounts is the same as the LIS values required by the ACCC. As a result, LIS measures are not separately reported for Melbourne Airport.</w:t>
      </w:r>
    </w:p>
    <w:p w:rsidR="009543DB" w:rsidRDefault="009543DB" w:rsidP="009543DB">
      <w:pPr>
        <w:pStyle w:val="Numberedheading3"/>
        <w:sectPr w:rsidR="009543DB" w:rsidSect="00D504DE">
          <w:headerReference w:type="even" r:id="rId85"/>
          <w:headerReference w:type="default" r:id="rId86"/>
          <w:footerReference w:type="even" r:id="rId87"/>
          <w:footerReference w:type="default" r:id="rId88"/>
          <w:type w:val="continuous"/>
          <w:pgSz w:w="11906" w:h="16838"/>
          <w:pgMar w:top="1440" w:right="1729" w:bottom="1582" w:left="1729" w:header="709" w:footer="709" w:gutter="0"/>
          <w:pgNumType w:start="75"/>
          <w:cols w:space="708"/>
          <w:docGrid w:linePitch="360"/>
        </w:sectPr>
      </w:pPr>
    </w:p>
    <w:p w:rsidR="009543DB" w:rsidRDefault="009543DB" w:rsidP="009543DB">
      <w:pPr>
        <w:pStyle w:val="Numberedcharttitle"/>
      </w:pPr>
      <w:r>
        <w:lastRenderedPageBreak/>
        <w:t>Table 3.2.2:</w:t>
      </w:r>
      <w:r>
        <w:tab/>
        <w:t>Melbourne Airport—revenues, operating expenses and aggregate margins for aeronautical services, government</w:t>
      </w:r>
      <w:r>
        <w:noBreakHyphen/>
        <w:t>mandated security services, and total airport services in real terms: 2004</w:t>
      </w:r>
      <w:r>
        <w:noBreakHyphen/>
        <w:t>05 to 2014</w:t>
      </w:r>
      <w:r>
        <w:noBreakHyphen/>
        <w:t>15</w:t>
      </w:r>
    </w:p>
    <w:tbl>
      <w:tblPr>
        <w:tblStyle w:val="TableGrid"/>
        <w:tblW w:w="0" w:type="auto"/>
        <w:tblLook w:val="04A0" w:firstRow="1" w:lastRow="0" w:firstColumn="1" w:lastColumn="0" w:noHBand="0" w:noVBand="1"/>
      </w:tblPr>
      <w:tblGrid>
        <w:gridCol w:w="1526"/>
        <w:gridCol w:w="1701"/>
        <w:gridCol w:w="982"/>
        <w:gridCol w:w="982"/>
        <w:gridCol w:w="982"/>
        <w:gridCol w:w="983"/>
        <w:gridCol w:w="982"/>
        <w:gridCol w:w="982"/>
        <w:gridCol w:w="982"/>
        <w:gridCol w:w="983"/>
        <w:gridCol w:w="982"/>
        <w:gridCol w:w="982"/>
        <w:gridCol w:w="983"/>
      </w:tblGrid>
      <w:tr w:rsidR="009543DB" w:rsidTr="009543DB">
        <w:tc>
          <w:tcPr>
            <w:tcW w:w="1526" w:type="dxa"/>
            <w:tcBorders>
              <w:left w:val="nil"/>
              <w:bottom w:val="single" w:sz="4" w:space="0" w:color="auto"/>
              <w:right w:val="nil"/>
            </w:tcBorders>
            <w:shd w:val="clear" w:color="auto" w:fill="DFE0DC"/>
          </w:tcPr>
          <w:p w:rsidR="009543DB" w:rsidRDefault="009543DB" w:rsidP="009543DB">
            <w:pPr>
              <w:pStyle w:val="Tabletextleft"/>
            </w:pPr>
          </w:p>
        </w:tc>
        <w:tc>
          <w:tcPr>
            <w:tcW w:w="1701" w:type="dxa"/>
            <w:tcBorders>
              <w:left w:val="nil"/>
              <w:right w:val="nil"/>
            </w:tcBorders>
            <w:shd w:val="clear" w:color="auto" w:fill="DFE0DC"/>
          </w:tcPr>
          <w:p w:rsidR="009543DB" w:rsidRDefault="009543DB" w:rsidP="009543DB">
            <w:pPr>
              <w:pStyle w:val="Tabletextleft"/>
            </w:pP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2004-05</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2005-06</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2006-07</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2007-08</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2008-09</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2009-10</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2010-11</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2011-12</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2012-13</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2013-14</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1526" w:type="dxa"/>
            <w:vMerge w:val="restart"/>
            <w:tcBorders>
              <w:left w:val="nil"/>
              <w:right w:val="nil"/>
            </w:tcBorders>
            <w:vAlign w:val="center"/>
          </w:tcPr>
          <w:p w:rsidR="009543DB" w:rsidRPr="00434D61" w:rsidRDefault="009543DB" w:rsidP="009543DB">
            <w:pPr>
              <w:pStyle w:val="Tabletextleft-centred"/>
            </w:pPr>
            <w:r w:rsidRPr="00434D61">
              <w:t>Revenue ($million)</w:t>
            </w:r>
          </w:p>
        </w:tc>
        <w:tc>
          <w:tcPr>
            <w:tcW w:w="1701" w:type="dxa"/>
            <w:tcBorders>
              <w:left w:val="nil"/>
              <w:right w:val="nil"/>
            </w:tcBorders>
          </w:tcPr>
          <w:p w:rsidR="009543DB" w:rsidRDefault="009543DB" w:rsidP="009543DB">
            <w:pPr>
              <w:pStyle w:val="Tabletextleft"/>
            </w:pPr>
            <w:r>
              <w:t>Total aeronautical</w:t>
            </w:r>
          </w:p>
        </w:tc>
        <w:tc>
          <w:tcPr>
            <w:tcW w:w="982" w:type="dxa"/>
            <w:tcBorders>
              <w:left w:val="nil"/>
              <w:right w:val="nil"/>
            </w:tcBorders>
          </w:tcPr>
          <w:p w:rsidR="009543DB" w:rsidRDefault="009543DB" w:rsidP="009543DB">
            <w:pPr>
              <w:pStyle w:val="Tabletextright"/>
            </w:pPr>
            <w:r>
              <w:t>179.1</w:t>
            </w:r>
          </w:p>
        </w:tc>
        <w:tc>
          <w:tcPr>
            <w:tcW w:w="982" w:type="dxa"/>
            <w:tcBorders>
              <w:left w:val="nil"/>
              <w:right w:val="nil"/>
            </w:tcBorders>
          </w:tcPr>
          <w:p w:rsidR="009543DB" w:rsidRDefault="009543DB" w:rsidP="009543DB">
            <w:pPr>
              <w:pStyle w:val="Tabletextright"/>
            </w:pPr>
            <w:r>
              <w:t>182.7</w:t>
            </w:r>
          </w:p>
        </w:tc>
        <w:tc>
          <w:tcPr>
            <w:tcW w:w="982" w:type="dxa"/>
            <w:tcBorders>
              <w:left w:val="nil"/>
              <w:right w:val="nil"/>
            </w:tcBorders>
          </w:tcPr>
          <w:p w:rsidR="009543DB" w:rsidRDefault="009543DB" w:rsidP="009543DB">
            <w:pPr>
              <w:pStyle w:val="Tabletextright"/>
            </w:pPr>
            <w:r>
              <w:t>196.2</w:t>
            </w:r>
          </w:p>
        </w:tc>
        <w:tc>
          <w:tcPr>
            <w:tcW w:w="983" w:type="dxa"/>
            <w:tcBorders>
              <w:left w:val="nil"/>
              <w:right w:val="nil"/>
            </w:tcBorders>
          </w:tcPr>
          <w:p w:rsidR="009543DB" w:rsidRDefault="009543DB" w:rsidP="009543DB">
            <w:pPr>
              <w:pStyle w:val="Tabletextright"/>
            </w:pPr>
            <w:r>
              <w:t>222.9</w:t>
            </w:r>
          </w:p>
        </w:tc>
        <w:tc>
          <w:tcPr>
            <w:tcW w:w="982" w:type="dxa"/>
            <w:tcBorders>
              <w:left w:val="nil"/>
              <w:right w:val="nil"/>
            </w:tcBorders>
          </w:tcPr>
          <w:p w:rsidR="009543DB" w:rsidRDefault="009543DB" w:rsidP="009543DB">
            <w:pPr>
              <w:pStyle w:val="Tabletextright"/>
            </w:pPr>
            <w:r>
              <w:t>227.3</w:t>
            </w:r>
          </w:p>
        </w:tc>
        <w:tc>
          <w:tcPr>
            <w:tcW w:w="982" w:type="dxa"/>
            <w:tcBorders>
              <w:left w:val="nil"/>
              <w:right w:val="nil"/>
            </w:tcBorders>
          </w:tcPr>
          <w:p w:rsidR="009543DB" w:rsidRDefault="009543DB" w:rsidP="009543DB">
            <w:pPr>
              <w:pStyle w:val="Tabletextright"/>
            </w:pPr>
            <w:r>
              <w:t>238.9</w:t>
            </w:r>
          </w:p>
        </w:tc>
        <w:tc>
          <w:tcPr>
            <w:tcW w:w="982" w:type="dxa"/>
            <w:tcBorders>
              <w:left w:val="nil"/>
              <w:right w:val="nil"/>
            </w:tcBorders>
          </w:tcPr>
          <w:p w:rsidR="009543DB" w:rsidRDefault="009543DB" w:rsidP="009543DB">
            <w:pPr>
              <w:pStyle w:val="Tabletextright"/>
            </w:pPr>
            <w:r>
              <w:t>253.5</w:t>
            </w:r>
          </w:p>
        </w:tc>
        <w:tc>
          <w:tcPr>
            <w:tcW w:w="983" w:type="dxa"/>
            <w:tcBorders>
              <w:left w:val="nil"/>
              <w:right w:val="nil"/>
            </w:tcBorders>
          </w:tcPr>
          <w:p w:rsidR="009543DB" w:rsidRDefault="009543DB" w:rsidP="009543DB">
            <w:pPr>
              <w:pStyle w:val="Tabletextright"/>
            </w:pPr>
            <w:r>
              <w:t>260.3</w:t>
            </w:r>
          </w:p>
        </w:tc>
        <w:tc>
          <w:tcPr>
            <w:tcW w:w="982" w:type="dxa"/>
            <w:tcBorders>
              <w:left w:val="nil"/>
              <w:right w:val="nil"/>
            </w:tcBorders>
          </w:tcPr>
          <w:p w:rsidR="009543DB" w:rsidRDefault="009543DB" w:rsidP="009543DB">
            <w:pPr>
              <w:pStyle w:val="Tabletextright"/>
            </w:pPr>
            <w:r>
              <w:t>292.5</w:t>
            </w:r>
          </w:p>
        </w:tc>
        <w:tc>
          <w:tcPr>
            <w:tcW w:w="982" w:type="dxa"/>
            <w:tcBorders>
              <w:left w:val="nil"/>
              <w:right w:val="nil"/>
            </w:tcBorders>
          </w:tcPr>
          <w:p w:rsidR="009543DB" w:rsidRDefault="009543DB" w:rsidP="009543DB">
            <w:pPr>
              <w:pStyle w:val="Tabletextright"/>
            </w:pPr>
            <w:r>
              <w:t>314.1</w:t>
            </w:r>
          </w:p>
        </w:tc>
        <w:tc>
          <w:tcPr>
            <w:tcW w:w="983" w:type="dxa"/>
            <w:tcBorders>
              <w:left w:val="nil"/>
              <w:right w:val="nil"/>
            </w:tcBorders>
          </w:tcPr>
          <w:p w:rsidR="009543DB" w:rsidRDefault="009543DB" w:rsidP="009543DB">
            <w:pPr>
              <w:pStyle w:val="Tabletextright"/>
            </w:pPr>
            <w:r>
              <w:t>338.2</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left"/>
            </w:pPr>
            <w:r>
              <w:t>Security services</w:t>
            </w:r>
          </w:p>
        </w:tc>
        <w:tc>
          <w:tcPr>
            <w:tcW w:w="982" w:type="dxa"/>
            <w:tcBorders>
              <w:left w:val="nil"/>
              <w:right w:val="nil"/>
            </w:tcBorders>
          </w:tcPr>
          <w:p w:rsidR="009543DB" w:rsidRDefault="009543DB" w:rsidP="009543DB">
            <w:pPr>
              <w:pStyle w:val="Tabletextright"/>
            </w:pPr>
            <w:r>
              <w:t>17.5</w:t>
            </w:r>
          </w:p>
        </w:tc>
        <w:tc>
          <w:tcPr>
            <w:tcW w:w="982" w:type="dxa"/>
            <w:tcBorders>
              <w:left w:val="nil"/>
              <w:right w:val="nil"/>
            </w:tcBorders>
          </w:tcPr>
          <w:p w:rsidR="009543DB" w:rsidRDefault="009543DB" w:rsidP="009543DB">
            <w:pPr>
              <w:pStyle w:val="Tabletextright"/>
            </w:pPr>
            <w:r>
              <w:t>18.6</w:t>
            </w:r>
          </w:p>
        </w:tc>
        <w:tc>
          <w:tcPr>
            <w:tcW w:w="982" w:type="dxa"/>
            <w:tcBorders>
              <w:left w:val="nil"/>
              <w:right w:val="nil"/>
            </w:tcBorders>
          </w:tcPr>
          <w:p w:rsidR="009543DB" w:rsidRDefault="009543DB" w:rsidP="009543DB">
            <w:pPr>
              <w:pStyle w:val="Tabletextright"/>
            </w:pPr>
            <w:r>
              <w:t>16.9</w:t>
            </w:r>
          </w:p>
        </w:tc>
        <w:tc>
          <w:tcPr>
            <w:tcW w:w="983" w:type="dxa"/>
            <w:tcBorders>
              <w:left w:val="nil"/>
              <w:right w:val="nil"/>
            </w:tcBorders>
          </w:tcPr>
          <w:p w:rsidR="009543DB" w:rsidRDefault="009543DB" w:rsidP="009543DB">
            <w:pPr>
              <w:pStyle w:val="Tabletextright"/>
            </w:pPr>
            <w:r>
              <w:t>24.3</w:t>
            </w:r>
          </w:p>
        </w:tc>
        <w:tc>
          <w:tcPr>
            <w:tcW w:w="982" w:type="dxa"/>
            <w:tcBorders>
              <w:left w:val="nil"/>
              <w:right w:val="nil"/>
            </w:tcBorders>
          </w:tcPr>
          <w:p w:rsidR="009543DB" w:rsidRDefault="009543DB" w:rsidP="009543DB">
            <w:pPr>
              <w:pStyle w:val="Tabletextright"/>
            </w:pPr>
            <w:r>
              <w:t>27.9</w:t>
            </w:r>
          </w:p>
        </w:tc>
        <w:tc>
          <w:tcPr>
            <w:tcW w:w="982" w:type="dxa"/>
            <w:tcBorders>
              <w:left w:val="nil"/>
              <w:right w:val="nil"/>
            </w:tcBorders>
          </w:tcPr>
          <w:p w:rsidR="009543DB" w:rsidRDefault="009543DB" w:rsidP="009543DB">
            <w:pPr>
              <w:pStyle w:val="Tabletextright"/>
            </w:pPr>
            <w:r>
              <w:t>32.9</w:t>
            </w:r>
          </w:p>
        </w:tc>
        <w:tc>
          <w:tcPr>
            <w:tcW w:w="982" w:type="dxa"/>
            <w:tcBorders>
              <w:left w:val="nil"/>
              <w:right w:val="nil"/>
            </w:tcBorders>
          </w:tcPr>
          <w:p w:rsidR="009543DB" w:rsidRDefault="009543DB" w:rsidP="009543DB">
            <w:pPr>
              <w:pStyle w:val="Tabletextright"/>
            </w:pPr>
            <w:r>
              <w:t>31.6</w:t>
            </w:r>
          </w:p>
        </w:tc>
        <w:tc>
          <w:tcPr>
            <w:tcW w:w="983" w:type="dxa"/>
            <w:tcBorders>
              <w:left w:val="nil"/>
              <w:right w:val="nil"/>
            </w:tcBorders>
          </w:tcPr>
          <w:p w:rsidR="009543DB" w:rsidRDefault="009543DB" w:rsidP="009543DB">
            <w:pPr>
              <w:pStyle w:val="Tabletextright"/>
            </w:pPr>
            <w:r>
              <w:t>30.8</w:t>
            </w:r>
          </w:p>
        </w:tc>
        <w:tc>
          <w:tcPr>
            <w:tcW w:w="982" w:type="dxa"/>
            <w:tcBorders>
              <w:left w:val="nil"/>
              <w:right w:val="nil"/>
            </w:tcBorders>
          </w:tcPr>
          <w:p w:rsidR="009543DB" w:rsidRDefault="009543DB" w:rsidP="009543DB">
            <w:pPr>
              <w:pStyle w:val="Tabletextright"/>
            </w:pPr>
            <w:r>
              <w:t>34.8</w:t>
            </w:r>
          </w:p>
        </w:tc>
        <w:tc>
          <w:tcPr>
            <w:tcW w:w="982" w:type="dxa"/>
            <w:tcBorders>
              <w:left w:val="nil"/>
              <w:right w:val="nil"/>
            </w:tcBorders>
          </w:tcPr>
          <w:p w:rsidR="009543DB" w:rsidRDefault="009543DB" w:rsidP="009543DB">
            <w:pPr>
              <w:pStyle w:val="Tabletextright"/>
            </w:pPr>
            <w:r>
              <w:t>35.7</w:t>
            </w:r>
          </w:p>
        </w:tc>
        <w:tc>
          <w:tcPr>
            <w:tcW w:w="983" w:type="dxa"/>
            <w:tcBorders>
              <w:left w:val="nil"/>
              <w:right w:val="nil"/>
            </w:tcBorders>
          </w:tcPr>
          <w:p w:rsidR="009543DB" w:rsidRDefault="009543DB" w:rsidP="009543DB">
            <w:pPr>
              <w:pStyle w:val="Tabletextright"/>
            </w:pPr>
            <w:r>
              <w:t>37.3</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left"/>
            </w:pPr>
            <w:r>
              <w:t>Security % of total aeronautical</w:t>
            </w:r>
          </w:p>
        </w:tc>
        <w:tc>
          <w:tcPr>
            <w:tcW w:w="982" w:type="dxa"/>
            <w:tcBorders>
              <w:left w:val="nil"/>
              <w:right w:val="nil"/>
            </w:tcBorders>
            <w:vAlign w:val="center"/>
          </w:tcPr>
          <w:p w:rsidR="009543DB" w:rsidRDefault="009543DB" w:rsidP="009543DB">
            <w:pPr>
              <w:pStyle w:val="Tabletext-centred"/>
              <w:jc w:val="right"/>
            </w:pPr>
            <w:r>
              <w:t>9.8</w:t>
            </w:r>
          </w:p>
        </w:tc>
        <w:tc>
          <w:tcPr>
            <w:tcW w:w="982" w:type="dxa"/>
            <w:tcBorders>
              <w:left w:val="nil"/>
              <w:right w:val="nil"/>
            </w:tcBorders>
            <w:vAlign w:val="center"/>
          </w:tcPr>
          <w:p w:rsidR="009543DB" w:rsidRDefault="009543DB" w:rsidP="009543DB">
            <w:pPr>
              <w:pStyle w:val="tabletextcentred-right"/>
            </w:pPr>
            <w:r>
              <w:t>10.2</w:t>
            </w:r>
          </w:p>
        </w:tc>
        <w:tc>
          <w:tcPr>
            <w:tcW w:w="982" w:type="dxa"/>
            <w:tcBorders>
              <w:left w:val="nil"/>
              <w:right w:val="nil"/>
            </w:tcBorders>
            <w:vAlign w:val="center"/>
          </w:tcPr>
          <w:p w:rsidR="009543DB" w:rsidRDefault="009543DB" w:rsidP="009543DB">
            <w:pPr>
              <w:pStyle w:val="tabletextcentred-right"/>
            </w:pPr>
            <w:r>
              <w:t>8.6</w:t>
            </w:r>
          </w:p>
        </w:tc>
        <w:tc>
          <w:tcPr>
            <w:tcW w:w="983" w:type="dxa"/>
            <w:tcBorders>
              <w:left w:val="nil"/>
              <w:right w:val="nil"/>
            </w:tcBorders>
            <w:vAlign w:val="center"/>
          </w:tcPr>
          <w:p w:rsidR="009543DB" w:rsidRDefault="009543DB" w:rsidP="009543DB">
            <w:pPr>
              <w:pStyle w:val="tabletextcentred-right"/>
            </w:pPr>
            <w:r>
              <w:t>10.9</w:t>
            </w:r>
          </w:p>
        </w:tc>
        <w:tc>
          <w:tcPr>
            <w:tcW w:w="982" w:type="dxa"/>
            <w:tcBorders>
              <w:left w:val="nil"/>
              <w:right w:val="nil"/>
            </w:tcBorders>
            <w:vAlign w:val="center"/>
          </w:tcPr>
          <w:p w:rsidR="009543DB" w:rsidRDefault="009543DB" w:rsidP="009543DB">
            <w:pPr>
              <w:pStyle w:val="tabletextcentred-right"/>
            </w:pPr>
            <w:r>
              <w:t>12.3</w:t>
            </w:r>
          </w:p>
        </w:tc>
        <w:tc>
          <w:tcPr>
            <w:tcW w:w="982" w:type="dxa"/>
            <w:tcBorders>
              <w:left w:val="nil"/>
              <w:right w:val="nil"/>
            </w:tcBorders>
            <w:vAlign w:val="center"/>
          </w:tcPr>
          <w:p w:rsidR="009543DB" w:rsidRDefault="009543DB" w:rsidP="009543DB">
            <w:pPr>
              <w:pStyle w:val="tabletextcentred-right"/>
            </w:pPr>
            <w:r>
              <w:t>13.8</w:t>
            </w:r>
          </w:p>
        </w:tc>
        <w:tc>
          <w:tcPr>
            <w:tcW w:w="982" w:type="dxa"/>
            <w:tcBorders>
              <w:left w:val="nil"/>
              <w:right w:val="nil"/>
            </w:tcBorders>
            <w:vAlign w:val="center"/>
          </w:tcPr>
          <w:p w:rsidR="009543DB" w:rsidRDefault="009543DB" w:rsidP="009543DB">
            <w:pPr>
              <w:pStyle w:val="tabletextcentred-right"/>
            </w:pPr>
            <w:r>
              <w:t>12.5</w:t>
            </w:r>
          </w:p>
        </w:tc>
        <w:tc>
          <w:tcPr>
            <w:tcW w:w="983" w:type="dxa"/>
            <w:tcBorders>
              <w:left w:val="nil"/>
              <w:right w:val="nil"/>
            </w:tcBorders>
            <w:vAlign w:val="center"/>
          </w:tcPr>
          <w:p w:rsidR="009543DB" w:rsidRDefault="009543DB" w:rsidP="009543DB">
            <w:pPr>
              <w:pStyle w:val="tabletextcentred-right"/>
            </w:pPr>
            <w:r>
              <w:t>11.8</w:t>
            </w:r>
          </w:p>
        </w:tc>
        <w:tc>
          <w:tcPr>
            <w:tcW w:w="982" w:type="dxa"/>
            <w:tcBorders>
              <w:left w:val="nil"/>
              <w:right w:val="nil"/>
            </w:tcBorders>
            <w:vAlign w:val="center"/>
          </w:tcPr>
          <w:p w:rsidR="009543DB" w:rsidRDefault="009543DB" w:rsidP="009543DB">
            <w:pPr>
              <w:pStyle w:val="tabletextcentred-right"/>
            </w:pPr>
            <w:r>
              <w:t>11.9</w:t>
            </w:r>
          </w:p>
        </w:tc>
        <w:tc>
          <w:tcPr>
            <w:tcW w:w="982" w:type="dxa"/>
            <w:tcBorders>
              <w:left w:val="nil"/>
              <w:right w:val="nil"/>
            </w:tcBorders>
            <w:vAlign w:val="center"/>
          </w:tcPr>
          <w:p w:rsidR="009543DB" w:rsidRDefault="009543DB" w:rsidP="009543DB">
            <w:pPr>
              <w:pStyle w:val="tabletextcentred-right"/>
            </w:pPr>
            <w:r>
              <w:t>11.4</w:t>
            </w:r>
          </w:p>
        </w:tc>
        <w:tc>
          <w:tcPr>
            <w:tcW w:w="983" w:type="dxa"/>
            <w:tcBorders>
              <w:left w:val="nil"/>
              <w:right w:val="nil"/>
            </w:tcBorders>
            <w:vAlign w:val="center"/>
          </w:tcPr>
          <w:p w:rsidR="009543DB" w:rsidRDefault="009543DB" w:rsidP="009543DB">
            <w:pPr>
              <w:pStyle w:val="tabletextcentred-right"/>
            </w:pPr>
            <w:r>
              <w:t>11.0</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heading"/>
            </w:pPr>
            <w:r>
              <w:t>Total airport</w:t>
            </w:r>
          </w:p>
        </w:tc>
        <w:tc>
          <w:tcPr>
            <w:tcW w:w="982" w:type="dxa"/>
            <w:tcBorders>
              <w:left w:val="nil"/>
              <w:right w:val="nil"/>
            </w:tcBorders>
          </w:tcPr>
          <w:p w:rsidR="009543DB" w:rsidRDefault="009543DB" w:rsidP="009543DB">
            <w:pPr>
              <w:pStyle w:val="Tabletextheadingright"/>
            </w:pPr>
            <w:r>
              <w:t>411.6</w:t>
            </w:r>
          </w:p>
        </w:tc>
        <w:tc>
          <w:tcPr>
            <w:tcW w:w="982" w:type="dxa"/>
            <w:tcBorders>
              <w:left w:val="nil"/>
              <w:right w:val="nil"/>
            </w:tcBorders>
          </w:tcPr>
          <w:p w:rsidR="009543DB" w:rsidRDefault="009543DB" w:rsidP="009543DB">
            <w:pPr>
              <w:pStyle w:val="Tabletextheadingright"/>
            </w:pPr>
            <w:r>
              <w:t>429.0</w:t>
            </w:r>
          </w:p>
        </w:tc>
        <w:tc>
          <w:tcPr>
            <w:tcW w:w="982" w:type="dxa"/>
            <w:tcBorders>
              <w:left w:val="nil"/>
              <w:right w:val="nil"/>
            </w:tcBorders>
          </w:tcPr>
          <w:p w:rsidR="009543DB" w:rsidRDefault="009543DB" w:rsidP="009543DB">
            <w:pPr>
              <w:pStyle w:val="Tabletextheadingright"/>
            </w:pPr>
            <w:r>
              <w:t>459.5</w:t>
            </w:r>
          </w:p>
        </w:tc>
        <w:tc>
          <w:tcPr>
            <w:tcW w:w="983" w:type="dxa"/>
            <w:tcBorders>
              <w:left w:val="nil"/>
              <w:right w:val="nil"/>
            </w:tcBorders>
          </w:tcPr>
          <w:p w:rsidR="009543DB" w:rsidRDefault="009543DB" w:rsidP="009543DB">
            <w:pPr>
              <w:pStyle w:val="Tabletextheadingright"/>
            </w:pPr>
            <w:r>
              <w:t>520.3</w:t>
            </w:r>
          </w:p>
        </w:tc>
        <w:tc>
          <w:tcPr>
            <w:tcW w:w="982" w:type="dxa"/>
            <w:tcBorders>
              <w:left w:val="nil"/>
              <w:right w:val="nil"/>
            </w:tcBorders>
          </w:tcPr>
          <w:p w:rsidR="009543DB" w:rsidRDefault="009543DB" w:rsidP="009543DB">
            <w:pPr>
              <w:pStyle w:val="Tabletextheadingright"/>
            </w:pPr>
            <w:r>
              <w:t>533.5</w:t>
            </w:r>
          </w:p>
        </w:tc>
        <w:tc>
          <w:tcPr>
            <w:tcW w:w="982" w:type="dxa"/>
            <w:tcBorders>
              <w:left w:val="nil"/>
              <w:right w:val="nil"/>
            </w:tcBorders>
          </w:tcPr>
          <w:p w:rsidR="009543DB" w:rsidRDefault="009543DB" w:rsidP="009543DB">
            <w:pPr>
              <w:pStyle w:val="Tabletextheadingright"/>
            </w:pPr>
            <w:r>
              <w:t>566.9</w:t>
            </w:r>
          </w:p>
        </w:tc>
        <w:tc>
          <w:tcPr>
            <w:tcW w:w="982" w:type="dxa"/>
            <w:tcBorders>
              <w:left w:val="nil"/>
              <w:right w:val="nil"/>
            </w:tcBorders>
          </w:tcPr>
          <w:p w:rsidR="009543DB" w:rsidRDefault="009543DB" w:rsidP="009543DB">
            <w:pPr>
              <w:pStyle w:val="Tabletextheadingright"/>
            </w:pPr>
            <w:r>
              <w:t>596.2</w:t>
            </w:r>
          </w:p>
        </w:tc>
        <w:tc>
          <w:tcPr>
            <w:tcW w:w="983" w:type="dxa"/>
            <w:tcBorders>
              <w:left w:val="nil"/>
              <w:right w:val="nil"/>
            </w:tcBorders>
          </w:tcPr>
          <w:p w:rsidR="009543DB" w:rsidRDefault="009543DB" w:rsidP="009543DB">
            <w:pPr>
              <w:pStyle w:val="Tabletextheadingright"/>
            </w:pPr>
            <w:r>
              <w:t>612.5</w:t>
            </w:r>
          </w:p>
        </w:tc>
        <w:tc>
          <w:tcPr>
            <w:tcW w:w="982" w:type="dxa"/>
            <w:tcBorders>
              <w:left w:val="nil"/>
              <w:right w:val="nil"/>
            </w:tcBorders>
          </w:tcPr>
          <w:p w:rsidR="009543DB" w:rsidRDefault="009543DB" w:rsidP="009543DB">
            <w:pPr>
              <w:pStyle w:val="Tabletextheadingright"/>
            </w:pPr>
            <w:r>
              <w:t>653.4</w:t>
            </w:r>
          </w:p>
        </w:tc>
        <w:tc>
          <w:tcPr>
            <w:tcW w:w="982" w:type="dxa"/>
            <w:tcBorders>
              <w:left w:val="nil"/>
              <w:right w:val="nil"/>
            </w:tcBorders>
          </w:tcPr>
          <w:p w:rsidR="009543DB" w:rsidRDefault="009543DB" w:rsidP="009543DB">
            <w:pPr>
              <w:pStyle w:val="Tabletextheadingright"/>
            </w:pPr>
            <w:r>
              <w:t>706.2</w:t>
            </w:r>
          </w:p>
        </w:tc>
        <w:tc>
          <w:tcPr>
            <w:tcW w:w="983" w:type="dxa"/>
            <w:tcBorders>
              <w:left w:val="nil"/>
              <w:right w:val="nil"/>
            </w:tcBorders>
          </w:tcPr>
          <w:p w:rsidR="009543DB" w:rsidRDefault="009543DB" w:rsidP="009543DB">
            <w:pPr>
              <w:pStyle w:val="Tabletextheadingright"/>
            </w:pPr>
            <w:r>
              <w:t>753.1</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left"/>
            </w:pPr>
            <w:r>
              <w:t>Aeronautical % of total airport</w:t>
            </w:r>
          </w:p>
        </w:tc>
        <w:tc>
          <w:tcPr>
            <w:tcW w:w="982" w:type="dxa"/>
            <w:tcBorders>
              <w:left w:val="nil"/>
              <w:right w:val="nil"/>
            </w:tcBorders>
            <w:vAlign w:val="center"/>
          </w:tcPr>
          <w:p w:rsidR="009543DB" w:rsidRDefault="009543DB" w:rsidP="009543DB">
            <w:pPr>
              <w:pStyle w:val="tabletextcentred-right"/>
            </w:pPr>
            <w:r>
              <w:t>43.5</w:t>
            </w:r>
          </w:p>
        </w:tc>
        <w:tc>
          <w:tcPr>
            <w:tcW w:w="982" w:type="dxa"/>
            <w:tcBorders>
              <w:left w:val="nil"/>
              <w:right w:val="nil"/>
            </w:tcBorders>
            <w:vAlign w:val="center"/>
          </w:tcPr>
          <w:p w:rsidR="009543DB" w:rsidRDefault="009543DB" w:rsidP="009543DB">
            <w:pPr>
              <w:pStyle w:val="tabletextcentred-right"/>
            </w:pPr>
            <w:r>
              <w:t>42.6</w:t>
            </w:r>
          </w:p>
        </w:tc>
        <w:tc>
          <w:tcPr>
            <w:tcW w:w="982" w:type="dxa"/>
            <w:tcBorders>
              <w:left w:val="nil"/>
              <w:right w:val="nil"/>
            </w:tcBorders>
            <w:vAlign w:val="center"/>
          </w:tcPr>
          <w:p w:rsidR="009543DB" w:rsidRDefault="009543DB" w:rsidP="009543DB">
            <w:pPr>
              <w:pStyle w:val="tabletextcentred-right"/>
            </w:pPr>
            <w:r>
              <w:t>42.7</w:t>
            </w:r>
          </w:p>
        </w:tc>
        <w:tc>
          <w:tcPr>
            <w:tcW w:w="983" w:type="dxa"/>
            <w:tcBorders>
              <w:left w:val="nil"/>
              <w:right w:val="nil"/>
            </w:tcBorders>
            <w:vAlign w:val="center"/>
          </w:tcPr>
          <w:p w:rsidR="009543DB" w:rsidRDefault="009543DB" w:rsidP="009543DB">
            <w:pPr>
              <w:pStyle w:val="tabletextcentred-right"/>
            </w:pPr>
            <w:r>
              <w:t>42.8</w:t>
            </w:r>
          </w:p>
        </w:tc>
        <w:tc>
          <w:tcPr>
            <w:tcW w:w="982" w:type="dxa"/>
            <w:tcBorders>
              <w:left w:val="nil"/>
              <w:right w:val="nil"/>
            </w:tcBorders>
            <w:vAlign w:val="center"/>
          </w:tcPr>
          <w:p w:rsidR="009543DB" w:rsidRDefault="009543DB" w:rsidP="009543DB">
            <w:pPr>
              <w:pStyle w:val="tabletextcentred-right"/>
            </w:pPr>
            <w:r>
              <w:t>42.6</w:t>
            </w:r>
          </w:p>
        </w:tc>
        <w:tc>
          <w:tcPr>
            <w:tcW w:w="982" w:type="dxa"/>
            <w:tcBorders>
              <w:left w:val="nil"/>
              <w:right w:val="nil"/>
            </w:tcBorders>
            <w:vAlign w:val="center"/>
          </w:tcPr>
          <w:p w:rsidR="009543DB" w:rsidRDefault="009543DB" w:rsidP="009543DB">
            <w:pPr>
              <w:pStyle w:val="tabletextcentred-right"/>
            </w:pPr>
            <w:r>
              <w:t>42.1</w:t>
            </w:r>
          </w:p>
        </w:tc>
        <w:tc>
          <w:tcPr>
            <w:tcW w:w="982" w:type="dxa"/>
            <w:tcBorders>
              <w:left w:val="nil"/>
              <w:right w:val="nil"/>
            </w:tcBorders>
            <w:vAlign w:val="center"/>
          </w:tcPr>
          <w:p w:rsidR="009543DB" w:rsidRDefault="009543DB" w:rsidP="009543DB">
            <w:pPr>
              <w:pStyle w:val="tabletextcentred-right"/>
            </w:pPr>
            <w:r>
              <w:t>42.5</w:t>
            </w:r>
          </w:p>
        </w:tc>
        <w:tc>
          <w:tcPr>
            <w:tcW w:w="983" w:type="dxa"/>
            <w:tcBorders>
              <w:left w:val="nil"/>
              <w:right w:val="nil"/>
            </w:tcBorders>
            <w:vAlign w:val="center"/>
          </w:tcPr>
          <w:p w:rsidR="009543DB" w:rsidRDefault="009543DB" w:rsidP="009543DB">
            <w:pPr>
              <w:pStyle w:val="tabletextcentred-right"/>
            </w:pPr>
            <w:r>
              <w:t>42.5</w:t>
            </w:r>
          </w:p>
        </w:tc>
        <w:tc>
          <w:tcPr>
            <w:tcW w:w="982" w:type="dxa"/>
            <w:tcBorders>
              <w:left w:val="nil"/>
              <w:right w:val="nil"/>
            </w:tcBorders>
            <w:vAlign w:val="center"/>
          </w:tcPr>
          <w:p w:rsidR="009543DB" w:rsidRDefault="009543DB" w:rsidP="009543DB">
            <w:pPr>
              <w:pStyle w:val="tabletextcentred-right"/>
            </w:pPr>
            <w:r>
              <w:t>44.8</w:t>
            </w:r>
          </w:p>
        </w:tc>
        <w:tc>
          <w:tcPr>
            <w:tcW w:w="982" w:type="dxa"/>
            <w:tcBorders>
              <w:left w:val="nil"/>
              <w:right w:val="nil"/>
            </w:tcBorders>
            <w:vAlign w:val="center"/>
          </w:tcPr>
          <w:p w:rsidR="009543DB" w:rsidRDefault="009543DB" w:rsidP="009543DB">
            <w:pPr>
              <w:pStyle w:val="tabletextcentred-right"/>
            </w:pPr>
            <w:r>
              <w:t>44.5</w:t>
            </w:r>
          </w:p>
        </w:tc>
        <w:tc>
          <w:tcPr>
            <w:tcW w:w="983" w:type="dxa"/>
            <w:tcBorders>
              <w:left w:val="nil"/>
              <w:right w:val="nil"/>
            </w:tcBorders>
            <w:vAlign w:val="center"/>
          </w:tcPr>
          <w:p w:rsidR="009543DB" w:rsidRDefault="009543DB" w:rsidP="009543DB">
            <w:pPr>
              <w:pStyle w:val="tabletextcentred-right"/>
            </w:pPr>
            <w:r>
              <w:t>44.9</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Operating expenses ($million)</w:t>
            </w:r>
          </w:p>
        </w:tc>
        <w:tc>
          <w:tcPr>
            <w:tcW w:w="1701" w:type="dxa"/>
            <w:tcBorders>
              <w:left w:val="nil"/>
              <w:right w:val="nil"/>
            </w:tcBorders>
          </w:tcPr>
          <w:p w:rsidR="009543DB" w:rsidRDefault="009543DB" w:rsidP="009543DB">
            <w:pPr>
              <w:pStyle w:val="Tabletextleft"/>
            </w:pPr>
            <w:r>
              <w:t>Total aeronautical</w:t>
            </w:r>
          </w:p>
        </w:tc>
        <w:tc>
          <w:tcPr>
            <w:tcW w:w="982" w:type="dxa"/>
            <w:tcBorders>
              <w:left w:val="nil"/>
              <w:right w:val="nil"/>
            </w:tcBorders>
          </w:tcPr>
          <w:p w:rsidR="009543DB" w:rsidRDefault="009543DB" w:rsidP="009543DB">
            <w:pPr>
              <w:pStyle w:val="Tabletextright"/>
            </w:pPr>
            <w:r>
              <w:t>96.0</w:t>
            </w:r>
          </w:p>
        </w:tc>
        <w:tc>
          <w:tcPr>
            <w:tcW w:w="982" w:type="dxa"/>
            <w:tcBorders>
              <w:left w:val="nil"/>
              <w:right w:val="nil"/>
            </w:tcBorders>
          </w:tcPr>
          <w:p w:rsidR="009543DB" w:rsidRDefault="009543DB" w:rsidP="009543DB">
            <w:pPr>
              <w:pStyle w:val="Tabletextright"/>
            </w:pPr>
            <w:r>
              <w:t>98.9</w:t>
            </w:r>
          </w:p>
        </w:tc>
        <w:tc>
          <w:tcPr>
            <w:tcW w:w="982" w:type="dxa"/>
            <w:tcBorders>
              <w:left w:val="nil"/>
              <w:right w:val="nil"/>
            </w:tcBorders>
          </w:tcPr>
          <w:p w:rsidR="009543DB" w:rsidRDefault="009543DB" w:rsidP="009543DB">
            <w:pPr>
              <w:pStyle w:val="Tabletextright"/>
            </w:pPr>
            <w:r>
              <w:t>106.6</w:t>
            </w:r>
          </w:p>
        </w:tc>
        <w:tc>
          <w:tcPr>
            <w:tcW w:w="983" w:type="dxa"/>
            <w:tcBorders>
              <w:left w:val="nil"/>
              <w:right w:val="nil"/>
            </w:tcBorders>
          </w:tcPr>
          <w:p w:rsidR="009543DB" w:rsidRDefault="009543DB" w:rsidP="009543DB">
            <w:pPr>
              <w:pStyle w:val="Tabletextright"/>
            </w:pPr>
            <w:r>
              <w:t>112.9</w:t>
            </w:r>
          </w:p>
        </w:tc>
        <w:tc>
          <w:tcPr>
            <w:tcW w:w="982" w:type="dxa"/>
            <w:tcBorders>
              <w:left w:val="nil"/>
              <w:right w:val="nil"/>
            </w:tcBorders>
          </w:tcPr>
          <w:p w:rsidR="009543DB" w:rsidRDefault="009543DB" w:rsidP="009543DB">
            <w:pPr>
              <w:pStyle w:val="Tabletextright"/>
            </w:pPr>
            <w:r>
              <w:t>118.5</w:t>
            </w:r>
          </w:p>
        </w:tc>
        <w:tc>
          <w:tcPr>
            <w:tcW w:w="982" w:type="dxa"/>
            <w:tcBorders>
              <w:left w:val="nil"/>
              <w:right w:val="nil"/>
            </w:tcBorders>
          </w:tcPr>
          <w:p w:rsidR="009543DB" w:rsidRDefault="009543DB" w:rsidP="009543DB">
            <w:pPr>
              <w:pStyle w:val="Tabletextright"/>
            </w:pPr>
            <w:r>
              <w:t>127.7</w:t>
            </w:r>
          </w:p>
        </w:tc>
        <w:tc>
          <w:tcPr>
            <w:tcW w:w="982" w:type="dxa"/>
            <w:tcBorders>
              <w:left w:val="nil"/>
              <w:right w:val="nil"/>
            </w:tcBorders>
          </w:tcPr>
          <w:p w:rsidR="009543DB" w:rsidRDefault="009543DB" w:rsidP="009543DB">
            <w:pPr>
              <w:pStyle w:val="Tabletextright"/>
            </w:pPr>
            <w:r>
              <w:t>137.3</w:t>
            </w:r>
          </w:p>
        </w:tc>
        <w:tc>
          <w:tcPr>
            <w:tcW w:w="983" w:type="dxa"/>
            <w:tcBorders>
              <w:left w:val="nil"/>
              <w:right w:val="nil"/>
            </w:tcBorders>
          </w:tcPr>
          <w:p w:rsidR="009543DB" w:rsidRDefault="009543DB" w:rsidP="009543DB">
            <w:pPr>
              <w:pStyle w:val="Tabletextright"/>
            </w:pPr>
            <w:r>
              <w:t>157.7</w:t>
            </w:r>
          </w:p>
        </w:tc>
        <w:tc>
          <w:tcPr>
            <w:tcW w:w="982" w:type="dxa"/>
            <w:tcBorders>
              <w:left w:val="nil"/>
              <w:right w:val="nil"/>
            </w:tcBorders>
          </w:tcPr>
          <w:p w:rsidR="009543DB" w:rsidRDefault="009543DB" w:rsidP="009543DB">
            <w:pPr>
              <w:pStyle w:val="Tabletextright"/>
            </w:pPr>
            <w:r>
              <w:t>175.2</w:t>
            </w:r>
          </w:p>
        </w:tc>
        <w:tc>
          <w:tcPr>
            <w:tcW w:w="982" w:type="dxa"/>
            <w:tcBorders>
              <w:left w:val="nil"/>
              <w:right w:val="nil"/>
            </w:tcBorders>
          </w:tcPr>
          <w:p w:rsidR="009543DB" w:rsidRDefault="009543DB" w:rsidP="009543DB">
            <w:pPr>
              <w:pStyle w:val="Tabletextright"/>
            </w:pPr>
            <w:r>
              <w:t>172.1</w:t>
            </w:r>
          </w:p>
        </w:tc>
        <w:tc>
          <w:tcPr>
            <w:tcW w:w="983" w:type="dxa"/>
            <w:tcBorders>
              <w:left w:val="nil"/>
              <w:right w:val="nil"/>
            </w:tcBorders>
          </w:tcPr>
          <w:p w:rsidR="009543DB" w:rsidRDefault="009543DB" w:rsidP="009543DB">
            <w:pPr>
              <w:pStyle w:val="Tabletextright"/>
            </w:pPr>
            <w:r>
              <w:t>191.3</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left"/>
            </w:pPr>
            <w:r>
              <w:t>Security services</w:t>
            </w:r>
          </w:p>
        </w:tc>
        <w:tc>
          <w:tcPr>
            <w:tcW w:w="982" w:type="dxa"/>
            <w:tcBorders>
              <w:left w:val="nil"/>
              <w:right w:val="nil"/>
            </w:tcBorders>
          </w:tcPr>
          <w:p w:rsidR="009543DB" w:rsidRDefault="009543DB" w:rsidP="009543DB">
            <w:pPr>
              <w:pStyle w:val="Tabletextright"/>
            </w:pPr>
            <w:r>
              <w:t>17.5</w:t>
            </w:r>
          </w:p>
        </w:tc>
        <w:tc>
          <w:tcPr>
            <w:tcW w:w="982" w:type="dxa"/>
            <w:tcBorders>
              <w:left w:val="nil"/>
              <w:right w:val="nil"/>
            </w:tcBorders>
          </w:tcPr>
          <w:p w:rsidR="009543DB" w:rsidRDefault="009543DB" w:rsidP="009543DB">
            <w:pPr>
              <w:pStyle w:val="Tabletextright"/>
            </w:pPr>
            <w:r>
              <w:t>18.5</w:t>
            </w:r>
          </w:p>
        </w:tc>
        <w:tc>
          <w:tcPr>
            <w:tcW w:w="982" w:type="dxa"/>
            <w:tcBorders>
              <w:left w:val="nil"/>
              <w:right w:val="nil"/>
            </w:tcBorders>
          </w:tcPr>
          <w:p w:rsidR="009543DB" w:rsidRDefault="009543DB" w:rsidP="009543DB">
            <w:pPr>
              <w:pStyle w:val="Tabletextright"/>
            </w:pPr>
            <w:r>
              <w:t>17.7</w:t>
            </w:r>
          </w:p>
        </w:tc>
        <w:tc>
          <w:tcPr>
            <w:tcW w:w="983" w:type="dxa"/>
            <w:tcBorders>
              <w:left w:val="nil"/>
              <w:right w:val="nil"/>
            </w:tcBorders>
          </w:tcPr>
          <w:p w:rsidR="009543DB" w:rsidRDefault="009543DB" w:rsidP="009543DB">
            <w:pPr>
              <w:pStyle w:val="Tabletextright"/>
            </w:pPr>
            <w:r>
              <w:t>25.7</w:t>
            </w:r>
          </w:p>
        </w:tc>
        <w:tc>
          <w:tcPr>
            <w:tcW w:w="982" w:type="dxa"/>
            <w:tcBorders>
              <w:left w:val="nil"/>
              <w:right w:val="nil"/>
            </w:tcBorders>
          </w:tcPr>
          <w:p w:rsidR="009543DB" w:rsidRDefault="009543DB" w:rsidP="009543DB">
            <w:pPr>
              <w:pStyle w:val="Tabletextright"/>
            </w:pPr>
            <w:r>
              <w:t>29.0</w:t>
            </w:r>
          </w:p>
        </w:tc>
        <w:tc>
          <w:tcPr>
            <w:tcW w:w="982" w:type="dxa"/>
            <w:tcBorders>
              <w:left w:val="nil"/>
              <w:right w:val="nil"/>
            </w:tcBorders>
          </w:tcPr>
          <w:p w:rsidR="009543DB" w:rsidRDefault="009543DB" w:rsidP="009543DB">
            <w:pPr>
              <w:pStyle w:val="Tabletextright"/>
            </w:pPr>
            <w:r>
              <w:t>29.1</w:t>
            </w:r>
          </w:p>
        </w:tc>
        <w:tc>
          <w:tcPr>
            <w:tcW w:w="982" w:type="dxa"/>
            <w:tcBorders>
              <w:left w:val="nil"/>
              <w:right w:val="nil"/>
            </w:tcBorders>
          </w:tcPr>
          <w:p w:rsidR="009543DB" w:rsidRDefault="009543DB" w:rsidP="009543DB">
            <w:pPr>
              <w:pStyle w:val="Tabletextright"/>
            </w:pPr>
            <w:r>
              <w:t>30.1</w:t>
            </w:r>
          </w:p>
        </w:tc>
        <w:tc>
          <w:tcPr>
            <w:tcW w:w="983" w:type="dxa"/>
            <w:tcBorders>
              <w:left w:val="nil"/>
              <w:right w:val="nil"/>
            </w:tcBorders>
          </w:tcPr>
          <w:p w:rsidR="009543DB" w:rsidRDefault="009543DB" w:rsidP="009543DB">
            <w:pPr>
              <w:pStyle w:val="Tabletextright"/>
            </w:pPr>
            <w:r>
              <w:t>31.2</w:t>
            </w:r>
          </w:p>
        </w:tc>
        <w:tc>
          <w:tcPr>
            <w:tcW w:w="982" w:type="dxa"/>
            <w:tcBorders>
              <w:left w:val="nil"/>
              <w:right w:val="nil"/>
            </w:tcBorders>
          </w:tcPr>
          <w:p w:rsidR="009543DB" w:rsidRDefault="009543DB" w:rsidP="009543DB">
            <w:pPr>
              <w:pStyle w:val="Tabletextright"/>
            </w:pPr>
            <w:r>
              <w:t>34.8</w:t>
            </w:r>
          </w:p>
        </w:tc>
        <w:tc>
          <w:tcPr>
            <w:tcW w:w="982" w:type="dxa"/>
            <w:tcBorders>
              <w:left w:val="nil"/>
              <w:right w:val="nil"/>
            </w:tcBorders>
          </w:tcPr>
          <w:p w:rsidR="009543DB" w:rsidRDefault="009543DB" w:rsidP="009543DB">
            <w:pPr>
              <w:pStyle w:val="Tabletextright"/>
            </w:pPr>
            <w:r>
              <w:t>35.1</w:t>
            </w:r>
          </w:p>
        </w:tc>
        <w:tc>
          <w:tcPr>
            <w:tcW w:w="983" w:type="dxa"/>
            <w:tcBorders>
              <w:left w:val="nil"/>
              <w:right w:val="nil"/>
            </w:tcBorders>
          </w:tcPr>
          <w:p w:rsidR="009543DB" w:rsidRDefault="009543DB" w:rsidP="009543DB">
            <w:pPr>
              <w:pStyle w:val="Tabletextright"/>
            </w:pPr>
            <w:r>
              <w:t>37.5</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heading"/>
            </w:pPr>
            <w:r>
              <w:t>Total airport</w:t>
            </w:r>
          </w:p>
        </w:tc>
        <w:tc>
          <w:tcPr>
            <w:tcW w:w="982" w:type="dxa"/>
            <w:tcBorders>
              <w:left w:val="nil"/>
              <w:right w:val="nil"/>
            </w:tcBorders>
          </w:tcPr>
          <w:p w:rsidR="009543DB" w:rsidRDefault="009543DB" w:rsidP="009543DB">
            <w:pPr>
              <w:pStyle w:val="Tabletextheadingright"/>
            </w:pPr>
            <w:r>
              <w:t>161.7</w:t>
            </w:r>
          </w:p>
        </w:tc>
        <w:tc>
          <w:tcPr>
            <w:tcW w:w="982" w:type="dxa"/>
            <w:tcBorders>
              <w:left w:val="nil"/>
              <w:right w:val="nil"/>
            </w:tcBorders>
          </w:tcPr>
          <w:p w:rsidR="009543DB" w:rsidRDefault="009543DB" w:rsidP="009543DB">
            <w:pPr>
              <w:pStyle w:val="Tabletextheadingright"/>
            </w:pPr>
            <w:r>
              <w:t>173.1</w:t>
            </w:r>
          </w:p>
        </w:tc>
        <w:tc>
          <w:tcPr>
            <w:tcW w:w="982" w:type="dxa"/>
            <w:tcBorders>
              <w:left w:val="nil"/>
              <w:right w:val="nil"/>
            </w:tcBorders>
          </w:tcPr>
          <w:p w:rsidR="009543DB" w:rsidRDefault="009543DB" w:rsidP="009543DB">
            <w:pPr>
              <w:pStyle w:val="Tabletextheadingright"/>
            </w:pPr>
            <w:r>
              <w:t>178.7</w:t>
            </w:r>
          </w:p>
        </w:tc>
        <w:tc>
          <w:tcPr>
            <w:tcW w:w="983" w:type="dxa"/>
            <w:tcBorders>
              <w:left w:val="nil"/>
              <w:right w:val="nil"/>
            </w:tcBorders>
          </w:tcPr>
          <w:p w:rsidR="009543DB" w:rsidRDefault="009543DB" w:rsidP="009543DB">
            <w:pPr>
              <w:pStyle w:val="Tabletextheadingright"/>
            </w:pPr>
            <w:r>
              <w:t>177.5</w:t>
            </w:r>
          </w:p>
        </w:tc>
        <w:tc>
          <w:tcPr>
            <w:tcW w:w="982" w:type="dxa"/>
            <w:tcBorders>
              <w:left w:val="nil"/>
              <w:right w:val="nil"/>
            </w:tcBorders>
          </w:tcPr>
          <w:p w:rsidR="009543DB" w:rsidRDefault="009543DB" w:rsidP="009543DB">
            <w:pPr>
              <w:pStyle w:val="Tabletextheadingright"/>
            </w:pPr>
            <w:r>
              <w:t>185.3</w:t>
            </w:r>
          </w:p>
        </w:tc>
        <w:tc>
          <w:tcPr>
            <w:tcW w:w="982" w:type="dxa"/>
            <w:tcBorders>
              <w:left w:val="nil"/>
              <w:right w:val="nil"/>
            </w:tcBorders>
          </w:tcPr>
          <w:p w:rsidR="009543DB" w:rsidRDefault="009543DB" w:rsidP="009543DB">
            <w:pPr>
              <w:pStyle w:val="Tabletextheadingright"/>
            </w:pPr>
            <w:r>
              <w:t>197.8</w:t>
            </w:r>
          </w:p>
        </w:tc>
        <w:tc>
          <w:tcPr>
            <w:tcW w:w="982" w:type="dxa"/>
            <w:tcBorders>
              <w:left w:val="nil"/>
              <w:right w:val="nil"/>
            </w:tcBorders>
          </w:tcPr>
          <w:p w:rsidR="009543DB" w:rsidRDefault="009543DB" w:rsidP="009543DB">
            <w:pPr>
              <w:pStyle w:val="Tabletextheadingright"/>
            </w:pPr>
            <w:r>
              <w:t>212.6</w:t>
            </w:r>
          </w:p>
        </w:tc>
        <w:tc>
          <w:tcPr>
            <w:tcW w:w="983" w:type="dxa"/>
            <w:tcBorders>
              <w:left w:val="nil"/>
              <w:right w:val="nil"/>
            </w:tcBorders>
          </w:tcPr>
          <w:p w:rsidR="009543DB" w:rsidRDefault="009543DB" w:rsidP="009543DB">
            <w:pPr>
              <w:pStyle w:val="Tabletextheadingright"/>
            </w:pPr>
            <w:r>
              <w:t>234.3</w:t>
            </w:r>
          </w:p>
        </w:tc>
        <w:tc>
          <w:tcPr>
            <w:tcW w:w="982" w:type="dxa"/>
            <w:tcBorders>
              <w:left w:val="nil"/>
              <w:right w:val="nil"/>
            </w:tcBorders>
          </w:tcPr>
          <w:p w:rsidR="009543DB" w:rsidRDefault="009543DB" w:rsidP="009543DB">
            <w:pPr>
              <w:pStyle w:val="Tabletextheadingright"/>
            </w:pPr>
            <w:r>
              <w:t>258.1</w:t>
            </w:r>
          </w:p>
        </w:tc>
        <w:tc>
          <w:tcPr>
            <w:tcW w:w="982" w:type="dxa"/>
            <w:tcBorders>
              <w:left w:val="nil"/>
              <w:right w:val="nil"/>
            </w:tcBorders>
          </w:tcPr>
          <w:p w:rsidR="009543DB" w:rsidRDefault="009543DB" w:rsidP="009543DB">
            <w:pPr>
              <w:pStyle w:val="Tabletextheadingright"/>
            </w:pPr>
            <w:r>
              <w:t>264.9</w:t>
            </w:r>
          </w:p>
        </w:tc>
        <w:tc>
          <w:tcPr>
            <w:tcW w:w="983" w:type="dxa"/>
            <w:tcBorders>
              <w:left w:val="nil"/>
              <w:right w:val="nil"/>
            </w:tcBorders>
          </w:tcPr>
          <w:p w:rsidR="009543DB" w:rsidRDefault="009543DB" w:rsidP="009543DB">
            <w:pPr>
              <w:pStyle w:val="Tabletextheadingright"/>
            </w:pPr>
            <w:r>
              <w:t>298.0</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Aggregate margin ($million)</w:t>
            </w:r>
          </w:p>
        </w:tc>
        <w:tc>
          <w:tcPr>
            <w:tcW w:w="1701" w:type="dxa"/>
            <w:tcBorders>
              <w:left w:val="nil"/>
              <w:right w:val="nil"/>
            </w:tcBorders>
          </w:tcPr>
          <w:p w:rsidR="009543DB" w:rsidRDefault="009543DB" w:rsidP="009543DB">
            <w:pPr>
              <w:pStyle w:val="Tabletextleft"/>
            </w:pPr>
            <w:r>
              <w:t>Total aeronautical</w:t>
            </w:r>
          </w:p>
        </w:tc>
        <w:tc>
          <w:tcPr>
            <w:tcW w:w="982" w:type="dxa"/>
            <w:tcBorders>
              <w:left w:val="nil"/>
              <w:right w:val="nil"/>
            </w:tcBorders>
          </w:tcPr>
          <w:p w:rsidR="009543DB" w:rsidRDefault="009543DB" w:rsidP="009543DB">
            <w:pPr>
              <w:pStyle w:val="Tabletextright"/>
            </w:pPr>
            <w:r>
              <w:t>83.0</w:t>
            </w:r>
          </w:p>
        </w:tc>
        <w:tc>
          <w:tcPr>
            <w:tcW w:w="982" w:type="dxa"/>
            <w:tcBorders>
              <w:left w:val="nil"/>
              <w:right w:val="nil"/>
            </w:tcBorders>
          </w:tcPr>
          <w:p w:rsidR="009543DB" w:rsidRDefault="009543DB" w:rsidP="009543DB">
            <w:pPr>
              <w:pStyle w:val="Tabletextright"/>
            </w:pPr>
            <w:r>
              <w:t>83.8</w:t>
            </w:r>
          </w:p>
        </w:tc>
        <w:tc>
          <w:tcPr>
            <w:tcW w:w="982" w:type="dxa"/>
            <w:tcBorders>
              <w:left w:val="nil"/>
              <w:right w:val="nil"/>
            </w:tcBorders>
          </w:tcPr>
          <w:p w:rsidR="009543DB" w:rsidRDefault="009543DB" w:rsidP="009543DB">
            <w:pPr>
              <w:pStyle w:val="Tabletextright"/>
            </w:pPr>
            <w:r>
              <w:t>89.6</w:t>
            </w:r>
          </w:p>
        </w:tc>
        <w:tc>
          <w:tcPr>
            <w:tcW w:w="983" w:type="dxa"/>
            <w:tcBorders>
              <w:left w:val="nil"/>
              <w:right w:val="nil"/>
            </w:tcBorders>
          </w:tcPr>
          <w:p w:rsidR="009543DB" w:rsidRDefault="009543DB" w:rsidP="009543DB">
            <w:pPr>
              <w:pStyle w:val="Tabletextright"/>
            </w:pPr>
            <w:r>
              <w:t>110.0</w:t>
            </w:r>
          </w:p>
        </w:tc>
        <w:tc>
          <w:tcPr>
            <w:tcW w:w="982" w:type="dxa"/>
            <w:tcBorders>
              <w:left w:val="nil"/>
              <w:right w:val="nil"/>
            </w:tcBorders>
          </w:tcPr>
          <w:p w:rsidR="009543DB" w:rsidRDefault="009543DB" w:rsidP="009543DB">
            <w:pPr>
              <w:pStyle w:val="Tabletextright"/>
            </w:pPr>
            <w:r>
              <w:t>108.8</w:t>
            </w:r>
          </w:p>
        </w:tc>
        <w:tc>
          <w:tcPr>
            <w:tcW w:w="982" w:type="dxa"/>
            <w:tcBorders>
              <w:left w:val="nil"/>
              <w:right w:val="nil"/>
            </w:tcBorders>
          </w:tcPr>
          <w:p w:rsidR="009543DB" w:rsidRDefault="009543DB" w:rsidP="009543DB">
            <w:pPr>
              <w:pStyle w:val="Tabletextright"/>
            </w:pPr>
            <w:r>
              <w:t>111.3</w:t>
            </w:r>
          </w:p>
        </w:tc>
        <w:tc>
          <w:tcPr>
            <w:tcW w:w="982" w:type="dxa"/>
            <w:tcBorders>
              <w:left w:val="nil"/>
              <w:right w:val="nil"/>
            </w:tcBorders>
          </w:tcPr>
          <w:p w:rsidR="009543DB" w:rsidRDefault="009543DB" w:rsidP="009543DB">
            <w:pPr>
              <w:pStyle w:val="Tabletextright"/>
            </w:pPr>
            <w:r>
              <w:t>116.2</w:t>
            </w:r>
          </w:p>
        </w:tc>
        <w:tc>
          <w:tcPr>
            <w:tcW w:w="983" w:type="dxa"/>
            <w:tcBorders>
              <w:left w:val="nil"/>
              <w:right w:val="nil"/>
            </w:tcBorders>
          </w:tcPr>
          <w:p w:rsidR="009543DB" w:rsidRDefault="009543DB" w:rsidP="009543DB">
            <w:pPr>
              <w:pStyle w:val="Tabletextright"/>
            </w:pPr>
            <w:r>
              <w:t>102.6</w:t>
            </w:r>
          </w:p>
        </w:tc>
        <w:tc>
          <w:tcPr>
            <w:tcW w:w="982" w:type="dxa"/>
            <w:tcBorders>
              <w:left w:val="nil"/>
              <w:right w:val="nil"/>
            </w:tcBorders>
          </w:tcPr>
          <w:p w:rsidR="009543DB" w:rsidRDefault="009543DB" w:rsidP="009543DB">
            <w:pPr>
              <w:pStyle w:val="Tabletextright"/>
            </w:pPr>
            <w:r>
              <w:t>117.4</w:t>
            </w:r>
          </w:p>
        </w:tc>
        <w:tc>
          <w:tcPr>
            <w:tcW w:w="982" w:type="dxa"/>
            <w:tcBorders>
              <w:left w:val="nil"/>
              <w:right w:val="nil"/>
            </w:tcBorders>
          </w:tcPr>
          <w:p w:rsidR="009543DB" w:rsidRDefault="009543DB" w:rsidP="009543DB">
            <w:pPr>
              <w:pStyle w:val="Tabletextright"/>
            </w:pPr>
            <w:r>
              <w:t>142.1</w:t>
            </w:r>
          </w:p>
        </w:tc>
        <w:tc>
          <w:tcPr>
            <w:tcW w:w="983" w:type="dxa"/>
            <w:tcBorders>
              <w:left w:val="nil"/>
              <w:right w:val="nil"/>
            </w:tcBorders>
          </w:tcPr>
          <w:p w:rsidR="009543DB" w:rsidRDefault="009543DB" w:rsidP="009543DB">
            <w:pPr>
              <w:pStyle w:val="Tabletextright"/>
            </w:pPr>
            <w:r>
              <w:t>146.8</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left"/>
            </w:pPr>
            <w:r>
              <w:t>Security services</w:t>
            </w:r>
          </w:p>
        </w:tc>
        <w:tc>
          <w:tcPr>
            <w:tcW w:w="982" w:type="dxa"/>
            <w:tcBorders>
              <w:left w:val="nil"/>
              <w:right w:val="nil"/>
            </w:tcBorders>
          </w:tcPr>
          <w:p w:rsidR="009543DB" w:rsidRDefault="009543DB" w:rsidP="009543DB">
            <w:pPr>
              <w:pStyle w:val="Tabletextright"/>
            </w:pPr>
            <w:r>
              <w:t>0.0</w:t>
            </w:r>
          </w:p>
        </w:tc>
        <w:tc>
          <w:tcPr>
            <w:tcW w:w="982" w:type="dxa"/>
            <w:tcBorders>
              <w:left w:val="nil"/>
              <w:right w:val="nil"/>
            </w:tcBorders>
          </w:tcPr>
          <w:p w:rsidR="009543DB" w:rsidRDefault="009543DB" w:rsidP="009543DB">
            <w:pPr>
              <w:pStyle w:val="Tabletextright"/>
            </w:pPr>
            <w:r>
              <w:t>0.0</w:t>
            </w:r>
          </w:p>
        </w:tc>
        <w:tc>
          <w:tcPr>
            <w:tcW w:w="982" w:type="dxa"/>
            <w:tcBorders>
              <w:left w:val="nil"/>
              <w:right w:val="nil"/>
            </w:tcBorders>
          </w:tcPr>
          <w:p w:rsidR="009543DB" w:rsidRDefault="009543DB" w:rsidP="009543DB">
            <w:pPr>
              <w:pStyle w:val="Tabletextright"/>
            </w:pPr>
            <w:r>
              <w:t>(0.8)</w:t>
            </w:r>
          </w:p>
        </w:tc>
        <w:tc>
          <w:tcPr>
            <w:tcW w:w="983" w:type="dxa"/>
            <w:tcBorders>
              <w:left w:val="nil"/>
              <w:right w:val="nil"/>
            </w:tcBorders>
          </w:tcPr>
          <w:p w:rsidR="009543DB" w:rsidRDefault="009543DB" w:rsidP="009543DB">
            <w:pPr>
              <w:pStyle w:val="Tabletextright"/>
            </w:pPr>
            <w:r>
              <w:t>(1.4)</w:t>
            </w:r>
          </w:p>
        </w:tc>
        <w:tc>
          <w:tcPr>
            <w:tcW w:w="982" w:type="dxa"/>
            <w:tcBorders>
              <w:left w:val="nil"/>
              <w:right w:val="nil"/>
            </w:tcBorders>
          </w:tcPr>
          <w:p w:rsidR="009543DB" w:rsidRDefault="009543DB" w:rsidP="009543DB">
            <w:pPr>
              <w:pStyle w:val="Tabletextright"/>
            </w:pPr>
            <w:r>
              <w:t>(1.1)</w:t>
            </w:r>
          </w:p>
        </w:tc>
        <w:tc>
          <w:tcPr>
            <w:tcW w:w="982" w:type="dxa"/>
            <w:tcBorders>
              <w:left w:val="nil"/>
              <w:right w:val="nil"/>
            </w:tcBorders>
          </w:tcPr>
          <w:p w:rsidR="009543DB" w:rsidRDefault="009543DB" w:rsidP="009543DB">
            <w:pPr>
              <w:pStyle w:val="Tabletextright"/>
            </w:pPr>
            <w:r>
              <w:t>3.8</w:t>
            </w:r>
          </w:p>
        </w:tc>
        <w:tc>
          <w:tcPr>
            <w:tcW w:w="982" w:type="dxa"/>
            <w:tcBorders>
              <w:left w:val="nil"/>
              <w:right w:val="nil"/>
            </w:tcBorders>
          </w:tcPr>
          <w:p w:rsidR="009543DB" w:rsidRDefault="009543DB" w:rsidP="009543DB">
            <w:pPr>
              <w:pStyle w:val="Tabletextright"/>
            </w:pPr>
            <w:r>
              <w:t>1.5</w:t>
            </w:r>
          </w:p>
        </w:tc>
        <w:tc>
          <w:tcPr>
            <w:tcW w:w="983" w:type="dxa"/>
            <w:tcBorders>
              <w:left w:val="nil"/>
              <w:right w:val="nil"/>
            </w:tcBorders>
          </w:tcPr>
          <w:p w:rsidR="009543DB" w:rsidRDefault="009543DB" w:rsidP="009543DB">
            <w:pPr>
              <w:pStyle w:val="Tabletextright"/>
            </w:pPr>
            <w:r>
              <w:t>(0.4)</w:t>
            </w:r>
          </w:p>
        </w:tc>
        <w:tc>
          <w:tcPr>
            <w:tcW w:w="982" w:type="dxa"/>
            <w:tcBorders>
              <w:left w:val="nil"/>
              <w:right w:val="nil"/>
            </w:tcBorders>
          </w:tcPr>
          <w:p w:rsidR="009543DB" w:rsidRDefault="009543DB" w:rsidP="009543DB">
            <w:pPr>
              <w:pStyle w:val="Tabletextright"/>
            </w:pPr>
            <w:r>
              <w:t>0.0</w:t>
            </w:r>
          </w:p>
        </w:tc>
        <w:tc>
          <w:tcPr>
            <w:tcW w:w="982" w:type="dxa"/>
            <w:tcBorders>
              <w:left w:val="nil"/>
              <w:right w:val="nil"/>
            </w:tcBorders>
          </w:tcPr>
          <w:p w:rsidR="009543DB" w:rsidRDefault="009543DB" w:rsidP="009543DB">
            <w:pPr>
              <w:pStyle w:val="Tabletextright"/>
            </w:pPr>
            <w:r>
              <w:t>0.6</w:t>
            </w:r>
          </w:p>
        </w:tc>
        <w:tc>
          <w:tcPr>
            <w:tcW w:w="983" w:type="dxa"/>
            <w:tcBorders>
              <w:left w:val="nil"/>
              <w:right w:val="nil"/>
            </w:tcBorders>
          </w:tcPr>
          <w:p w:rsidR="009543DB" w:rsidRDefault="009543DB" w:rsidP="009543DB">
            <w:pPr>
              <w:pStyle w:val="Tabletextright"/>
            </w:pPr>
            <w:r>
              <w:t>(0.2)</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heading"/>
            </w:pPr>
            <w:r>
              <w:t>Total airport</w:t>
            </w:r>
          </w:p>
        </w:tc>
        <w:tc>
          <w:tcPr>
            <w:tcW w:w="982" w:type="dxa"/>
            <w:tcBorders>
              <w:left w:val="nil"/>
              <w:right w:val="nil"/>
            </w:tcBorders>
          </w:tcPr>
          <w:p w:rsidR="009543DB" w:rsidRDefault="009543DB" w:rsidP="009543DB">
            <w:pPr>
              <w:pStyle w:val="Tabletextheadingright"/>
            </w:pPr>
            <w:r>
              <w:t>249.9</w:t>
            </w:r>
          </w:p>
        </w:tc>
        <w:tc>
          <w:tcPr>
            <w:tcW w:w="982" w:type="dxa"/>
            <w:tcBorders>
              <w:left w:val="nil"/>
              <w:right w:val="nil"/>
            </w:tcBorders>
          </w:tcPr>
          <w:p w:rsidR="009543DB" w:rsidRDefault="009543DB" w:rsidP="009543DB">
            <w:pPr>
              <w:pStyle w:val="Tabletextheadingright"/>
            </w:pPr>
            <w:r>
              <w:t>255.9</w:t>
            </w:r>
          </w:p>
        </w:tc>
        <w:tc>
          <w:tcPr>
            <w:tcW w:w="982" w:type="dxa"/>
            <w:tcBorders>
              <w:left w:val="nil"/>
              <w:right w:val="nil"/>
            </w:tcBorders>
          </w:tcPr>
          <w:p w:rsidR="009543DB" w:rsidRDefault="009543DB" w:rsidP="009543DB">
            <w:pPr>
              <w:pStyle w:val="Tabletextheadingright"/>
            </w:pPr>
            <w:r>
              <w:t>280.8</w:t>
            </w:r>
          </w:p>
        </w:tc>
        <w:tc>
          <w:tcPr>
            <w:tcW w:w="983" w:type="dxa"/>
            <w:tcBorders>
              <w:left w:val="nil"/>
              <w:right w:val="nil"/>
            </w:tcBorders>
          </w:tcPr>
          <w:p w:rsidR="009543DB" w:rsidRDefault="009543DB" w:rsidP="009543DB">
            <w:pPr>
              <w:pStyle w:val="Tabletextheadingright"/>
            </w:pPr>
            <w:r>
              <w:t>342.8</w:t>
            </w:r>
          </w:p>
        </w:tc>
        <w:tc>
          <w:tcPr>
            <w:tcW w:w="982" w:type="dxa"/>
            <w:tcBorders>
              <w:left w:val="nil"/>
              <w:right w:val="nil"/>
            </w:tcBorders>
          </w:tcPr>
          <w:p w:rsidR="009543DB" w:rsidRDefault="009543DB" w:rsidP="009543DB">
            <w:pPr>
              <w:pStyle w:val="Tabletextheadingright"/>
            </w:pPr>
            <w:r>
              <w:t>348.3</w:t>
            </w:r>
          </w:p>
        </w:tc>
        <w:tc>
          <w:tcPr>
            <w:tcW w:w="982" w:type="dxa"/>
            <w:tcBorders>
              <w:left w:val="nil"/>
              <w:right w:val="nil"/>
            </w:tcBorders>
          </w:tcPr>
          <w:p w:rsidR="009543DB" w:rsidRDefault="009543DB" w:rsidP="009543DB">
            <w:pPr>
              <w:pStyle w:val="Tabletextheadingright"/>
            </w:pPr>
            <w:r>
              <w:t>369.1</w:t>
            </w:r>
          </w:p>
        </w:tc>
        <w:tc>
          <w:tcPr>
            <w:tcW w:w="982" w:type="dxa"/>
            <w:tcBorders>
              <w:left w:val="nil"/>
              <w:right w:val="nil"/>
            </w:tcBorders>
          </w:tcPr>
          <w:p w:rsidR="009543DB" w:rsidRDefault="009543DB" w:rsidP="009543DB">
            <w:pPr>
              <w:pStyle w:val="Tabletextheadingright"/>
            </w:pPr>
            <w:r>
              <w:t>383.6</w:t>
            </w:r>
          </w:p>
        </w:tc>
        <w:tc>
          <w:tcPr>
            <w:tcW w:w="983" w:type="dxa"/>
            <w:tcBorders>
              <w:left w:val="nil"/>
              <w:right w:val="nil"/>
            </w:tcBorders>
          </w:tcPr>
          <w:p w:rsidR="009543DB" w:rsidRDefault="009543DB" w:rsidP="009543DB">
            <w:pPr>
              <w:pStyle w:val="Tabletextheadingright"/>
            </w:pPr>
            <w:r>
              <w:t>378.2</w:t>
            </w:r>
          </w:p>
        </w:tc>
        <w:tc>
          <w:tcPr>
            <w:tcW w:w="982" w:type="dxa"/>
            <w:tcBorders>
              <w:left w:val="nil"/>
              <w:right w:val="nil"/>
            </w:tcBorders>
          </w:tcPr>
          <w:p w:rsidR="009543DB" w:rsidRDefault="009543DB" w:rsidP="009543DB">
            <w:pPr>
              <w:pStyle w:val="Tabletextheadingright"/>
            </w:pPr>
            <w:r>
              <w:t>395.4</w:t>
            </w:r>
          </w:p>
        </w:tc>
        <w:tc>
          <w:tcPr>
            <w:tcW w:w="982" w:type="dxa"/>
            <w:tcBorders>
              <w:left w:val="nil"/>
              <w:right w:val="nil"/>
            </w:tcBorders>
          </w:tcPr>
          <w:p w:rsidR="009543DB" w:rsidRDefault="009543DB" w:rsidP="009543DB">
            <w:pPr>
              <w:pStyle w:val="Tabletextheadingright"/>
            </w:pPr>
            <w:r>
              <w:t>441.3</w:t>
            </w:r>
          </w:p>
        </w:tc>
        <w:tc>
          <w:tcPr>
            <w:tcW w:w="983" w:type="dxa"/>
            <w:tcBorders>
              <w:left w:val="nil"/>
              <w:right w:val="nil"/>
            </w:tcBorders>
          </w:tcPr>
          <w:p w:rsidR="009543DB" w:rsidRDefault="009543DB" w:rsidP="009543DB">
            <w:pPr>
              <w:pStyle w:val="Tabletextheadingright"/>
            </w:pPr>
            <w:r>
              <w:t>455.1</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Aggregate</w:t>
            </w:r>
          </w:p>
          <w:p w:rsidR="009543DB" w:rsidRDefault="009543DB" w:rsidP="009543DB">
            <w:pPr>
              <w:pStyle w:val="Tabletextleft-centred"/>
            </w:pPr>
            <w:r w:rsidRPr="00434D61">
              <w:t>margin</w:t>
            </w:r>
            <w:r>
              <w:t xml:space="preserve"> % of total revenue</w:t>
            </w:r>
          </w:p>
        </w:tc>
        <w:tc>
          <w:tcPr>
            <w:tcW w:w="1701" w:type="dxa"/>
            <w:tcBorders>
              <w:left w:val="nil"/>
              <w:right w:val="nil"/>
            </w:tcBorders>
          </w:tcPr>
          <w:p w:rsidR="009543DB" w:rsidRDefault="009543DB" w:rsidP="009543DB">
            <w:pPr>
              <w:pStyle w:val="Tabletextleft"/>
            </w:pPr>
            <w:r>
              <w:t>Aeronautical</w:t>
            </w:r>
          </w:p>
        </w:tc>
        <w:tc>
          <w:tcPr>
            <w:tcW w:w="982" w:type="dxa"/>
            <w:tcBorders>
              <w:left w:val="nil"/>
              <w:right w:val="nil"/>
            </w:tcBorders>
          </w:tcPr>
          <w:p w:rsidR="009543DB" w:rsidRDefault="009543DB" w:rsidP="009543DB">
            <w:pPr>
              <w:pStyle w:val="Tabletextright"/>
            </w:pPr>
            <w:r>
              <w:t>46.4</w:t>
            </w:r>
          </w:p>
        </w:tc>
        <w:tc>
          <w:tcPr>
            <w:tcW w:w="982" w:type="dxa"/>
            <w:tcBorders>
              <w:left w:val="nil"/>
              <w:right w:val="nil"/>
            </w:tcBorders>
          </w:tcPr>
          <w:p w:rsidR="009543DB" w:rsidRDefault="009543DB" w:rsidP="009543DB">
            <w:pPr>
              <w:pStyle w:val="Tabletextright"/>
            </w:pPr>
            <w:r>
              <w:t>45.9</w:t>
            </w:r>
          </w:p>
        </w:tc>
        <w:tc>
          <w:tcPr>
            <w:tcW w:w="982" w:type="dxa"/>
            <w:tcBorders>
              <w:left w:val="nil"/>
              <w:right w:val="nil"/>
            </w:tcBorders>
          </w:tcPr>
          <w:p w:rsidR="009543DB" w:rsidRDefault="009543DB" w:rsidP="009543DB">
            <w:pPr>
              <w:pStyle w:val="Tabletextright"/>
            </w:pPr>
            <w:r>
              <w:t>45.7</w:t>
            </w:r>
          </w:p>
        </w:tc>
        <w:tc>
          <w:tcPr>
            <w:tcW w:w="983" w:type="dxa"/>
            <w:tcBorders>
              <w:left w:val="nil"/>
              <w:right w:val="nil"/>
            </w:tcBorders>
          </w:tcPr>
          <w:p w:rsidR="009543DB" w:rsidRDefault="009543DB" w:rsidP="009543DB">
            <w:pPr>
              <w:pStyle w:val="Tabletextright"/>
            </w:pPr>
            <w:r>
              <w:t>49.3</w:t>
            </w:r>
          </w:p>
        </w:tc>
        <w:tc>
          <w:tcPr>
            <w:tcW w:w="982" w:type="dxa"/>
            <w:tcBorders>
              <w:left w:val="nil"/>
              <w:right w:val="nil"/>
            </w:tcBorders>
          </w:tcPr>
          <w:p w:rsidR="009543DB" w:rsidRDefault="009543DB" w:rsidP="009543DB">
            <w:pPr>
              <w:pStyle w:val="Tabletextright"/>
            </w:pPr>
            <w:r>
              <w:t>47.9</w:t>
            </w:r>
          </w:p>
        </w:tc>
        <w:tc>
          <w:tcPr>
            <w:tcW w:w="982" w:type="dxa"/>
            <w:tcBorders>
              <w:left w:val="nil"/>
              <w:right w:val="nil"/>
            </w:tcBorders>
          </w:tcPr>
          <w:p w:rsidR="009543DB" w:rsidRDefault="009543DB" w:rsidP="009543DB">
            <w:pPr>
              <w:pStyle w:val="Tabletextright"/>
            </w:pPr>
            <w:r>
              <w:t>46.6</w:t>
            </w:r>
          </w:p>
        </w:tc>
        <w:tc>
          <w:tcPr>
            <w:tcW w:w="982" w:type="dxa"/>
            <w:tcBorders>
              <w:left w:val="nil"/>
              <w:right w:val="nil"/>
            </w:tcBorders>
          </w:tcPr>
          <w:p w:rsidR="009543DB" w:rsidRDefault="009543DB" w:rsidP="009543DB">
            <w:pPr>
              <w:pStyle w:val="Tabletextright"/>
            </w:pPr>
            <w:r>
              <w:t>45.8</w:t>
            </w:r>
          </w:p>
        </w:tc>
        <w:tc>
          <w:tcPr>
            <w:tcW w:w="983" w:type="dxa"/>
            <w:tcBorders>
              <w:left w:val="nil"/>
              <w:right w:val="nil"/>
            </w:tcBorders>
          </w:tcPr>
          <w:p w:rsidR="009543DB" w:rsidRDefault="009543DB" w:rsidP="009543DB">
            <w:pPr>
              <w:pStyle w:val="Tabletextright"/>
            </w:pPr>
            <w:r>
              <w:t>39.4</w:t>
            </w:r>
          </w:p>
        </w:tc>
        <w:tc>
          <w:tcPr>
            <w:tcW w:w="982" w:type="dxa"/>
            <w:tcBorders>
              <w:left w:val="nil"/>
              <w:right w:val="nil"/>
            </w:tcBorders>
          </w:tcPr>
          <w:p w:rsidR="009543DB" w:rsidRDefault="009543DB" w:rsidP="009543DB">
            <w:pPr>
              <w:pStyle w:val="Tabletextright"/>
            </w:pPr>
            <w:r>
              <w:t>40.1</w:t>
            </w:r>
          </w:p>
        </w:tc>
        <w:tc>
          <w:tcPr>
            <w:tcW w:w="982" w:type="dxa"/>
            <w:tcBorders>
              <w:left w:val="nil"/>
              <w:right w:val="nil"/>
            </w:tcBorders>
          </w:tcPr>
          <w:p w:rsidR="009543DB" w:rsidRDefault="009543DB" w:rsidP="009543DB">
            <w:pPr>
              <w:pStyle w:val="Tabletextright"/>
            </w:pPr>
            <w:r>
              <w:t>45.2</w:t>
            </w:r>
          </w:p>
        </w:tc>
        <w:tc>
          <w:tcPr>
            <w:tcW w:w="983" w:type="dxa"/>
            <w:tcBorders>
              <w:left w:val="nil"/>
              <w:right w:val="nil"/>
            </w:tcBorders>
          </w:tcPr>
          <w:p w:rsidR="009543DB" w:rsidRDefault="009543DB" w:rsidP="009543DB">
            <w:pPr>
              <w:pStyle w:val="Tabletextright"/>
            </w:pPr>
            <w:r>
              <w:t>43.4</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vAlign w:val="center"/>
          </w:tcPr>
          <w:p w:rsidR="009543DB" w:rsidRPr="00434D61" w:rsidRDefault="009543DB" w:rsidP="009543DB">
            <w:pPr>
              <w:pStyle w:val="Tabletextleft-centred"/>
            </w:pPr>
            <w:r w:rsidRPr="00434D61">
              <w:t>Total airport</w:t>
            </w:r>
          </w:p>
        </w:tc>
        <w:tc>
          <w:tcPr>
            <w:tcW w:w="982" w:type="dxa"/>
            <w:tcBorders>
              <w:left w:val="nil"/>
              <w:right w:val="nil"/>
            </w:tcBorders>
            <w:vAlign w:val="center"/>
          </w:tcPr>
          <w:p w:rsidR="009543DB" w:rsidRDefault="009543DB" w:rsidP="009543DB">
            <w:pPr>
              <w:pStyle w:val="Tabletextright-centred"/>
            </w:pPr>
            <w:r>
              <w:t>60.7</w:t>
            </w:r>
          </w:p>
        </w:tc>
        <w:tc>
          <w:tcPr>
            <w:tcW w:w="982" w:type="dxa"/>
            <w:tcBorders>
              <w:left w:val="nil"/>
              <w:right w:val="nil"/>
            </w:tcBorders>
            <w:vAlign w:val="center"/>
          </w:tcPr>
          <w:p w:rsidR="009543DB" w:rsidRDefault="009543DB" w:rsidP="009543DB">
            <w:pPr>
              <w:pStyle w:val="Tabletextright-centred"/>
            </w:pPr>
            <w:r>
              <w:t>59.7</w:t>
            </w:r>
          </w:p>
        </w:tc>
        <w:tc>
          <w:tcPr>
            <w:tcW w:w="982" w:type="dxa"/>
            <w:tcBorders>
              <w:left w:val="nil"/>
              <w:right w:val="nil"/>
            </w:tcBorders>
            <w:vAlign w:val="center"/>
          </w:tcPr>
          <w:p w:rsidR="009543DB" w:rsidRDefault="009543DB" w:rsidP="009543DB">
            <w:pPr>
              <w:pStyle w:val="Tabletextright-centred"/>
            </w:pPr>
            <w:r>
              <w:t>61.1</w:t>
            </w:r>
          </w:p>
        </w:tc>
        <w:tc>
          <w:tcPr>
            <w:tcW w:w="983" w:type="dxa"/>
            <w:tcBorders>
              <w:left w:val="nil"/>
              <w:right w:val="nil"/>
            </w:tcBorders>
            <w:vAlign w:val="center"/>
          </w:tcPr>
          <w:p w:rsidR="009543DB" w:rsidRDefault="009543DB" w:rsidP="009543DB">
            <w:pPr>
              <w:pStyle w:val="Tabletextright-centred"/>
            </w:pPr>
            <w:r>
              <w:t>65.9</w:t>
            </w:r>
          </w:p>
        </w:tc>
        <w:tc>
          <w:tcPr>
            <w:tcW w:w="982" w:type="dxa"/>
            <w:tcBorders>
              <w:left w:val="nil"/>
              <w:right w:val="nil"/>
            </w:tcBorders>
            <w:vAlign w:val="center"/>
          </w:tcPr>
          <w:p w:rsidR="009543DB" w:rsidRDefault="009543DB" w:rsidP="009543DB">
            <w:pPr>
              <w:pStyle w:val="Tabletextright-centred"/>
            </w:pPr>
            <w:r>
              <w:t>65.3</w:t>
            </w:r>
          </w:p>
        </w:tc>
        <w:tc>
          <w:tcPr>
            <w:tcW w:w="982" w:type="dxa"/>
            <w:tcBorders>
              <w:left w:val="nil"/>
              <w:right w:val="nil"/>
            </w:tcBorders>
            <w:vAlign w:val="center"/>
          </w:tcPr>
          <w:p w:rsidR="009543DB" w:rsidRDefault="009543DB" w:rsidP="009543DB">
            <w:pPr>
              <w:pStyle w:val="Tabletextright-centred"/>
            </w:pPr>
            <w:r>
              <w:t>65.1</w:t>
            </w:r>
          </w:p>
        </w:tc>
        <w:tc>
          <w:tcPr>
            <w:tcW w:w="982" w:type="dxa"/>
            <w:tcBorders>
              <w:left w:val="nil"/>
              <w:right w:val="nil"/>
            </w:tcBorders>
            <w:vAlign w:val="center"/>
          </w:tcPr>
          <w:p w:rsidR="009543DB" w:rsidRDefault="009543DB" w:rsidP="009543DB">
            <w:pPr>
              <w:pStyle w:val="Tabletextright-centred"/>
            </w:pPr>
            <w:r>
              <w:t>64.3</w:t>
            </w:r>
          </w:p>
        </w:tc>
        <w:tc>
          <w:tcPr>
            <w:tcW w:w="983" w:type="dxa"/>
            <w:tcBorders>
              <w:left w:val="nil"/>
              <w:right w:val="nil"/>
            </w:tcBorders>
            <w:vAlign w:val="center"/>
          </w:tcPr>
          <w:p w:rsidR="009543DB" w:rsidRDefault="009543DB" w:rsidP="009543DB">
            <w:pPr>
              <w:pStyle w:val="Tabletextright-centred"/>
            </w:pPr>
            <w:r>
              <w:t>61.7</w:t>
            </w:r>
          </w:p>
        </w:tc>
        <w:tc>
          <w:tcPr>
            <w:tcW w:w="982" w:type="dxa"/>
            <w:tcBorders>
              <w:left w:val="nil"/>
              <w:right w:val="nil"/>
            </w:tcBorders>
            <w:vAlign w:val="center"/>
          </w:tcPr>
          <w:p w:rsidR="009543DB" w:rsidRDefault="009543DB" w:rsidP="009543DB">
            <w:pPr>
              <w:pStyle w:val="Tabletextright-centred"/>
            </w:pPr>
            <w:r>
              <w:t>60.5</w:t>
            </w:r>
          </w:p>
        </w:tc>
        <w:tc>
          <w:tcPr>
            <w:tcW w:w="982" w:type="dxa"/>
            <w:tcBorders>
              <w:left w:val="nil"/>
              <w:right w:val="nil"/>
            </w:tcBorders>
            <w:vAlign w:val="center"/>
          </w:tcPr>
          <w:p w:rsidR="009543DB" w:rsidRDefault="009543DB" w:rsidP="009543DB">
            <w:pPr>
              <w:pStyle w:val="Tabletextright-centred"/>
            </w:pPr>
            <w:r>
              <w:t>62.5</w:t>
            </w:r>
          </w:p>
        </w:tc>
        <w:tc>
          <w:tcPr>
            <w:tcW w:w="983" w:type="dxa"/>
            <w:tcBorders>
              <w:left w:val="nil"/>
              <w:right w:val="nil"/>
            </w:tcBorders>
            <w:vAlign w:val="center"/>
          </w:tcPr>
          <w:p w:rsidR="009543DB" w:rsidRDefault="009543DB" w:rsidP="009543DB">
            <w:pPr>
              <w:pStyle w:val="Tabletextright-centred"/>
            </w:pPr>
            <w:r>
              <w:t>60.4</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Revenue per passenger ($)</w:t>
            </w:r>
          </w:p>
        </w:tc>
        <w:tc>
          <w:tcPr>
            <w:tcW w:w="1701" w:type="dxa"/>
            <w:tcBorders>
              <w:left w:val="nil"/>
              <w:right w:val="nil"/>
            </w:tcBorders>
          </w:tcPr>
          <w:p w:rsidR="009543DB" w:rsidRDefault="009543DB" w:rsidP="009543DB">
            <w:pPr>
              <w:pStyle w:val="Tabletextleft"/>
            </w:pPr>
            <w:r>
              <w:t>Total aeronautical</w:t>
            </w:r>
          </w:p>
        </w:tc>
        <w:tc>
          <w:tcPr>
            <w:tcW w:w="982" w:type="dxa"/>
            <w:tcBorders>
              <w:left w:val="nil"/>
              <w:right w:val="nil"/>
            </w:tcBorders>
          </w:tcPr>
          <w:p w:rsidR="009543DB" w:rsidRDefault="009543DB" w:rsidP="009543DB">
            <w:pPr>
              <w:pStyle w:val="Tabletextright"/>
            </w:pPr>
            <w:r>
              <w:t>8.62</w:t>
            </w:r>
          </w:p>
        </w:tc>
        <w:tc>
          <w:tcPr>
            <w:tcW w:w="982" w:type="dxa"/>
            <w:tcBorders>
              <w:left w:val="nil"/>
              <w:right w:val="nil"/>
            </w:tcBorders>
          </w:tcPr>
          <w:p w:rsidR="009543DB" w:rsidRDefault="009543DB" w:rsidP="009543DB">
            <w:pPr>
              <w:pStyle w:val="Tabletextright"/>
            </w:pPr>
            <w:r>
              <w:t>8.53</w:t>
            </w:r>
          </w:p>
        </w:tc>
        <w:tc>
          <w:tcPr>
            <w:tcW w:w="982" w:type="dxa"/>
            <w:tcBorders>
              <w:left w:val="nil"/>
              <w:right w:val="nil"/>
            </w:tcBorders>
          </w:tcPr>
          <w:p w:rsidR="009543DB" w:rsidRDefault="009543DB" w:rsidP="009543DB">
            <w:pPr>
              <w:pStyle w:val="Tabletextright"/>
            </w:pPr>
            <w:r>
              <w:t>8.72</w:t>
            </w:r>
          </w:p>
        </w:tc>
        <w:tc>
          <w:tcPr>
            <w:tcW w:w="983" w:type="dxa"/>
            <w:tcBorders>
              <w:left w:val="nil"/>
              <w:right w:val="nil"/>
            </w:tcBorders>
          </w:tcPr>
          <w:p w:rsidR="009543DB" w:rsidRDefault="009543DB" w:rsidP="009543DB">
            <w:pPr>
              <w:pStyle w:val="Tabletextright"/>
            </w:pPr>
            <w:r>
              <w:t>9.19</w:t>
            </w:r>
          </w:p>
        </w:tc>
        <w:tc>
          <w:tcPr>
            <w:tcW w:w="982" w:type="dxa"/>
            <w:tcBorders>
              <w:left w:val="nil"/>
              <w:right w:val="nil"/>
            </w:tcBorders>
          </w:tcPr>
          <w:p w:rsidR="009543DB" w:rsidRDefault="009543DB" w:rsidP="009543DB">
            <w:pPr>
              <w:pStyle w:val="Tabletextright"/>
            </w:pPr>
            <w:r>
              <w:t>9.18</w:t>
            </w:r>
          </w:p>
        </w:tc>
        <w:tc>
          <w:tcPr>
            <w:tcW w:w="982" w:type="dxa"/>
            <w:tcBorders>
              <w:left w:val="nil"/>
              <w:right w:val="nil"/>
            </w:tcBorders>
          </w:tcPr>
          <w:p w:rsidR="009543DB" w:rsidRDefault="009543DB" w:rsidP="009543DB">
            <w:pPr>
              <w:pStyle w:val="Tabletextright"/>
            </w:pPr>
            <w:r>
              <w:t>9.09</w:t>
            </w:r>
          </w:p>
        </w:tc>
        <w:tc>
          <w:tcPr>
            <w:tcW w:w="982" w:type="dxa"/>
            <w:tcBorders>
              <w:left w:val="nil"/>
              <w:right w:val="nil"/>
            </w:tcBorders>
          </w:tcPr>
          <w:p w:rsidR="009543DB" w:rsidRDefault="009543DB" w:rsidP="009543DB">
            <w:pPr>
              <w:pStyle w:val="Tabletextright"/>
            </w:pPr>
            <w:r>
              <w:t>8.95</w:t>
            </w:r>
          </w:p>
        </w:tc>
        <w:tc>
          <w:tcPr>
            <w:tcW w:w="983" w:type="dxa"/>
            <w:tcBorders>
              <w:left w:val="nil"/>
              <w:right w:val="nil"/>
            </w:tcBorders>
          </w:tcPr>
          <w:p w:rsidR="009543DB" w:rsidRDefault="009543DB" w:rsidP="009543DB">
            <w:pPr>
              <w:pStyle w:val="Tabletextright"/>
            </w:pPr>
            <w:r>
              <w:t>9.17</w:t>
            </w:r>
          </w:p>
        </w:tc>
        <w:tc>
          <w:tcPr>
            <w:tcW w:w="982" w:type="dxa"/>
            <w:tcBorders>
              <w:left w:val="nil"/>
              <w:right w:val="nil"/>
            </w:tcBorders>
          </w:tcPr>
          <w:p w:rsidR="009543DB" w:rsidRDefault="009543DB" w:rsidP="009543DB">
            <w:pPr>
              <w:pStyle w:val="Tabletextright"/>
            </w:pPr>
            <w:r>
              <w:t>9.76</w:t>
            </w:r>
          </w:p>
        </w:tc>
        <w:tc>
          <w:tcPr>
            <w:tcW w:w="982" w:type="dxa"/>
            <w:tcBorders>
              <w:left w:val="nil"/>
              <w:right w:val="nil"/>
            </w:tcBorders>
          </w:tcPr>
          <w:p w:rsidR="009543DB" w:rsidRDefault="009543DB" w:rsidP="009543DB">
            <w:pPr>
              <w:pStyle w:val="Tabletextright"/>
            </w:pPr>
            <w:r>
              <w:t>10.07</w:t>
            </w:r>
          </w:p>
        </w:tc>
        <w:tc>
          <w:tcPr>
            <w:tcW w:w="983" w:type="dxa"/>
            <w:tcBorders>
              <w:left w:val="nil"/>
              <w:right w:val="nil"/>
            </w:tcBorders>
          </w:tcPr>
          <w:p w:rsidR="009543DB" w:rsidRDefault="009543DB" w:rsidP="009543DB">
            <w:pPr>
              <w:pStyle w:val="Tabletextright"/>
            </w:pPr>
            <w:r>
              <w:t>10.47</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tcPr>
          <w:p w:rsidR="009543DB" w:rsidRDefault="009543DB" w:rsidP="009543DB">
            <w:pPr>
              <w:pStyle w:val="Tabletextleft"/>
            </w:pPr>
            <w:r>
              <w:t>Security services</w:t>
            </w:r>
          </w:p>
        </w:tc>
        <w:tc>
          <w:tcPr>
            <w:tcW w:w="982" w:type="dxa"/>
            <w:tcBorders>
              <w:left w:val="nil"/>
              <w:right w:val="nil"/>
            </w:tcBorders>
          </w:tcPr>
          <w:p w:rsidR="009543DB" w:rsidRDefault="009543DB" w:rsidP="009543DB">
            <w:pPr>
              <w:pStyle w:val="Tabletextright"/>
            </w:pPr>
            <w:r>
              <w:t>0.84</w:t>
            </w:r>
          </w:p>
        </w:tc>
        <w:tc>
          <w:tcPr>
            <w:tcW w:w="982" w:type="dxa"/>
            <w:tcBorders>
              <w:left w:val="nil"/>
              <w:right w:val="nil"/>
            </w:tcBorders>
          </w:tcPr>
          <w:p w:rsidR="009543DB" w:rsidRDefault="009543DB" w:rsidP="009543DB">
            <w:pPr>
              <w:pStyle w:val="Tabletextright"/>
            </w:pPr>
            <w:r>
              <w:t>0.87</w:t>
            </w:r>
          </w:p>
        </w:tc>
        <w:tc>
          <w:tcPr>
            <w:tcW w:w="982" w:type="dxa"/>
            <w:tcBorders>
              <w:left w:val="nil"/>
              <w:right w:val="nil"/>
            </w:tcBorders>
          </w:tcPr>
          <w:p w:rsidR="009543DB" w:rsidRDefault="009543DB" w:rsidP="009543DB">
            <w:pPr>
              <w:pStyle w:val="Tabletextright"/>
            </w:pPr>
            <w:r>
              <w:t>0.75</w:t>
            </w:r>
          </w:p>
        </w:tc>
        <w:tc>
          <w:tcPr>
            <w:tcW w:w="983" w:type="dxa"/>
            <w:tcBorders>
              <w:left w:val="nil"/>
              <w:right w:val="nil"/>
            </w:tcBorders>
          </w:tcPr>
          <w:p w:rsidR="009543DB" w:rsidRDefault="009543DB" w:rsidP="009543DB">
            <w:pPr>
              <w:pStyle w:val="Tabletextright"/>
            </w:pPr>
            <w:r>
              <w:t>1.00</w:t>
            </w:r>
          </w:p>
        </w:tc>
        <w:tc>
          <w:tcPr>
            <w:tcW w:w="982" w:type="dxa"/>
            <w:tcBorders>
              <w:left w:val="nil"/>
              <w:right w:val="nil"/>
            </w:tcBorders>
          </w:tcPr>
          <w:p w:rsidR="009543DB" w:rsidRDefault="009543DB" w:rsidP="009543DB">
            <w:pPr>
              <w:pStyle w:val="Tabletextright"/>
            </w:pPr>
            <w:r>
              <w:t>1.13</w:t>
            </w:r>
          </w:p>
        </w:tc>
        <w:tc>
          <w:tcPr>
            <w:tcW w:w="982" w:type="dxa"/>
            <w:tcBorders>
              <w:left w:val="nil"/>
              <w:right w:val="nil"/>
            </w:tcBorders>
          </w:tcPr>
          <w:p w:rsidR="009543DB" w:rsidRDefault="009543DB" w:rsidP="009543DB">
            <w:pPr>
              <w:pStyle w:val="Tabletextright"/>
            </w:pPr>
            <w:r>
              <w:t>1.25</w:t>
            </w:r>
          </w:p>
        </w:tc>
        <w:tc>
          <w:tcPr>
            <w:tcW w:w="982" w:type="dxa"/>
            <w:tcBorders>
              <w:left w:val="nil"/>
              <w:right w:val="nil"/>
            </w:tcBorders>
          </w:tcPr>
          <w:p w:rsidR="009543DB" w:rsidRDefault="009543DB" w:rsidP="009543DB">
            <w:pPr>
              <w:pStyle w:val="Tabletextright"/>
            </w:pPr>
            <w:r>
              <w:t>1.11</w:t>
            </w:r>
          </w:p>
        </w:tc>
        <w:tc>
          <w:tcPr>
            <w:tcW w:w="983" w:type="dxa"/>
            <w:tcBorders>
              <w:left w:val="nil"/>
              <w:right w:val="nil"/>
            </w:tcBorders>
          </w:tcPr>
          <w:p w:rsidR="009543DB" w:rsidRDefault="009543DB" w:rsidP="009543DB">
            <w:pPr>
              <w:pStyle w:val="Tabletextright"/>
            </w:pPr>
            <w:r>
              <w:t>1.08</w:t>
            </w:r>
          </w:p>
        </w:tc>
        <w:tc>
          <w:tcPr>
            <w:tcW w:w="982" w:type="dxa"/>
            <w:tcBorders>
              <w:left w:val="nil"/>
              <w:right w:val="nil"/>
            </w:tcBorders>
          </w:tcPr>
          <w:p w:rsidR="009543DB" w:rsidRDefault="009543DB" w:rsidP="009543DB">
            <w:pPr>
              <w:pStyle w:val="Tabletextright"/>
            </w:pPr>
            <w:r>
              <w:t>1.16</w:t>
            </w:r>
          </w:p>
        </w:tc>
        <w:tc>
          <w:tcPr>
            <w:tcW w:w="982" w:type="dxa"/>
            <w:tcBorders>
              <w:left w:val="nil"/>
              <w:right w:val="nil"/>
            </w:tcBorders>
          </w:tcPr>
          <w:p w:rsidR="009543DB" w:rsidRDefault="009543DB" w:rsidP="009543DB">
            <w:pPr>
              <w:pStyle w:val="Tabletextright"/>
            </w:pPr>
            <w:r>
              <w:t>1.15</w:t>
            </w:r>
          </w:p>
        </w:tc>
        <w:tc>
          <w:tcPr>
            <w:tcW w:w="983" w:type="dxa"/>
            <w:tcBorders>
              <w:left w:val="nil"/>
              <w:right w:val="nil"/>
            </w:tcBorders>
          </w:tcPr>
          <w:p w:rsidR="009543DB" w:rsidRDefault="009543DB" w:rsidP="009543DB">
            <w:pPr>
              <w:pStyle w:val="Tabletextright"/>
            </w:pPr>
            <w:r>
              <w:t>1.15</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Operating expenses per passenger ($)</w:t>
            </w:r>
          </w:p>
        </w:tc>
        <w:tc>
          <w:tcPr>
            <w:tcW w:w="1701" w:type="dxa"/>
            <w:tcBorders>
              <w:left w:val="nil"/>
              <w:right w:val="nil"/>
            </w:tcBorders>
          </w:tcPr>
          <w:p w:rsidR="009543DB" w:rsidRDefault="009543DB" w:rsidP="009543DB">
            <w:pPr>
              <w:pStyle w:val="Tabletextleft"/>
            </w:pPr>
            <w:r>
              <w:t>Total aeronautical</w:t>
            </w:r>
          </w:p>
        </w:tc>
        <w:tc>
          <w:tcPr>
            <w:tcW w:w="982" w:type="dxa"/>
            <w:tcBorders>
              <w:left w:val="nil"/>
              <w:right w:val="nil"/>
            </w:tcBorders>
          </w:tcPr>
          <w:p w:rsidR="009543DB" w:rsidRDefault="009543DB" w:rsidP="009543DB">
            <w:pPr>
              <w:pStyle w:val="Tabletextright"/>
            </w:pPr>
            <w:r>
              <w:t>4.62</w:t>
            </w:r>
          </w:p>
        </w:tc>
        <w:tc>
          <w:tcPr>
            <w:tcW w:w="982" w:type="dxa"/>
            <w:tcBorders>
              <w:left w:val="nil"/>
              <w:right w:val="nil"/>
            </w:tcBorders>
          </w:tcPr>
          <w:p w:rsidR="009543DB" w:rsidRDefault="009543DB" w:rsidP="009543DB">
            <w:pPr>
              <w:pStyle w:val="Tabletextright"/>
            </w:pPr>
            <w:r>
              <w:t>4.61</w:t>
            </w:r>
          </w:p>
        </w:tc>
        <w:tc>
          <w:tcPr>
            <w:tcW w:w="982" w:type="dxa"/>
            <w:tcBorders>
              <w:left w:val="nil"/>
              <w:right w:val="nil"/>
            </w:tcBorders>
          </w:tcPr>
          <w:p w:rsidR="009543DB" w:rsidRDefault="009543DB" w:rsidP="009543DB">
            <w:pPr>
              <w:pStyle w:val="Tabletextright"/>
            </w:pPr>
            <w:r>
              <w:t>4.74</w:t>
            </w:r>
          </w:p>
        </w:tc>
        <w:tc>
          <w:tcPr>
            <w:tcW w:w="983" w:type="dxa"/>
            <w:tcBorders>
              <w:left w:val="nil"/>
              <w:right w:val="nil"/>
            </w:tcBorders>
          </w:tcPr>
          <w:p w:rsidR="009543DB" w:rsidRDefault="009543DB" w:rsidP="009543DB">
            <w:pPr>
              <w:pStyle w:val="Tabletextright"/>
            </w:pPr>
            <w:r>
              <w:t>4.65</w:t>
            </w:r>
          </w:p>
        </w:tc>
        <w:tc>
          <w:tcPr>
            <w:tcW w:w="982" w:type="dxa"/>
            <w:tcBorders>
              <w:left w:val="nil"/>
              <w:right w:val="nil"/>
            </w:tcBorders>
          </w:tcPr>
          <w:p w:rsidR="009543DB" w:rsidRDefault="009543DB" w:rsidP="009543DB">
            <w:pPr>
              <w:pStyle w:val="Tabletextright"/>
            </w:pPr>
            <w:r>
              <w:t>4.78</w:t>
            </w:r>
          </w:p>
        </w:tc>
        <w:tc>
          <w:tcPr>
            <w:tcW w:w="982" w:type="dxa"/>
            <w:tcBorders>
              <w:left w:val="nil"/>
              <w:right w:val="nil"/>
            </w:tcBorders>
          </w:tcPr>
          <w:p w:rsidR="009543DB" w:rsidRDefault="009543DB" w:rsidP="009543DB">
            <w:pPr>
              <w:pStyle w:val="Tabletextright"/>
            </w:pPr>
            <w:r>
              <w:t>4.86</w:t>
            </w:r>
          </w:p>
        </w:tc>
        <w:tc>
          <w:tcPr>
            <w:tcW w:w="982" w:type="dxa"/>
            <w:tcBorders>
              <w:left w:val="nil"/>
              <w:right w:val="nil"/>
            </w:tcBorders>
          </w:tcPr>
          <w:p w:rsidR="009543DB" w:rsidRDefault="009543DB" w:rsidP="009543DB">
            <w:pPr>
              <w:pStyle w:val="Tabletextright"/>
            </w:pPr>
            <w:r>
              <w:t>4.85</w:t>
            </w:r>
          </w:p>
        </w:tc>
        <w:tc>
          <w:tcPr>
            <w:tcW w:w="983" w:type="dxa"/>
            <w:tcBorders>
              <w:left w:val="nil"/>
              <w:right w:val="nil"/>
            </w:tcBorders>
          </w:tcPr>
          <w:p w:rsidR="009543DB" w:rsidRDefault="009543DB" w:rsidP="009543DB">
            <w:pPr>
              <w:pStyle w:val="Tabletextright"/>
            </w:pPr>
            <w:r>
              <w:t>5.56</w:t>
            </w:r>
          </w:p>
        </w:tc>
        <w:tc>
          <w:tcPr>
            <w:tcW w:w="982" w:type="dxa"/>
            <w:tcBorders>
              <w:left w:val="nil"/>
              <w:right w:val="nil"/>
            </w:tcBorders>
          </w:tcPr>
          <w:p w:rsidR="009543DB" w:rsidRDefault="009543DB" w:rsidP="009543DB">
            <w:pPr>
              <w:pStyle w:val="Tabletextright"/>
            </w:pPr>
            <w:r>
              <w:t>5.84</w:t>
            </w:r>
          </w:p>
        </w:tc>
        <w:tc>
          <w:tcPr>
            <w:tcW w:w="982" w:type="dxa"/>
            <w:tcBorders>
              <w:left w:val="nil"/>
              <w:right w:val="nil"/>
            </w:tcBorders>
          </w:tcPr>
          <w:p w:rsidR="009543DB" w:rsidRDefault="009543DB" w:rsidP="009543DB">
            <w:pPr>
              <w:pStyle w:val="Tabletextright"/>
            </w:pPr>
            <w:r>
              <w:t>5.52</w:t>
            </w:r>
          </w:p>
        </w:tc>
        <w:tc>
          <w:tcPr>
            <w:tcW w:w="983" w:type="dxa"/>
            <w:tcBorders>
              <w:left w:val="nil"/>
              <w:right w:val="nil"/>
            </w:tcBorders>
          </w:tcPr>
          <w:p w:rsidR="009543DB" w:rsidRDefault="009543DB" w:rsidP="009543DB">
            <w:pPr>
              <w:pStyle w:val="Tabletextright"/>
            </w:pPr>
            <w:r>
              <w:t>5.92</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vAlign w:val="center"/>
          </w:tcPr>
          <w:p w:rsidR="009543DB" w:rsidRPr="00434D61" w:rsidRDefault="009543DB" w:rsidP="009543DB">
            <w:pPr>
              <w:pStyle w:val="Tabletextleft"/>
            </w:pPr>
            <w:r w:rsidRPr="00434D61">
              <w:t>Security services</w:t>
            </w:r>
          </w:p>
        </w:tc>
        <w:tc>
          <w:tcPr>
            <w:tcW w:w="982" w:type="dxa"/>
            <w:tcBorders>
              <w:left w:val="nil"/>
              <w:right w:val="nil"/>
            </w:tcBorders>
            <w:vAlign w:val="center"/>
          </w:tcPr>
          <w:p w:rsidR="009543DB" w:rsidRDefault="009543DB" w:rsidP="009543DB">
            <w:pPr>
              <w:pStyle w:val="Tabletextright"/>
            </w:pPr>
            <w:r>
              <w:t>0.84</w:t>
            </w:r>
          </w:p>
        </w:tc>
        <w:tc>
          <w:tcPr>
            <w:tcW w:w="982" w:type="dxa"/>
            <w:tcBorders>
              <w:left w:val="nil"/>
              <w:right w:val="nil"/>
            </w:tcBorders>
            <w:vAlign w:val="center"/>
          </w:tcPr>
          <w:p w:rsidR="009543DB" w:rsidRDefault="009543DB" w:rsidP="009543DB">
            <w:pPr>
              <w:pStyle w:val="Tabletextright"/>
            </w:pPr>
            <w:r>
              <w:t>0.86</w:t>
            </w:r>
          </w:p>
        </w:tc>
        <w:tc>
          <w:tcPr>
            <w:tcW w:w="982" w:type="dxa"/>
            <w:tcBorders>
              <w:left w:val="nil"/>
              <w:right w:val="nil"/>
            </w:tcBorders>
            <w:vAlign w:val="center"/>
          </w:tcPr>
          <w:p w:rsidR="009543DB" w:rsidRDefault="009543DB" w:rsidP="009543DB">
            <w:pPr>
              <w:pStyle w:val="Tabletextright"/>
            </w:pPr>
            <w:r>
              <w:t>0.79</w:t>
            </w:r>
          </w:p>
        </w:tc>
        <w:tc>
          <w:tcPr>
            <w:tcW w:w="983" w:type="dxa"/>
            <w:tcBorders>
              <w:left w:val="nil"/>
              <w:right w:val="nil"/>
            </w:tcBorders>
            <w:vAlign w:val="center"/>
          </w:tcPr>
          <w:p w:rsidR="009543DB" w:rsidRDefault="009543DB" w:rsidP="009543DB">
            <w:pPr>
              <w:pStyle w:val="Tabletextright"/>
            </w:pPr>
            <w:r>
              <w:t>1.06</w:t>
            </w:r>
          </w:p>
        </w:tc>
        <w:tc>
          <w:tcPr>
            <w:tcW w:w="982" w:type="dxa"/>
            <w:tcBorders>
              <w:left w:val="nil"/>
              <w:right w:val="nil"/>
            </w:tcBorders>
            <w:vAlign w:val="center"/>
          </w:tcPr>
          <w:p w:rsidR="009543DB" w:rsidRDefault="009543DB" w:rsidP="009543DB">
            <w:pPr>
              <w:pStyle w:val="Tabletextright"/>
            </w:pPr>
            <w:r>
              <w:t>1.17</w:t>
            </w:r>
          </w:p>
        </w:tc>
        <w:tc>
          <w:tcPr>
            <w:tcW w:w="982" w:type="dxa"/>
            <w:tcBorders>
              <w:left w:val="nil"/>
              <w:right w:val="nil"/>
            </w:tcBorders>
            <w:vAlign w:val="center"/>
          </w:tcPr>
          <w:p w:rsidR="009543DB" w:rsidRDefault="009543DB" w:rsidP="009543DB">
            <w:pPr>
              <w:pStyle w:val="Tabletextright"/>
            </w:pPr>
            <w:r>
              <w:t>1.11</w:t>
            </w:r>
          </w:p>
        </w:tc>
        <w:tc>
          <w:tcPr>
            <w:tcW w:w="982" w:type="dxa"/>
            <w:tcBorders>
              <w:left w:val="nil"/>
              <w:right w:val="nil"/>
            </w:tcBorders>
            <w:vAlign w:val="center"/>
          </w:tcPr>
          <w:p w:rsidR="009543DB" w:rsidRDefault="009543DB" w:rsidP="009543DB">
            <w:pPr>
              <w:pStyle w:val="Tabletextright"/>
            </w:pPr>
            <w:r>
              <w:t>1.06</w:t>
            </w:r>
          </w:p>
        </w:tc>
        <w:tc>
          <w:tcPr>
            <w:tcW w:w="983" w:type="dxa"/>
            <w:tcBorders>
              <w:left w:val="nil"/>
              <w:right w:val="nil"/>
            </w:tcBorders>
            <w:vAlign w:val="center"/>
          </w:tcPr>
          <w:p w:rsidR="009543DB" w:rsidRDefault="009543DB" w:rsidP="009543DB">
            <w:pPr>
              <w:pStyle w:val="Tabletextright"/>
            </w:pPr>
            <w:r>
              <w:t>1.10</w:t>
            </w:r>
          </w:p>
        </w:tc>
        <w:tc>
          <w:tcPr>
            <w:tcW w:w="982" w:type="dxa"/>
            <w:tcBorders>
              <w:left w:val="nil"/>
              <w:right w:val="nil"/>
            </w:tcBorders>
            <w:vAlign w:val="center"/>
          </w:tcPr>
          <w:p w:rsidR="009543DB" w:rsidRDefault="009543DB" w:rsidP="009543DB">
            <w:pPr>
              <w:pStyle w:val="Tabletextright"/>
            </w:pPr>
            <w:r>
              <w:t>1.16</w:t>
            </w:r>
          </w:p>
        </w:tc>
        <w:tc>
          <w:tcPr>
            <w:tcW w:w="982" w:type="dxa"/>
            <w:tcBorders>
              <w:left w:val="nil"/>
              <w:right w:val="nil"/>
            </w:tcBorders>
            <w:vAlign w:val="center"/>
          </w:tcPr>
          <w:p w:rsidR="009543DB" w:rsidRDefault="009543DB" w:rsidP="009543DB">
            <w:pPr>
              <w:pStyle w:val="Tabletextright"/>
            </w:pPr>
            <w:r>
              <w:t>1.13</w:t>
            </w:r>
          </w:p>
        </w:tc>
        <w:tc>
          <w:tcPr>
            <w:tcW w:w="983" w:type="dxa"/>
            <w:tcBorders>
              <w:left w:val="nil"/>
              <w:right w:val="nil"/>
            </w:tcBorders>
            <w:vAlign w:val="center"/>
          </w:tcPr>
          <w:p w:rsidR="009543DB" w:rsidRDefault="009543DB" w:rsidP="009543DB">
            <w:pPr>
              <w:pStyle w:val="Tabletextright"/>
            </w:pPr>
            <w:r>
              <w:t>1.16</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Aggregate margin per passenger ($)</w:t>
            </w:r>
          </w:p>
        </w:tc>
        <w:tc>
          <w:tcPr>
            <w:tcW w:w="1701" w:type="dxa"/>
            <w:tcBorders>
              <w:left w:val="nil"/>
              <w:right w:val="nil"/>
            </w:tcBorders>
          </w:tcPr>
          <w:p w:rsidR="009543DB" w:rsidRDefault="009543DB" w:rsidP="009543DB">
            <w:pPr>
              <w:pStyle w:val="Tabletextleft"/>
            </w:pPr>
            <w:r>
              <w:t>Total aeronautical</w:t>
            </w:r>
          </w:p>
        </w:tc>
        <w:tc>
          <w:tcPr>
            <w:tcW w:w="982" w:type="dxa"/>
            <w:tcBorders>
              <w:left w:val="nil"/>
              <w:right w:val="nil"/>
            </w:tcBorders>
          </w:tcPr>
          <w:p w:rsidR="009543DB" w:rsidRDefault="009543DB" w:rsidP="009543DB">
            <w:pPr>
              <w:pStyle w:val="Tabletextright"/>
            </w:pPr>
            <w:r>
              <w:t>4.00</w:t>
            </w:r>
          </w:p>
        </w:tc>
        <w:tc>
          <w:tcPr>
            <w:tcW w:w="982" w:type="dxa"/>
            <w:tcBorders>
              <w:left w:val="nil"/>
              <w:right w:val="nil"/>
            </w:tcBorders>
          </w:tcPr>
          <w:p w:rsidR="009543DB" w:rsidRDefault="009543DB" w:rsidP="009543DB">
            <w:pPr>
              <w:pStyle w:val="Tabletextright"/>
            </w:pPr>
            <w:r>
              <w:t>3.91</w:t>
            </w:r>
          </w:p>
        </w:tc>
        <w:tc>
          <w:tcPr>
            <w:tcW w:w="982" w:type="dxa"/>
            <w:tcBorders>
              <w:left w:val="nil"/>
              <w:right w:val="nil"/>
            </w:tcBorders>
          </w:tcPr>
          <w:p w:rsidR="009543DB" w:rsidRDefault="009543DB" w:rsidP="009543DB">
            <w:pPr>
              <w:pStyle w:val="Tabletextright"/>
            </w:pPr>
            <w:r>
              <w:t>3.98</w:t>
            </w:r>
          </w:p>
        </w:tc>
        <w:tc>
          <w:tcPr>
            <w:tcW w:w="983" w:type="dxa"/>
            <w:tcBorders>
              <w:left w:val="nil"/>
              <w:right w:val="nil"/>
            </w:tcBorders>
          </w:tcPr>
          <w:p w:rsidR="009543DB" w:rsidRDefault="009543DB" w:rsidP="009543DB">
            <w:pPr>
              <w:pStyle w:val="Tabletextright"/>
            </w:pPr>
            <w:r>
              <w:t>4.53</w:t>
            </w:r>
          </w:p>
        </w:tc>
        <w:tc>
          <w:tcPr>
            <w:tcW w:w="982" w:type="dxa"/>
            <w:tcBorders>
              <w:left w:val="nil"/>
              <w:right w:val="nil"/>
            </w:tcBorders>
          </w:tcPr>
          <w:p w:rsidR="009543DB" w:rsidRDefault="009543DB" w:rsidP="009543DB">
            <w:pPr>
              <w:pStyle w:val="Tabletextright"/>
            </w:pPr>
            <w:r>
              <w:t>4.39</w:t>
            </w:r>
          </w:p>
        </w:tc>
        <w:tc>
          <w:tcPr>
            <w:tcW w:w="982" w:type="dxa"/>
            <w:tcBorders>
              <w:left w:val="nil"/>
              <w:right w:val="nil"/>
            </w:tcBorders>
          </w:tcPr>
          <w:p w:rsidR="009543DB" w:rsidRDefault="009543DB" w:rsidP="009543DB">
            <w:pPr>
              <w:pStyle w:val="Tabletextright"/>
            </w:pPr>
            <w:r>
              <w:t>4.23</w:t>
            </w:r>
          </w:p>
        </w:tc>
        <w:tc>
          <w:tcPr>
            <w:tcW w:w="982" w:type="dxa"/>
            <w:tcBorders>
              <w:left w:val="nil"/>
              <w:right w:val="nil"/>
            </w:tcBorders>
          </w:tcPr>
          <w:p w:rsidR="009543DB" w:rsidRDefault="009543DB" w:rsidP="009543DB">
            <w:pPr>
              <w:pStyle w:val="Tabletextright"/>
            </w:pPr>
            <w:r>
              <w:t>4.10</w:t>
            </w:r>
          </w:p>
        </w:tc>
        <w:tc>
          <w:tcPr>
            <w:tcW w:w="983" w:type="dxa"/>
            <w:tcBorders>
              <w:left w:val="nil"/>
              <w:right w:val="nil"/>
            </w:tcBorders>
          </w:tcPr>
          <w:p w:rsidR="009543DB" w:rsidRDefault="009543DB" w:rsidP="009543DB">
            <w:pPr>
              <w:pStyle w:val="Tabletextright"/>
            </w:pPr>
            <w:r>
              <w:t>3.62</w:t>
            </w:r>
          </w:p>
        </w:tc>
        <w:tc>
          <w:tcPr>
            <w:tcW w:w="982" w:type="dxa"/>
            <w:tcBorders>
              <w:left w:val="nil"/>
              <w:right w:val="nil"/>
            </w:tcBorders>
          </w:tcPr>
          <w:p w:rsidR="009543DB" w:rsidRDefault="009543DB" w:rsidP="009543DB">
            <w:pPr>
              <w:pStyle w:val="Tabletextright"/>
            </w:pPr>
            <w:r>
              <w:t>3.91</w:t>
            </w:r>
          </w:p>
        </w:tc>
        <w:tc>
          <w:tcPr>
            <w:tcW w:w="982" w:type="dxa"/>
            <w:tcBorders>
              <w:left w:val="nil"/>
              <w:right w:val="nil"/>
            </w:tcBorders>
          </w:tcPr>
          <w:p w:rsidR="009543DB" w:rsidRDefault="009543DB" w:rsidP="009543DB">
            <w:pPr>
              <w:pStyle w:val="Tabletextright"/>
            </w:pPr>
            <w:r>
              <w:t>4.56</w:t>
            </w:r>
          </w:p>
        </w:tc>
        <w:tc>
          <w:tcPr>
            <w:tcW w:w="983" w:type="dxa"/>
            <w:tcBorders>
              <w:left w:val="nil"/>
              <w:right w:val="nil"/>
            </w:tcBorders>
          </w:tcPr>
          <w:p w:rsidR="009543DB" w:rsidRDefault="009543DB" w:rsidP="009543DB">
            <w:pPr>
              <w:pStyle w:val="Tabletextright"/>
            </w:pPr>
            <w:r>
              <w:t>4.54</w:t>
            </w:r>
          </w:p>
        </w:tc>
      </w:tr>
      <w:tr w:rsidR="009543DB" w:rsidTr="009543DB">
        <w:tc>
          <w:tcPr>
            <w:tcW w:w="1526" w:type="dxa"/>
            <w:vMerge/>
            <w:tcBorders>
              <w:left w:val="nil"/>
              <w:right w:val="nil"/>
            </w:tcBorders>
          </w:tcPr>
          <w:p w:rsidR="009543DB" w:rsidRDefault="009543DB" w:rsidP="009543DB">
            <w:pPr>
              <w:pStyle w:val="Tabletextheading"/>
            </w:pPr>
          </w:p>
        </w:tc>
        <w:tc>
          <w:tcPr>
            <w:tcW w:w="1701" w:type="dxa"/>
            <w:tcBorders>
              <w:left w:val="nil"/>
              <w:right w:val="nil"/>
            </w:tcBorders>
            <w:vAlign w:val="center"/>
          </w:tcPr>
          <w:p w:rsidR="009543DB" w:rsidRDefault="009543DB" w:rsidP="009543DB">
            <w:pPr>
              <w:pStyle w:val="Tabletextleft"/>
            </w:pPr>
            <w:r>
              <w:t>Security services</w:t>
            </w:r>
          </w:p>
        </w:tc>
        <w:tc>
          <w:tcPr>
            <w:tcW w:w="982" w:type="dxa"/>
            <w:tcBorders>
              <w:left w:val="nil"/>
              <w:right w:val="nil"/>
            </w:tcBorders>
            <w:vAlign w:val="center"/>
          </w:tcPr>
          <w:p w:rsidR="009543DB" w:rsidRDefault="009543DB" w:rsidP="009543DB">
            <w:pPr>
              <w:pStyle w:val="Tabletextright"/>
            </w:pPr>
            <w:r>
              <w:t>0.00</w:t>
            </w:r>
          </w:p>
        </w:tc>
        <w:tc>
          <w:tcPr>
            <w:tcW w:w="982" w:type="dxa"/>
            <w:tcBorders>
              <w:left w:val="nil"/>
              <w:right w:val="nil"/>
            </w:tcBorders>
            <w:vAlign w:val="center"/>
          </w:tcPr>
          <w:p w:rsidR="009543DB" w:rsidRDefault="009543DB" w:rsidP="009543DB">
            <w:pPr>
              <w:pStyle w:val="Tabletextright"/>
            </w:pPr>
            <w:r>
              <w:t>0.00</w:t>
            </w:r>
          </w:p>
        </w:tc>
        <w:tc>
          <w:tcPr>
            <w:tcW w:w="982" w:type="dxa"/>
            <w:tcBorders>
              <w:left w:val="nil"/>
              <w:right w:val="nil"/>
            </w:tcBorders>
            <w:vAlign w:val="center"/>
          </w:tcPr>
          <w:p w:rsidR="009543DB" w:rsidRDefault="009543DB" w:rsidP="009543DB">
            <w:pPr>
              <w:pStyle w:val="Tabletextright"/>
            </w:pPr>
            <w:r>
              <w:t>(0.04)</w:t>
            </w:r>
          </w:p>
        </w:tc>
        <w:tc>
          <w:tcPr>
            <w:tcW w:w="983" w:type="dxa"/>
            <w:tcBorders>
              <w:left w:val="nil"/>
              <w:right w:val="nil"/>
            </w:tcBorders>
            <w:vAlign w:val="center"/>
          </w:tcPr>
          <w:p w:rsidR="009543DB" w:rsidRDefault="009543DB" w:rsidP="009543DB">
            <w:pPr>
              <w:pStyle w:val="Tabletextright"/>
            </w:pPr>
            <w:r>
              <w:t>(0.06)</w:t>
            </w:r>
          </w:p>
        </w:tc>
        <w:tc>
          <w:tcPr>
            <w:tcW w:w="982" w:type="dxa"/>
            <w:tcBorders>
              <w:left w:val="nil"/>
              <w:right w:val="nil"/>
            </w:tcBorders>
            <w:vAlign w:val="center"/>
          </w:tcPr>
          <w:p w:rsidR="009543DB" w:rsidRDefault="009543DB" w:rsidP="009543DB">
            <w:pPr>
              <w:pStyle w:val="Tabletextright"/>
            </w:pPr>
            <w:r>
              <w:t>(0.05)</w:t>
            </w:r>
          </w:p>
        </w:tc>
        <w:tc>
          <w:tcPr>
            <w:tcW w:w="982" w:type="dxa"/>
            <w:tcBorders>
              <w:left w:val="nil"/>
              <w:right w:val="nil"/>
            </w:tcBorders>
            <w:vAlign w:val="center"/>
          </w:tcPr>
          <w:p w:rsidR="009543DB" w:rsidRDefault="009543DB" w:rsidP="009543DB">
            <w:pPr>
              <w:pStyle w:val="Tabletextright"/>
            </w:pPr>
            <w:r>
              <w:t>0.14</w:t>
            </w:r>
          </w:p>
        </w:tc>
        <w:tc>
          <w:tcPr>
            <w:tcW w:w="982" w:type="dxa"/>
            <w:tcBorders>
              <w:left w:val="nil"/>
              <w:right w:val="nil"/>
            </w:tcBorders>
            <w:vAlign w:val="center"/>
          </w:tcPr>
          <w:p w:rsidR="009543DB" w:rsidRDefault="009543DB" w:rsidP="009543DB">
            <w:pPr>
              <w:pStyle w:val="Tabletextright"/>
            </w:pPr>
            <w:r>
              <w:t>0.05</w:t>
            </w:r>
          </w:p>
        </w:tc>
        <w:tc>
          <w:tcPr>
            <w:tcW w:w="983" w:type="dxa"/>
            <w:tcBorders>
              <w:left w:val="nil"/>
              <w:right w:val="nil"/>
            </w:tcBorders>
            <w:vAlign w:val="center"/>
          </w:tcPr>
          <w:p w:rsidR="009543DB" w:rsidRDefault="009543DB" w:rsidP="009543DB">
            <w:pPr>
              <w:pStyle w:val="Tabletextright"/>
            </w:pPr>
            <w:r>
              <w:t>(0.01)</w:t>
            </w:r>
          </w:p>
        </w:tc>
        <w:tc>
          <w:tcPr>
            <w:tcW w:w="982" w:type="dxa"/>
            <w:tcBorders>
              <w:left w:val="nil"/>
              <w:right w:val="nil"/>
            </w:tcBorders>
            <w:vAlign w:val="center"/>
          </w:tcPr>
          <w:p w:rsidR="009543DB" w:rsidRDefault="009543DB" w:rsidP="009543DB">
            <w:pPr>
              <w:pStyle w:val="Tabletextright"/>
            </w:pPr>
            <w:r>
              <w:t>0.00</w:t>
            </w:r>
          </w:p>
        </w:tc>
        <w:tc>
          <w:tcPr>
            <w:tcW w:w="982" w:type="dxa"/>
            <w:tcBorders>
              <w:left w:val="nil"/>
              <w:right w:val="nil"/>
            </w:tcBorders>
            <w:vAlign w:val="center"/>
          </w:tcPr>
          <w:p w:rsidR="009543DB" w:rsidRDefault="009543DB" w:rsidP="009543DB">
            <w:pPr>
              <w:pStyle w:val="Tabletextright"/>
            </w:pPr>
            <w:r>
              <w:t>0.02</w:t>
            </w:r>
          </w:p>
        </w:tc>
        <w:tc>
          <w:tcPr>
            <w:tcW w:w="983" w:type="dxa"/>
            <w:tcBorders>
              <w:left w:val="nil"/>
              <w:right w:val="nil"/>
            </w:tcBorders>
            <w:vAlign w:val="center"/>
          </w:tcPr>
          <w:p w:rsidR="009543DB" w:rsidRDefault="009543DB" w:rsidP="009543DB">
            <w:pPr>
              <w:pStyle w:val="Tabletextright"/>
            </w:pPr>
            <w:r>
              <w:t>(0.01)</w:t>
            </w:r>
          </w:p>
        </w:tc>
      </w:tr>
    </w:tbl>
    <w:p w:rsidR="009543DB" w:rsidRDefault="009543DB" w:rsidP="009543DB">
      <w:pPr>
        <w:pStyle w:val="Sourceandnotes"/>
        <w:sectPr w:rsidR="009543DB" w:rsidSect="009543DB">
          <w:headerReference w:type="even" r:id="rId89"/>
          <w:headerReference w:type="default" r:id="rId90"/>
          <w:footnotePr>
            <w:numStart w:val="93"/>
          </w:footnotePr>
          <w:pgSz w:w="16838" w:h="11906" w:orient="landscape"/>
          <w:pgMar w:top="1191" w:right="1440" w:bottom="1191" w:left="1582" w:header="709" w:footer="709" w:gutter="0"/>
          <w:cols w:space="708"/>
          <w:docGrid w:linePitch="360"/>
        </w:sectPr>
      </w:pPr>
      <w:r>
        <w:t>Note:</w:t>
      </w:r>
      <w:r>
        <w:tab/>
        <w:t>Real values in 2014-15 dollars</w:t>
      </w:r>
    </w:p>
    <w:p w:rsidR="009543DB" w:rsidRDefault="009543DB" w:rsidP="009543DB">
      <w:pPr>
        <w:pStyle w:val="Numberedcharttitle"/>
        <w:ind w:left="0" w:firstLine="0"/>
      </w:pPr>
      <w:r>
        <w:lastRenderedPageBreak/>
        <w:t>Table 3.2.3:</w:t>
      </w:r>
      <w:r>
        <w:tab/>
        <w:t>Melbourne Airport—non-current assets for aeronautical services and total airport services in real terms: 2004-05 to 2014-15</w:t>
      </w:r>
    </w:p>
    <w:tbl>
      <w:tblPr>
        <w:tblStyle w:val="TableGrid"/>
        <w:tblW w:w="0" w:type="auto"/>
        <w:tblLayout w:type="fixed"/>
        <w:tblLook w:val="04A0" w:firstRow="1" w:lastRow="0" w:firstColumn="1" w:lastColumn="0" w:noHBand="0" w:noVBand="1"/>
      </w:tblPr>
      <w:tblGrid>
        <w:gridCol w:w="1951"/>
        <w:gridCol w:w="1560"/>
        <w:gridCol w:w="956"/>
        <w:gridCol w:w="956"/>
        <w:gridCol w:w="957"/>
        <w:gridCol w:w="956"/>
        <w:gridCol w:w="957"/>
        <w:gridCol w:w="956"/>
        <w:gridCol w:w="957"/>
        <w:gridCol w:w="956"/>
        <w:gridCol w:w="957"/>
        <w:gridCol w:w="956"/>
        <w:gridCol w:w="957"/>
      </w:tblGrid>
      <w:tr w:rsidR="009543DB" w:rsidTr="009543DB">
        <w:tc>
          <w:tcPr>
            <w:tcW w:w="1951" w:type="dxa"/>
            <w:tcBorders>
              <w:left w:val="nil"/>
              <w:bottom w:val="single" w:sz="4" w:space="0" w:color="auto"/>
              <w:right w:val="nil"/>
            </w:tcBorders>
            <w:shd w:val="clear" w:color="auto" w:fill="DFE0DC"/>
          </w:tcPr>
          <w:p w:rsidR="009543DB" w:rsidRDefault="009543DB" w:rsidP="009543DB">
            <w:pPr>
              <w:pStyle w:val="Tabletextleft"/>
            </w:pPr>
          </w:p>
        </w:tc>
        <w:tc>
          <w:tcPr>
            <w:tcW w:w="1560" w:type="dxa"/>
            <w:tcBorders>
              <w:left w:val="nil"/>
              <w:bottom w:val="single" w:sz="4" w:space="0" w:color="auto"/>
              <w:right w:val="nil"/>
            </w:tcBorders>
            <w:shd w:val="clear" w:color="auto" w:fill="DFE0DC"/>
          </w:tcPr>
          <w:p w:rsidR="009543DB" w:rsidRDefault="009543DB" w:rsidP="009543DB">
            <w:pPr>
              <w:pStyle w:val="Tabletextleft"/>
            </w:pP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2004-05</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2005-06</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2006-07</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2007-08</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2008-09</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2009-10</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2010-11</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2011-12</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2012-13</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2013-14</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1951" w:type="dxa"/>
            <w:vMerge w:val="restart"/>
            <w:tcBorders>
              <w:left w:val="nil"/>
              <w:right w:val="nil"/>
            </w:tcBorders>
          </w:tcPr>
          <w:p w:rsidR="009543DB" w:rsidRDefault="009543DB" w:rsidP="009543DB">
            <w:pPr>
              <w:pStyle w:val="Tabletextheading"/>
            </w:pPr>
            <w:r>
              <w:t>Investment property</w:t>
            </w:r>
            <w:r>
              <w:br/>
              <w:t>($million)</w:t>
            </w:r>
          </w:p>
        </w:tc>
        <w:tc>
          <w:tcPr>
            <w:tcW w:w="1560" w:type="dxa"/>
            <w:tcBorders>
              <w:left w:val="nil"/>
              <w:bottom w:val="nil"/>
              <w:right w:val="nil"/>
            </w:tcBorders>
          </w:tcPr>
          <w:p w:rsidR="009543DB" w:rsidRDefault="009543DB" w:rsidP="009543DB">
            <w:pPr>
              <w:pStyle w:val="Tabletextleft"/>
            </w:pPr>
            <w:r>
              <w:t>Aeronautical</w:t>
            </w:r>
          </w:p>
        </w:tc>
        <w:tc>
          <w:tcPr>
            <w:tcW w:w="956"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tcPr>
          <w:p w:rsidR="009543DB" w:rsidRDefault="009543DB" w:rsidP="009543DB">
            <w:pPr>
              <w:pStyle w:val="Tabletextheading"/>
            </w:pPr>
            <w:r>
              <w:t>Total airport</w:t>
            </w:r>
          </w:p>
        </w:tc>
        <w:tc>
          <w:tcPr>
            <w:tcW w:w="956" w:type="dxa"/>
            <w:tcBorders>
              <w:top w:val="nil"/>
              <w:left w:val="nil"/>
              <w:bottom w:val="single" w:sz="4" w:space="0" w:color="auto"/>
              <w:right w:val="nil"/>
            </w:tcBorders>
          </w:tcPr>
          <w:p w:rsidR="009543DB" w:rsidRDefault="009543DB" w:rsidP="009543DB">
            <w:pPr>
              <w:pStyle w:val="Tabletextheadingright"/>
            </w:pPr>
            <w:r>
              <w:t>0.0</w:t>
            </w:r>
          </w:p>
        </w:tc>
        <w:tc>
          <w:tcPr>
            <w:tcW w:w="956" w:type="dxa"/>
            <w:tcBorders>
              <w:top w:val="nil"/>
              <w:left w:val="nil"/>
              <w:bottom w:val="single" w:sz="4" w:space="0" w:color="auto"/>
              <w:right w:val="nil"/>
            </w:tcBorders>
          </w:tcPr>
          <w:p w:rsidR="009543DB" w:rsidRDefault="009543DB" w:rsidP="009543DB">
            <w:pPr>
              <w:pStyle w:val="Tabletextheadingright"/>
            </w:pPr>
            <w:r>
              <w:t>0.0</w:t>
            </w:r>
          </w:p>
        </w:tc>
        <w:tc>
          <w:tcPr>
            <w:tcW w:w="957" w:type="dxa"/>
            <w:tcBorders>
              <w:top w:val="nil"/>
              <w:left w:val="nil"/>
              <w:bottom w:val="single" w:sz="4" w:space="0" w:color="auto"/>
              <w:right w:val="nil"/>
            </w:tcBorders>
          </w:tcPr>
          <w:p w:rsidR="009543DB" w:rsidRDefault="009543DB" w:rsidP="009543DB">
            <w:pPr>
              <w:pStyle w:val="Tabletextheadingright"/>
            </w:pPr>
            <w:r>
              <w:t>1 053.3</w:t>
            </w:r>
          </w:p>
        </w:tc>
        <w:tc>
          <w:tcPr>
            <w:tcW w:w="956" w:type="dxa"/>
            <w:tcBorders>
              <w:top w:val="nil"/>
              <w:left w:val="nil"/>
              <w:bottom w:val="single" w:sz="4" w:space="0" w:color="auto"/>
              <w:right w:val="nil"/>
            </w:tcBorders>
          </w:tcPr>
          <w:p w:rsidR="009543DB" w:rsidRDefault="009543DB" w:rsidP="009543DB">
            <w:pPr>
              <w:pStyle w:val="Tabletextheadingright"/>
            </w:pPr>
            <w:r>
              <w:t>1 046.3</w:t>
            </w:r>
          </w:p>
        </w:tc>
        <w:tc>
          <w:tcPr>
            <w:tcW w:w="957" w:type="dxa"/>
            <w:tcBorders>
              <w:top w:val="nil"/>
              <w:left w:val="nil"/>
              <w:bottom w:val="single" w:sz="4" w:space="0" w:color="auto"/>
              <w:right w:val="nil"/>
            </w:tcBorders>
          </w:tcPr>
          <w:p w:rsidR="009543DB" w:rsidRDefault="009543DB" w:rsidP="009543DB">
            <w:pPr>
              <w:pStyle w:val="Tabletextheadingright"/>
            </w:pPr>
            <w:r>
              <w:t>989.6</w:t>
            </w:r>
          </w:p>
        </w:tc>
        <w:tc>
          <w:tcPr>
            <w:tcW w:w="956" w:type="dxa"/>
            <w:tcBorders>
              <w:top w:val="nil"/>
              <w:left w:val="nil"/>
              <w:bottom w:val="single" w:sz="4" w:space="0" w:color="auto"/>
              <w:right w:val="nil"/>
            </w:tcBorders>
          </w:tcPr>
          <w:p w:rsidR="009543DB" w:rsidRDefault="009543DB" w:rsidP="009543DB">
            <w:pPr>
              <w:pStyle w:val="Tabletextheadingright"/>
            </w:pPr>
            <w:r>
              <w:t>981.9</w:t>
            </w:r>
          </w:p>
        </w:tc>
        <w:tc>
          <w:tcPr>
            <w:tcW w:w="957" w:type="dxa"/>
            <w:tcBorders>
              <w:top w:val="nil"/>
              <w:left w:val="nil"/>
              <w:bottom w:val="single" w:sz="4" w:space="0" w:color="auto"/>
              <w:right w:val="nil"/>
            </w:tcBorders>
          </w:tcPr>
          <w:p w:rsidR="009543DB" w:rsidRDefault="009543DB" w:rsidP="009543DB">
            <w:pPr>
              <w:pStyle w:val="Tabletextheadingright"/>
            </w:pPr>
            <w:r>
              <w:t>1 032.3</w:t>
            </w:r>
          </w:p>
        </w:tc>
        <w:tc>
          <w:tcPr>
            <w:tcW w:w="956" w:type="dxa"/>
            <w:tcBorders>
              <w:top w:val="nil"/>
              <w:left w:val="nil"/>
              <w:bottom w:val="single" w:sz="4" w:space="0" w:color="auto"/>
              <w:right w:val="nil"/>
            </w:tcBorders>
          </w:tcPr>
          <w:p w:rsidR="009543DB" w:rsidRDefault="009543DB" w:rsidP="009543DB">
            <w:pPr>
              <w:pStyle w:val="Tabletextheadingright"/>
            </w:pPr>
            <w:r>
              <w:t>1 061.4</w:t>
            </w:r>
          </w:p>
        </w:tc>
        <w:tc>
          <w:tcPr>
            <w:tcW w:w="957" w:type="dxa"/>
            <w:tcBorders>
              <w:top w:val="nil"/>
              <w:left w:val="nil"/>
              <w:bottom w:val="single" w:sz="4" w:space="0" w:color="auto"/>
              <w:right w:val="nil"/>
            </w:tcBorders>
          </w:tcPr>
          <w:p w:rsidR="009543DB" w:rsidRDefault="009543DB" w:rsidP="009543DB">
            <w:pPr>
              <w:pStyle w:val="Tabletextheadingright"/>
            </w:pPr>
            <w:r>
              <w:t>1 117.3</w:t>
            </w:r>
          </w:p>
        </w:tc>
        <w:tc>
          <w:tcPr>
            <w:tcW w:w="956" w:type="dxa"/>
            <w:tcBorders>
              <w:top w:val="nil"/>
              <w:left w:val="nil"/>
              <w:bottom w:val="single" w:sz="4" w:space="0" w:color="auto"/>
              <w:right w:val="nil"/>
            </w:tcBorders>
          </w:tcPr>
          <w:p w:rsidR="009543DB" w:rsidRDefault="009543DB" w:rsidP="009543DB">
            <w:pPr>
              <w:pStyle w:val="Tabletextheadingright"/>
            </w:pPr>
            <w:r>
              <w:t>1 078.2</w:t>
            </w:r>
          </w:p>
        </w:tc>
        <w:tc>
          <w:tcPr>
            <w:tcW w:w="957" w:type="dxa"/>
            <w:tcBorders>
              <w:top w:val="nil"/>
              <w:left w:val="nil"/>
              <w:bottom w:val="single" w:sz="4" w:space="0" w:color="auto"/>
              <w:right w:val="nil"/>
            </w:tcBorders>
          </w:tcPr>
          <w:p w:rsidR="009543DB" w:rsidRDefault="009543DB" w:rsidP="009543DB">
            <w:pPr>
              <w:pStyle w:val="Tabletextheadingright"/>
            </w:pPr>
            <w:r>
              <w:t>1 206.6</w:t>
            </w:r>
          </w:p>
        </w:tc>
      </w:tr>
      <w:tr w:rsidR="009543DB" w:rsidTr="009543DB">
        <w:tc>
          <w:tcPr>
            <w:tcW w:w="1951" w:type="dxa"/>
            <w:vMerge w:val="restart"/>
            <w:tcBorders>
              <w:left w:val="nil"/>
              <w:right w:val="nil"/>
            </w:tcBorders>
          </w:tcPr>
          <w:p w:rsidR="009543DB" w:rsidRDefault="009543DB" w:rsidP="009543DB">
            <w:pPr>
              <w:pStyle w:val="Tabletextheading"/>
            </w:pPr>
            <w:r>
              <w:t xml:space="preserve">Land </w:t>
            </w:r>
            <w:r>
              <w:br/>
              <w:t>($million)</w:t>
            </w:r>
          </w:p>
        </w:tc>
        <w:tc>
          <w:tcPr>
            <w:tcW w:w="1560" w:type="dxa"/>
            <w:tcBorders>
              <w:left w:val="nil"/>
              <w:bottom w:val="nil"/>
              <w:right w:val="nil"/>
            </w:tcBorders>
          </w:tcPr>
          <w:p w:rsidR="009543DB" w:rsidRDefault="009543DB" w:rsidP="009543DB">
            <w:pPr>
              <w:pStyle w:val="Tabletextleft"/>
            </w:pPr>
            <w:r>
              <w:t>Aeronautical</w:t>
            </w:r>
          </w:p>
        </w:tc>
        <w:tc>
          <w:tcPr>
            <w:tcW w:w="956" w:type="dxa"/>
            <w:tcBorders>
              <w:left w:val="nil"/>
              <w:bottom w:val="nil"/>
              <w:right w:val="nil"/>
            </w:tcBorders>
          </w:tcPr>
          <w:p w:rsidR="009543DB" w:rsidRDefault="009543DB" w:rsidP="009543DB">
            <w:pPr>
              <w:pStyle w:val="Tabletextright"/>
            </w:pPr>
            <w:r>
              <w:t>64.3</w:t>
            </w:r>
          </w:p>
        </w:tc>
        <w:tc>
          <w:tcPr>
            <w:tcW w:w="956" w:type="dxa"/>
            <w:tcBorders>
              <w:left w:val="nil"/>
              <w:bottom w:val="nil"/>
              <w:right w:val="nil"/>
            </w:tcBorders>
          </w:tcPr>
          <w:p w:rsidR="009543DB" w:rsidRDefault="009543DB" w:rsidP="009543DB">
            <w:pPr>
              <w:pStyle w:val="Tabletextright"/>
            </w:pPr>
            <w:r>
              <w:t>61.6</w:t>
            </w:r>
          </w:p>
        </w:tc>
        <w:tc>
          <w:tcPr>
            <w:tcW w:w="957" w:type="dxa"/>
            <w:tcBorders>
              <w:left w:val="nil"/>
              <w:bottom w:val="nil"/>
              <w:right w:val="nil"/>
            </w:tcBorders>
          </w:tcPr>
          <w:p w:rsidR="009543DB" w:rsidRDefault="009543DB" w:rsidP="009543DB">
            <w:pPr>
              <w:pStyle w:val="Tabletextright"/>
            </w:pPr>
            <w:r>
              <w:t>57.5</w:t>
            </w:r>
          </w:p>
        </w:tc>
        <w:tc>
          <w:tcPr>
            <w:tcW w:w="956" w:type="dxa"/>
            <w:tcBorders>
              <w:left w:val="nil"/>
              <w:bottom w:val="nil"/>
              <w:right w:val="nil"/>
            </w:tcBorders>
          </w:tcPr>
          <w:p w:rsidR="009543DB" w:rsidRDefault="009543DB" w:rsidP="009543DB">
            <w:pPr>
              <w:pStyle w:val="Tabletextright"/>
            </w:pPr>
            <w:r>
              <w:t>55.0</w:t>
            </w:r>
          </w:p>
        </w:tc>
        <w:tc>
          <w:tcPr>
            <w:tcW w:w="957" w:type="dxa"/>
            <w:tcBorders>
              <w:left w:val="nil"/>
              <w:bottom w:val="nil"/>
              <w:right w:val="nil"/>
            </w:tcBorders>
          </w:tcPr>
          <w:p w:rsidR="009543DB" w:rsidRDefault="009543DB" w:rsidP="009543DB">
            <w:pPr>
              <w:pStyle w:val="Tabletextright"/>
            </w:pPr>
            <w:r>
              <w:t>52.7</w:t>
            </w:r>
          </w:p>
        </w:tc>
        <w:tc>
          <w:tcPr>
            <w:tcW w:w="956" w:type="dxa"/>
            <w:tcBorders>
              <w:left w:val="nil"/>
              <w:bottom w:val="nil"/>
              <w:right w:val="nil"/>
            </w:tcBorders>
          </w:tcPr>
          <w:p w:rsidR="009543DB" w:rsidRDefault="009543DB" w:rsidP="009543DB">
            <w:pPr>
              <w:pStyle w:val="Tabletextright"/>
            </w:pPr>
            <w:r>
              <w:t>53.1</w:t>
            </w:r>
          </w:p>
        </w:tc>
        <w:tc>
          <w:tcPr>
            <w:tcW w:w="957" w:type="dxa"/>
            <w:tcBorders>
              <w:left w:val="nil"/>
              <w:bottom w:val="nil"/>
              <w:right w:val="nil"/>
            </w:tcBorders>
          </w:tcPr>
          <w:p w:rsidR="009543DB" w:rsidRDefault="009543DB" w:rsidP="009543DB">
            <w:pPr>
              <w:pStyle w:val="Tabletextright"/>
            </w:pPr>
            <w:r>
              <w:t>50.8</w:t>
            </w:r>
          </w:p>
        </w:tc>
        <w:tc>
          <w:tcPr>
            <w:tcW w:w="956" w:type="dxa"/>
            <w:tcBorders>
              <w:left w:val="nil"/>
              <w:bottom w:val="nil"/>
              <w:right w:val="nil"/>
            </w:tcBorders>
          </w:tcPr>
          <w:p w:rsidR="009543DB" w:rsidRDefault="009543DB" w:rsidP="009543DB">
            <w:pPr>
              <w:pStyle w:val="Tabletextright"/>
            </w:pPr>
            <w:r>
              <w:t>49.1</w:t>
            </w:r>
          </w:p>
        </w:tc>
        <w:tc>
          <w:tcPr>
            <w:tcW w:w="957" w:type="dxa"/>
            <w:tcBorders>
              <w:left w:val="nil"/>
              <w:bottom w:val="nil"/>
              <w:right w:val="nil"/>
            </w:tcBorders>
          </w:tcPr>
          <w:p w:rsidR="009543DB" w:rsidRDefault="009543DB" w:rsidP="009543DB">
            <w:pPr>
              <w:pStyle w:val="Tabletextright"/>
            </w:pPr>
            <w:r>
              <w:t>47.8</w:t>
            </w:r>
          </w:p>
        </w:tc>
        <w:tc>
          <w:tcPr>
            <w:tcW w:w="956" w:type="dxa"/>
            <w:tcBorders>
              <w:left w:val="nil"/>
              <w:bottom w:val="nil"/>
              <w:right w:val="nil"/>
            </w:tcBorders>
          </w:tcPr>
          <w:p w:rsidR="009543DB" w:rsidRDefault="009543DB" w:rsidP="009543DB">
            <w:pPr>
              <w:pStyle w:val="Tabletextright"/>
            </w:pPr>
            <w:r>
              <w:t>46.0</w:t>
            </w:r>
          </w:p>
        </w:tc>
        <w:tc>
          <w:tcPr>
            <w:tcW w:w="957" w:type="dxa"/>
            <w:tcBorders>
              <w:left w:val="nil"/>
              <w:bottom w:val="nil"/>
              <w:right w:val="nil"/>
            </w:tcBorders>
          </w:tcPr>
          <w:p w:rsidR="009543DB" w:rsidRDefault="009543DB" w:rsidP="009543DB">
            <w:pPr>
              <w:pStyle w:val="Tabletextright"/>
            </w:pPr>
            <w:r>
              <w:t>44.6</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tcPr>
          <w:p w:rsidR="009543DB" w:rsidRDefault="009543DB" w:rsidP="009543DB">
            <w:pPr>
              <w:pStyle w:val="Tabletextheading"/>
            </w:pPr>
            <w:r>
              <w:t>Total airport</w:t>
            </w:r>
          </w:p>
        </w:tc>
        <w:tc>
          <w:tcPr>
            <w:tcW w:w="956" w:type="dxa"/>
            <w:tcBorders>
              <w:top w:val="nil"/>
              <w:left w:val="nil"/>
              <w:bottom w:val="single" w:sz="4" w:space="0" w:color="auto"/>
              <w:right w:val="nil"/>
            </w:tcBorders>
          </w:tcPr>
          <w:p w:rsidR="009543DB" w:rsidRDefault="009543DB" w:rsidP="009543DB">
            <w:pPr>
              <w:pStyle w:val="Tabletextheadingright"/>
            </w:pPr>
            <w:r>
              <w:t>138.1</w:t>
            </w:r>
          </w:p>
        </w:tc>
        <w:tc>
          <w:tcPr>
            <w:tcW w:w="956" w:type="dxa"/>
            <w:tcBorders>
              <w:top w:val="nil"/>
              <w:left w:val="nil"/>
              <w:bottom w:val="single" w:sz="4" w:space="0" w:color="auto"/>
              <w:right w:val="nil"/>
            </w:tcBorders>
          </w:tcPr>
          <w:p w:rsidR="009543DB" w:rsidRDefault="009543DB" w:rsidP="009543DB">
            <w:pPr>
              <w:pStyle w:val="Tabletextheadingright"/>
            </w:pPr>
            <w:r>
              <w:t>132.3</w:t>
            </w:r>
          </w:p>
        </w:tc>
        <w:tc>
          <w:tcPr>
            <w:tcW w:w="957" w:type="dxa"/>
            <w:tcBorders>
              <w:top w:val="nil"/>
              <w:left w:val="nil"/>
              <w:bottom w:val="single" w:sz="4" w:space="0" w:color="auto"/>
              <w:right w:val="nil"/>
            </w:tcBorders>
          </w:tcPr>
          <w:p w:rsidR="009543DB" w:rsidRDefault="009543DB" w:rsidP="009543DB">
            <w:pPr>
              <w:pStyle w:val="Tabletextheadingright"/>
            </w:pPr>
            <w:r>
              <w:t>72.6</w:t>
            </w:r>
          </w:p>
        </w:tc>
        <w:tc>
          <w:tcPr>
            <w:tcW w:w="956" w:type="dxa"/>
            <w:tcBorders>
              <w:top w:val="nil"/>
              <w:left w:val="nil"/>
              <w:bottom w:val="single" w:sz="4" w:space="0" w:color="auto"/>
              <w:right w:val="nil"/>
            </w:tcBorders>
          </w:tcPr>
          <w:p w:rsidR="009543DB" w:rsidRDefault="009543DB" w:rsidP="009543DB">
            <w:pPr>
              <w:pStyle w:val="Tabletextheadingright"/>
            </w:pPr>
            <w:r>
              <w:t>69.4</w:t>
            </w:r>
          </w:p>
        </w:tc>
        <w:tc>
          <w:tcPr>
            <w:tcW w:w="957" w:type="dxa"/>
            <w:tcBorders>
              <w:top w:val="nil"/>
              <w:left w:val="nil"/>
              <w:bottom w:val="single" w:sz="4" w:space="0" w:color="auto"/>
              <w:right w:val="nil"/>
            </w:tcBorders>
          </w:tcPr>
          <w:p w:rsidR="009543DB" w:rsidRDefault="009543DB" w:rsidP="009543DB">
            <w:pPr>
              <w:pStyle w:val="Tabletextheadingright"/>
            </w:pPr>
            <w:r>
              <w:t>66.6</w:t>
            </w:r>
          </w:p>
        </w:tc>
        <w:tc>
          <w:tcPr>
            <w:tcW w:w="956" w:type="dxa"/>
            <w:tcBorders>
              <w:top w:val="nil"/>
              <w:left w:val="nil"/>
              <w:bottom w:val="single" w:sz="4" w:space="0" w:color="auto"/>
              <w:right w:val="nil"/>
            </w:tcBorders>
          </w:tcPr>
          <w:p w:rsidR="009543DB" w:rsidRDefault="009543DB" w:rsidP="009543DB">
            <w:pPr>
              <w:pStyle w:val="Tabletextheadingright"/>
            </w:pPr>
            <w:r>
              <w:t>66.5</w:t>
            </w:r>
          </w:p>
        </w:tc>
        <w:tc>
          <w:tcPr>
            <w:tcW w:w="957" w:type="dxa"/>
            <w:tcBorders>
              <w:top w:val="nil"/>
              <w:left w:val="nil"/>
              <w:bottom w:val="single" w:sz="4" w:space="0" w:color="auto"/>
              <w:right w:val="nil"/>
            </w:tcBorders>
          </w:tcPr>
          <w:p w:rsidR="009543DB" w:rsidRDefault="009543DB" w:rsidP="009543DB">
            <w:pPr>
              <w:pStyle w:val="Tabletextheadingright"/>
            </w:pPr>
            <w:r>
              <w:t>63.7</w:t>
            </w:r>
          </w:p>
        </w:tc>
        <w:tc>
          <w:tcPr>
            <w:tcW w:w="956" w:type="dxa"/>
            <w:tcBorders>
              <w:top w:val="nil"/>
              <w:left w:val="nil"/>
              <w:bottom w:val="single" w:sz="4" w:space="0" w:color="auto"/>
              <w:right w:val="nil"/>
            </w:tcBorders>
          </w:tcPr>
          <w:p w:rsidR="009543DB" w:rsidRDefault="009543DB" w:rsidP="009543DB">
            <w:pPr>
              <w:pStyle w:val="Tabletextheadingright"/>
            </w:pPr>
            <w:r>
              <w:t>61.4</w:t>
            </w:r>
          </w:p>
        </w:tc>
        <w:tc>
          <w:tcPr>
            <w:tcW w:w="957" w:type="dxa"/>
            <w:tcBorders>
              <w:top w:val="nil"/>
              <w:left w:val="nil"/>
              <w:bottom w:val="single" w:sz="4" w:space="0" w:color="auto"/>
              <w:right w:val="nil"/>
            </w:tcBorders>
          </w:tcPr>
          <w:p w:rsidR="009543DB" w:rsidRDefault="009543DB" w:rsidP="009543DB">
            <w:pPr>
              <w:pStyle w:val="Tabletextheadingright"/>
            </w:pPr>
            <w:r>
              <w:t>77.1</w:t>
            </w:r>
          </w:p>
        </w:tc>
        <w:tc>
          <w:tcPr>
            <w:tcW w:w="956" w:type="dxa"/>
            <w:tcBorders>
              <w:top w:val="nil"/>
              <w:left w:val="nil"/>
              <w:bottom w:val="single" w:sz="4" w:space="0" w:color="auto"/>
              <w:right w:val="nil"/>
            </w:tcBorders>
          </w:tcPr>
          <w:p w:rsidR="009543DB" w:rsidRDefault="009543DB" w:rsidP="009543DB">
            <w:pPr>
              <w:pStyle w:val="Tabletextheadingright"/>
            </w:pPr>
            <w:r>
              <w:t>74.2</w:t>
            </w:r>
          </w:p>
        </w:tc>
        <w:tc>
          <w:tcPr>
            <w:tcW w:w="957" w:type="dxa"/>
            <w:tcBorders>
              <w:top w:val="nil"/>
              <w:left w:val="nil"/>
              <w:bottom w:val="single" w:sz="4" w:space="0" w:color="auto"/>
              <w:right w:val="nil"/>
            </w:tcBorders>
          </w:tcPr>
          <w:p w:rsidR="009543DB" w:rsidRDefault="009543DB" w:rsidP="009543DB">
            <w:pPr>
              <w:pStyle w:val="Tabletextheadingright"/>
            </w:pPr>
            <w:r>
              <w:t>108.3</w:t>
            </w:r>
          </w:p>
        </w:tc>
      </w:tr>
      <w:tr w:rsidR="009543DB" w:rsidTr="009543DB">
        <w:tc>
          <w:tcPr>
            <w:tcW w:w="1951" w:type="dxa"/>
            <w:vMerge w:val="restart"/>
            <w:tcBorders>
              <w:left w:val="nil"/>
              <w:right w:val="nil"/>
            </w:tcBorders>
          </w:tcPr>
          <w:p w:rsidR="009543DB" w:rsidRDefault="009543DB" w:rsidP="009543DB">
            <w:pPr>
              <w:pStyle w:val="Tabletextheading"/>
            </w:pPr>
            <w:r>
              <w:t>Property, plant and equipment</w:t>
            </w:r>
            <w:r>
              <w:br/>
              <w:t>($million)</w:t>
            </w:r>
          </w:p>
        </w:tc>
        <w:tc>
          <w:tcPr>
            <w:tcW w:w="1560" w:type="dxa"/>
            <w:tcBorders>
              <w:left w:val="nil"/>
              <w:bottom w:val="nil"/>
              <w:right w:val="nil"/>
            </w:tcBorders>
          </w:tcPr>
          <w:p w:rsidR="009543DB" w:rsidRDefault="009543DB" w:rsidP="009543DB">
            <w:pPr>
              <w:pStyle w:val="Tabletextleft"/>
            </w:pPr>
            <w:r>
              <w:t>Aeronautical</w:t>
            </w:r>
          </w:p>
        </w:tc>
        <w:tc>
          <w:tcPr>
            <w:tcW w:w="956" w:type="dxa"/>
            <w:tcBorders>
              <w:left w:val="nil"/>
              <w:bottom w:val="nil"/>
              <w:right w:val="nil"/>
            </w:tcBorders>
          </w:tcPr>
          <w:p w:rsidR="009543DB" w:rsidRDefault="009543DB" w:rsidP="009543DB">
            <w:pPr>
              <w:pStyle w:val="Tabletextright"/>
            </w:pPr>
            <w:r>
              <w:t>554.4</w:t>
            </w:r>
          </w:p>
        </w:tc>
        <w:tc>
          <w:tcPr>
            <w:tcW w:w="956" w:type="dxa"/>
            <w:tcBorders>
              <w:left w:val="nil"/>
              <w:bottom w:val="nil"/>
              <w:right w:val="nil"/>
            </w:tcBorders>
          </w:tcPr>
          <w:p w:rsidR="009543DB" w:rsidRDefault="009543DB" w:rsidP="009543DB">
            <w:pPr>
              <w:pStyle w:val="Tabletextright"/>
            </w:pPr>
            <w:r>
              <w:t>568.1</w:t>
            </w:r>
          </w:p>
        </w:tc>
        <w:tc>
          <w:tcPr>
            <w:tcW w:w="957" w:type="dxa"/>
            <w:tcBorders>
              <w:left w:val="nil"/>
              <w:bottom w:val="nil"/>
              <w:right w:val="nil"/>
            </w:tcBorders>
          </w:tcPr>
          <w:p w:rsidR="009543DB" w:rsidRDefault="009543DB" w:rsidP="009543DB">
            <w:pPr>
              <w:pStyle w:val="Tabletextright"/>
            </w:pPr>
            <w:r>
              <w:t>601.7</w:t>
            </w:r>
          </w:p>
        </w:tc>
        <w:tc>
          <w:tcPr>
            <w:tcW w:w="956" w:type="dxa"/>
            <w:tcBorders>
              <w:left w:val="nil"/>
              <w:bottom w:val="nil"/>
              <w:right w:val="nil"/>
            </w:tcBorders>
          </w:tcPr>
          <w:p w:rsidR="009543DB" w:rsidRDefault="009543DB" w:rsidP="009543DB">
            <w:pPr>
              <w:pStyle w:val="Tabletextright"/>
            </w:pPr>
            <w:r>
              <w:t>650.2</w:t>
            </w:r>
          </w:p>
        </w:tc>
        <w:tc>
          <w:tcPr>
            <w:tcW w:w="957" w:type="dxa"/>
            <w:tcBorders>
              <w:left w:val="nil"/>
              <w:bottom w:val="nil"/>
              <w:right w:val="nil"/>
            </w:tcBorders>
          </w:tcPr>
          <w:p w:rsidR="009543DB" w:rsidRDefault="009543DB" w:rsidP="009543DB">
            <w:pPr>
              <w:pStyle w:val="Tabletextright"/>
            </w:pPr>
            <w:r>
              <w:t>788.4</w:t>
            </w:r>
          </w:p>
        </w:tc>
        <w:tc>
          <w:tcPr>
            <w:tcW w:w="956" w:type="dxa"/>
            <w:tcBorders>
              <w:left w:val="nil"/>
              <w:bottom w:val="nil"/>
              <w:right w:val="nil"/>
            </w:tcBorders>
          </w:tcPr>
          <w:p w:rsidR="009543DB" w:rsidRDefault="009543DB" w:rsidP="009543DB">
            <w:pPr>
              <w:pStyle w:val="Tabletextright"/>
            </w:pPr>
            <w:r>
              <w:t>885.8</w:t>
            </w:r>
          </w:p>
        </w:tc>
        <w:tc>
          <w:tcPr>
            <w:tcW w:w="957" w:type="dxa"/>
            <w:tcBorders>
              <w:left w:val="nil"/>
              <w:bottom w:val="nil"/>
              <w:right w:val="nil"/>
            </w:tcBorders>
          </w:tcPr>
          <w:p w:rsidR="009543DB" w:rsidRDefault="009543DB" w:rsidP="009543DB">
            <w:pPr>
              <w:pStyle w:val="Tabletextright"/>
            </w:pPr>
            <w:r>
              <w:t>931.3</w:t>
            </w:r>
          </w:p>
        </w:tc>
        <w:tc>
          <w:tcPr>
            <w:tcW w:w="956" w:type="dxa"/>
            <w:tcBorders>
              <w:left w:val="nil"/>
              <w:bottom w:val="nil"/>
              <w:right w:val="nil"/>
            </w:tcBorders>
          </w:tcPr>
          <w:p w:rsidR="009543DB" w:rsidRDefault="009543DB" w:rsidP="009543DB">
            <w:pPr>
              <w:pStyle w:val="Tabletextright"/>
            </w:pPr>
            <w:r>
              <w:t>1 027.0</w:t>
            </w:r>
          </w:p>
        </w:tc>
        <w:tc>
          <w:tcPr>
            <w:tcW w:w="957" w:type="dxa"/>
            <w:tcBorders>
              <w:left w:val="nil"/>
              <w:bottom w:val="nil"/>
              <w:right w:val="nil"/>
            </w:tcBorders>
          </w:tcPr>
          <w:p w:rsidR="009543DB" w:rsidRDefault="009543DB" w:rsidP="009543DB">
            <w:pPr>
              <w:pStyle w:val="Tabletextright"/>
            </w:pPr>
            <w:r>
              <w:t>1 109.4</w:t>
            </w:r>
          </w:p>
        </w:tc>
        <w:tc>
          <w:tcPr>
            <w:tcW w:w="956" w:type="dxa"/>
            <w:tcBorders>
              <w:left w:val="nil"/>
              <w:bottom w:val="nil"/>
              <w:right w:val="nil"/>
            </w:tcBorders>
          </w:tcPr>
          <w:p w:rsidR="009543DB" w:rsidRDefault="009543DB" w:rsidP="009543DB">
            <w:pPr>
              <w:pStyle w:val="Tabletextright"/>
            </w:pPr>
            <w:r>
              <w:t>1 351.3</w:t>
            </w:r>
          </w:p>
        </w:tc>
        <w:tc>
          <w:tcPr>
            <w:tcW w:w="957" w:type="dxa"/>
            <w:tcBorders>
              <w:left w:val="nil"/>
              <w:bottom w:val="nil"/>
              <w:right w:val="nil"/>
            </w:tcBorders>
          </w:tcPr>
          <w:p w:rsidR="009543DB" w:rsidRDefault="009543DB" w:rsidP="009543DB">
            <w:pPr>
              <w:pStyle w:val="Tabletextright"/>
            </w:pPr>
            <w:r>
              <w:t>1 745.4</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vAlign w:val="center"/>
          </w:tcPr>
          <w:p w:rsidR="009543DB" w:rsidRDefault="009543DB" w:rsidP="009543DB">
            <w:pPr>
              <w:pStyle w:val="Tabletextleft-centred"/>
            </w:pPr>
            <w:r>
              <w:t>Total airport</w:t>
            </w:r>
          </w:p>
        </w:tc>
        <w:tc>
          <w:tcPr>
            <w:tcW w:w="956" w:type="dxa"/>
            <w:tcBorders>
              <w:top w:val="nil"/>
              <w:left w:val="nil"/>
              <w:bottom w:val="single" w:sz="4" w:space="0" w:color="auto"/>
              <w:right w:val="nil"/>
            </w:tcBorders>
            <w:vAlign w:val="center"/>
          </w:tcPr>
          <w:p w:rsidR="009543DB" w:rsidRPr="00BE625C" w:rsidRDefault="009543DB" w:rsidP="009543DB">
            <w:pPr>
              <w:pStyle w:val="Tabletextright-centred"/>
            </w:pPr>
            <w:r>
              <w:t>931.6</w:t>
            </w:r>
          </w:p>
        </w:tc>
        <w:tc>
          <w:tcPr>
            <w:tcW w:w="956" w:type="dxa"/>
            <w:tcBorders>
              <w:top w:val="nil"/>
              <w:left w:val="nil"/>
              <w:bottom w:val="single" w:sz="4" w:space="0" w:color="auto"/>
              <w:right w:val="nil"/>
            </w:tcBorders>
            <w:vAlign w:val="center"/>
          </w:tcPr>
          <w:p w:rsidR="009543DB" w:rsidRPr="00BE625C" w:rsidRDefault="009543DB" w:rsidP="009543DB">
            <w:pPr>
              <w:pStyle w:val="Tabletextright-centred"/>
            </w:pPr>
            <w:r>
              <w:t>959.1</w:t>
            </w:r>
          </w:p>
        </w:tc>
        <w:tc>
          <w:tcPr>
            <w:tcW w:w="957" w:type="dxa"/>
            <w:tcBorders>
              <w:top w:val="nil"/>
              <w:left w:val="nil"/>
              <w:bottom w:val="single" w:sz="4" w:space="0" w:color="auto"/>
              <w:right w:val="nil"/>
            </w:tcBorders>
            <w:vAlign w:val="center"/>
          </w:tcPr>
          <w:p w:rsidR="009543DB" w:rsidRPr="00BE625C" w:rsidRDefault="009543DB" w:rsidP="009543DB">
            <w:pPr>
              <w:pStyle w:val="Tabletextright-centred"/>
            </w:pPr>
            <w:r>
              <w:t>893.9</w:t>
            </w:r>
          </w:p>
        </w:tc>
        <w:tc>
          <w:tcPr>
            <w:tcW w:w="956" w:type="dxa"/>
            <w:tcBorders>
              <w:top w:val="nil"/>
              <w:left w:val="nil"/>
              <w:bottom w:val="single" w:sz="4" w:space="0" w:color="auto"/>
              <w:right w:val="nil"/>
            </w:tcBorders>
            <w:vAlign w:val="center"/>
          </w:tcPr>
          <w:p w:rsidR="009543DB" w:rsidRPr="00BE625C" w:rsidRDefault="009543DB" w:rsidP="009543DB">
            <w:pPr>
              <w:pStyle w:val="Tabletextright-centred"/>
            </w:pPr>
            <w:r>
              <w:t>986.0</w:t>
            </w:r>
          </w:p>
        </w:tc>
        <w:tc>
          <w:tcPr>
            <w:tcW w:w="957" w:type="dxa"/>
            <w:tcBorders>
              <w:top w:val="nil"/>
              <w:left w:val="nil"/>
              <w:bottom w:val="single" w:sz="4" w:space="0" w:color="auto"/>
              <w:right w:val="nil"/>
            </w:tcBorders>
            <w:vAlign w:val="center"/>
          </w:tcPr>
          <w:p w:rsidR="009543DB" w:rsidRPr="00BE625C" w:rsidRDefault="009543DB" w:rsidP="009543DB">
            <w:pPr>
              <w:pStyle w:val="Tabletextright-centred"/>
            </w:pPr>
            <w:r>
              <w:t>1 142.1</w:t>
            </w:r>
          </w:p>
        </w:tc>
        <w:tc>
          <w:tcPr>
            <w:tcW w:w="956" w:type="dxa"/>
            <w:tcBorders>
              <w:top w:val="nil"/>
              <w:left w:val="nil"/>
              <w:bottom w:val="single" w:sz="4" w:space="0" w:color="auto"/>
              <w:right w:val="nil"/>
            </w:tcBorders>
            <w:vAlign w:val="center"/>
          </w:tcPr>
          <w:p w:rsidR="009543DB" w:rsidRPr="00BE625C" w:rsidRDefault="009543DB" w:rsidP="009543DB">
            <w:pPr>
              <w:pStyle w:val="Tabletextright-centred"/>
            </w:pPr>
            <w:r>
              <w:t>1 235.5</w:t>
            </w:r>
          </w:p>
        </w:tc>
        <w:tc>
          <w:tcPr>
            <w:tcW w:w="957" w:type="dxa"/>
            <w:tcBorders>
              <w:top w:val="nil"/>
              <w:left w:val="nil"/>
              <w:bottom w:val="single" w:sz="4" w:space="0" w:color="auto"/>
              <w:right w:val="nil"/>
            </w:tcBorders>
            <w:vAlign w:val="center"/>
          </w:tcPr>
          <w:p w:rsidR="009543DB" w:rsidRPr="00BE625C" w:rsidRDefault="009543DB" w:rsidP="009543DB">
            <w:pPr>
              <w:pStyle w:val="Tabletextright-centred"/>
            </w:pPr>
            <w:r>
              <w:t>1 293.8</w:t>
            </w:r>
          </w:p>
        </w:tc>
        <w:tc>
          <w:tcPr>
            <w:tcW w:w="956" w:type="dxa"/>
            <w:tcBorders>
              <w:top w:val="nil"/>
              <w:left w:val="nil"/>
              <w:bottom w:val="single" w:sz="4" w:space="0" w:color="auto"/>
              <w:right w:val="nil"/>
            </w:tcBorders>
            <w:vAlign w:val="center"/>
          </w:tcPr>
          <w:p w:rsidR="009543DB" w:rsidRPr="00BE625C" w:rsidRDefault="009543DB" w:rsidP="009543DB">
            <w:pPr>
              <w:pStyle w:val="Tabletextright-centred"/>
            </w:pPr>
            <w:r>
              <w:t>1 377.1</w:t>
            </w:r>
          </w:p>
        </w:tc>
        <w:tc>
          <w:tcPr>
            <w:tcW w:w="957" w:type="dxa"/>
            <w:tcBorders>
              <w:top w:val="nil"/>
              <w:left w:val="nil"/>
              <w:bottom w:val="single" w:sz="4" w:space="0" w:color="auto"/>
              <w:right w:val="nil"/>
            </w:tcBorders>
            <w:vAlign w:val="center"/>
          </w:tcPr>
          <w:p w:rsidR="009543DB" w:rsidRPr="00BE625C" w:rsidRDefault="009543DB" w:rsidP="009543DB">
            <w:pPr>
              <w:pStyle w:val="Tabletextright-centred"/>
            </w:pPr>
            <w:r>
              <w:t>1 495.7</w:t>
            </w:r>
          </w:p>
        </w:tc>
        <w:tc>
          <w:tcPr>
            <w:tcW w:w="956" w:type="dxa"/>
            <w:tcBorders>
              <w:top w:val="nil"/>
              <w:left w:val="nil"/>
              <w:bottom w:val="single" w:sz="4" w:space="0" w:color="auto"/>
              <w:right w:val="nil"/>
            </w:tcBorders>
            <w:vAlign w:val="center"/>
          </w:tcPr>
          <w:p w:rsidR="009543DB" w:rsidRPr="00BE625C" w:rsidRDefault="009543DB" w:rsidP="009543DB">
            <w:pPr>
              <w:pStyle w:val="Tabletextright-centred"/>
            </w:pPr>
            <w:r>
              <w:t>1 821.8</w:t>
            </w:r>
          </w:p>
        </w:tc>
        <w:tc>
          <w:tcPr>
            <w:tcW w:w="957" w:type="dxa"/>
            <w:tcBorders>
              <w:top w:val="nil"/>
              <w:left w:val="nil"/>
              <w:bottom w:val="single" w:sz="4" w:space="0" w:color="auto"/>
              <w:right w:val="nil"/>
            </w:tcBorders>
            <w:vAlign w:val="center"/>
          </w:tcPr>
          <w:p w:rsidR="009543DB" w:rsidRPr="00BE625C" w:rsidRDefault="009543DB" w:rsidP="009543DB">
            <w:pPr>
              <w:pStyle w:val="Tabletextright-centred"/>
            </w:pPr>
            <w:r>
              <w:t>2 388.2</w:t>
            </w:r>
          </w:p>
        </w:tc>
      </w:tr>
      <w:tr w:rsidR="009543DB" w:rsidTr="009543DB">
        <w:tc>
          <w:tcPr>
            <w:tcW w:w="1951" w:type="dxa"/>
            <w:vMerge w:val="restart"/>
            <w:tcBorders>
              <w:left w:val="nil"/>
              <w:right w:val="nil"/>
            </w:tcBorders>
          </w:tcPr>
          <w:p w:rsidR="009543DB" w:rsidRDefault="009543DB" w:rsidP="009543DB">
            <w:pPr>
              <w:pStyle w:val="Tabletextheading"/>
            </w:pPr>
            <w:r>
              <w:t>Intangibles</w:t>
            </w:r>
            <w:r>
              <w:br/>
              <w:t>($million)</w:t>
            </w:r>
          </w:p>
        </w:tc>
        <w:tc>
          <w:tcPr>
            <w:tcW w:w="1560" w:type="dxa"/>
            <w:tcBorders>
              <w:left w:val="nil"/>
              <w:bottom w:val="nil"/>
              <w:right w:val="nil"/>
            </w:tcBorders>
          </w:tcPr>
          <w:p w:rsidR="009543DB" w:rsidRDefault="009543DB" w:rsidP="009543DB">
            <w:pPr>
              <w:pStyle w:val="Tabletextleft"/>
            </w:pPr>
            <w:r>
              <w:t>Aeronautical</w:t>
            </w:r>
          </w:p>
        </w:tc>
        <w:tc>
          <w:tcPr>
            <w:tcW w:w="956"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tcPr>
          <w:p w:rsidR="009543DB" w:rsidRDefault="009543DB" w:rsidP="009543DB">
            <w:pPr>
              <w:pStyle w:val="Tabletextheading"/>
            </w:pPr>
            <w:r>
              <w:t>Total airport</w:t>
            </w:r>
          </w:p>
        </w:tc>
        <w:tc>
          <w:tcPr>
            <w:tcW w:w="956" w:type="dxa"/>
            <w:tcBorders>
              <w:top w:val="nil"/>
              <w:left w:val="nil"/>
              <w:bottom w:val="single" w:sz="4" w:space="0" w:color="auto"/>
              <w:right w:val="nil"/>
            </w:tcBorders>
          </w:tcPr>
          <w:p w:rsidR="009543DB" w:rsidRDefault="009543DB" w:rsidP="009543DB">
            <w:pPr>
              <w:pStyle w:val="Tabletextheadingright"/>
            </w:pPr>
            <w:r>
              <w:t>753.1</w:t>
            </w:r>
          </w:p>
        </w:tc>
        <w:tc>
          <w:tcPr>
            <w:tcW w:w="956" w:type="dxa"/>
            <w:tcBorders>
              <w:top w:val="nil"/>
              <w:left w:val="nil"/>
              <w:bottom w:val="single" w:sz="4" w:space="0" w:color="auto"/>
              <w:right w:val="nil"/>
            </w:tcBorders>
          </w:tcPr>
          <w:p w:rsidR="009543DB" w:rsidRDefault="009543DB" w:rsidP="009543DB">
            <w:pPr>
              <w:pStyle w:val="Tabletextheadingright"/>
            </w:pPr>
            <w:r>
              <w:t>880.1</w:t>
            </w:r>
          </w:p>
        </w:tc>
        <w:tc>
          <w:tcPr>
            <w:tcW w:w="957" w:type="dxa"/>
            <w:tcBorders>
              <w:top w:val="nil"/>
              <w:left w:val="nil"/>
              <w:bottom w:val="single" w:sz="4" w:space="0" w:color="auto"/>
              <w:right w:val="nil"/>
            </w:tcBorders>
          </w:tcPr>
          <w:p w:rsidR="009543DB" w:rsidRDefault="009543DB" w:rsidP="009543DB">
            <w:pPr>
              <w:pStyle w:val="Tabletextheadingright"/>
            </w:pPr>
            <w:r>
              <w:t>820.8</w:t>
            </w:r>
          </w:p>
        </w:tc>
        <w:tc>
          <w:tcPr>
            <w:tcW w:w="956" w:type="dxa"/>
            <w:tcBorders>
              <w:top w:val="nil"/>
              <w:left w:val="nil"/>
              <w:bottom w:val="single" w:sz="4" w:space="0" w:color="auto"/>
              <w:right w:val="nil"/>
            </w:tcBorders>
          </w:tcPr>
          <w:p w:rsidR="009543DB" w:rsidRDefault="009543DB" w:rsidP="009543DB">
            <w:pPr>
              <w:pStyle w:val="Tabletextheadingright"/>
            </w:pPr>
            <w:r>
              <w:t>794.1</w:t>
            </w:r>
          </w:p>
        </w:tc>
        <w:tc>
          <w:tcPr>
            <w:tcW w:w="957" w:type="dxa"/>
            <w:tcBorders>
              <w:top w:val="nil"/>
              <w:left w:val="nil"/>
              <w:bottom w:val="single" w:sz="4" w:space="0" w:color="auto"/>
              <w:right w:val="nil"/>
            </w:tcBorders>
          </w:tcPr>
          <w:p w:rsidR="009543DB" w:rsidRDefault="009543DB" w:rsidP="009543DB">
            <w:pPr>
              <w:pStyle w:val="Tabletextheadingright"/>
            </w:pPr>
            <w:r>
              <w:t>770.1</w:t>
            </w:r>
          </w:p>
        </w:tc>
        <w:tc>
          <w:tcPr>
            <w:tcW w:w="956" w:type="dxa"/>
            <w:tcBorders>
              <w:top w:val="nil"/>
              <w:left w:val="nil"/>
              <w:bottom w:val="single" w:sz="4" w:space="0" w:color="auto"/>
              <w:right w:val="nil"/>
            </w:tcBorders>
          </w:tcPr>
          <w:p w:rsidR="009543DB" w:rsidRDefault="009543DB" w:rsidP="009543DB">
            <w:pPr>
              <w:pStyle w:val="Tabletextheadingright"/>
            </w:pPr>
            <w:r>
              <w:t>752.6</w:t>
            </w:r>
          </w:p>
        </w:tc>
        <w:tc>
          <w:tcPr>
            <w:tcW w:w="957" w:type="dxa"/>
            <w:tcBorders>
              <w:top w:val="nil"/>
              <w:left w:val="nil"/>
              <w:bottom w:val="single" w:sz="4" w:space="0" w:color="auto"/>
              <w:right w:val="nil"/>
            </w:tcBorders>
          </w:tcPr>
          <w:p w:rsidR="009543DB" w:rsidRDefault="009543DB" w:rsidP="009543DB">
            <w:pPr>
              <w:pStyle w:val="Tabletextheadingright"/>
            </w:pPr>
            <w:r>
              <w:t>729.9</w:t>
            </w:r>
          </w:p>
        </w:tc>
        <w:tc>
          <w:tcPr>
            <w:tcW w:w="956" w:type="dxa"/>
            <w:tcBorders>
              <w:top w:val="nil"/>
              <w:left w:val="nil"/>
              <w:bottom w:val="single" w:sz="4" w:space="0" w:color="auto"/>
              <w:right w:val="nil"/>
            </w:tcBorders>
          </w:tcPr>
          <w:p w:rsidR="009543DB" w:rsidRDefault="009543DB" w:rsidP="009543DB">
            <w:pPr>
              <w:pStyle w:val="Tabletextheadingright"/>
            </w:pPr>
            <w:r>
              <w:t>713.4</w:t>
            </w:r>
          </w:p>
        </w:tc>
        <w:tc>
          <w:tcPr>
            <w:tcW w:w="957" w:type="dxa"/>
            <w:tcBorders>
              <w:top w:val="nil"/>
              <w:left w:val="nil"/>
              <w:bottom w:val="single" w:sz="4" w:space="0" w:color="auto"/>
              <w:right w:val="nil"/>
            </w:tcBorders>
          </w:tcPr>
          <w:p w:rsidR="009543DB" w:rsidRDefault="009543DB" w:rsidP="009543DB">
            <w:pPr>
              <w:pStyle w:val="Tabletextheadingright"/>
            </w:pPr>
            <w:r>
              <w:t>697.6</w:t>
            </w:r>
          </w:p>
        </w:tc>
        <w:tc>
          <w:tcPr>
            <w:tcW w:w="956" w:type="dxa"/>
            <w:tcBorders>
              <w:top w:val="nil"/>
              <w:left w:val="nil"/>
              <w:bottom w:val="single" w:sz="4" w:space="0" w:color="auto"/>
              <w:right w:val="nil"/>
            </w:tcBorders>
          </w:tcPr>
          <w:p w:rsidR="009543DB" w:rsidRDefault="009543DB" w:rsidP="009543DB">
            <w:pPr>
              <w:pStyle w:val="Tabletextheadingright"/>
            </w:pPr>
            <w:r>
              <w:t>681.0</w:t>
            </w:r>
          </w:p>
        </w:tc>
        <w:tc>
          <w:tcPr>
            <w:tcW w:w="957" w:type="dxa"/>
            <w:tcBorders>
              <w:top w:val="nil"/>
              <w:left w:val="nil"/>
              <w:bottom w:val="single" w:sz="4" w:space="0" w:color="auto"/>
              <w:right w:val="nil"/>
            </w:tcBorders>
          </w:tcPr>
          <w:p w:rsidR="009543DB" w:rsidRDefault="009543DB" w:rsidP="009543DB">
            <w:pPr>
              <w:pStyle w:val="Tabletextheadingright"/>
            </w:pPr>
            <w:r>
              <w:t>669.1</w:t>
            </w:r>
          </w:p>
        </w:tc>
      </w:tr>
      <w:tr w:rsidR="009543DB" w:rsidTr="009543DB">
        <w:tc>
          <w:tcPr>
            <w:tcW w:w="1951" w:type="dxa"/>
            <w:vMerge w:val="restart"/>
            <w:tcBorders>
              <w:left w:val="nil"/>
              <w:right w:val="nil"/>
            </w:tcBorders>
          </w:tcPr>
          <w:p w:rsidR="009543DB" w:rsidRDefault="009543DB" w:rsidP="009543DB">
            <w:pPr>
              <w:pStyle w:val="Tabletextheading"/>
            </w:pPr>
            <w:r>
              <w:t>Other tangible non</w:t>
            </w:r>
            <w:r>
              <w:noBreakHyphen/>
              <w:t>current assets</w:t>
            </w:r>
            <w:r>
              <w:br/>
              <w:t>($million)</w:t>
            </w:r>
          </w:p>
        </w:tc>
        <w:tc>
          <w:tcPr>
            <w:tcW w:w="1560" w:type="dxa"/>
            <w:tcBorders>
              <w:left w:val="nil"/>
              <w:bottom w:val="nil"/>
              <w:right w:val="nil"/>
            </w:tcBorders>
          </w:tcPr>
          <w:p w:rsidR="009543DB" w:rsidRDefault="009543DB" w:rsidP="009543DB">
            <w:pPr>
              <w:pStyle w:val="Tabletextleft"/>
            </w:pPr>
            <w:r>
              <w:t>Aeronautical</w:t>
            </w:r>
          </w:p>
        </w:tc>
        <w:tc>
          <w:tcPr>
            <w:tcW w:w="956"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c>
          <w:tcPr>
            <w:tcW w:w="956" w:type="dxa"/>
            <w:tcBorders>
              <w:left w:val="nil"/>
              <w:bottom w:val="nil"/>
              <w:right w:val="nil"/>
            </w:tcBorders>
          </w:tcPr>
          <w:p w:rsidR="009543DB" w:rsidRDefault="009543DB" w:rsidP="009543DB">
            <w:pPr>
              <w:pStyle w:val="Tabletextright"/>
            </w:pPr>
            <w:r>
              <w:t>0.0</w:t>
            </w:r>
          </w:p>
        </w:tc>
        <w:tc>
          <w:tcPr>
            <w:tcW w:w="957" w:type="dxa"/>
            <w:tcBorders>
              <w:left w:val="nil"/>
              <w:bottom w:val="nil"/>
              <w:right w:val="nil"/>
            </w:tcBorders>
          </w:tcPr>
          <w:p w:rsidR="009543DB" w:rsidRDefault="009543DB" w:rsidP="009543DB">
            <w:pPr>
              <w:pStyle w:val="Tabletextright"/>
            </w:pPr>
            <w:r>
              <w:t>0.0</w:t>
            </w:r>
          </w:p>
        </w:tc>
      </w:tr>
      <w:tr w:rsidR="009543DB" w:rsidTr="009543DB">
        <w:tc>
          <w:tcPr>
            <w:tcW w:w="1951" w:type="dxa"/>
            <w:vMerge/>
            <w:tcBorders>
              <w:left w:val="nil"/>
              <w:bottom w:val="double" w:sz="4" w:space="0" w:color="auto"/>
              <w:right w:val="nil"/>
            </w:tcBorders>
          </w:tcPr>
          <w:p w:rsidR="009543DB" w:rsidRDefault="009543DB" w:rsidP="009543DB">
            <w:pPr>
              <w:pStyle w:val="Tabletextheading"/>
            </w:pPr>
          </w:p>
        </w:tc>
        <w:tc>
          <w:tcPr>
            <w:tcW w:w="1560" w:type="dxa"/>
            <w:tcBorders>
              <w:top w:val="nil"/>
              <w:left w:val="nil"/>
              <w:bottom w:val="double" w:sz="4" w:space="0" w:color="auto"/>
              <w:right w:val="nil"/>
            </w:tcBorders>
            <w:vAlign w:val="center"/>
          </w:tcPr>
          <w:p w:rsidR="009543DB" w:rsidRDefault="009543DB" w:rsidP="009543DB">
            <w:pPr>
              <w:pStyle w:val="Tabletextleft-centred"/>
            </w:pPr>
            <w:r>
              <w:t>Total airport</w:t>
            </w:r>
          </w:p>
        </w:tc>
        <w:tc>
          <w:tcPr>
            <w:tcW w:w="956" w:type="dxa"/>
            <w:tcBorders>
              <w:top w:val="nil"/>
              <w:left w:val="nil"/>
              <w:bottom w:val="double" w:sz="4" w:space="0" w:color="auto"/>
              <w:right w:val="nil"/>
            </w:tcBorders>
            <w:vAlign w:val="center"/>
          </w:tcPr>
          <w:p w:rsidR="009543DB" w:rsidRDefault="009543DB" w:rsidP="009543DB">
            <w:pPr>
              <w:pStyle w:val="Tabletextright-centred"/>
            </w:pPr>
            <w:r>
              <w:t>0.0</w:t>
            </w:r>
          </w:p>
        </w:tc>
        <w:tc>
          <w:tcPr>
            <w:tcW w:w="956" w:type="dxa"/>
            <w:tcBorders>
              <w:top w:val="nil"/>
              <w:left w:val="nil"/>
              <w:bottom w:val="double" w:sz="4" w:space="0" w:color="auto"/>
              <w:right w:val="nil"/>
            </w:tcBorders>
            <w:vAlign w:val="center"/>
          </w:tcPr>
          <w:p w:rsidR="009543DB" w:rsidRDefault="009543DB" w:rsidP="009543DB">
            <w:pPr>
              <w:pStyle w:val="Tabletextright-centred"/>
            </w:pPr>
            <w:r>
              <w:t>4.5</w:t>
            </w:r>
          </w:p>
        </w:tc>
        <w:tc>
          <w:tcPr>
            <w:tcW w:w="957" w:type="dxa"/>
            <w:tcBorders>
              <w:top w:val="nil"/>
              <w:left w:val="nil"/>
              <w:bottom w:val="double" w:sz="4" w:space="0" w:color="auto"/>
              <w:right w:val="nil"/>
            </w:tcBorders>
            <w:vAlign w:val="center"/>
          </w:tcPr>
          <w:p w:rsidR="009543DB" w:rsidRDefault="009543DB" w:rsidP="009543DB">
            <w:pPr>
              <w:pStyle w:val="Tabletextright-centred"/>
            </w:pPr>
            <w:r>
              <w:t>1.5</w:t>
            </w:r>
          </w:p>
        </w:tc>
        <w:tc>
          <w:tcPr>
            <w:tcW w:w="956" w:type="dxa"/>
            <w:tcBorders>
              <w:top w:val="nil"/>
              <w:left w:val="nil"/>
              <w:bottom w:val="double" w:sz="4" w:space="0" w:color="auto"/>
              <w:right w:val="nil"/>
            </w:tcBorders>
            <w:vAlign w:val="center"/>
          </w:tcPr>
          <w:p w:rsidR="009543DB" w:rsidRDefault="009543DB" w:rsidP="009543DB">
            <w:pPr>
              <w:pStyle w:val="Tabletextright-centred"/>
            </w:pPr>
            <w:r>
              <w:t>17.1</w:t>
            </w:r>
          </w:p>
        </w:tc>
        <w:tc>
          <w:tcPr>
            <w:tcW w:w="957" w:type="dxa"/>
            <w:tcBorders>
              <w:top w:val="nil"/>
              <w:left w:val="nil"/>
              <w:bottom w:val="double" w:sz="4" w:space="0" w:color="auto"/>
              <w:right w:val="nil"/>
            </w:tcBorders>
            <w:vAlign w:val="center"/>
          </w:tcPr>
          <w:p w:rsidR="009543DB" w:rsidRDefault="009543DB" w:rsidP="009543DB">
            <w:pPr>
              <w:pStyle w:val="Tabletextright-centred"/>
            </w:pPr>
            <w:r>
              <w:t>0.0</w:t>
            </w:r>
          </w:p>
        </w:tc>
        <w:tc>
          <w:tcPr>
            <w:tcW w:w="956" w:type="dxa"/>
            <w:tcBorders>
              <w:top w:val="nil"/>
              <w:left w:val="nil"/>
              <w:bottom w:val="double" w:sz="4" w:space="0" w:color="auto"/>
              <w:right w:val="nil"/>
            </w:tcBorders>
            <w:vAlign w:val="center"/>
          </w:tcPr>
          <w:p w:rsidR="009543DB" w:rsidRDefault="009543DB" w:rsidP="009543DB">
            <w:pPr>
              <w:pStyle w:val="Tabletextright-centred"/>
            </w:pPr>
            <w:r>
              <w:t>0.0</w:t>
            </w:r>
          </w:p>
        </w:tc>
        <w:tc>
          <w:tcPr>
            <w:tcW w:w="957" w:type="dxa"/>
            <w:tcBorders>
              <w:top w:val="nil"/>
              <w:left w:val="nil"/>
              <w:bottom w:val="double" w:sz="4" w:space="0" w:color="auto"/>
              <w:right w:val="nil"/>
            </w:tcBorders>
            <w:vAlign w:val="center"/>
          </w:tcPr>
          <w:p w:rsidR="009543DB" w:rsidRDefault="009543DB" w:rsidP="009543DB">
            <w:pPr>
              <w:pStyle w:val="Tabletextright-centred"/>
            </w:pPr>
            <w:r>
              <w:t>0.0</w:t>
            </w:r>
          </w:p>
        </w:tc>
        <w:tc>
          <w:tcPr>
            <w:tcW w:w="956" w:type="dxa"/>
            <w:tcBorders>
              <w:top w:val="nil"/>
              <w:left w:val="nil"/>
              <w:bottom w:val="double" w:sz="4" w:space="0" w:color="auto"/>
              <w:right w:val="nil"/>
            </w:tcBorders>
            <w:vAlign w:val="center"/>
          </w:tcPr>
          <w:p w:rsidR="009543DB" w:rsidRDefault="009543DB" w:rsidP="009543DB">
            <w:pPr>
              <w:pStyle w:val="Tabletextright-centred"/>
            </w:pPr>
            <w:r>
              <w:t>7.9</w:t>
            </w:r>
          </w:p>
        </w:tc>
        <w:tc>
          <w:tcPr>
            <w:tcW w:w="957" w:type="dxa"/>
            <w:tcBorders>
              <w:top w:val="nil"/>
              <w:left w:val="nil"/>
              <w:bottom w:val="double" w:sz="4" w:space="0" w:color="auto"/>
              <w:right w:val="nil"/>
            </w:tcBorders>
            <w:vAlign w:val="center"/>
          </w:tcPr>
          <w:p w:rsidR="009543DB" w:rsidRDefault="009543DB" w:rsidP="009543DB">
            <w:pPr>
              <w:pStyle w:val="Tabletextright-centred"/>
            </w:pPr>
            <w:r>
              <w:t>47.2</w:t>
            </w:r>
          </w:p>
        </w:tc>
        <w:tc>
          <w:tcPr>
            <w:tcW w:w="956" w:type="dxa"/>
            <w:tcBorders>
              <w:top w:val="nil"/>
              <w:left w:val="nil"/>
              <w:bottom w:val="double" w:sz="4" w:space="0" w:color="auto"/>
              <w:right w:val="nil"/>
            </w:tcBorders>
            <w:vAlign w:val="center"/>
          </w:tcPr>
          <w:p w:rsidR="009543DB" w:rsidRDefault="009543DB" w:rsidP="009543DB">
            <w:pPr>
              <w:pStyle w:val="Tabletextright-centred"/>
            </w:pPr>
            <w:r>
              <w:t>108.0</w:t>
            </w:r>
          </w:p>
        </w:tc>
        <w:tc>
          <w:tcPr>
            <w:tcW w:w="957" w:type="dxa"/>
            <w:tcBorders>
              <w:top w:val="nil"/>
              <w:left w:val="nil"/>
              <w:bottom w:val="double" w:sz="4" w:space="0" w:color="auto"/>
              <w:right w:val="nil"/>
            </w:tcBorders>
            <w:vAlign w:val="center"/>
          </w:tcPr>
          <w:p w:rsidR="009543DB" w:rsidRDefault="009543DB" w:rsidP="009543DB">
            <w:pPr>
              <w:pStyle w:val="Tabletextright-centred"/>
            </w:pPr>
            <w:r>
              <w:t>259.7</w:t>
            </w:r>
          </w:p>
        </w:tc>
      </w:tr>
      <w:tr w:rsidR="009543DB" w:rsidTr="009543DB">
        <w:tc>
          <w:tcPr>
            <w:tcW w:w="1951" w:type="dxa"/>
            <w:vMerge w:val="restart"/>
            <w:tcBorders>
              <w:top w:val="double" w:sz="4" w:space="0" w:color="auto"/>
              <w:left w:val="nil"/>
              <w:right w:val="nil"/>
            </w:tcBorders>
          </w:tcPr>
          <w:p w:rsidR="009543DB" w:rsidRDefault="009543DB" w:rsidP="009543DB">
            <w:pPr>
              <w:pStyle w:val="Tabletextheading"/>
            </w:pPr>
            <w:r>
              <w:t>Total tangible non</w:t>
            </w:r>
            <w:r>
              <w:noBreakHyphen/>
              <w:t>current assets</w:t>
            </w:r>
            <w:r>
              <w:br/>
              <w:t>($million)</w:t>
            </w:r>
          </w:p>
        </w:tc>
        <w:tc>
          <w:tcPr>
            <w:tcW w:w="1560" w:type="dxa"/>
            <w:tcBorders>
              <w:top w:val="double" w:sz="4" w:space="0" w:color="auto"/>
              <w:left w:val="nil"/>
              <w:bottom w:val="nil"/>
              <w:right w:val="nil"/>
            </w:tcBorders>
          </w:tcPr>
          <w:p w:rsidR="009543DB" w:rsidRDefault="009543DB" w:rsidP="009543DB">
            <w:pPr>
              <w:pStyle w:val="Tabletextleft"/>
            </w:pPr>
            <w:r>
              <w:t>Aeronautical</w:t>
            </w:r>
          </w:p>
        </w:tc>
        <w:tc>
          <w:tcPr>
            <w:tcW w:w="956" w:type="dxa"/>
            <w:tcBorders>
              <w:top w:val="double" w:sz="4" w:space="0" w:color="auto"/>
              <w:left w:val="nil"/>
              <w:bottom w:val="nil"/>
              <w:right w:val="nil"/>
            </w:tcBorders>
          </w:tcPr>
          <w:p w:rsidR="009543DB" w:rsidRDefault="009543DB" w:rsidP="009543DB">
            <w:pPr>
              <w:pStyle w:val="Tabletextright"/>
            </w:pPr>
            <w:r>
              <w:t>618.6</w:t>
            </w:r>
          </w:p>
        </w:tc>
        <w:tc>
          <w:tcPr>
            <w:tcW w:w="956" w:type="dxa"/>
            <w:tcBorders>
              <w:top w:val="double" w:sz="4" w:space="0" w:color="auto"/>
              <w:left w:val="nil"/>
              <w:bottom w:val="nil"/>
              <w:right w:val="nil"/>
            </w:tcBorders>
          </w:tcPr>
          <w:p w:rsidR="009543DB" w:rsidRDefault="009543DB" w:rsidP="009543DB">
            <w:pPr>
              <w:pStyle w:val="Tabletextright"/>
            </w:pPr>
            <w:r>
              <w:t>629.7</w:t>
            </w:r>
          </w:p>
        </w:tc>
        <w:tc>
          <w:tcPr>
            <w:tcW w:w="957" w:type="dxa"/>
            <w:tcBorders>
              <w:top w:val="double" w:sz="4" w:space="0" w:color="auto"/>
              <w:left w:val="nil"/>
              <w:bottom w:val="nil"/>
              <w:right w:val="nil"/>
            </w:tcBorders>
          </w:tcPr>
          <w:p w:rsidR="009543DB" w:rsidRDefault="009543DB" w:rsidP="009543DB">
            <w:pPr>
              <w:pStyle w:val="Tabletextright"/>
            </w:pPr>
            <w:r>
              <w:t>659.2</w:t>
            </w:r>
          </w:p>
        </w:tc>
        <w:tc>
          <w:tcPr>
            <w:tcW w:w="956" w:type="dxa"/>
            <w:tcBorders>
              <w:top w:val="double" w:sz="4" w:space="0" w:color="auto"/>
              <w:left w:val="nil"/>
              <w:bottom w:val="nil"/>
              <w:right w:val="nil"/>
            </w:tcBorders>
          </w:tcPr>
          <w:p w:rsidR="009543DB" w:rsidRDefault="009543DB" w:rsidP="009543DB">
            <w:pPr>
              <w:pStyle w:val="Tabletextright"/>
            </w:pPr>
            <w:r>
              <w:t>705.2</w:t>
            </w:r>
          </w:p>
        </w:tc>
        <w:tc>
          <w:tcPr>
            <w:tcW w:w="957" w:type="dxa"/>
            <w:tcBorders>
              <w:top w:val="double" w:sz="4" w:space="0" w:color="auto"/>
              <w:left w:val="nil"/>
              <w:bottom w:val="nil"/>
              <w:right w:val="nil"/>
            </w:tcBorders>
          </w:tcPr>
          <w:p w:rsidR="009543DB" w:rsidRDefault="009543DB" w:rsidP="009543DB">
            <w:pPr>
              <w:pStyle w:val="Tabletextright"/>
            </w:pPr>
            <w:r>
              <w:t>841.1</w:t>
            </w:r>
          </w:p>
        </w:tc>
        <w:tc>
          <w:tcPr>
            <w:tcW w:w="956" w:type="dxa"/>
            <w:tcBorders>
              <w:top w:val="double" w:sz="4" w:space="0" w:color="auto"/>
              <w:left w:val="nil"/>
              <w:bottom w:val="nil"/>
              <w:right w:val="nil"/>
            </w:tcBorders>
          </w:tcPr>
          <w:p w:rsidR="009543DB" w:rsidRDefault="009543DB" w:rsidP="009543DB">
            <w:pPr>
              <w:pStyle w:val="Tabletextright"/>
            </w:pPr>
            <w:r>
              <w:t>938.9</w:t>
            </w:r>
          </w:p>
        </w:tc>
        <w:tc>
          <w:tcPr>
            <w:tcW w:w="957" w:type="dxa"/>
            <w:tcBorders>
              <w:top w:val="double" w:sz="4" w:space="0" w:color="auto"/>
              <w:left w:val="nil"/>
              <w:bottom w:val="nil"/>
              <w:right w:val="nil"/>
            </w:tcBorders>
          </w:tcPr>
          <w:p w:rsidR="009543DB" w:rsidRDefault="009543DB" w:rsidP="009543DB">
            <w:pPr>
              <w:pStyle w:val="Tabletextright"/>
            </w:pPr>
            <w:r>
              <w:t>982.1</w:t>
            </w:r>
          </w:p>
        </w:tc>
        <w:tc>
          <w:tcPr>
            <w:tcW w:w="956" w:type="dxa"/>
            <w:tcBorders>
              <w:top w:val="double" w:sz="4" w:space="0" w:color="auto"/>
              <w:left w:val="nil"/>
              <w:bottom w:val="nil"/>
              <w:right w:val="nil"/>
            </w:tcBorders>
          </w:tcPr>
          <w:p w:rsidR="009543DB" w:rsidRDefault="009543DB" w:rsidP="009543DB">
            <w:pPr>
              <w:pStyle w:val="Tabletextright"/>
            </w:pPr>
            <w:r>
              <w:t>1 076.1</w:t>
            </w:r>
          </w:p>
        </w:tc>
        <w:tc>
          <w:tcPr>
            <w:tcW w:w="957" w:type="dxa"/>
            <w:tcBorders>
              <w:top w:val="double" w:sz="4" w:space="0" w:color="auto"/>
              <w:left w:val="nil"/>
              <w:bottom w:val="nil"/>
              <w:right w:val="nil"/>
            </w:tcBorders>
          </w:tcPr>
          <w:p w:rsidR="009543DB" w:rsidRDefault="009543DB" w:rsidP="009543DB">
            <w:pPr>
              <w:pStyle w:val="Tabletextright"/>
            </w:pPr>
            <w:r>
              <w:t>1 157.2</w:t>
            </w:r>
          </w:p>
        </w:tc>
        <w:tc>
          <w:tcPr>
            <w:tcW w:w="956" w:type="dxa"/>
            <w:tcBorders>
              <w:top w:val="double" w:sz="4" w:space="0" w:color="auto"/>
              <w:left w:val="nil"/>
              <w:bottom w:val="nil"/>
              <w:right w:val="nil"/>
            </w:tcBorders>
          </w:tcPr>
          <w:p w:rsidR="009543DB" w:rsidRDefault="009543DB" w:rsidP="009543DB">
            <w:pPr>
              <w:pStyle w:val="Tabletextright"/>
            </w:pPr>
            <w:r>
              <w:t>1 397.3</w:t>
            </w:r>
          </w:p>
        </w:tc>
        <w:tc>
          <w:tcPr>
            <w:tcW w:w="957" w:type="dxa"/>
            <w:tcBorders>
              <w:top w:val="double" w:sz="4" w:space="0" w:color="auto"/>
              <w:left w:val="nil"/>
              <w:bottom w:val="nil"/>
              <w:right w:val="nil"/>
            </w:tcBorders>
          </w:tcPr>
          <w:p w:rsidR="009543DB" w:rsidRDefault="009543DB" w:rsidP="009543DB">
            <w:pPr>
              <w:pStyle w:val="Tabletextright"/>
            </w:pPr>
            <w:r>
              <w:t>1 790.1</w:t>
            </w:r>
          </w:p>
        </w:tc>
      </w:tr>
      <w:tr w:rsidR="009543DB" w:rsidTr="009543DB">
        <w:tc>
          <w:tcPr>
            <w:tcW w:w="1951" w:type="dxa"/>
            <w:vMerge/>
            <w:tcBorders>
              <w:left w:val="nil"/>
              <w:bottom w:val="double" w:sz="4" w:space="0" w:color="auto"/>
              <w:right w:val="nil"/>
            </w:tcBorders>
          </w:tcPr>
          <w:p w:rsidR="009543DB" w:rsidRDefault="009543DB" w:rsidP="009543DB">
            <w:pPr>
              <w:pStyle w:val="Tabletextheading"/>
            </w:pPr>
          </w:p>
        </w:tc>
        <w:tc>
          <w:tcPr>
            <w:tcW w:w="1560" w:type="dxa"/>
            <w:tcBorders>
              <w:top w:val="nil"/>
              <w:left w:val="nil"/>
              <w:bottom w:val="double" w:sz="4" w:space="0" w:color="auto"/>
              <w:right w:val="nil"/>
            </w:tcBorders>
            <w:vAlign w:val="center"/>
          </w:tcPr>
          <w:p w:rsidR="009543DB" w:rsidRPr="00BE625C" w:rsidRDefault="009543DB" w:rsidP="009543DB">
            <w:pPr>
              <w:pStyle w:val="Tabletextleft-centred"/>
            </w:pPr>
            <w:r>
              <w:t>Total airport</w:t>
            </w:r>
          </w:p>
        </w:tc>
        <w:tc>
          <w:tcPr>
            <w:tcW w:w="956" w:type="dxa"/>
            <w:tcBorders>
              <w:top w:val="nil"/>
              <w:left w:val="nil"/>
              <w:bottom w:val="double" w:sz="4" w:space="0" w:color="auto"/>
              <w:right w:val="nil"/>
            </w:tcBorders>
            <w:vAlign w:val="center"/>
          </w:tcPr>
          <w:p w:rsidR="009543DB" w:rsidRDefault="009543DB" w:rsidP="009543DB">
            <w:pPr>
              <w:pStyle w:val="Tabletextright-centred"/>
            </w:pPr>
            <w:r>
              <w:t>1 069.7</w:t>
            </w:r>
          </w:p>
        </w:tc>
        <w:tc>
          <w:tcPr>
            <w:tcW w:w="956" w:type="dxa"/>
            <w:tcBorders>
              <w:top w:val="nil"/>
              <w:left w:val="nil"/>
              <w:bottom w:val="double" w:sz="4" w:space="0" w:color="auto"/>
              <w:right w:val="nil"/>
            </w:tcBorders>
            <w:vAlign w:val="center"/>
          </w:tcPr>
          <w:p w:rsidR="009543DB" w:rsidRDefault="009543DB" w:rsidP="009543DB">
            <w:pPr>
              <w:pStyle w:val="Tabletextright-centred"/>
            </w:pPr>
            <w:r>
              <w:t>1 095.9</w:t>
            </w:r>
          </w:p>
        </w:tc>
        <w:tc>
          <w:tcPr>
            <w:tcW w:w="957" w:type="dxa"/>
            <w:tcBorders>
              <w:top w:val="nil"/>
              <w:left w:val="nil"/>
              <w:bottom w:val="double" w:sz="4" w:space="0" w:color="auto"/>
              <w:right w:val="nil"/>
            </w:tcBorders>
            <w:vAlign w:val="center"/>
          </w:tcPr>
          <w:p w:rsidR="009543DB" w:rsidRDefault="009543DB" w:rsidP="009543DB">
            <w:pPr>
              <w:pStyle w:val="Tabletextright-centred"/>
            </w:pPr>
            <w:r>
              <w:t>2 021.3</w:t>
            </w:r>
          </w:p>
        </w:tc>
        <w:tc>
          <w:tcPr>
            <w:tcW w:w="956" w:type="dxa"/>
            <w:tcBorders>
              <w:top w:val="nil"/>
              <w:left w:val="nil"/>
              <w:bottom w:val="double" w:sz="4" w:space="0" w:color="auto"/>
              <w:right w:val="nil"/>
            </w:tcBorders>
            <w:vAlign w:val="center"/>
          </w:tcPr>
          <w:p w:rsidR="009543DB" w:rsidRDefault="009543DB" w:rsidP="009543DB">
            <w:pPr>
              <w:pStyle w:val="Tabletextright-centred"/>
            </w:pPr>
            <w:r>
              <w:t>2 118.8</w:t>
            </w:r>
          </w:p>
        </w:tc>
        <w:tc>
          <w:tcPr>
            <w:tcW w:w="957" w:type="dxa"/>
            <w:tcBorders>
              <w:top w:val="nil"/>
              <w:left w:val="nil"/>
              <w:bottom w:val="double" w:sz="4" w:space="0" w:color="auto"/>
              <w:right w:val="nil"/>
            </w:tcBorders>
            <w:vAlign w:val="center"/>
          </w:tcPr>
          <w:p w:rsidR="009543DB" w:rsidRDefault="009543DB" w:rsidP="009543DB">
            <w:pPr>
              <w:pStyle w:val="Tabletextright-centred"/>
            </w:pPr>
            <w:r>
              <w:t>2 198.3</w:t>
            </w:r>
          </w:p>
        </w:tc>
        <w:tc>
          <w:tcPr>
            <w:tcW w:w="956" w:type="dxa"/>
            <w:tcBorders>
              <w:top w:val="nil"/>
              <w:left w:val="nil"/>
              <w:bottom w:val="double" w:sz="4" w:space="0" w:color="auto"/>
              <w:right w:val="nil"/>
            </w:tcBorders>
            <w:vAlign w:val="center"/>
          </w:tcPr>
          <w:p w:rsidR="009543DB" w:rsidRDefault="009543DB" w:rsidP="009543DB">
            <w:pPr>
              <w:pStyle w:val="Tabletextright-centred"/>
            </w:pPr>
            <w:r>
              <w:t>2 283.8</w:t>
            </w:r>
          </w:p>
        </w:tc>
        <w:tc>
          <w:tcPr>
            <w:tcW w:w="957" w:type="dxa"/>
            <w:tcBorders>
              <w:top w:val="nil"/>
              <w:left w:val="nil"/>
              <w:bottom w:val="double" w:sz="4" w:space="0" w:color="auto"/>
              <w:right w:val="nil"/>
            </w:tcBorders>
            <w:vAlign w:val="center"/>
          </w:tcPr>
          <w:p w:rsidR="009543DB" w:rsidRDefault="009543DB" w:rsidP="009543DB">
            <w:pPr>
              <w:pStyle w:val="Tabletextright-centred"/>
            </w:pPr>
            <w:r>
              <w:t>2 389.7</w:t>
            </w:r>
          </w:p>
        </w:tc>
        <w:tc>
          <w:tcPr>
            <w:tcW w:w="956" w:type="dxa"/>
            <w:tcBorders>
              <w:top w:val="nil"/>
              <w:left w:val="nil"/>
              <w:bottom w:val="double" w:sz="4" w:space="0" w:color="auto"/>
              <w:right w:val="nil"/>
            </w:tcBorders>
            <w:vAlign w:val="center"/>
          </w:tcPr>
          <w:p w:rsidR="009543DB" w:rsidRDefault="009543DB" w:rsidP="009543DB">
            <w:pPr>
              <w:pStyle w:val="Tabletextright-centred"/>
            </w:pPr>
            <w:r>
              <w:t>2 507.8</w:t>
            </w:r>
          </w:p>
        </w:tc>
        <w:tc>
          <w:tcPr>
            <w:tcW w:w="957" w:type="dxa"/>
            <w:tcBorders>
              <w:top w:val="nil"/>
              <w:left w:val="nil"/>
              <w:bottom w:val="double" w:sz="4" w:space="0" w:color="auto"/>
              <w:right w:val="nil"/>
            </w:tcBorders>
            <w:vAlign w:val="center"/>
          </w:tcPr>
          <w:p w:rsidR="009543DB" w:rsidRDefault="009543DB" w:rsidP="009543DB">
            <w:pPr>
              <w:pStyle w:val="Tabletextright-centred"/>
            </w:pPr>
            <w:r>
              <w:t>2 737.2</w:t>
            </w:r>
          </w:p>
        </w:tc>
        <w:tc>
          <w:tcPr>
            <w:tcW w:w="956" w:type="dxa"/>
            <w:tcBorders>
              <w:top w:val="nil"/>
              <w:left w:val="nil"/>
              <w:bottom w:val="double" w:sz="4" w:space="0" w:color="auto"/>
              <w:right w:val="nil"/>
            </w:tcBorders>
            <w:vAlign w:val="center"/>
          </w:tcPr>
          <w:p w:rsidR="009543DB" w:rsidRDefault="009543DB" w:rsidP="009543DB">
            <w:pPr>
              <w:pStyle w:val="Tabletextright-centred"/>
            </w:pPr>
            <w:r>
              <w:t>3 082.1</w:t>
            </w:r>
          </w:p>
        </w:tc>
        <w:tc>
          <w:tcPr>
            <w:tcW w:w="957" w:type="dxa"/>
            <w:tcBorders>
              <w:top w:val="nil"/>
              <w:left w:val="nil"/>
              <w:bottom w:val="double" w:sz="4" w:space="0" w:color="auto"/>
              <w:right w:val="nil"/>
            </w:tcBorders>
            <w:vAlign w:val="center"/>
          </w:tcPr>
          <w:p w:rsidR="009543DB" w:rsidRDefault="009543DB" w:rsidP="009543DB">
            <w:pPr>
              <w:pStyle w:val="Tabletextright-centred"/>
            </w:pPr>
            <w:r>
              <w:t>3 962.9</w:t>
            </w:r>
          </w:p>
        </w:tc>
      </w:tr>
      <w:tr w:rsidR="009543DB" w:rsidTr="009543DB">
        <w:tc>
          <w:tcPr>
            <w:tcW w:w="1951" w:type="dxa"/>
            <w:vMerge w:val="restart"/>
            <w:tcBorders>
              <w:top w:val="double" w:sz="4" w:space="0" w:color="auto"/>
              <w:left w:val="nil"/>
              <w:right w:val="nil"/>
            </w:tcBorders>
          </w:tcPr>
          <w:p w:rsidR="009543DB" w:rsidRDefault="009543DB" w:rsidP="009543DB">
            <w:pPr>
              <w:pStyle w:val="Tabletextheading"/>
            </w:pPr>
            <w:r>
              <w:t>Total non</w:t>
            </w:r>
            <w:r>
              <w:noBreakHyphen/>
              <w:t>current assets</w:t>
            </w:r>
            <w:r>
              <w:br/>
              <w:t>($million)</w:t>
            </w:r>
          </w:p>
        </w:tc>
        <w:tc>
          <w:tcPr>
            <w:tcW w:w="1560" w:type="dxa"/>
            <w:tcBorders>
              <w:top w:val="double" w:sz="4" w:space="0" w:color="auto"/>
              <w:left w:val="nil"/>
              <w:bottom w:val="nil"/>
              <w:right w:val="nil"/>
            </w:tcBorders>
          </w:tcPr>
          <w:p w:rsidR="009543DB" w:rsidRDefault="009543DB" w:rsidP="009543DB">
            <w:pPr>
              <w:pStyle w:val="Tabletextleft"/>
            </w:pPr>
            <w:r>
              <w:t>Aeronautical</w:t>
            </w:r>
          </w:p>
        </w:tc>
        <w:tc>
          <w:tcPr>
            <w:tcW w:w="956" w:type="dxa"/>
            <w:tcBorders>
              <w:top w:val="double" w:sz="4" w:space="0" w:color="auto"/>
              <w:left w:val="nil"/>
              <w:bottom w:val="nil"/>
              <w:right w:val="nil"/>
            </w:tcBorders>
          </w:tcPr>
          <w:p w:rsidR="009543DB" w:rsidRDefault="009543DB" w:rsidP="009543DB">
            <w:pPr>
              <w:pStyle w:val="Tabletextright"/>
            </w:pPr>
            <w:r>
              <w:t>618.6</w:t>
            </w:r>
          </w:p>
        </w:tc>
        <w:tc>
          <w:tcPr>
            <w:tcW w:w="956" w:type="dxa"/>
            <w:tcBorders>
              <w:top w:val="double" w:sz="4" w:space="0" w:color="auto"/>
              <w:left w:val="nil"/>
              <w:bottom w:val="nil"/>
              <w:right w:val="nil"/>
            </w:tcBorders>
          </w:tcPr>
          <w:p w:rsidR="009543DB" w:rsidRDefault="009543DB" w:rsidP="009543DB">
            <w:pPr>
              <w:pStyle w:val="Tabletextright"/>
            </w:pPr>
            <w:r>
              <w:t>629.7</w:t>
            </w:r>
          </w:p>
        </w:tc>
        <w:tc>
          <w:tcPr>
            <w:tcW w:w="957" w:type="dxa"/>
            <w:tcBorders>
              <w:top w:val="double" w:sz="4" w:space="0" w:color="auto"/>
              <w:left w:val="nil"/>
              <w:bottom w:val="nil"/>
              <w:right w:val="nil"/>
            </w:tcBorders>
          </w:tcPr>
          <w:p w:rsidR="009543DB" w:rsidRDefault="009543DB" w:rsidP="009543DB">
            <w:pPr>
              <w:pStyle w:val="Tabletextright"/>
            </w:pPr>
            <w:r>
              <w:t>659.2</w:t>
            </w:r>
          </w:p>
        </w:tc>
        <w:tc>
          <w:tcPr>
            <w:tcW w:w="956" w:type="dxa"/>
            <w:tcBorders>
              <w:top w:val="double" w:sz="4" w:space="0" w:color="auto"/>
              <w:left w:val="nil"/>
              <w:bottom w:val="nil"/>
              <w:right w:val="nil"/>
            </w:tcBorders>
          </w:tcPr>
          <w:p w:rsidR="009543DB" w:rsidRDefault="009543DB" w:rsidP="009543DB">
            <w:pPr>
              <w:pStyle w:val="Tabletextright"/>
            </w:pPr>
            <w:r>
              <w:t>705.2</w:t>
            </w:r>
          </w:p>
        </w:tc>
        <w:tc>
          <w:tcPr>
            <w:tcW w:w="957" w:type="dxa"/>
            <w:tcBorders>
              <w:top w:val="double" w:sz="4" w:space="0" w:color="auto"/>
              <w:left w:val="nil"/>
              <w:bottom w:val="nil"/>
              <w:right w:val="nil"/>
            </w:tcBorders>
          </w:tcPr>
          <w:p w:rsidR="009543DB" w:rsidRDefault="009543DB" w:rsidP="009543DB">
            <w:pPr>
              <w:pStyle w:val="Tabletextright"/>
            </w:pPr>
            <w:r>
              <w:t>841.1</w:t>
            </w:r>
          </w:p>
        </w:tc>
        <w:tc>
          <w:tcPr>
            <w:tcW w:w="956" w:type="dxa"/>
            <w:tcBorders>
              <w:top w:val="double" w:sz="4" w:space="0" w:color="auto"/>
              <w:left w:val="nil"/>
              <w:bottom w:val="nil"/>
              <w:right w:val="nil"/>
            </w:tcBorders>
          </w:tcPr>
          <w:p w:rsidR="009543DB" w:rsidRDefault="009543DB" w:rsidP="009543DB">
            <w:pPr>
              <w:pStyle w:val="Tabletextright"/>
            </w:pPr>
            <w:r>
              <w:t>938.9</w:t>
            </w:r>
          </w:p>
        </w:tc>
        <w:tc>
          <w:tcPr>
            <w:tcW w:w="957" w:type="dxa"/>
            <w:tcBorders>
              <w:top w:val="double" w:sz="4" w:space="0" w:color="auto"/>
              <w:left w:val="nil"/>
              <w:bottom w:val="nil"/>
              <w:right w:val="nil"/>
            </w:tcBorders>
          </w:tcPr>
          <w:p w:rsidR="009543DB" w:rsidRDefault="009543DB" w:rsidP="009543DB">
            <w:pPr>
              <w:pStyle w:val="Tabletextright"/>
            </w:pPr>
            <w:r>
              <w:t>982.1</w:t>
            </w:r>
          </w:p>
        </w:tc>
        <w:tc>
          <w:tcPr>
            <w:tcW w:w="956" w:type="dxa"/>
            <w:tcBorders>
              <w:top w:val="double" w:sz="4" w:space="0" w:color="auto"/>
              <w:left w:val="nil"/>
              <w:bottom w:val="nil"/>
              <w:right w:val="nil"/>
            </w:tcBorders>
          </w:tcPr>
          <w:p w:rsidR="009543DB" w:rsidRDefault="009543DB" w:rsidP="009543DB">
            <w:pPr>
              <w:pStyle w:val="Tabletextright"/>
            </w:pPr>
            <w:r>
              <w:t>1 076.1</w:t>
            </w:r>
          </w:p>
        </w:tc>
        <w:tc>
          <w:tcPr>
            <w:tcW w:w="957" w:type="dxa"/>
            <w:tcBorders>
              <w:top w:val="double" w:sz="4" w:space="0" w:color="auto"/>
              <w:left w:val="nil"/>
              <w:bottom w:val="nil"/>
              <w:right w:val="nil"/>
            </w:tcBorders>
          </w:tcPr>
          <w:p w:rsidR="009543DB" w:rsidRDefault="009543DB" w:rsidP="009543DB">
            <w:pPr>
              <w:pStyle w:val="Tabletextright"/>
            </w:pPr>
            <w:r>
              <w:t>1 157.2</w:t>
            </w:r>
          </w:p>
        </w:tc>
        <w:tc>
          <w:tcPr>
            <w:tcW w:w="956" w:type="dxa"/>
            <w:tcBorders>
              <w:top w:val="double" w:sz="4" w:space="0" w:color="auto"/>
              <w:left w:val="nil"/>
              <w:bottom w:val="nil"/>
              <w:right w:val="nil"/>
            </w:tcBorders>
          </w:tcPr>
          <w:p w:rsidR="009543DB" w:rsidRDefault="009543DB" w:rsidP="009543DB">
            <w:pPr>
              <w:pStyle w:val="Tabletextright"/>
            </w:pPr>
            <w:r>
              <w:t>1 397.3</w:t>
            </w:r>
          </w:p>
        </w:tc>
        <w:tc>
          <w:tcPr>
            <w:tcW w:w="957" w:type="dxa"/>
            <w:tcBorders>
              <w:top w:val="double" w:sz="4" w:space="0" w:color="auto"/>
              <w:left w:val="nil"/>
              <w:bottom w:val="nil"/>
              <w:right w:val="nil"/>
            </w:tcBorders>
          </w:tcPr>
          <w:p w:rsidR="009543DB" w:rsidRDefault="009543DB" w:rsidP="009543DB">
            <w:pPr>
              <w:pStyle w:val="Tabletextright"/>
            </w:pPr>
            <w:r>
              <w:t>1 790.1</w:t>
            </w:r>
          </w:p>
        </w:tc>
      </w:tr>
      <w:tr w:rsidR="009543DB" w:rsidTr="009543DB">
        <w:tc>
          <w:tcPr>
            <w:tcW w:w="1951" w:type="dxa"/>
            <w:vMerge/>
            <w:tcBorders>
              <w:left w:val="nil"/>
              <w:bottom w:val="double" w:sz="4" w:space="0" w:color="auto"/>
              <w:right w:val="nil"/>
            </w:tcBorders>
          </w:tcPr>
          <w:p w:rsidR="009543DB" w:rsidRDefault="009543DB" w:rsidP="009543DB">
            <w:pPr>
              <w:pStyle w:val="Tabletextheading"/>
            </w:pPr>
          </w:p>
        </w:tc>
        <w:tc>
          <w:tcPr>
            <w:tcW w:w="1560" w:type="dxa"/>
            <w:tcBorders>
              <w:top w:val="nil"/>
              <w:left w:val="nil"/>
              <w:bottom w:val="double" w:sz="4" w:space="0" w:color="auto"/>
              <w:right w:val="nil"/>
            </w:tcBorders>
            <w:vAlign w:val="center"/>
          </w:tcPr>
          <w:p w:rsidR="009543DB" w:rsidRDefault="009543DB" w:rsidP="009543DB">
            <w:pPr>
              <w:pStyle w:val="Tabletextleft-centred"/>
            </w:pPr>
            <w:r>
              <w:t>Total airport</w:t>
            </w:r>
          </w:p>
        </w:tc>
        <w:tc>
          <w:tcPr>
            <w:tcW w:w="956" w:type="dxa"/>
            <w:tcBorders>
              <w:top w:val="nil"/>
              <w:left w:val="nil"/>
              <w:bottom w:val="double" w:sz="4" w:space="0" w:color="auto"/>
              <w:right w:val="nil"/>
            </w:tcBorders>
            <w:vAlign w:val="center"/>
          </w:tcPr>
          <w:p w:rsidR="009543DB" w:rsidRDefault="009543DB" w:rsidP="009543DB">
            <w:pPr>
              <w:pStyle w:val="Tabletextright-centred"/>
            </w:pPr>
            <w:r>
              <w:t>1 822.9</w:t>
            </w:r>
          </w:p>
        </w:tc>
        <w:tc>
          <w:tcPr>
            <w:tcW w:w="956" w:type="dxa"/>
            <w:tcBorders>
              <w:top w:val="nil"/>
              <w:left w:val="nil"/>
              <w:bottom w:val="double" w:sz="4" w:space="0" w:color="auto"/>
              <w:right w:val="nil"/>
            </w:tcBorders>
            <w:vAlign w:val="center"/>
          </w:tcPr>
          <w:p w:rsidR="009543DB" w:rsidRDefault="009543DB" w:rsidP="009543DB">
            <w:pPr>
              <w:pStyle w:val="Tabletextright-centred"/>
            </w:pPr>
            <w:r>
              <w:t>1 976.1</w:t>
            </w:r>
          </w:p>
        </w:tc>
        <w:tc>
          <w:tcPr>
            <w:tcW w:w="957" w:type="dxa"/>
            <w:tcBorders>
              <w:top w:val="nil"/>
              <w:left w:val="nil"/>
              <w:bottom w:val="double" w:sz="4" w:space="0" w:color="auto"/>
              <w:right w:val="nil"/>
            </w:tcBorders>
            <w:vAlign w:val="center"/>
          </w:tcPr>
          <w:p w:rsidR="009543DB" w:rsidRDefault="009543DB" w:rsidP="009543DB">
            <w:pPr>
              <w:pStyle w:val="Tabletextright-centred"/>
            </w:pPr>
            <w:r>
              <w:t>2 842.1</w:t>
            </w:r>
          </w:p>
        </w:tc>
        <w:tc>
          <w:tcPr>
            <w:tcW w:w="956" w:type="dxa"/>
            <w:tcBorders>
              <w:top w:val="nil"/>
              <w:left w:val="nil"/>
              <w:bottom w:val="double" w:sz="4" w:space="0" w:color="auto"/>
              <w:right w:val="nil"/>
            </w:tcBorders>
            <w:vAlign w:val="center"/>
          </w:tcPr>
          <w:p w:rsidR="009543DB" w:rsidRDefault="009543DB" w:rsidP="009543DB">
            <w:pPr>
              <w:pStyle w:val="Tabletextright-centred"/>
            </w:pPr>
            <w:r>
              <w:t>2 912.8</w:t>
            </w:r>
          </w:p>
        </w:tc>
        <w:tc>
          <w:tcPr>
            <w:tcW w:w="957" w:type="dxa"/>
            <w:tcBorders>
              <w:top w:val="nil"/>
              <w:left w:val="nil"/>
              <w:bottom w:val="double" w:sz="4" w:space="0" w:color="auto"/>
              <w:right w:val="nil"/>
            </w:tcBorders>
            <w:vAlign w:val="center"/>
          </w:tcPr>
          <w:p w:rsidR="009543DB" w:rsidRDefault="009543DB" w:rsidP="009543DB">
            <w:pPr>
              <w:pStyle w:val="Tabletextright-centred"/>
            </w:pPr>
            <w:r>
              <w:t>2 968.3</w:t>
            </w:r>
          </w:p>
        </w:tc>
        <w:tc>
          <w:tcPr>
            <w:tcW w:w="956" w:type="dxa"/>
            <w:tcBorders>
              <w:top w:val="nil"/>
              <w:left w:val="nil"/>
              <w:bottom w:val="double" w:sz="4" w:space="0" w:color="auto"/>
              <w:right w:val="nil"/>
            </w:tcBorders>
            <w:vAlign w:val="center"/>
          </w:tcPr>
          <w:p w:rsidR="009543DB" w:rsidRDefault="009543DB" w:rsidP="009543DB">
            <w:pPr>
              <w:pStyle w:val="Tabletextright-centred"/>
            </w:pPr>
            <w:r>
              <w:t>3 036.4</w:t>
            </w:r>
          </w:p>
        </w:tc>
        <w:tc>
          <w:tcPr>
            <w:tcW w:w="957" w:type="dxa"/>
            <w:tcBorders>
              <w:top w:val="nil"/>
              <w:left w:val="nil"/>
              <w:bottom w:val="double" w:sz="4" w:space="0" w:color="auto"/>
              <w:right w:val="nil"/>
            </w:tcBorders>
            <w:vAlign w:val="center"/>
          </w:tcPr>
          <w:p w:rsidR="009543DB" w:rsidRDefault="009543DB" w:rsidP="009543DB">
            <w:pPr>
              <w:pStyle w:val="Tabletextright-centred"/>
            </w:pPr>
            <w:r>
              <w:t>3 119.6</w:t>
            </w:r>
          </w:p>
        </w:tc>
        <w:tc>
          <w:tcPr>
            <w:tcW w:w="956" w:type="dxa"/>
            <w:tcBorders>
              <w:top w:val="nil"/>
              <w:left w:val="nil"/>
              <w:bottom w:val="double" w:sz="4" w:space="0" w:color="auto"/>
              <w:right w:val="nil"/>
            </w:tcBorders>
            <w:vAlign w:val="center"/>
          </w:tcPr>
          <w:p w:rsidR="009543DB" w:rsidRDefault="009543DB" w:rsidP="009543DB">
            <w:pPr>
              <w:pStyle w:val="Tabletextright-centred"/>
            </w:pPr>
            <w:r>
              <w:t>3 221.3</w:t>
            </w:r>
          </w:p>
        </w:tc>
        <w:tc>
          <w:tcPr>
            <w:tcW w:w="957" w:type="dxa"/>
            <w:tcBorders>
              <w:top w:val="nil"/>
              <w:left w:val="nil"/>
              <w:bottom w:val="double" w:sz="4" w:space="0" w:color="auto"/>
              <w:right w:val="nil"/>
            </w:tcBorders>
            <w:vAlign w:val="center"/>
          </w:tcPr>
          <w:p w:rsidR="009543DB" w:rsidRDefault="009543DB" w:rsidP="009543DB">
            <w:pPr>
              <w:pStyle w:val="Tabletextright-centred"/>
            </w:pPr>
            <w:r>
              <w:t>3 434.8</w:t>
            </w:r>
          </w:p>
        </w:tc>
        <w:tc>
          <w:tcPr>
            <w:tcW w:w="956" w:type="dxa"/>
            <w:tcBorders>
              <w:top w:val="nil"/>
              <w:left w:val="nil"/>
              <w:bottom w:val="double" w:sz="4" w:space="0" w:color="auto"/>
              <w:right w:val="nil"/>
            </w:tcBorders>
            <w:vAlign w:val="center"/>
          </w:tcPr>
          <w:p w:rsidR="009543DB" w:rsidRDefault="009543DB" w:rsidP="009543DB">
            <w:pPr>
              <w:pStyle w:val="Tabletextright-centred"/>
            </w:pPr>
            <w:r>
              <w:t>3 763.1</w:t>
            </w:r>
          </w:p>
        </w:tc>
        <w:tc>
          <w:tcPr>
            <w:tcW w:w="957" w:type="dxa"/>
            <w:tcBorders>
              <w:top w:val="nil"/>
              <w:left w:val="nil"/>
              <w:bottom w:val="double" w:sz="4" w:space="0" w:color="auto"/>
              <w:right w:val="nil"/>
            </w:tcBorders>
            <w:vAlign w:val="center"/>
          </w:tcPr>
          <w:p w:rsidR="009543DB" w:rsidRDefault="009543DB" w:rsidP="009543DB">
            <w:pPr>
              <w:pStyle w:val="Tabletextright-centred"/>
            </w:pPr>
            <w:r>
              <w:t>4 632.0</w:t>
            </w:r>
          </w:p>
        </w:tc>
      </w:tr>
    </w:tbl>
    <w:p w:rsidR="009543DB" w:rsidRDefault="009543DB" w:rsidP="009543DB">
      <w:pPr>
        <w:pStyle w:val="Sourceandnotes"/>
        <w:sectPr w:rsidR="009543DB" w:rsidSect="009543DB">
          <w:headerReference w:type="even" r:id="rId91"/>
          <w:headerReference w:type="default" r:id="rId92"/>
          <w:footnotePr>
            <w:numStart w:val="93"/>
          </w:footnotePr>
          <w:pgSz w:w="16838" w:h="11906" w:orient="landscape"/>
          <w:pgMar w:top="1729" w:right="1440" w:bottom="1729" w:left="1582" w:header="709" w:footer="709" w:gutter="0"/>
          <w:cols w:space="708"/>
          <w:docGrid w:linePitch="360"/>
        </w:sectPr>
      </w:pPr>
      <w:r>
        <w:t>Note:</w:t>
      </w:r>
      <w:r>
        <w:tab/>
        <w:t>Real values in 2014</w:t>
      </w:r>
      <w:r>
        <w:noBreakHyphen/>
        <w:t>15 dollars</w:t>
      </w:r>
    </w:p>
    <w:p w:rsidR="009543DB" w:rsidRDefault="009543DB" w:rsidP="009543DB">
      <w:pPr>
        <w:pStyle w:val="Numberedheading3"/>
      </w:pPr>
      <w:r>
        <w:lastRenderedPageBreak/>
        <w:t>Additions as a percentage of tangible non</w:t>
      </w:r>
      <w:r>
        <w:noBreakHyphen/>
        <w:t>current assets</w:t>
      </w:r>
    </w:p>
    <w:p w:rsidR="009543DB" w:rsidRPr="006B740F" w:rsidRDefault="009543DB" w:rsidP="009543DB">
      <w:pPr>
        <w:rPr>
          <w:i/>
          <w:color w:val="FF0000"/>
          <w:u w:val="single"/>
        </w:rPr>
      </w:pPr>
      <w:r>
        <w:t>Chart 3.2.1 shows that during 2014</w:t>
      </w:r>
      <w:r>
        <w:noBreakHyphen/>
        <w:t>15, Melbourne Airport’s $483.7 million in additions to aeronautical assets represented about 27.0 per cent of total aeronautical tangible non</w:t>
      </w:r>
      <w:r>
        <w:noBreakHyphen/>
        <w:t>current assets. This is the highest proportion of additions reported over the time series and the largest yearly aeronautical capital expenditure since privatisation. Additions to aeronautical assets included buildings ($111.7 million), land improvement ($242.7 million), plant and machinery ($74.7 million) and work in progress ($54.7 million). The major projects included in the additions were the T2 arrivals upgrade, Airport Drive road, taxiway concrete replacement and the T2 bussing and airline lounge.</w:t>
      </w:r>
    </w:p>
    <w:p w:rsidR="009543DB" w:rsidRDefault="009543DB" w:rsidP="009543DB">
      <w:pPr>
        <w:pStyle w:val="Numberedcharttitle"/>
      </w:pPr>
      <w:r>
        <w:t>Chart 3.2.1:</w:t>
      </w:r>
      <w:r>
        <w:tab/>
        <w:t>Melbourne Airport—additions as a percentage of tangible non</w:t>
      </w:r>
      <w:r>
        <w:noBreakHyphen/>
        <w:t>current assets for aeronautical and total airport services: 2004</w:t>
      </w:r>
      <w:r>
        <w:noBreakHyphen/>
        <w:t>05 to 2014</w:t>
      </w:r>
      <w:r>
        <w:noBreakHyphen/>
        <w:t>15</w:t>
      </w:r>
    </w:p>
    <w:p w:rsidR="009543DB" w:rsidRDefault="009543DB" w:rsidP="009543DB">
      <w:r w:rsidRPr="005B5B71">
        <w:rPr>
          <w:noProof/>
          <w:lang w:eastAsia="en-AU"/>
        </w:rPr>
        <w:drawing>
          <wp:inline distT="0" distB="0" distL="0" distR="0" wp14:anchorId="2D3E93AC" wp14:editId="54B3EBC0">
            <wp:extent cx="5358809" cy="2626242"/>
            <wp:effectExtent l="0" t="0" r="0" b="317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64480" cy="2629021"/>
                    </a:xfrm>
                    <a:prstGeom prst="rect">
                      <a:avLst/>
                    </a:prstGeom>
                    <a:noFill/>
                    <a:ln>
                      <a:noFill/>
                    </a:ln>
                  </pic:spPr>
                </pic:pic>
              </a:graphicData>
            </a:graphic>
          </wp:inline>
        </w:drawing>
      </w:r>
    </w:p>
    <w:p w:rsidR="009543DB" w:rsidRDefault="009543DB" w:rsidP="009543DB">
      <w:pPr>
        <w:pStyle w:val="Numberedheading3"/>
      </w:pPr>
      <w:r>
        <w:t>Rates of return on tangible non</w:t>
      </w:r>
      <w:r>
        <w:noBreakHyphen/>
        <w:t>current assets</w:t>
      </w:r>
    </w:p>
    <w:p w:rsidR="009543DB" w:rsidRDefault="009543DB" w:rsidP="009543DB">
      <w:r w:rsidRPr="00BE209C">
        <w:t>The rate of retu</w:t>
      </w:r>
      <w:r>
        <w:t>rn on aeronautical tangible non</w:t>
      </w:r>
      <w:r>
        <w:noBreakHyphen/>
      </w:r>
      <w:r w:rsidRPr="00BE209C">
        <w:t xml:space="preserve">current assets </w:t>
      </w:r>
      <w:r>
        <w:t>is calculated using</w:t>
      </w:r>
      <w:r w:rsidRPr="00BE209C">
        <w:t xml:space="preserve"> earnings before interest, tax and amortisation (EBITA) on av</w:t>
      </w:r>
      <w:r>
        <w:t xml:space="preserve">erage </w:t>
      </w:r>
      <w:r w:rsidRPr="00BE209C">
        <w:t>asset</w:t>
      </w:r>
      <w:r>
        <w:t>s. This figure decreased by 1.9 percentage points to 9.2 per cent in 2014</w:t>
      </w:r>
      <w:r>
        <w:noBreakHyphen/>
        <w:t>15 (Chart 3.2.2). This is the lowest rate of return on aeronautical tangible non</w:t>
      </w:r>
      <w:r>
        <w:noBreakHyphen/>
        <w:t>current assets reported over the time series.</w:t>
      </w:r>
    </w:p>
    <w:p w:rsidR="009543DB" w:rsidRDefault="009543DB" w:rsidP="009543DB">
      <w:pPr>
        <w:pStyle w:val="Numberedcharttitle"/>
      </w:pPr>
      <w:r>
        <w:lastRenderedPageBreak/>
        <w:t>Chart 3.2.2:</w:t>
      </w:r>
      <w:r>
        <w:tab/>
        <w:t>Melbourne Airport—rate of return (EBITA) on tangible non</w:t>
      </w:r>
      <w:r>
        <w:noBreakHyphen/>
        <w:t xml:space="preserve">current assets for aeronautical and total airport services in real terms: </w:t>
      </w:r>
      <w:r>
        <w:br/>
        <w:t>2004</w:t>
      </w:r>
      <w:r>
        <w:noBreakHyphen/>
        <w:t>05 to 2014</w:t>
      </w:r>
      <w:r>
        <w:noBreakHyphen/>
        <w:t>15</w:t>
      </w:r>
    </w:p>
    <w:p w:rsidR="009543DB" w:rsidRDefault="009543DB" w:rsidP="009543DB">
      <w:r w:rsidRPr="00BE209C">
        <w:rPr>
          <w:noProof/>
          <w:lang w:eastAsia="en-AU"/>
        </w:rPr>
        <w:drawing>
          <wp:inline distT="0" distB="0" distL="0" distR="0" wp14:anchorId="1567FC6B" wp14:editId="514B5C47">
            <wp:extent cx="5358807" cy="2700670"/>
            <wp:effectExtent l="0" t="0" r="0" b="444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64480" cy="2703529"/>
                    </a:xfrm>
                    <a:prstGeom prst="rect">
                      <a:avLst/>
                    </a:prstGeom>
                    <a:noFill/>
                    <a:ln>
                      <a:noFill/>
                    </a:ln>
                  </pic:spPr>
                </pic:pic>
              </a:graphicData>
            </a:graphic>
          </wp:inline>
        </w:drawing>
      </w:r>
    </w:p>
    <w:p w:rsidR="009543DB" w:rsidRDefault="009543DB" w:rsidP="009543DB">
      <w:pPr>
        <w:pStyle w:val="Sourceandnotes"/>
      </w:pPr>
      <w:r>
        <w:t>Note:</w:t>
      </w:r>
      <w:r>
        <w:tab/>
        <w:t>Real values in 2014</w:t>
      </w:r>
      <w:r>
        <w:noBreakHyphen/>
        <w:t>15 dollars</w:t>
      </w:r>
    </w:p>
    <w:p w:rsidR="009543DB" w:rsidRDefault="009543DB" w:rsidP="00114E05">
      <w:pPr>
        <w:pStyle w:val="Numberedheading2"/>
      </w:pPr>
      <w:r w:rsidRPr="00F0168B">
        <w:t>Aeronautical services quality of service monitoring results</w:t>
      </w:r>
    </w:p>
    <w:p w:rsidR="009543DB" w:rsidRDefault="009543DB" w:rsidP="009543DB">
      <w:r>
        <w:t>Both passengers and airlines are surveyed to give an insight into the quality of service offered by each airport. This section presents Melbourne</w:t>
      </w:r>
      <w:r w:rsidRPr="00EA2143">
        <w:t xml:space="preserve"> Airport’s quality of service monitoring results for the ov</w:t>
      </w:r>
      <w:r>
        <w:t>erall average ratings (Section 3.3.1), aircraft</w:t>
      </w:r>
      <w:r>
        <w:noBreakHyphen/>
      </w:r>
      <w:r w:rsidRPr="00EA2143">
        <w:t>related services and facilities (</w:t>
      </w:r>
      <w:r>
        <w:t>S</w:t>
      </w:r>
      <w:r w:rsidRPr="00EA2143">
        <w:t xml:space="preserve">ection </w:t>
      </w:r>
      <w:r>
        <w:t>3.3.2), and passenger</w:t>
      </w:r>
      <w:r>
        <w:noBreakHyphen/>
      </w:r>
      <w:r w:rsidRPr="00EA2143">
        <w:t xml:space="preserve">related services and facilities for </w:t>
      </w:r>
      <w:r>
        <w:t>Melbourne Airport’s terminals (Section 3</w:t>
      </w:r>
      <w:r w:rsidRPr="00EA2143">
        <w:t>.3.3).</w:t>
      </w:r>
    </w:p>
    <w:p w:rsidR="009543DB" w:rsidRPr="00292546" w:rsidRDefault="009543DB" w:rsidP="009543DB">
      <w:pPr>
        <w:pStyle w:val="Numberedheading3"/>
        <w:rPr>
          <w:b w:val="0"/>
        </w:rPr>
      </w:pPr>
      <w:r>
        <w:t>Overall quality of service</w:t>
      </w:r>
      <w:r w:rsidRPr="00C96BBD">
        <w:rPr>
          <w:rStyle w:val="FootnoteReference"/>
          <w:b w:val="0"/>
        </w:rPr>
        <w:footnoteReference w:id="107"/>
      </w:r>
    </w:p>
    <w:p w:rsidR="009543DB" w:rsidRDefault="009543DB" w:rsidP="009543DB">
      <w:r>
        <w:t>Chart 3.3.1 shows that during 2014</w:t>
      </w:r>
      <w:r>
        <w:noBreakHyphen/>
      </w:r>
      <w:r w:rsidRPr="00ED3E69">
        <w:t xml:space="preserve">15, </w:t>
      </w:r>
      <w:r>
        <w:t>M</w:t>
      </w:r>
      <w:r w:rsidRPr="00ED3E69">
        <w:t>e</w:t>
      </w:r>
      <w:r>
        <w:t>lbourne</w:t>
      </w:r>
      <w:r w:rsidRPr="00ED3E69">
        <w:t xml:space="preserve"> Airport’s </w:t>
      </w:r>
      <w:r>
        <w:t xml:space="preserve">overall average rating remained unchanged at ‘satisfactory’ for the second consecutive year. The </w:t>
      </w:r>
      <w:r w:rsidRPr="00ED3E69">
        <w:t xml:space="preserve">average rating for the availability </w:t>
      </w:r>
      <w:r>
        <w:t xml:space="preserve">of </w:t>
      </w:r>
      <w:r w:rsidRPr="00ED3E69">
        <w:t>total airport services an</w:t>
      </w:r>
      <w:r>
        <w:t>d facilities remained within the ‘satisfactory</w:t>
      </w:r>
      <w:r w:rsidRPr="00ED3E69">
        <w:t>’ range</w:t>
      </w:r>
      <w:r>
        <w:t>, while the average rating for the standard of total airport services and facilities remained within the ‘good’ range. There has been little movement in the results over the past three years.</w:t>
      </w:r>
      <w:r w:rsidRPr="00886A4B">
        <w:t xml:space="preserve"> </w:t>
      </w:r>
    </w:p>
    <w:p w:rsidR="009543DB" w:rsidRDefault="009543DB" w:rsidP="00292546">
      <w:pPr>
        <w:pStyle w:val="Numberedcharttitle"/>
      </w:pPr>
      <w:r>
        <w:lastRenderedPageBreak/>
        <w:t>Chart 3.3.1:</w:t>
      </w:r>
      <w:r>
        <w:tab/>
        <w:t xml:space="preserve">Melbourne Airport—overall weighted rating and average ratings for standard and availability of total airport services and facilities: </w:t>
      </w:r>
      <w:r>
        <w:br/>
        <w:t>2010-11 to 2014-15</w:t>
      </w:r>
    </w:p>
    <w:p w:rsidR="009543DB" w:rsidRDefault="009543DB" w:rsidP="00292546">
      <w:pPr>
        <w:keepNext/>
      </w:pPr>
      <w:r w:rsidRPr="00A65C3D">
        <w:rPr>
          <w:noProof/>
          <w:lang w:eastAsia="en-AU"/>
        </w:rPr>
        <w:drawing>
          <wp:inline distT="0" distB="0" distL="0" distR="0" wp14:anchorId="531FED9A" wp14:editId="0AEB16AC">
            <wp:extent cx="5364480" cy="2814505"/>
            <wp:effectExtent l="0" t="0" r="7620" b="508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64480" cy="2814505"/>
                    </a:xfrm>
                    <a:prstGeom prst="rect">
                      <a:avLst/>
                    </a:prstGeom>
                    <a:noFill/>
                    <a:ln>
                      <a:noFill/>
                    </a:ln>
                  </pic:spPr>
                </pic:pic>
              </a:graphicData>
            </a:graphic>
          </wp:inline>
        </w:drawing>
      </w:r>
    </w:p>
    <w:p w:rsidR="009543DB" w:rsidRDefault="009543DB" w:rsidP="00292546">
      <w:pPr>
        <w:pStyle w:val="Sourceandnotes"/>
      </w:pPr>
      <w:r>
        <w:t>Source:</w:t>
      </w:r>
      <w:r>
        <w:tab/>
        <w:t>Airline surveys, passenger surveys, and objective indicators obtained from Melbourne Airport</w:t>
      </w:r>
    </w:p>
    <w:p w:rsidR="009543DB" w:rsidRPr="00ED3E69" w:rsidRDefault="009543DB" w:rsidP="00292546">
      <w:pPr>
        <w:keepNext/>
      </w:pPr>
      <w:r>
        <w:t>Chart 3.3.2 compares average quality of service ratings between domestic terminal services, international terminal services and aircraft</w:t>
      </w:r>
      <w:r>
        <w:noBreakHyphen/>
        <w:t>related services. Melbourne Airport’s average rating for international terminal services increased within the ‘good’ range during 2014</w:t>
      </w:r>
      <w:r>
        <w:noBreakHyphen/>
        <w:t>15, while the average rating for domestic terminal services remained unchanged at ‘satisfactory’. Melbourne Airport’s average rating for aircraft</w:t>
      </w:r>
      <w:r>
        <w:noBreakHyphen/>
        <w:t>related services and facilities decreased within the ‘satisfactory’ range in 2014</w:t>
      </w:r>
      <w:r>
        <w:noBreakHyphen/>
        <w:t>15.</w:t>
      </w:r>
    </w:p>
    <w:p w:rsidR="009543DB" w:rsidRDefault="009543DB" w:rsidP="00292546">
      <w:pPr>
        <w:pStyle w:val="Numberedcharttitle"/>
      </w:pPr>
      <w:r>
        <w:t>Chart 3.3.2:</w:t>
      </w:r>
      <w:r>
        <w:tab/>
        <w:t>Melbourne Airport—average ratings for international and domestic terminal services, and aircraft</w:t>
      </w:r>
      <w:r>
        <w:noBreakHyphen/>
        <w:t xml:space="preserve">related services and facilities: </w:t>
      </w:r>
      <w:r>
        <w:br/>
        <w:t>2010-11 to 2014-15</w:t>
      </w:r>
    </w:p>
    <w:p w:rsidR="009543DB" w:rsidRDefault="009543DB" w:rsidP="00292546">
      <w:pPr>
        <w:keepNext/>
      </w:pPr>
      <w:r w:rsidRPr="00886A4B">
        <w:rPr>
          <w:noProof/>
          <w:lang w:eastAsia="en-AU"/>
        </w:rPr>
        <w:drawing>
          <wp:inline distT="0" distB="0" distL="0" distR="0" wp14:anchorId="77D18345" wp14:editId="3BA5F683">
            <wp:extent cx="5358809" cy="2530549"/>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64480" cy="2533227"/>
                    </a:xfrm>
                    <a:prstGeom prst="rect">
                      <a:avLst/>
                    </a:prstGeom>
                    <a:noFill/>
                    <a:ln>
                      <a:noFill/>
                    </a:ln>
                  </pic:spPr>
                </pic:pic>
              </a:graphicData>
            </a:graphic>
          </wp:inline>
        </w:drawing>
      </w:r>
    </w:p>
    <w:p w:rsidR="009543DB" w:rsidRDefault="009543DB" w:rsidP="00292546">
      <w:pPr>
        <w:pStyle w:val="Sourceandnotes"/>
      </w:pPr>
      <w:r>
        <w:t>Source:</w:t>
      </w:r>
      <w:r>
        <w:tab/>
        <w:t>Airline surveys, passenger surveys, and objective indicators obtained from Melbourne Airport</w:t>
      </w:r>
    </w:p>
    <w:p w:rsidR="00292546" w:rsidRDefault="00292546" w:rsidP="00292546">
      <w:pPr>
        <w:pStyle w:val="Sourceandnotes"/>
      </w:pPr>
    </w:p>
    <w:p w:rsidR="009543DB" w:rsidRDefault="009543DB" w:rsidP="009543DB">
      <w:pPr>
        <w:pStyle w:val="Numberedheading3"/>
      </w:pPr>
      <w:r>
        <w:lastRenderedPageBreak/>
        <w:t>Aircraft</w:t>
      </w:r>
      <w:r>
        <w:noBreakHyphen/>
        <w:t>related services and facilities</w:t>
      </w:r>
    </w:p>
    <w:p w:rsidR="009543DB" w:rsidRDefault="009543DB" w:rsidP="009543DB">
      <w:r>
        <w:t>As discussed above</w:t>
      </w:r>
      <w:r w:rsidRPr="0092453F">
        <w:t xml:space="preserve">, airlines’ ratings of aircraft-related services and facilities </w:t>
      </w:r>
      <w:r>
        <w:t>declin</w:t>
      </w:r>
      <w:r w:rsidRPr="0092453F">
        <w:t>ed within the ‘satisfactor</w:t>
      </w:r>
      <w:r>
        <w:t>y’ range during 2014</w:t>
      </w:r>
      <w:r>
        <w:noBreakHyphen/>
        <w:t>15. Table 3</w:t>
      </w:r>
      <w:r w:rsidRPr="0092453F">
        <w:t>.3.1 displays the speci</w:t>
      </w:r>
      <w:r>
        <w:t>fic indicators which drove the decline in</w:t>
      </w:r>
      <w:r w:rsidRPr="0092453F">
        <w:t xml:space="preserve"> this rating during the year.</w:t>
      </w:r>
    </w:p>
    <w:p w:rsidR="009543DB" w:rsidRDefault="009543DB" w:rsidP="009543DB">
      <w:pPr>
        <w:pStyle w:val="Numberedcharttitle"/>
      </w:pPr>
      <w:r>
        <w:t>Table 3.3.1:</w:t>
      </w:r>
      <w:r>
        <w:tab/>
        <w:t>Melbourne Airport—airline ratings of quality of individual aircraft</w:t>
      </w:r>
      <w:r>
        <w:noBreakHyphen/>
        <w:t>related services and facilities: 2014-15, 1-year change, and change since 2010</w:t>
      </w:r>
      <w:r>
        <w:noBreakHyphen/>
        <w:t>11</w:t>
      </w:r>
    </w:p>
    <w:tbl>
      <w:tblPr>
        <w:tblStyle w:val="TableGrid"/>
        <w:tblW w:w="0" w:type="auto"/>
        <w:tblLook w:val="04A0" w:firstRow="1" w:lastRow="0" w:firstColumn="1" w:lastColumn="0" w:noHBand="0" w:noVBand="1"/>
      </w:tblPr>
      <w:tblGrid>
        <w:gridCol w:w="1732"/>
        <w:gridCol w:w="3054"/>
        <w:gridCol w:w="1843"/>
        <w:gridCol w:w="1017"/>
        <w:gridCol w:w="1018"/>
      </w:tblGrid>
      <w:tr w:rsidR="009543DB" w:rsidTr="009543DB">
        <w:tc>
          <w:tcPr>
            <w:tcW w:w="1732" w:type="dxa"/>
            <w:tcBorders>
              <w:left w:val="nil"/>
              <w:bottom w:val="single" w:sz="4" w:space="0" w:color="auto"/>
              <w:right w:val="nil"/>
            </w:tcBorders>
            <w:shd w:val="clear" w:color="auto" w:fill="DFE0DC"/>
          </w:tcPr>
          <w:p w:rsidR="009543DB" w:rsidRDefault="009543DB" w:rsidP="009543DB">
            <w:pPr>
              <w:pStyle w:val="Tabletextleft"/>
              <w:keepNext/>
            </w:pPr>
          </w:p>
        </w:tc>
        <w:tc>
          <w:tcPr>
            <w:tcW w:w="3054" w:type="dxa"/>
            <w:tcBorders>
              <w:left w:val="nil"/>
              <w:bottom w:val="single" w:sz="4" w:space="0" w:color="auto"/>
              <w:right w:val="nil"/>
            </w:tcBorders>
            <w:shd w:val="clear" w:color="auto" w:fill="DFE0DC"/>
            <w:vAlign w:val="center"/>
          </w:tcPr>
          <w:p w:rsidR="009543DB" w:rsidRDefault="009543DB" w:rsidP="009543DB">
            <w:pPr>
              <w:pStyle w:val="Tabletextleft-centred"/>
            </w:pPr>
            <w:r>
              <w:t>Indicator</w:t>
            </w:r>
          </w:p>
        </w:tc>
        <w:tc>
          <w:tcPr>
            <w:tcW w:w="1843" w:type="dxa"/>
            <w:tcBorders>
              <w:left w:val="nil"/>
              <w:bottom w:val="single" w:sz="4" w:space="0" w:color="auto"/>
              <w:right w:val="nil"/>
            </w:tcBorders>
            <w:shd w:val="clear" w:color="auto" w:fill="DFE0DC"/>
            <w:vAlign w:val="center"/>
          </w:tcPr>
          <w:p w:rsidR="009543DB" w:rsidRDefault="009543DB" w:rsidP="009543DB">
            <w:pPr>
              <w:pStyle w:val="Tabletextleft-centred"/>
            </w:pPr>
            <w:r>
              <w:t>Rating category</w:t>
            </w:r>
            <w:r>
              <w:br/>
              <w:t>2014-15</w:t>
            </w:r>
          </w:p>
        </w:tc>
        <w:tc>
          <w:tcPr>
            <w:tcW w:w="1017" w:type="dxa"/>
            <w:tcBorders>
              <w:left w:val="nil"/>
              <w:bottom w:val="single" w:sz="4" w:space="0" w:color="auto"/>
              <w:right w:val="nil"/>
            </w:tcBorders>
            <w:shd w:val="clear" w:color="auto" w:fill="DFE0DC"/>
            <w:vAlign w:val="center"/>
          </w:tcPr>
          <w:p w:rsidR="009543DB" w:rsidRDefault="009543DB" w:rsidP="009543DB">
            <w:pPr>
              <w:pStyle w:val="Tabletextleft-centred"/>
            </w:pPr>
            <w:r>
              <w:t>1-year change</w:t>
            </w:r>
          </w:p>
        </w:tc>
        <w:tc>
          <w:tcPr>
            <w:tcW w:w="1018" w:type="dxa"/>
            <w:tcBorders>
              <w:left w:val="nil"/>
              <w:bottom w:val="single" w:sz="4" w:space="0" w:color="auto"/>
              <w:right w:val="nil"/>
            </w:tcBorders>
            <w:shd w:val="clear" w:color="auto" w:fill="DFE0DC"/>
            <w:vAlign w:val="center"/>
          </w:tcPr>
          <w:p w:rsidR="009543DB" w:rsidRDefault="009543DB" w:rsidP="009543DB">
            <w:pPr>
              <w:pStyle w:val="Tabletextleft-centred"/>
            </w:pPr>
            <w:r>
              <w:t>Change since 2010-11</w:t>
            </w:r>
          </w:p>
        </w:tc>
      </w:tr>
      <w:tr w:rsidR="009543DB" w:rsidTr="009543DB">
        <w:tc>
          <w:tcPr>
            <w:tcW w:w="1732" w:type="dxa"/>
            <w:vMerge w:val="restart"/>
            <w:tcBorders>
              <w:left w:val="nil"/>
              <w:right w:val="nil"/>
            </w:tcBorders>
          </w:tcPr>
          <w:p w:rsidR="009543DB" w:rsidRDefault="009543DB" w:rsidP="009543DB">
            <w:pPr>
              <w:pStyle w:val="Tabletextheading"/>
            </w:pPr>
            <w:r>
              <w:t>Runway</w:t>
            </w:r>
          </w:p>
        </w:tc>
        <w:tc>
          <w:tcPr>
            <w:tcW w:w="3054" w:type="dxa"/>
            <w:tcBorders>
              <w:left w:val="nil"/>
              <w:bottom w:val="nil"/>
              <w:right w:val="nil"/>
            </w:tcBorders>
          </w:tcPr>
          <w:p w:rsidR="009543DB" w:rsidRDefault="009543DB" w:rsidP="009543DB">
            <w:pPr>
              <w:pStyle w:val="Tabletextleft"/>
              <w:keepNext/>
            </w:pPr>
            <w:r>
              <w:t>Availability</w:t>
            </w:r>
          </w:p>
        </w:tc>
        <w:tc>
          <w:tcPr>
            <w:tcW w:w="1843" w:type="dxa"/>
            <w:tcBorders>
              <w:left w:val="nil"/>
              <w:bottom w:val="nil"/>
              <w:right w:val="nil"/>
            </w:tcBorders>
          </w:tcPr>
          <w:p w:rsidR="009543DB" w:rsidRDefault="009543DB" w:rsidP="009543DB">
            <w:pPr>
              <w:pStyle w:val="Tabletextleft"/>
              <w:keepNext/>
            </w:pPr>
            <w:r>
              <w:t>Good</w:t>
            </w:r>
          </w:p>
        </w:tc>
        <w:tc>
          <w:tcPr>
            <w:tcW w:w="1017" w:type="dxa"/>
            <w:tcBorders>
              <w:left w:val="nil"/>
              <w:bottom w:val="nil"/>
              <w:right w:val="nil"/>
            </w:tcBorders>
          </w:tcPr>
          <w:p w:rsidR="009543DB" w:rsidRDefault="009543DB" w:rsidP="009543DB">
            <w:pPr>
              <w:pStyle w:val="Tabletextleft"/>
              <w:keepNext/>
            </w:pPr>
            <w:r w:rsidRPr="00F617F8">
              <w:rPr>
                <w:rFonts w:eastAsia="Times New Roman" w:cs="Times New Roman"/>
                <w:color w:val="943634"/>
                <w:szCs w:val="24"/>
                <w:lang w:eastAsia="en-AU"/>
              </w:rPr>
              <w:t>▲</w:t>
            </w:r>
            <w:r w:rsidRPr="006B740F">
              <w:rPr>
                <w:rFonts w:eastAsia="Times New Roman" w:cs="Times New Roman"/>
                <w:color w:val="000000" w:themeColor="text1"/>
                <w:szCs w:val="24"/>
                <w:lang w:eastAsia="en-AU"/>
              </w:rPr>
              <w:t>*</w:t>
            </w:r>
          </w:p>
        </w:tc>
        <w:tc>
          <w:tcPr>
            <w:tcW w:w="1018" w:type="dxa"/>
            <w:tcBorders>
              <w:left w:val="nil"/>
              <w:bottom w:val="nil"/>
              <w:right w:val="nil"/>
            </w:tcBorders>
          </w:tcPr>
          <w:p w:rsidR="009543DB" w:rsidRDefault="009543DB" w:rsidP="009543DB">
            <w:pPr>
              <w:pStyle w:val="Tabletextleft"/>
              <w:keepNext/>
            </w:pPr>
            <w:r w:rsidRPr="00F617F8">
              <w:rPr>
                <w:rFonts w:eastAsia="Times New Roman" w:cs="Times New Roman"/>
                <w:color w:val="943634"/>
                <w:szCs w:val="24"/>
                <w:lang w:eastAsia="en-AU"/>
              </w:rPr>
              <w:t>▲</w:t>
            </w:r>
            <w:r w:rsidRPr="006B740F">
              <w:rPr>
                <w:rFonts w:eastAsia="Times New Roman" w:cs="Times New Roman"/>
                <w:color w:val="000000" w:themeColor="text1"/>
                <w:szCs w:val="24"/>
                <w:lang w:eastAsia="en-AU"/>
              </w:rPr>
              <w:t>*</w:t>
            </w:r>
          </w:p>
        </w:tc>
      </w:tr>
      <w:tr w:rsidR="009543DB" w:rsidTr="009543DB">
        <w:tc>
          <w:tcPr>
            <w:tcW w:w="1732" w:type="dxa"/>
            <w:vMerge/>
            <w:tcBorders>
              <w:left w:val="nil"/>
              <w:right w:val="nil"/>
            </w:tcBorders>
          </w:tcPr>
          <w:p w:rsidR="009543DB" w:rsidRDefault="009543DB" w:rsidP="009543DB">
            <w:pPr>
              <w:pStyle w:val="Tabletextheading"/>
            </w:pPr>
          </w:p>
        </w:tc>
        <w:tc>
          <w:tcPr>
            <w:tcW w:w="3054" w:type="dxa"/>
            <w:tcBorders>
              <w:top w:val="nil"/>
              <w:left w:val="nil"/>
              <w:bottom w:val="single" w:sz="4" w:space="0" w:color="auto"/>
              <w:right w:val="nil"/>
            </w:tcBorders>
          </w:tcPr>
          <w:p w:rsidR="009543DB" w:rsidRDefault="009543DB" w:rsidP="009543DB">
            <w:pPr>
              <w:pStyle w:val="Tabletextleft"/>
              <w:keepNext/>
            </w:pPr>
            <w:r>
              <w:t>Standard</w:t>
            </w:r>
          </w:p>
        </w:tc>
        <w:tc>
          <w:tcPr>
            <w:tcW w:w="1843" w:type="dxa"/>
            <w:tcBorders>
              <w:top w:val="nil"/>
              <w:left w:val="nil"/>
              <w:bottom w:val="single" w:sz="4" w:space="0" w:color="auto"/>
              <w:right w:val="nil"/>
            </w:tcBorders>
          </w:tcPr>
          <w:p w:rsidR="009543DB" w:rsidRDefault="009543DB" w:rsidP="009543DB">
            <w:pPr>
              <w:pStyle w:val="Tabletextleft"/>
              <w:keepNext/>
            </w:pPr>
            <w:r>
              <w:t>Good</w:t>
            </w:r>
          </w:p>
        </w:tc>
        <w:tc>
          <w:tcPr>
            <w:tcW w:w="1017"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943634"/>
                <w:szCs w:val="24"/>
                <w:lang w:eastAsia="en-AU"/>
              </w:rPr>
              <w:t>▲</w:t>
            </w:r>
          </w:p>
        </w:tc>
        <w:tc>
          <w:tcPr>
            <w:tcW w:w="1018"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943634"/>
                <w:szCs w:val="24"/>
                <w:lang w:eastAsia="en-AU"/>
              </w:rPr>
              <w:t>▲</w:t>
            </w:r>
          </w:p>
        </w:tc>
      </w:tr>
      <w:tr w:rsidR="009543DB" w:rsidTr="009543DB">
        <w:tc>
          <w:tcPr>
            <w:tcW w:w="1732" w:type="dxa"/>
            <w:vMerge w:val="restart"/>
            <w:tcBorders>
              <w:left w:val="nil"/>
              <w:right w:val="nil"/>
            </w:tcBorders>
          </w:tcPr>
          <w:p w:rsidR="009543DB" w:rsidRDefault="009543DB" w:rsidP="009543DB">
            <w:pPr>
              <w:pStyle w:val="Tabletextheading"/>
            </w:pPr>
            <w:r>
              <w:t>Taxiways</w:t>
            </w:r>
          </w:p>
        </w:tc>
        <w:tc>
          <w:tcPr>
            <w:tcW w:w="3054" w:type="dxa"/>
            <w:tcBorders>
              <w:left w:val="nil"/>
              <w:bottom w:val="nil"/>
              <w:right w:val="nil"/>
            </w:tcBorders>
          </w:tcPr>
          <w:p w:rsidR="009543DB" w:rsidRDefault="009543DB" w:rsidP="009543DB">
            <w:pPr>
              <w:pStyle w:val="Tabletextleft"/>
              <w:keepNext/>
            </w:pPr>
            <w:r>
              <w:t>Availability</w:t>
            </w:r>
          </w:p>
        </w:tc>
        <w:tc>
          <w:tcPr>
            <w:tcW w:w="1843" w:type="dxa"/>
            <w:tcBorders>
              <w:left w:val="nil"/>
              <w:bottom w:val="nil"/>
              <w:right w:val="nil"/>
            </w:tcBorders>
          </w:tcPr>
          <w:p w:rsidR="009543DB" w:rsidRDefault="009543DB" w:rsidP="009543DB">
            <w:pPr>
              <w:pStyle w:val="Tabletextleft"/>
              <w:keepNext/>
            </w:pPr>
            <w:r>
              <w:t>Satisfactory</w:t>
            </w:r>
          </w:p>
        </w:tc>
        <w:tc>
          <w:tcPr>
            <w:tcW w:w="1017" w:type="dxa"/>
            <w:tcBorders>
              <w:left w:val="nil"/>
              <w:bottom w:val="nil"/>
              <w:right w:val="nil"/>
            </w:tcBorders>
          </w:tcPr>
          <w:p w:rsidR="009543DB" w:rsidRDefault="009543DB" w:rsidP="009543DB">
            <w:pPr>
              <w:pStyle w:val="Tabletextleft"/>
              <w:keepNext/>
            </w:pPr>
            <w:r w:rsidRPr="00F617F8">
              <w:rPr>
                <w:rFonts w:cs="Arial"/>
                <w:color w:val="4BACC6"/>
              </w:rPr>
              <w:t>▬</w:t>
            </w:r>
          </w:p>
        </w:tc>
        <w:tc>
          <w:tcPr>
            <w:tcW w:w="1018" w:type="dxa"/>
            <w:tcBorders>
              <w:left w:val="nil"/>
              <w:bottom w:val="nil"/>
              <w:right w:val="nil"/>
            </w:tcBorders>
          </w:tcPr>
          <w:p w:rsidR="009543DB" w:rsidRPr="002D611F" w:rsidRDefault="009543DB" w:rsidP="009543DB">
            <w:pPr>
              <w:pStyle w:val="Tabletextleft"/>
              <w:keepNext/>
              <w:rPr>
                <w:color w:val="000000" w:themeColor="text1"/>
              </w:rPr>
            </w:pPr>
            <w:r w:rsidRPr="00F617F8">
              <w:rPr>
                <w:rFonts w:eastAsia="Times New Roman" w:cs="Times New Roman"/>
                <w:color w:val="F79646"/>
                <w:szCs w:val="24"/>
                <w:lang w:eastAsia="en-AU"/>
              </w:rPr>
              <w:t>▼</w:t>
            </w:r>
          </w:p>
        </w:tc>
      </w:tr>
      <w:tr w:rsidR="009543DB" w:rsidTr="009543DB">
        <w:tc>
          <w:tcPr>
            <w:tcW w:w="1732" w:type="dxa"/>
            <w:vMerge/>
            <w:tcBorders>
              <w:left w:val="nil"/>
              <w:right w:val="nil"/>
            </w:tcBorders>
          </w:tcPr>
          <w:p w:rsidR="009543DB" w:rsidRDefault="009543DB" w:rsidP="009543DB">
            <w:pPr>
              <w:pStyle w:val="Tabletextheading"/>
            </w:pPr>
          </w:p>
        </w:tc>
        <w:tc>
          <w:tcPr>
            <w:tcW w:w="3054" w:type="dxa"/>
            <w:tcBorders>
              <w:top w:val="nil"/>
              <w:left w:val="nil"/>
              <w:bottom w:val="single" w:sz="4" w:space="0" w:color="auto"/>
              <w:right w:val="nil"/>
            </w:tcBorders>
          </w:tcPr>
          <w:p w:rsidR="009543DB" w:rsidRDefault="009543DB" w:rsidP="009543DB">
            <w:pPr>
              <w:pStyle w:val="Tabletextleft"/>
              <w:keepNext/>
            </w:pPr>
            <w:r>
              <w:t>Standard</w:t>
            </w:r>
          </w:p>
        </w:tc>
        <w:tc>
          <w:tcPr>
            <w:tcW w:w="1843" w:type="dxa"/>
            <w:tcBorders>
              <w:top w:val="nil"/>
              <w:left w:val="nil"/>
              <w:bottom w:val="single" w:sz="4" w:space="0" w:color="auto"/>
              <w:right w:val="nil"/>
            </w:tcBorders>
          </w:tcPr>
          <w:p w:rsidR="009543DB" w:rsidRDefault="009543DB" w:rsidP="009543DB">
            <w:pPr>
              <w:pStyle w:val="Tabletextleft"/>
              <w:keepNext/>
            </w:pPr>
            <w:r>
              <w:t>Good</w:t>
            </w:r>
          </w:p>
        </w:tc>
        <w:tc>
          <w:tcPr>
            <w:tcW w:w="1017" w:type="dxa"/>
            <w:tcBorders>
              <w:top w:val="nil"/>
              <w:left w:val="nil"/>
              <w:bottom w:val="single" w:sz="4" w:space="0" w:color="auto"/>
              <w:right w:val="nil"/>
            </w:tcBorders>
          </w:tcPr>
          <w:p w:rsidR="009543DB" w:rsidRPr="002D611F" w:rsidRDefault="009543DB" w:rsidP="009543DB">
            <w:pPr>
              <w:pStyle w:val="Tabletextleft"/>
              <w:keepNext/>
              <w:rPr>
                <w:b/>
              </w:rPr>
            </w:pPr>
            <w:r w:rsidRPr="00F617F8">
              <w:rPr>
                <w:rFonts w:eastAsia="Times New Roman" w:cs="Times New Roman"/>
                <w:color w:val="943634"/>
                <w:szCs w:val="24"/>
                <w:lang w:eastAsia="en-AU"/>
              </w:rPr>
              <w:t>▲</w:t>
            </w:r>
            <w:r w:rsidRPr="006B740F">
              <w:rPr>
                <w:rFonts w:eastAsia="Times New Roman" w:cs="Times New Roman"/>
                <w:color w:val="000000" w:themeColor="text1"/>
                <w:szCs w:val="24"/>
                <w:lang w:eastAsia="en-AU"/>
              </w:rPr>
              <w:t>*</w:t>
            </w:r>
          </w:p>
        </w:tc>
        <w:tc>
          <w:tcPr>
            <w:tcW w:w="1018"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r>
      <w:tr w:rsidR="009543DB" w:rsidTr="009543DB">
        <w:tc>
          <w:tcPr>
            <w:tcW w:w="1732" w:type="dxa"/>
            <w:vMerge w:val="restart"/>
            <w:tcBorders>
              <w:left w:val="nil"/>
              <w:right w:val="nil"/>
            </w:tcBorders>
          </w:tcPr>
          <w:p w:rsidR="009543DB" w:rsidRDefault="009543DB" w:rsidP="009543DB">
            <w:pPr>
              <w:pStyle w:val="Tabletextheading"/>
            </w:pPr>
            <w:r>
              <w:t>Aprons</w:t>
            </w:r>
          </w:p>
        </w:tc>
        <w:tc>
          <w:tcPr>
            <w:tcW w:w="3054" w:type="dxa"/>
            <w:tcBorders>
              <w:left w:val="nil"/>
              <w:bottom w:val="nil"/>
              <w:right w:val="nil"/>
            </w:tcBorders>
          </w:tcPr>
          <w:p w:rsidR="009543DB" w:rsidRDefault="009543DB" w:rsidP="009543DB">
            <w:pPr>
              <w:pStyle w:val="Tabletextleft"/>
              <w:keepNext/>
            </w:pPr>
            <w:r>
              <w:t>Availability</w:t>
            </w:r>
          </w:p>
        </w:tc>
        <w:tc>
          <w:tcPr>
            <w:tcW w:w="1843" w:type="dxa"/>
            <w:tcBorders>
              <w:left w:val="nil"/>
              <w:bottom w:val="nil"/>
              <w:right w:val="nil"/>
            </w:tcBorders>
          </w:tcPr>
          <w:p w:rsidR="009543DB" w:rsidRDefault="009543DB" w:rsidP="009543DB">
            <w:pPr>
              <w:pStyle w:val="Tabletextleft"/>
              <w:keepNext/>
            </w:pPr>
            <w:r>
              <w:t>Satisfactory</w:t>
            </w:r>
          </w:p>
        </w:tc>
        <w:tc>
          <w:tcPr>
            <w:tcW w:w="1017" w:type="dxa"/>
            <w:tcBorders>
              <w:left w:val="nil"/>
              <w:bottom w:val="nil"/>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c>
          <w:tcPr>
            <w:tcW w:w="1018" w:type="dxa"/>
            <w:tcBorders>
              <w:left w:val="nil"/>
              <w:bottom w:val="nil"/>
              <w:right w:val="nil"/>
            </w:tcBorders>
          </w:tcPr>
          <w:p w:rsidR="009543DB" w:rsidRDefault="009543DB" w:rsidP="009543DB">
            <w:pPr>
              <w:pStyle w:val="Tabletextleft"/>
              <w:keepNext/>
            </w:pPr>
            <w:r w:rsidRPr="00F617F8">
              <w:rPr>
                <w:rFonts w:eastAsia="Times New Roman" w:cs="Times New Roman"/>
                <w:color w:val="F79646"/>
                <w:szCs w:val="24"/>
                <w:lang w:eastAsia="en-AU"/>
              </w:rPr>
              <w:t>▼</w:t>
            </w:r>
            <w:r w:rsidRPr="0092453F">
              <w:rPr>
                <w:rFonts w:eastAsia="Times New Roman" w:cs="Times New Roman"/>
                <w:color w:val="000000" w:themeColor="text1"/>
                <w:szCs w:val="24"/>
                <w:lang w:eastAsia="en-AU"/>
              </w:rPr>
              <w:t>*</w:t>
            </w:r>
          </w:p>
        </w:tc>
      </w:tr>
      <w:tr w:rsidR="009543DB" w:rsidTr="009543DB">
        <w:tc>
          <w:tcPr>
            <w:tcW w:w="1732" w:type="dxa"/>
            <w:vMerge/>
            <w:tcBorders>
              <w:left w:val="nil"/>
              <w:right w:val="nil"/>
            </w:tcBorders>
          </w:tcPr>
          <w:p w:rsidR="009543DB" w:rsidRDefault="009543DB" w:rsidP="009543DB">
            <w:pPr>
              <w:pStyle w:val="Tabletextheading"/>
            </w:pPr>
          </w:p>
        </w:tc>
        <w:tc>
          <w:tcPr>
            <w:tcW w:w="3054" w:type="dxa"/>
            <w:tcBorders>
              <w:top w:val="nil"/>
              <w:left w:val="nil"/>
              <w:bottom w:val="single" w:sz="4" w:space="0" w:color="auto"/>
              <w:right w:val="nil"/>
            </w:tcBorders>
          </w:tcPr>
          <w:p w:rsidR="009543DB" w:rsidRDefault="009543DB" w:rsidP="009543DB">
            <w:pPr>
              <w:pStyle w:val="Tabletextleft"/>
              <w:keepNext/>
            </w:pPr>
            <w:r>
              <w:t>Standard</w:t>
            </w:r>
          </w:p>
        </w:tc>
        <w:tc>
          <w:tcPr>
            <w:tcW w:w="1843" w:type="dxa"/>
            <w:tcBorders>
              <w:top w:val="nil"/>
              <w:left w:val="nil"/>
              <w:bottom w:val="single" w:sz="4" w:space="0" w:color="auto"/>
              <w:right w:val="nil"/>
            </w:tcBorders>
          </w:tcPr>
          <w:p w:rsidR="009543DB" w:rsidRDefault="009543DB" w:rsidP="009543DB">
            <w:pPr>
              <w:pStyle w:val="Tabletextleft"/>
              <w:keepNext/>
            </w:pPr>
            <w:r>
              <w:t>Satisfactory</w:t>
            </w:r>
          </w:p>
        </w:tc>
        <w:tc>
          <w:tcPr>
            <w:tcW w:w="1017"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c>
          <w:tcPr>
            <w:tcW w:w="1018"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F79646"/>
                <w:szCs w:val="24"/>
                <w:lang w:eastAsia="en-AU"/>
              </w:rPr>
              <w:t>▼</w:t>
            </w:r>
            <w:r w:rsidRPr="0092453F">
              <w:rPr>
                <w:rFonts w:eastAsia="Times New Roman" w:cs="Times New Roman"/>
                <w:color w:val="000000" w:themeColor="text1"/>
                <w:szCs w:val="24"/>
                <w:lang w:eastAsia="en-AU"/>
              </w:rPr>
              <w:t>*</w:t>
            </w:r>
          </w:p>
        </w:tc>
      </w:tr>
      <w:tr w:rsidR="009543DB" w:rsidTr="009543DB">
        <w:tc>
          <w:tcPr>
            <w:tcW w:w="1732" w:type="dxa"/>
            <w:vMerge w:val="restart"/>
            <w:tcBorders>
              <w:left w:val="nil"/>
              <w:right w:val="nil"/>
            </w:tcBorders>
          </w:tcPr>
          <w:p w:rsidR="009543DB" w:rsidRDefault="009543DB" w:rsidP="009543DB">
            <w:pPr>
              <w:pStyle w:val="Tabletextheading"/>
            </w:pPr>
            <w:r>
              <w:t>Aircraft parking</w:t>
            </w:r>
          </w:p>
        </w:tc>
        <w:tc>
          <w:tcPr>
            <w:tcW w:w="3054" w:type="dxa"/>
            <w:tcBorders>
              <w:left w:val="nil"/>
              <w:bottom w:val="nil"/>
              <w:right w:val="nil"/>
            </w:tcBorders>
          </w:tcPr>
          <w:p w:rsidR="009543DB" w:rsidRDefault="009543DB" w:rsidP="009543DB">
            <w:pPr>
              <w:pStyle w:val="Tabletextleft"/>
              <w:keepNext/>
            </w:pPr>
            <w:r>
              <w:t>Availability of facilities and bays</w:t>
            </w:r>
          </w:p>
        </w:tc>
        <w:tc>
          <w:tcPr>
            <w:tcW w:w="1843" w:type="dxa"/>
            <w:tcBorders>
              <w:left w:val="nil"/>
              <w:bottom w:val="nil"/>
              <w:right w:val="nil"/>
            </w:tcBorders>
          </w:tcPr>
          <w:p w:rsidR="009543DB" w:rsidRDefault="009543DB" w:rsidP="009543DB">
            <w:pPr>
              <w:pStyle w:val="Tabletextleft"/>
              <w:keepNext/>
            </w:pPr>
            <w:r>
              <w:t>Poor</w:t>
            </w:r>
          </w:p>
        </w:tc>
        <w:tc>
          <w:tcPr>
            <w:tcW w:w="1017" w:type="dxa"/>
            <w:tcBorders>
              <w:left w:val="nil"/>
              <w:bottom w:val="nil"/>
              <w:right w:val="nil"/>
            </w:tcBorders>
          </w:tcPr>
          <w:p w:rsidR="009543DB" w:rsidRDefault="009543DB" w:rsidP="009543DB">
            <w:pPr>
              <w:pStyle w:val="Tabletextleft"/>
              <w:keepNext/>
            </w:pPr>
            <w:r w:rsidRPr="00F617F8">
              <w:rPr>
                <w:rFonts w:eastAsia="Times New Roman" w:cs="Times New Roman"/>
                <w:color w:val="F79646"/>
                <w:szCs w:val="24"/>
                <w:lang w:eastAsia="en-AU"/>
              </w:rPr>
              <w:t>▼</w:t>
            </w:r>
            <w:r w:rsidRPr="006B740F">
              <w:rPr>
                <w:rFonts w:eastAsia="Times New Roman" w:cs="Times New Roman"/>
                <w:color w:val="000000" w:themeColor="text1"/>
                <w:szCs w:val="24"/>
                <w:lang w:eastAsia="en-AU"/>
              </w:rPr>
              <w:t>*</w:t>
            </w:r>
          </w:p>
        </w:tc>
        <w:tc>
          <w:tcPr>
            <w:tcW w:w="1018" w:type="dxa"/>
            <w:tcBorders>
              <w:left w:val="nil"/>
              <w:bottom w:val="nil"/>
              <w:right w:val="nil"/>
            </w:tcBorders>
          </w:tcPr>
          <w:p w:rsidR="009543DB" w:rsidRDefault="009543DB" w:rsidP="009543DB">
            <w:pPr>
              <w:pStyle w:val="Tabletextleft"/>
              <w:keepNext/>
            </w:pPr>
            <w:r w:rsidRPr="00F617F8">
              <w:rPr>
                <w:rFonts w:eastAsia="Times New Roman" w:cs="Times New Roman"/>
                <w:color w:val="943634"/>
                <w:szCs w:val="24"/>
                <w:lang w:eastAsia="en-AU"/>
              </w:rPr>
              <w:t>▲</w:t>
            </w:r>
          </w:p>
        </w:tc>
      </w:tr>
      <w:tr w:rsidR="009543DB" w:rsidTr="009543DB">
        <w:tc>
          <w:tcPr>
            <w:tcW w:w="1732" w:type="dxa"/>
            <w:vMerge/>
            <w:tcBorders>
              <w:left w:val="nil"/>
              <w:right w:val="nil"/>
            </w:tcBorders>
          </w:tcPr>
          <w:p w:rsidR="009543DB" w:rsidRDefault="009543DB" w:rsidP="009543DB">
            <w:pPr>
              <w:pStyle w:val="Tabletextheading"/>
            </w:pPr>
          </w:p>
        </w:tc>
        <w:tc>
          <w:tcPr>
            <w:tcW w:w="3054" w:type="dxa"/>
            <w:tcBorders>
              <w:top w:val="nil"/>
              <w:left w:val="nil"/>
              <w:bottom w:val="single" w:sz="4" w:space="0" w:color="auto"/>
              <w:right w:val="nil"/>
            </w:tcBorders>
          </w:tcPr>
          <w:p w:rsidR="009543DB" w:rsidRDefault="009543DB" w:rsidP="009543DB">
            <w:pPr>
              <w:pStyle w:val="Tabletextleft"/>
              <w:keepNext/>
            </w:pPr>
            <w:r>
              <w:t>Standard of facilities and bays</w:t>
            </w:r>
          </w:p>
        </w:tc>
        <w:tc>
          <w:tcPr>
            <w:tcW w:w="1843" w:type="dxa"/>
            <w:tcBorders>
              <w:top w:val="nil"/>
              <w:left w:val="nil"/>
              <w:bottom w:val="single" w:sz="4" w:space="0" w:color="auto"/>
              <w:right w:val="nil"/>
            </w:tcBorders>
          </w:tcPr>
          <w:p w:rsidR="009543DB" w:rsidRDefault="009543DB" w:rsidP="009543DB">
            <w:pPr>
              <w:pStyle w:val="Tabletextleft"/>
              <w:keepNext/>
            </w:pPr>
            <w:r>
              <w:t>Satisfactory</w:t>
            </w:r>
          </w:p>
        </w:tc>
        <w:tc>
          <w:tcPr>
            <w:tcW w:w="1017"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c>
          <w:tcPr>
            <w:tcW w:w="1018"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r>
      <w:tr w:rsidR="009543DB" w:rsidTr="009543DB">
        <w:tc>
          <w:tcPr>
            <w:tcW w:w="1732" w:type="dxa"/>
            <w:vMerge w:val="restart"/>
            <w:tcBorders>
              <w:left w:val="nil"/>
              <w:right w:val="nil"/>
            </w:tcBorders>
          </w:tcPr>
          <w:p w:rsidR="009543DB" w:rsidRDefault="009543DB" w:rsidP="009543DB">
            <w:pPr>
              <w:pStyle w:val="Tabletextheading"/>
            </w:pPr>
            <w:r>
              <w:t>Ground handling</w:t>
            </w:r>
          </w:p>
        </w:tc>
        <w:tc>
          <w:tcPr>
            <w:tcW w:w="3054" w:type="dxa"/>
            <w:tcBorders>
              <w:left w:val="nil"/>
              <w:bottom w:val="nil"/>
              <w:right w:val="nil"/>
            </w:tcBorders>
          </w:tcPr>
          <w:p w:rsidR="009543DB" w:rsidRDefault="009543DB" w:rsidP="009543DB">
            <w:pPr>
              <w:pStyle w:val="Tabletextleft"/>
              <w:keepNext/>
            </w:pPr>
            <w:r>
              <w:t>Availability of services and facilities</w:t>
            </w:r>
          </w:p>
        </w:tc>
        <w:tc>
          <w:tcPr>
            <w:tcW w:w="1843" w:type="dxa"/>
            <w:tcBorders>
              <w:left w:val="nil"/>
              <w:bottom w:val="nil"/>
              <w:right w:val="nil"/>
            </w:tcBorders>
          </w:tcPr>
          <w:p w:rsidR="009543DB" w:rsidRDefault="009543DB" w:rsidP="009543DB">
            <w:pPr>
              <w:pStyle w:val="Tabletextleft"/>
              <w:keepNext/>
            </w:pPr>
            <w:r>
              <w:t>Satisfactory</w:t>
            </w:r>
          </w:p>
        </w:tc>
        <w:tc>
          <w:tcPr>
            <w:tcW w:w="1017" w:type="dxa"/>
            <w:tcBorders>
              <w:left w:val="nil"/>
              <w:bottom w:val="nil"/>
              <w:right w:val="nil"/>
            </w:tcBorders>
          </w:tcPr>
          <w:p w:rsidR="009543DB" w:rsidRDefault="009543DB" w:rsidP="009543DB">
            <w:pPr>
              <w:pStyle w:val="Tabletextleft"/>
              <w:keepNext/>
            </w:pPr>
            <w:r w:rsidRPr="00F617F8">
              <w:rPr>
                <w:rFonts w:cs="Arial"/>
                <w:color w:val="4BACC6"/>
              </w:rPr>
              <w:t>▬</w:t>
            </w:r>
          </w:p>
        </w:tc>
        <w:tc>
          <w:tcPr>
            <w:tcW w:w="1018" w:type="dxa"/>
            <w:tcBorders>
              <w:left w:val="nil"/>
              <w:bottom w:val="nil"/>
              <w:right w:val="nil"/>
            </w:tcBorders>
          </w:tcPr>
          <w:p w:rsidR="009543DB" w:rsidRDefault="009543DB" w:rsidP="009543DB">
            <w:pPr>
              <w:pStyle w:val="Tabletextleft"/>
              <w:keepNext/>
            </w:pPr>
            <w:r w:rsidRPr="00F617F8">
              <w:rPr>
                <w:rFonts w:cs="Arial"/>
                <w:color w:val="4BACC6"/>
              </w:rPr>
              <w:t>▬</w:t>
            </w:r>
          </w:p>
        </w:tc>
      </w:tr>
      <w:tr w:rsidR="009543DB" w:rsidTr="009543DB">
        <w:tc>
          <w:tcPr>
            <w:tcW w:w="1732" w:type="dxa"/>
            <w:vMerge/>
            <w:tcBorders>
              <w:left w:val="nil"/>
              <w:right w:val="nil"/>
            </w:tcBorders>
          </w:tcPr>
          <w:p w:rsidR="009543DB" w:rsidRDefault="009543DB" w:rsidP="009543DB">
            <w:pPr>
              <w:pStyle w:val="Tabletextheading"/>
            </w:pPr>
          </w:p>
        </w:tc>
        <w:tc>
          <w:tcPr>
            <w:tcW w:w="3054" w:type="dxa"/>
            <w:tcBorders>
              <w:top w:val="nil"/>
              <w:left w:val="nil"/>
              <w:bottom w:val="single" w:sz="4" w:space="0" w:color="auto"/>
              <w:right w:val="nil"/>
            </w:tcBorders>
          </w:tcPr>
          <w:p w:rsidR="009543DB" w:rsidRDefault="009543DB" w:rsidP="009543DB">
            <w:pPr>
              <w:pStyle w:val="Tabletextleft"/>
              <w:keepNext/>
            </w:pPr>
            <w:r>
              <w:t>Standard of services and facilities</w:t>
            </w:r>
          </w:p>
        </w:tc>
        <w:tc>
          <w:tcPr>
            <w:tcW w:w="1843" w:type="dxa"/>
            <w:tcBorders>
              <w:top w:val="nil"/>
              <w:left w:val="nil"/>
              <w:bottom w:val="single" w:sz="4" w:space="0" w:color="auto"/>
              <w:right w:val="nil"/>
            </w:tcBorders>
          </w:tcPr>
          <w:p w:rsidR="009543DB" w:rsidRDefault="009543DB" w:rsidP="009543DB">
            <w:pPr>
              <w:pStyle w:val="Tabletextleft"/>
              <w:keepNext/>
            </w:pPr>
            <w:r>
              <w:t>Satisfactory</w:t>
            </w:r>
          </w:p>
        </w:tc>
        <w:tc>
          <w:tcPr>
            <w:tcW w:w="1017" w:type="dxa"/>
            <w:tcBorders>
              <w:top w:val="nil"/>
              <w:left w:val="nil"/>
              <w:bottom w:val="single" w:sz="4" w:space="0" w:color="auto"/>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c>
          <w:tcPr>
            <w:tcW w:w="1018" w:type="dxa"/>
            <w:tcBorders>
              <w:top w:val="nil"/>
              <w:left w:val="nil"/>
              <w:bottom w:val="single" w:sz="4" w:space="0" w:color="auto"/>
              <w:right w:val="nil"/>
            </w:tcBorders>
          </w:tcPr>
          <w:p w:rsidR="009543DB" w:rsidRDefault="009543DB" w:rsidP="009543DB">
            <w:pPr>
              <w:pStyle w:val="Tabletextleft"/>
              <w:keepNext/>
            </w:pPr>
            <w:r w:rsidRPr="00F617F8">
              <w:rPr>
                <w:rFonts w:cs="Arial"/>
                <w:color w:val="4BACC6"/>
              </w:rPr>
              <w:t>▬</w:t>
            </w:r>
          </w:p>
        </w:tc>
      </w:tr>
      <w:tr w:rsidR="009543DB" w:rsidTr="009543DB">
        <w:tc>
          <w:tcPr>
            <w:tcW w:w="1732" w:type="dxa"/>
            <w:vMerge w:val="restart"/>
            <w:tcBorders>
              <w:left w:val="nil"/>
              <w:right w:val="nil"/>
            </w:tcBorders>
          </w:tcPr>
          <w:p w:rsidR="009543DB" w:rsidRDefault="009543DB" w:rsidP="009543DB">
            <w:pPr>
              <w:pStyle w:val="Tabletextheading"/>
            </w:pPr>
            <w:r>
              <w:t>Management responsiveness</w:t>
            </w:r>
          </w:p>
        </w:tc>
        <w:tc>
          <w:tcPr>
            <w:tcW w:w="3054" w:type="dxa"/>
            <w:tcBorders>
              <w:left w:val="nil"/>
              <w:bottom w:val="nil"/>
              <w:right w:val="nil"/>
            </w:tcBorders>
          </w:tcPr>
          <w:p w:rsidR="009543DB" w:rsidRDefault="009543DB" w:rsidP="009543DB">
            <w:pPr>
              <w:pStyle w:val="Tabletextleft"/>
              <w:keepNext/>
            </w:pPr>
            <w:r>
              <w:t>Availability</w:t>
            </w:r>
          </w:p>
        </w:tc>
        <w:tc>
          <w:tcPr>
            <w:tcW w:w="1843" w:type="dxa"/>
            <w:tcBorders>
              <w:left w:val="nil"/>
              <w:bottom w:val="nil"/>
              <w:right w:val="nil"/>
            </w:tcBorders>
          </w:tcPr>
          <w:p w:rsidR="009543DB" w:rsidRDefault="009543DB" w:rsidP="009543DB">
            <w:pPr>
              <w:pStyle w:val="Tabletextleft"/>
              <w:keepNext/>
            </w:pPr>
            <w:r>
              <w:t>Satisfactory</w:t>
            </w:r>
          </w:p>
        </w:tc>
        <w:tc>
          <w:tcPr>
            <w:tcW w:w="1017" w:type="dxa"/>
            <w:tcBorders>
              <w:left w:val="nil"/>
              <w:bottom w:val="nil"/>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c>
          <w:tcPr>
            <w:tcW w:w="1018" w:type="dxa"/>
            <w:tcBorders>
              <w:left w:val="nil"/>
              <w:bottom w:val="nil"/>
              <w:right w:val="nil"/>
            </w:tcBorders>
          </w:tcPr>
          <w:p w:rsidR="009543DB" w:rsidRDefault="009543DB" w:rsidP="009543DB">
            <w:pPr>
              <w:pStyle w:val="Tabletextleft"/>
              <w:keepNext/>
            </w:pPr>
            <w:r w:rsidRPr="00F617F8">
              <w:rPr>
                <w:rFonts w:eastAsia="Times New Roman" w:cs="Times New Roman"/>
                <w:color w:val="F79646"/>
                <w:szCs w:val="24"/>
                <w:lang w:eastAsia="en-AU"/>
              </w:rPr>
              <w:t>▼</w:t>
            </w:r>
            <w:r w:rsidRPr="006B740F">
              <w:rPr>
                <w:rFonts w:eastAsia="Times New Roman" w:cs="Times New Roman"/>
                <w:color w:val="000000" w:themeColor="text1"/>
                <w:szCs w:val="24"/>
                <w:lang w:eastAsia="en-AU"/>
              </w:rPr>
              <w:t>*</w:t>
            </w:r>
          </w:p>
        </w:tc>
      </w:tr>
      <w:tr w:rsidR="009543DB" w:rsidTr="009543DB">
        <w:tc>
          <w:tcPr>
            <w:tcW w:w="1732" w:type="dxa"/>
            <w:vMerge/>
            <w:tcBorders>
              <w:left w:val="nil"/>
              <w:right w:val="nil"/>
            </w:tcBorders>
          </w:tcPr>
          <w:p w:rsidR="009543DB" w:rsidRDefault="009543DB" w:rsidP="009543DB">
            <w:pPr>
              <w:pStyle w:val="Tabletextheading"/>
            </w:pPr>
          </w:p>
        </w:tc>
        <w:tc>
          <w:tcPr>
            <w:tcW w:w="3054" w:type="dxa"/>
            <w:tcBorders>
              <w:top w:val="nil"/>
              <w:left w:val="nil"/>
              <w:right w:val="nil"/>
            </w:tcBorders>
          </w:tcPr>
          <w:p w:rsidR="009543DB" w:rsidRDefault="009543DB" w:rsidP="009543DB">
            <w:pPr>
              <w:pStyle w:val="Tabletextleft"/>
              <w:keepNext/>
            </w:pPr>
            <w:r>
              <w:t>Standard</w:t>
            </w:r>
          </w:p>
        </w:tc>
        <w:tc>
          <w:tcPr>
            <w:tcW w:w="1843" w:type="dxa"/>
            <w:tcBorders>
              <w:top w:val="nil"/>
              <w:left w:val="nil"/>
              <w:right w:val="nil"/>
            </w:tcBorders>
          </w:tcPr>
          <w:p w:rsidR="009543DB" w:rsidRDefault="009543DB" w:rsidP="009543DB">
            <w:pPr>
              <w:pStyle w:val="Tabletextleft"/>
              <w:keepNext/>
            </w:pPr>
            <w:r>
              <w:t>Satisfactory</w:t>
            </w:r>
          </w:p>
        </w:tc>
        <w:tc>
          <w:tcPr>
            <w:tcW w:w="1017" w:type="dxa"/>
            <w:tcBorders>
              <w:top w:val="nil"/>
              <w:left w:val="nil"/>
              <w:right w:val="nil"/>
            </w:tcBorders>
          </w:tcPr>
          <w:p w:rsidR="009543DB" w:rsidRDefault="009543DB" w:rsidP="009543DB">
            <w:pPr>
              <w:pStyle w:val="Tabletextleft"/>
              <w:keepNext/>
            </w:pPr>
            <w:r w:rsidRPr="00F617F8">
              <w:rPr>
                <w:rFonts w:eastAsia="Times New Roman" w:cs="Times New Roman"/>
                <w:color w:val="F79646"/>
                <w:szCs w:val="24"/>
                <w:lang w:eastAsia="en-AU"/>
              </w:rPr>
              <w:t>▼</w:t>
            </w:r>
          </w:p>
        </w:tc>
        <w:tc>
          <w:tcPr>
            <w:tcW w:w="1018" w:type="dxa"/>
            <w:tcBorders>
              <w:top w:val="nil"/>
              <w:left w:val="nil"/>
              <w:right w:val="nil"/>
            </w:tcBorders>
          </w:tcPr>
          <w:p w:rsidR="009543DB" w:rsidRDefault="009543DB" w:rsidP="009543DB">
            <w:pPr>
              <w:pStyle w:val="Tabletextleft"/>
              <w:keepNext/>
            </w:pPr>
            <w:r w:rsidRPr="00F617F8">
              <w:rPr>
                <w:rFonts w:eastAsia="Times New Roman" w:cs="Times New Roman"/>
                <w:color w:val="F79646"/>
                <w:szCs w:val="24"/>
                <w:lang w:eastAsia="en-AU"/>
              </w:rPr>
              <w:t>▼</w:t>
            </w:r>
            <w:r w:rsidRPr="0092453F">
              <w:rPr>
                <w:rFonts w:eastAsia="Times New Roman" w:cs="Times New Roman"/>
                <w:color w:val="000000" w:themeColor="text1"/>
                <w:szCs w:val="24"/>
                <w:lang w:eastAsia="en-AU"/>
              </w:rPr>
              <w:t>*</w:t>
            </w:r>
          </w:p>
        </w:tc>
      </w:tr>
    </w:tbl>
    <w:p w:rsidR="009543DB" w:rsidRDefault="009543DB" w:rsidP="009543DB">
      <w:pPr>
        <w:pStyle w:val="Sourceandnotes"/>
      </w:pPr>
      <w:r>
        <w:t>Note:</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 w:val="18"/>
          <w:szCs w:val="24"/>
          <w:lang w:eastAsia="en-AU"/>
        </w:rPr>
        <w:t xml:space="preserve"> </w:t>
      </w:r>
      <w:r w:rsidRPr="00F617F8">
        <w:t>indicates an improvement;</w:t>
      </w:r>
      <w:r>
        <w:rPr>
          <w:rFonts w:eastAsia="Times New Roman" w:cs="Times New Roman"/>
          <w:color w:val="943634"/>
          <w:sz w:val="18"/>
          <w:szCs w:val="24"/>
          <w:lang w:eastAsia="en-AU"/>
        </w:rPr>
        <w:t xml:space="preserve">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sidRPr="00F617F8">
        <w:t>indicates a decline;</w:t>
      </w:r>
      <w:r>
        <w:rPr>
          <w:rFonts w:eastAsia="Times New Roman" w:cs="Times New Roman"/>
          <w:color w:val="F79646"/>
          <w:szCs w:val="24"/>
          <w:lang w:eastAsia="en-AU"/>
        </w:rPr>
        <w:t xml:space="preserve"> </w:t>
      </w:r>
      <w:r w:rsidRPr="00F617F8">
        <w:rPr>
          <w:rFonts w:cs="Arial"/>
          <w:color w:val="4BACC6"/>
        </w:rPr>
        <w:t>▬</w:t>
      </w:r>
      <w:r w:rsidRPr="00F617F8">
        <w:t xml:space="preserve"> indicates no change.</w:t>
      </w:r>
      <w:r>
        <w:t xml:space="preserve"> *Rating changed by a category over the period.</w:t>
      </w:r>
    </w:p>
    <w:p w:rsidR="009543DB" w:rsidRDefault="009543DB" w:rsidP="009543DB">
      <w:pPr>
        <w:rPr>
          <w:highlight w:val="yellow"/>
        </w:rPr>
      </w:pPr>
      <w:r w:rsidRPr="0092453F">
        <w:t>Airlines’ ratings of the availability and standard of runways</w:t>
      </w:r>
      <w:r>
        <w:t xml:space="preserve"> both</w:t>
      </w:r>
      <w:r w:rsidRPr="0092453F">
        <w:t xml:space="preserve"> improved during 2014</w:t>
      </w:r>
      <w:r>
        <w:noBreakHyphen/>
      </w:r>
      <w:r w:rsidRPr="0092453F">
        <w:t>15</w:t>
      </w:r>
      <w:r>
        <w:t>. In particular,</w:t>
      </w:r>
      <w:r w:rsidRPr="0092453F">
        <w:t xml:space="preserve"> the rating for </w:t>
      </w:r>
      <w:r>
        <w:t>availability</w:t>
      </w:r>
      <w:r w:rsidRPr="0092453F">
        <w:t xml:space="preserve"> increased from ‘satisfactory’ to ‘good’.</w:t>
      </w:r>
      <w:r>
        <w:t xml:space="preserve"> Most airlines noted that there are runway congestion issues at Melbourne Airport during peak periods. A number of airlines noted that Melbourne Airport has been completing runway upgrade works, which have generally, but not greatly, impacted operations.</w:t>
      </w:r>
    </w:p>
    <w:p w:rsidR="009543DB" w:rsidRPr="00060248" w:rsidRDefault="009543DB" w:rsidP="009543DB">
      <w:r w:rsidRPr="00060248">
        <w:t xml:space="preserve">Airlines’ ratings of the availability and standard of aprons declined </w:t>
      </w:r>
      <w:r>
        <w:t xml:space="preserve">within the ‘satisfactory’ range </w:t>
      </w:r>
      <w:r w:rsidRPr="00060248">
        <w:t>during 2014</w:t>
      </w:r>
      <w:r w:rsidRPr="00060248">
        <w:noBreakHyphen/>
        <w:t>15.</w:t>
      </w:r>
      <w:r>
        <w:t xml:space="preserve"> Airlines stated that the apron works and concrete replacements during the year have impacted on operations.</w:t>
      </w:r>
    </w:p>
    <w:p w:rsidR="009543DB" w:rsidRPr="00060248" w:rsidRDefault="009543DB" w:rsidP="009543DB">
      <w:r w:rsidRPr="00060248">
        <w:t xml:space="preserve">Airlines have consistently raised the availability of aircraft parking facilities and bays as an issue at Melbourne Airport, with a rating of ‘poor’ in </w:t>
      </w:r>
      <w:r>
        <w:t>most</w:t>
      </w:r>
      <w:r w:rsidRPr="00060248">
        <w:t xml:space="preserve"> year</w:t>
      </w:r>
      <w:r>
        <w:t>s</w:t>
      </w:r>
      <w:r w:rsidRPr="00060248">
        <w:t xml:space="preserve"> since 2010</w:t>
      </w:r>
      <w:r w:rsidRPr="00060248">
        <w:noBreakHyphen/>
        <w:t>11.</w:t>
      </w:r>
      <w:r>
        <w:t xml:space="preserve"> Airlines have again stated that the limited space and number of bays is an issue. In particular, airlines commented that there are waiting times for bays, which requires additional aircraft towing. Some airlines also commented that the limited number of bays results in increased stand</w:t>
      </w:r>
      <w:r>
        <w:noBreakHyphen/>
        <w:t>off and bussing operations, which results in a lower quality of service provided.</w:t>
      </w:r>
    </w:p>
    <w:p w:rsidR="009543DB" w:rsidRDefault="009543DB" w:rsidP="009543DB">
      <w:r w:rsidRPr="00060248">
        <w:t xml:space="preserve">Airlines’ ratings of the availability and standard of </w:t>
      </w:r>
      <w:r>
        <w:t xml:space="preserve">management responsiveness </w:t>
      </w:r>
      <w:r w:rsidRPr="00060248">
        <w:t xml:space="preserve">declined </w:t>
      </w:r>
      <w:r>
        <w:t xml:space="preserve">within the ‘satisfactory’ range </w:t>
      </w:r>
      <w:r w:rsidRPr="00060248">
        <w:t>during 2014</w:t>
      </w:r>
      <w:r w:rsidRPr="00060248">
        <w:noBreakHyphen/>
        <w:t>15.</w:t>
      </w:r>
      <w:r>
        <w:t xml:space="preserve"> Some airlines mentioned that airport management has restructured during the year, which impacted on engagement.</w:t>
      </w:r>
    </w:p>
    <w:p w:rsidR="009543DB" w:rsidRDefault="009543DB" w:rsidP="009543DB"/>
    <w:p w:rsidR="009543DB" w:rsidRDefault="009543DB" w:rsidP="009543DB"/>
    <w:p w:rsidR="009543DB" w:rsidRPr="00636CF8" w:rsidRDefault="009543DB" w:rsidP="009543DB">
      <w:pPr>
        <w:pStyle w:val="Numberedheading3"/>
      </w:pPr>
      <w:r w:rsidRPr="00636CF8">
        <w:lastRenderedPageBreak/>
        <w:t>Passenger-related services and facilities</w:t>
      </w:r>
    </w:p>
    <w:p w:rsidR="009543DB" w:rsidRDefault="009543DB" w:rsidP="009543DB">
      <w:pPr>
        <w:pStyle w:val="Numberedheading4"/>
      </w:pPr>
      <w:r>
        <w:t>International terminal</w:t>
      </w:r>
    </w:p>
    <w:p w:rsidR="009543DB" w:rsidRDefault="009543DB" w:rsidP="009543DB">
      <w:r>
        <w:t xml:space="preserve">Various </w:t>
      </w:r>
      <w:proofErr w:type="gramStart"/>
      <w:r>
        <w:t>quality</w:t>
      </w:r>
      <w:proofErr w:type="gramEnd"/>
      <w:r>
        <w:t xml:space="preserve"> of service indicators for Melbourne Airport’s international terminal are shown in Table 3.3.2. In particular, passengers’ ratings of each subjective indicator remained unchanged within the ‘good’ range in 2014</w:t>
      </w:r>
      <w:r>
        <w:noBreakHyphen/>
        <w:t xml:space="preserve">15, while airlines’ ratings of subjective indicators remained within the ‘good’ and ‘satisfactory’ categories. </w:t>
      </w:r>
    </w:p>
    <w:p w:rsidR="009543DB" w:rsidRDefault="009543DB" w:rsidP="009543DB">
      <w:r>
        <w:t>The largest change in airline rating was the reduced rating for the standard of aerobridges, which declined within the ‘satisfactory’ range. Some airlines stated that there are occasionally faults and serviceability issues with aerobridges. A number of airlines also raised issues with the general cleanliness of Melbourne Airport’s aerobridges.</w:t>
      </w:r>
    </w:p>
    <w:p w:rsidR="009543DB" w:rsidRDefault="009543DB" w:rsidP="009543DB">
      <w:r>
        <w:t>Melbourne Airport increased the number of check</w:t>
      </w:r>
      <w:r>
        <w:noBreakHyphen/>
        <w:t>in desks, kiosks and bag-drop facilities during 2014</w:t>
      </w:r>
      <w:r>
        <w:noBreakHyphen/>
        <w:t>15. Melbourne Airport stated that the construction of these new facilities was likely to have impacted on customer experience, as evidenced by the slight decline in the passenger rating for check</w:t>
      </w:r>
      <w:r>
        <w:noBreakHyphen/>
        <w:t>in waiting time during the year. The commentary from airlines on check</w:t>
      </w:r>
      <w:r>
        <w:noBreakHyphen/>
        <w:t>in facilities were mixed, with some airlines finding the availability sufficient while others raised issues with congestion. In terms of standard, some airlines stated that the facilities are of a decent standard, and one airline specifically stated that the new facilities are acceptable while the older facilities are of a poor standard.</w:t>
      </w:r>
    </w:p>
    <w:p w:rsidR="009543DB" w:rsidRDefault="009543DB" w:rsidP="009543DB">
      <w:r>
        <w:t>Melbourne Airport stated that it added 14 additional flight information display screens in its public gate lounge areas during 2014</w:t>
      </w:r>
      <w:r>
        <w:noBreakHyphen/>
        <w:t>15. In addition, Melbourne Airport provided 324 additional seats in its existing gate lounge areas. These improvements correspond to slightly improved passenger ratings within the ‘good’ range for these services and facilities.</w:t>
      </w:r>
      <w:r w:rsidRPr="00D3470F">
        <w:t xml:space="preserve"> </w:t>
      </w:r>
    </w:p>
    <w:p w:rsidR="009543DB" w:rsidRDefault="009543DB" w:rsidP="009543DB"/>
    <w:p w:rsidR="009543DB" w:rsidRDefault="009543DB" w:rsidP="009543DB">
      <w:pPr>
        <w:sectPr w:rsidR="009543DB" w:rsidSect="009543DB">
          <w:headerReference w:type="even" r:id="rId97"/>
          <w:headerReference w:type="default" r:id="rId98"/>
          <w:type w:val="continuous"/>
          <w:pgSz w:w="11906" w:h="16838"/>
          <w:pgMar w:top="1440" w:right="1729" w:bottom="1582" w:left="1729" w:header="709" w:footer="709" w:gutter="0"/>
          <w:cols w:space="708"/>
          <w:docGrid w:linePitch="360"/>
        </w:sectPr>
      </w:pPr>
    </w:p>
    <w:p w:rsidR="009543DB" w:rsidRDefault="009543DB" w:rsidP="009543DB">
      <w:pPr>
        <w:pStyle w:val="Numberedcharttitle"/>
      </w:pPr>
      <w:r>
        <w:lastRenderedPageBreak/>
        <w:t>Table 3.3.2:</w:t>
      </w:r>
      <w:r>
        <w:tab/>
        <w:t>Melbourne Airport—indicators of quality of passenger</w:t>
      </w:r>
      <w:r>
        <w:noBreakHyphen/>
        <w:t>related services and facilities—international terminal</w:t>
      </w:r>
      <w:proofErr w:type="gramStart"/>
      <w:r>
        <w:t>:</w:t>
      </w:r>
      <w:proofErr w:type="gramEnd"/>
      <w:r>
        <w:br/>
        <w:t>2014-15, 1-year change and change since 2010-11</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9543DB" w:rsidTr="009543DB">
        <w:tc>
          <w:tcPr>
            <w:tcW w:w="1266" w:type="dxa"/>
            <w:tcBorders>
              <w:left w:val="nil"/>
              <w:bottom w:val="single" w:sz="4" w:space="0" w:color="auto"/>
              <w:right w:val="nil"/>
            </w:tcBorders>
            <w:shd w:val="clear" w:color="auto" w:fill="DFE0DC"/>
          </w:tcPr>
          <w:p w:rsidR="009543DB" w:rsidRDefault="009543DB" w:rsidP="009543DB">
            <w:pPr>
              <w:pStyle w:val="QOStabletextleftbold"/>
            </w:pPr>
            <w:r>
              <w:t>Category</w:t>
            </w:r>
          </w:p>
        </w:tc>
        <w:tc>
          <w:tcPr>
            <w:tcW w:w="6662" w:type="dxa"/>
            <w:tcBorders>
              <w:left w:val="nil"/>
              <w:bottom w:val="single" w:sz="4" w:space="0" w:color="auto"/>
              <w:right w:val="nil"/>
            </w:tcBorders>
            <w:shd w:val="clear" w:color="auto" w:fill="DFE0DC"/>
          </w:tcPr>
          <w:p w:rsidR="009543DB" w:rsidRDefault="009543DB" w:rsidP="009543DB">
            <w:pPr>
              <w:pStyle w:val="QOStabletextleftbold"/>
            </w:pPr>
            <w:r>
              <w:t>Indicator</w:t>
            </w:r>
          </w:p>
        </w:tc>
        <w:tc>
          <w:tcPr>
            <w:tcW w:w="1559" w:type="dxa"/>
            <w:tcBorders>
              <w:left w:val="nil"/>
              <w:bottom w:val="single" w:sz="4" w:space="0" w:color="auto"/>
              <w:right w:val="nil"/>
            </w:tcBorders>
            <w:shd w:val="clear" w:color="auto" w:fill="DFE0DC"/>
          </w:tcPr>
          <w:p w:rsidR="009543DB" w:rsidRDefault="009543DB" w:rsidP="009543DB">
            <w:pPr>
              <w:pStyle w:val="QOStabletextleftbold"/>
            </w:pPr>
            <w:r>
              <w:t>Data source</w:t>
            </w:r>
          </w:p>
        </w:tc>
        <w:tc>
          <w:tcPr>
            <w:tcW w:w="1559" w:type="dxa"/>
            <w:tcBorders>
              <w:left w:val="nil"/>
              <w:bottom w:val="single" w:sz="4" w:space="0" w:color="auto"/>
              <w:right w:val="nil"/>
            </w:tcBorders>
            <w:shd w:val="clear" w:color="auto" w:fill="DFE0DC"/>
          </w:tcPr>
          <w:p w:rsidR="009543DB" w:rsidRDefault="009543DB" w:rsidP="009543DB">
            <w:pPr>
              <w:pStyle w:val="QOStabletextleftbold"/>
            </w:pPr>
            <w:r>
              <w:t>Indicator result 2014-15</w:t>
            </w:r>
          </w:p>
        </w:tc>
        <w:tc>
          <w:tcPr>
            <w:tcW w:w="1493" w:type="dxa"/>
            <w:tcBorders>
              <w:left w:val="nil"/>
              <w:bottom w:val="single" w:sz="4" w:space="0" w:color="auto"/>
              <w:right w:val="nil"/>
            </w:tcBorders>
            <w:shd w:val="clear" w:color="auto" w:fill="DFE0DC"/>
          </w:tcPr>
          <w:p w:rsidR="009543DB" w:rsidRDefault="009543DB" w:rsidP="009543DB">
            <w:pPr>
              <w:pStyle w:val="QOStabletextleftbold"/>
            </w:pPr>
            <w:r>
              <w:t>1-year change</w:t>
            </w:r>
          </w:p>
        </w:tc>
        <w:tc>
          <w:tcPr>
            <w:tcW w:w="1493" w:type="dxa"/>
            <w:tcBorders>
              <w:left w:val="nil"/>
              <w:bottom w:val="single" w:sz="4" w:space="0" w:color="auto"/>
              <w:right w:val="nil"/>
            </w:tcBorders>
            <w:shd w:val="clear" w:color="auto" w:fill="DFE0DC"/>
          </w:tcPr>
          <w:p w:rsidR="009543DB" w:rsidRDefault="009543DB" w:rsidP="009543DB">
            <w:pPr>
              <w:pStyle w:val="QOStabletextleftbold"/>
            </w:pPr>
            <w:r>
              <w:t>Change since 2010</w:t>
            </w:r>
            <w:r>
              <w:noBreakHyphen/>
              <w:t>11</w:t>
            </w:r>
          </w:p>
        </w:tc>
      </w:tr>
      <w:tr w:rsidR="009543DB" w:rsidTr="009543DB">
        <w:tc>
          <w:tcPr>
            <w:tcW w:w="1266" w:type="dxa"/>
            <w:tcBorders>
              <w:left w:val="nil"/>
              <w:bottom w:val="nil"/>
              <w:right w:val="nil"/>
            </w:tcBorders>
          </w:tcPr>
          <w:p w:rsidR="009543DB" w:rsidRDefault="009543DB" w:rsidP="009543DB">
            <w:pPr>
              <w:pStyle w:val="QOStabletextleftbold"/>
            </w:pPr>
            <w:r>
              <w:t>Check-in</w:t>
            </w:r>
          </w:p>
        </w:tc>
        <w:tc>
          <w:tcPr>
            <w:tcW w:w="6662" w:type="dxa"/>
            <w:tcBorders>
              <w:left w:val="nil"/>
              <w:bottom w:val="nil"/>
              <w:right w:val="nil"/>
            </w:tcBorders>
          </w:tcPr>
          <w:p w:rsidR="009543DB" w:rsidRDefault="009543DB" w:rsidP="009543DB">
            <w:pPr>
              <w:pStyle w:val="QOStabletextleft"/>
            </w:pPr>
            <w:r>
              <w:t>Check-in availability</w:t>
            </w:r>
          </w:p>
        </w:tc>
        <w:tc>
          <w:tcPr>
            <w:tcW w:w="1559" w:type="dxa"/>
            <w:tcBorders>
              <w:left w:val="nil"/>
              <w:bottom w:val="nil"/>
              <w:right w:val="nil"/>
            </w:tcBorders>
          </w:tcPr>
          <w:p w:rsidR="009543DB" w:rsidRDefault="009543DB" w:rsidP="009543DB">
            <w:pPr>
              <w:pStyle w:val="QOStabletextleft"/>
            </w:pPr>
            <w:r>
              <w:t>Airline survey</w:t>
            </w:r>
          </w:p>
        </w:tc>
        <w:tc>
          <w:tcPr>
            <w:tcW w:w="1559" w:type="dxa"/>
            <w:tcBorders>
              <w:left w:val="nil"/>
              <w:bottom w:val="nil"/>
              <w:right w:val="nil"/>
            </w:tcBorders>
          </w:tcPr>
          <w:p w:rsidR="009543DB" w:rsidRDefault="009543DB" w:rsidP="009543DB">
            <w:pPr>
              <w:pStyle w:val="QOStabletextleft"/>
            </w:pPr>
            <w:r>
              <w:t>Satisfactory</w:t>
            </w:r>
          </w:p>
        </w:tc>
        <w:tc>
          <w:tcPr>
            <w:tcW w:w="1493" w:type="dxa"/>
            <w:tcBorders>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Check-in standard</w:t>
            </w:r>
          </w:p>
        </w:tc>
        <w:tc>
          <w:tcPr>
            <w:tcW w:w="1559" w:type="dxa"/>
            <w:tcBorders>
              <w:top w:val="nil"/>
              <w:left w:val="nil"/>
              <w:bottom w:val="nil"/>
              <w:right w:val="nil"/>
            </w:tcBorders>
          </w:tcPr>
          <w:p w:rsidR="009543DB" w:rsidRDefault="009543DB" w:rsidP="009543DB">
            <w:pPr>
              <w:pStyle w:val="QOStabletextleft"/>
            </w:pPr>
            <w:r>
              <w:t>Airline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6B740F">
              <w:rPr>
                <w:rFonts w:eastAsia="Times New Roman" w:cs="Times New Roman"/>
                <w:color w:val="000000" w:themeColor="text1"/>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Check-in waiting time</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995B26" w:rsidRDefault="009543DB" w:rsidP="009543DB">
            <w:pPr>
              <w:pStyle w:val="QOStabletextleft"/>
              <w:rPr>
                <w:i/>
              </w:rPr>
            </w:pPr>
            <w:r>
              <w:rPr>
                <w:i/>
              </w:rPr>
              <w:t>Number of departing passengers per check-in desk, kiosk and bag drop facility (peak hour)</w:t>
            </w:r>
          </w:p>
        </w:tc>
        <w:tc>
          <w:tcPr>
            <w:tcW w:w="1559"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890AE9" w:rsidRDefault="009543DB" w:rsidP="009543DB">
            <w:pPr>
              <w:pStyle w:val="QOStabletextleft"/>
              <w:rPr>
                <w:i/>
              </w:rPr>
            </w:pPr>
            <w:r>
              <w:rPr>
                <w:i/>
              </w:rPr>
              <w:t>6.6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left w:val="nil"/>
              <w:bottom w:val="nil"/>
              <w:right w:val="nil"/>
            </w:tcBorders>
          </w:tcPr>
          <w:p w:rsidR="009543DB" w:rsidRDefault="009543DB" w:rsidP="009543DB">
            <w:pPr>
              <w:pStyle w:val="QOStabletextleftbold"/>
            </w:pPr>
            <w:r>
              <w:t>Immigration</w:t>
            </w:r>
          </w:p>
        </w:tc>
        <w:tc>
          <w:tcPr>
            <w:tcW w:w="6662" w:type="dxa"/>
            <w:tcBorders>
              <w:left w:val="nil"/>
              <w:bottom w:val="nil"/>
              <w:right w:val="nil"/>
            </w:tcBorders>
          </w:tcPr>
          <w:p w:rsidR="009543DB" w:rsidRDefault="009543DB" w:rsidP="009543DB">
            <w:pPr>
              <w:pStyle w:val="QOStabletextleft"/>
            </w:pPr>
            <w:r>
              <w:t>Waiting time in outbound Immigration area</w:t>
            </w:r>
          </w:p>
        </w:tc>
        <w:tc>
          <w:tcPr>
            <w:tcW w:w="1559" w:type="dxa"/>
            <w:tcBorders>
              <w:left w:val="nil"/>
              <w:bottom w:val="nil"/>
              <w:right w:val="nil"/>
            </w:tcBorders>
          </w:tcPr>
          <w:p w:rsidR="009543DB" w:rsidRDefault="009543DB" w:rsidP="009543DB">
            <w:pPr>
              <w:pStyle w:val="QOStabletextleft"/>
            </w:pPr>
            <w:r>
              <w:t>Passenger survey</w:t>
            </w:r>
          </w:p>
        </w:tc>
        <w:tc>
          <w:tcPr>
            <w:tcW w:w="1559" w:type="dxa"/>
            <w:tcBorders>
              <w:left w:val="nil"/>
              <w:bottom w:val="nil"/>
              <w:right w:val="nil"/>
            </w:tcBorders>
          </w:tcPr>
          <w:p w:rsidR="009543DB" w:rsidRDefault="009543DB" w:rsidP="009543DB">
            <w:pPr>
              <w:pStyle w:val="QOStabletextleft"/>
            </w:pPr>
            <w:r>
              <w:t>Good</w:t>
            </w:r>
          </w:p>
        </w:tc>
        <w:tc>
          <w:tcPr>
            <w:tcW w:w="1493" w:type="dxa"/>
            <w:tcBorders>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53977" w:rsidRDefault="009543DB" w:rsidP="009543DB">
            <w:pPr>
              <w:pStyle w:val="QOStabletextleft"/>
              <w:rPr>
                <w:i/>
              </w:rPr>
            </w:pPr>
            <w:r>
              <w:rPr>
                <w:i/>
              </w:rPr>
              <w:t>Number of departing passengers per outbound Immigration desk (peak hour)</w:t>
            </w:r>
          </w:p>
        </w:tc>
        <w:tc>
          <w:tcPr>
            <w:tcW w:w="1559" w:type="dxa"/>
            <w:tcBorders>
              <w:top w:val="nil"/>
              <w:left w:val="nil"/>
              <w:bottom w:val="nil"/>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890AE9" w:rsidRDefault="009543DB" w:rsidP="009543DB">
            <w:pPr>
              <w:pStyle w:val="QOStabletextleft"/>
              <w:rPr>
                <w:i/>
              </w:rPr>
            </w:pPr>
            <w:r>
              <w:rPr>
                <w:i/>
              </w:rPr>
              <w:t>48.7 passengers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Waiting time in inbound Immigration area</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53977" w:rsidRDefault="009543DB" w:rsidP="009543DB">
            <w:pPr>
              <w:pStyle w:val="QOStabletextleft"/>
              <w:rPr>
                <w:i/>
              </w:rPr>
            </w:pPr>
            <w:r>
              <w:rPr>
                <w:i/>
              </w:rPr>
              <w:t>Number of arriving passengers per inbound Immigration desk (peak hour)</w:t>
            </w:r>
          </w:p>
        </w:tc>
        <w:tc>
          <w:tcPr>
            <w:tcW w:w="1559" w:type="dxa"/>
            <w:tcBorders>
              <w:top w:val="nil"/>
              <w:left w:val="nil"/>
              <w:bottom w:val="nil"/>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890AE9" w:rsidRDefault="009543DB" w:rsidP="009543DB">
            <w:pPr>
              <w:pStyle w:val="QOStabletextleft"/>
              <w:rPr>
                <w:i/>
              </w:rPr>
            </w:pPr>
            <w:r>
              <w:rPr>
                <w:i/>
              </w:rPr>
              <w:t>24.0 passengers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Waiting time in inbound baggage inspection area</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753977" w:rsidRDefault="009543DB" w:rsidP="009543DB">
            <w:pPr>
              <w:pStyle w:val="QOStabletextleft"/>
              <w:rPr>
                <w:i/>
              </w:rPr>
            </w:pPr>
            <w:r>
              <w:rPr>
                <w:i/>
              </w:rPr>
              <w:t>Number of arriving passengers per baggage inspection desk (peak hour)</w:t>
            </w:r>
          </w:p>
        </w:tc>
        <w:tc>
          <w:tcPr>
            <w:tcW w:w="1559"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890AE9" w:rsidRDefault="009543DB" w:rsidP="009543DB">
            <w:pPr>
              <w:pStyle w:val="QOStabletextleft"/>
              <w:rPr>
                <w:i/>
              </w:rPr>
            </w:pPr>
            <w:r>
              <w:rPr>
                <w:i/>
              </w:rPr>
              <w:t>28.6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left w:val="nil"/>
              <w:bottom w:val="nil"/>
              <w:right w:val="nil"/>
            </w:tcBorders>
          </w:tcPr>
          <w:p w:rsidR="009543DB" w:rsidRDefault="009543DB" w:rsidP="009543DB">
            <w:pPr>
              <w:pStyle w:val="QOStabletextleftbold"/>
            </w:pPr>
            <w:r>
              <w:t>Information</w:t>
            </w:r>
          </w:p>
        </w:tc>
        <w:tc>
          <w:tcPr>
            <w:tcW w:w="6662" w:type="dxa"/>
            <w:tcBorders>
              <w:left w:val="nil"/>
              <w:bottom w:val="nil"/>
              <w:right w:val="nil"/>
            </w:tcBorders>
          </w:tcPr>
          <w:p w:rsidR="009543DB" w:rsidRDefault="009543DB" w:rsidP="009543DB">
            <w:pPr>
              <w:pStyle w:val="QOStabletextleft"/>
            </w:pPr>
            <w:r>
              <w:t>Flight information display screens</w:t>
            </w:r>
          </w:p>
        </w:tc>
        <w:tc>
          <w:tcPr>
            <w:tcW w:w="1559" w:type="dxa"/>
            <w:tcBorders>
              <w:left w:val="nil"/>
              <w:bottom w:val="nil"/>
              <w:right w:val="nil"/>
            </w:tcBorders>
          </w:tcPr>
          <w:p w:rsidR="009543DB" w:rsidRDefault="009543DB" w:rsidP="009543DB">
            <w:pPr>
              <w:pStyle w:val="QOStabletextleft"/>
            </w:pPr>
            <w:r>
              <w:t>Passenger survey</w:t>
            </w:r>
          </w:p>
        </w:tc>
        <w:tc>
          <w:tcPr>
            <w:tcW w:w="1559" w:type="dxa"/>
            <w:tcBorders>
              <w:left w:val="nil"/>
              <w:bottom w:val="nil"/>
              <w:right w:val="nil"/>
            </w:tcBorders>
          </w:tcPr>
          <w:p w:rsidR="009543DB" w:rsidRDefault="009543DB" w:rsidP="009543DB">
            <w:pPr>
              <w:pStyle w:val="QOStabletextleft"/>
            </w:pPr>
            <w:r>
              <w:t>Good</w:t>
            </w:r>
          </w:p>
        </w:tc>
        <w:tc>
          <w:tcPr>
            <w:tcW w:w="1493" w:type="dxa"/>
            <w:tcBorders>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53977" w:rsidRDefault="009543DB" w:rsidP="009543DB">
            <w:pPr>
              <w:pStyle w:val="QOStabletextleft"/>
              <w:rPr>
                <w:i/>
              </w:rPr>
            </w:pPr>
            <w:r>
              <w:rPr>
                <w:i/>
              </w:rPr>
              <w:t>Number of passengers per flight information display screen (peak hour)</w:t>
            </w:r>
          </w:p>
        </w:tc>
        <w:tc>
          <w:tcPr>
            <w:tcW w:w="1559" w:type="dxa"/>
            <w:tcBorders>
              <w:top w:val="nil"/>
              <w:left w:val="nil"/>
              <w:bottom w:val="nil"/>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890AE9" w:rsidRDefault="009543DB" w:rsidP="009543DB">
            <w:pPr>
              <w:pStyle w:val="QOStabletextleft"/>
              <w:rPr>
                <w:i/>
              </w:rPr>
            </w:pPr>
            <w:r>
              <w:rPr>
                <w:i/>
              </w:rPr>
              <w:t>18.6 passengers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53977" w:rsidRDefault="009543DB" w:rsidP="009543DB">
            <w:pPr>
              <w:pStyle w:val="QOStabletextleft"/>
              <w:rPr>
                <w:i/>
              </w:rPr>
            </w:pPr>
            <w:r>
              <w:rPr>
                <w:i/>
              </w:rPr>
              <w:t>Number of passengers per information point (peak hour)</w:t>
            </w:r>
          </w:p>
        </w:tc>
        <w:tc>
          <w:tcPr>
            <w:tcW w:w="1559" w:type="dxa"/>
            <w:tcBorders>
              <w:top w:val="nil"/>
              <w:left w:val="nil"/>
              <w:bottom w:val="nil"/>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Default="009543DB" w:rsidP="009543DB">
            <w:pPr>
              <w:pStyle w:val="QOStabletextleft"/>
            </w:pPr>
            <w:r>
              <w:t>2 342 passengers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right w:val="nil"/>
            </w:tcBorders>
          </w:tcPr>
          <w:p w:rsidR="009543DB" w:rsidRDefault="009543DB" w:rsidP="009543DB">
            <w:pPr>
              <w:pStyle w:val="QOStabletextleftbold"/>
            </w:pPr>
          </w:p>
        </w:tc>
        <w:tc>
          <w:tcPr>
            <w:tcW w:w="6662" w:type="dxa"/>
            <w:tcBorders>
              <w:top w:val="nil"/>
              <w:left w:val="nil"/>
              <w:right w:val="nil"/>
            </w:tcBorders>
          </w:tcPr>
          <w:p w:rsidR="009543DB" w:rsidRDefault="009543DB" w:rsidP="009543DB">
            <w:pPr>
              <w:pStyle w:val="QOStabletextleft"/>
            </w:pPr>
            <w:r>
              <w:t>Signage and wayfinding</w:t>
            </w:r>
          </w:p>
        </w:tc>
        <w:tc>
          <w:tcPr>
            <w:tcW w:w="1559" w:type="dxa"/>
            <w:tcBorders>
              <w:top w:val="nil"/>
              <w:left w:val="nil"/>
              <w:right w:val="nil"/>
            </w:tcBorders>
          </w:tcPr>
          <w:p w:rsidR="009543DB" w:rsidRDefault="009543DB" w:rsidP="009543DB">
            <w:pPr>
              <w:pStyle w:val="QOStabletextleft"/>
            </w:pPr>
            <w:r>
              <w:t>Passenger survey</w:t>
            </w:r>
          </w:p>
        </w:tc>
        <w:tc>
          <w:tcPr>
            <w:tcW w:w="1559" w:type="dxa"/>
            <w:tcBorders>
              <w:top w:val="nil"/>
              <w:left w:val="nil"/>
              <w:right w:val="nil"/>
            </w:tcBorders>
          </w:tcPr>
          <w:p w:rsidR="009543DB" w:rsidRDefault="009543DB" w:rsidP="009543DB">
            <w:pPr>
              <w:pStyle w:val="QOStabletextleft"/>
            </w:pPr>
            <w:r>
              <w:t>Good</w:t>
            </w:r>
          </w:p>
        </w:tc>
        <w:tc>
          <w:tcPr>
            <w:tcW w:w="1493" w:type="dxa"/>
            <w:tcBorders>
              <w:top w:val="nil"/>
              <w:left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bl>
    <w:p w:rsidR="009543DB" w:rsidRDefault="009543DB" w:rsidP="009543DB">
      <w:pPr>
        <w:pStyle w:val="Sourceandnotes"/>
        <w:rPr>
          <w:rFonts w:cs="Arial"/>
          <w:color w:val="000000" w:themeColor="text1"/>
        </w:r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 ** Rating changed by two categories over the period.</w:t>
      </w:r>
    </w:p>
    <w:p w:rsidR="009543DB" w:rsidRDefault="009543DB" w:rsidP="009543DB">
      <w:pPr>
        <w:spacing w:after="200" w:line="276" w:lineRule="auto"/>
        <w:rPr>
          <w:rFonts w:cs="Arial"/>
          <w:color w:val="000000" w:themeColor="text1"/>
          <w:sz w:val="16"/>
          <w:szCs w:val="16"/>
        </w:rPr>
      </w:pPr>
      <w:r>
        <w:rPr>
          <w:rFonts w:cs="Arial"/>
          <w:color w:val="000000" w:themeColor="text1"/>
        </w:rPr>
        <w:br w:type="page"/>
      </w:r>
    </w:p>
    <w:p w:rsidR="009543DB" w:rsidRDefault="009543DB" w:rsidP="009543DB">
      <w:pPr>
        <w:pStyle w:val="Numberedcharttitle"/>
      </w:pPr>
      <w:r>
        <w:lastRenderedPageBreak/>
        <w:t>Table 3.3.2:</w:t>
      </w:r>
      <w:r>
        <w:tab/>
        <w:t>Melbourne Airport—indicators of quality of passenger</w:t>
      </w:r>
      <w:r>
        <w:noBreakHyphen/>
        <w:t>related services and facilities—international terminal</w:t>
      </w:r>
      <w:proofErr w:type="gramStart"/>
      <w:r>
        <w:t>:</w:t>
      </w:r>
      <w:proofErr w:type="gramEnd"/>
      <w:r>
        <w:br/>
        <w:t>2014-15, 1-year change and change since 2010-11 (cont.)</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9543DB" w:rsidTr="009543DB">
        <w:tc>
          <w:tcPr>
            <w:tcW w:w="1266" w:type="dxa"/>
            <w:tcBorders>
              <w:left w:val="nil"/>
              <w:bottom w:val="single" w:sz="4" w:space="0" w:color="auto"/>
              <w:right w:val="nil"/>
            </w:tcBorders>
            <w:shd w:val="clear" w:color="auto" w:fill="DFE0DC"/>
          </w:tcPr>
          <w:p w:rsidR="009543DB" w:rsidRDefault="009543DB" w:rsidP="009543DB">
            <w:pPr>
              <w:pStyle w:val="QOStabletextleftbold"/>
            </w:pPr>
            <w:r>
              <w:t>Category</w:t>
            </w:r>
          </w:p>
        </w:tc>
        <w:tc>
          <w:tcPr>
            <w:tcW w:w="6662" w:type="dxa"/>
            <w:tcBorders>
              <w:left w:val="nil"/>
              <w:bottom w:val="single" w:sz="4" w:space="0" w:color="auto"/>
              <w:right w:val="nil"/>
            </w:tcBorders>
            <w:shd w:val="clear" w:color="auto" w:fill="DFE0DC"/>
          </w:tcPr>
          <w:p w:rsidR="009543DB" w:rsidRDefault="009543DB" w:rsidP="009543DB">
            <w:pPr>
              <w:pStyle w:val="QOStabletextleftbold"/>
            </w:pPr>
            <w:r>
              <w:t>Indicator</w:t>
            </w:r>
          </w:p>
        </w:tc>
        <w:tc>
          <w:tcPr>
            <w:tcW w:w="1559" w:type="dxa"/>
            <w:tcBorders>
              <w:left w:val="nil"/>
              <w:bottom w:val="single" w:sz="4" w:space="0" w:color="auto"/>
              <w:right w:val="nil"/>
            </w:tcBorders>
            <w:shd w:val="clear" w:color="auto" w:fill="DFE0DC"/>
          </w:tcPr>
          <w:p w:rsidR="009543DB" w:rsidRDefault="009543DB" w:rsidP="009543DB">
            <w:pPr>
              <w:pStyle w:val="QOStabletextleftbold"/>
            </w:pPr>
            <w:r>
              <w:t>Data source</w:t>
            </w:r>
          </w:p>
        </w:tc>
        <w:tc>
          <w:tcPr>
            <w:tcW w:w="1559" w:type="dxa"/>
            <w:tcBorders>
              <w:left w:val="nil"/>
              <w:bottom w:val="single" w:sz="4" w:space="0" w:color="auto"/>
              <w:right w:val="nil"/>
            </w:tcBorders>
            <w:shd w:val="clear" w:color="auto" w:fill="DFE0DC"/>
          </w:tcPr>
          <w:p w:rsidR="009543DB" w:rsidRDefault="009543DB" w:rsidP="009543DB">
            <w:pPr>
              <w:pStyle w:val="QOStabletextleftbold"/>
            </w:pPr>
            <w:r>
              <w:t>Indicator result 2014-15</w:t>
            </w:r>
          </w:p>
        </w:tc>
        <w:tc>
          <w:tcPr>
            <w:tcW w:w="1493" w:type="dxa"/>
            <w:tcBorders>
              <w:left w:val="nil"/>
              <w:bottom w:val="single" w:sz="4" w:space="0" w:color="auto"/>
              <w:right w:val="nil"/>
            </w:tcBorders>
            <w:shd w:val="clear" w:color="auto" w:fill="DFE0DC"/>
          </w:tcPr>
          <w:p w:rsidR="009543DB" w:rsidRDefault="009543DB" w:rsidP="009543DB">
            <w:pPr>
              <w:pStyle w:val="QOStabletextleftbold"/>
            </w:pPr>
            <w:r>
              <w:t>1-year change</w:t>
            </w:r>
          </w:p>
        </w:tc>
        <w:tc>
          <w:tcPr>
            <w:tcW w:w="1493" w:type="dxa"/>
            <w:tcBorders>
              <w:left w:val="nil"/>
              <w:bottom w:val="single" w:sz="4" w:space="0" w:color="auto"/>
              <w:right w:val="nil"/>
            </w:tcBorders>
            <w:shd w:val="clear" w:color="auto" w:fill="DFE0DC"/>
          </w:tcPr>
          <w:p w:rsidR="009543DB" w:rsidRDefault="009543DB" w:rsidP="009543DB">
            <w:pPr>
              <w:pStyle w:val="QOStabletextleftbold"/>
            </w:pPr>
            <w:r>
              <w:t>Change since 2010</w:t>
            </w:r>
            <w:r>
              <w:noBreakHyphen/>
              <w:t>11</w:t>
            </w:r>
          </w:p>
        </w:tc>
      </w:tr>
      <w:tr w:rsidR="009543DB" w:rsidTr="009543DB">
        <w:tc>
          <w:tcPr>
            <w:tcW w:w="1266" w:type="dxa"/>
            <w:tcBorders>
              <w:left w:val="nil"/>
              <w:bottom w:val="nil"/>
              <w:right w:val="nil"/>
            </w:tcBorders>
          </w:tcPr>
          <w:p w:rsidR="009543DB" w:rsidRDefault="009543DB" w:rsidP="009543DB">
            <w:pPr>
              <w:pStyle w:val="QOStabletextleftbold"/>
            </w:pPr>
            <w:r>
              <w:t>Baggage</w:t>
            </w:r>
          </w:p>
        </w:tc>
        <w:tc>
          <w:tcPr>
            <w:tcW w:w="6662" w:type="dxa"/>
            <w:tcBorders>
              <w:left w:val="nil"/>
              <w:bottom w:val="nil"/>
              <w:right w:val="nil"/>
            </w:tcBorders>
          </w:tcPr>
          <w:p w:rsidR="009543DB" w:rsidRDefault="009543DB" w:rsidP="009543DB">
            <w:pPr>
              <w:pStyle w:val="QOStabletextleft"/>
            </w:pPr>
            <w:r>
              <w:t>Baggage processing facilities availability</w:t>
            </w:r>
          </w:p>
        </w:tc>
        <w:tc>
          <w:tcPr>
            <w:tcW w:w="1559" w:type="dxa"/>
            <w:tcBorders>
              <w:left w:val="nil"/>
              <w:bottom w:val="nil"/>
              <w:right w:val="nil"/>
            </w:tcBorders>
          </w:tcPr>
          <w:p w:rsidR="009543DB" w:rsidRDefault="009543DB" w:rsidP="009543DB">
            <w:pPr>
              <w:pStyle w:val="QOStabletextleft"/>
            </w:pPr>
            <w:r>
              <w:t>Airline survey</w:t>
            </w:r>
          </w:p>
        </w:tc>
        <w:tc>
          <w:tcPr>
            <w:tcW w:w="1559" w:type="dxa"/>
            <w:tcBorders>
              <w:left w:val="nil"/>
              <w:bottom w:val="nil"/>
              <w:right w:val="nil"/>
            </w:tcBorders>
          </w:tcPr>
          <w:p w:rsidR="009543DB" w:rsidRDefault="009543DB" w:rsidP="009543DB">
            <w:pPr>
              <w:pStyle w:val="QOStabletextleft"/>
            </w:pPr>
            <w:r>
              <w:t>Good</w:t>
            </w:r>
          </w:p>
        </w:tc>
        <w:tc>
          <w:tcPr>
            <w:tcW w:w="1493" w:type="dxa"/>
            <w:tcBorders>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6B740F">
              <w:rPr>
                <w:rFonts w:eastAsia="Times New Roman" w:cs="Times New Roman"/>
                <w:color w:val="000000" w:themeColor="text1"/>
                <w:szCs w:val="24"/>
                <w:lang w:eastAsia="en-AU"/>
              </w:rPr>
              <w:t>*</w:t>
            </w:r>
          </w:p>
        </w:tc>
        <w:tc>
          <w:tcPr>
            <w:tcW w:w="1493" w:type="dxa"/>
            <w:tcBorders>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346B65">
              <w:rPr>
                <w:rFonts w:eastAsia="Times New Roman" w:cs="Times New Roman"/>
                <w:color w:val="000000" w:themeColor="text1"/>
                <w:szCs w:val="24"/>
                <w:lang w:eastAsia="en-AU"/>
              </w:rPr>
              <w:t>*</w:t>
            </w:r>
            <w:r w:rsidRPr="00873134">
              <w:rPr>
                <w:rFonts w:eastAsia="Times New Roman" w:cs="Times New Roman"/>
                <w:color w:val="000000" w:themeColor="text1"/>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Baggage processing facilities standard</w:t>
            </w:r>
          </w:p>
        </w:tc>
        <w:tc>
          <w:tcPr>
            <w:tcW w:w="1559" w:type="dxa"/>
            <w:tcBorders>
              <w:top w:val="nil"/>
              <w:left w:val="nil"/>
              <w:bottom w:val="nil"/>
              <w:right w:val="nil"/>
            </w:tcBorders>
          </w:tcPr>
          <w:p w:rsidR="009543DB" w:rsidRDefault="009543DB" w:rsidP="009543DB">
            <w:pPr>
              <w:pStyle w:val="QOStabletextleft"/>
            </w:pPr>
            <w:r>
              <w:t>Airline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346B65">
              <w:rPr>
                <w:rFonts w:eastAsia="Times New Roman" w:cs="Times New Roman"/>
                <w:color w:val="000000" w:themeColor="text1"/>
                <w:szCs w:val="24"/>
                <w:lang w:eastAsia="en-AU"/>
              </w:rPr>
              <w:t>*</w:t>
            </w:r>
            <w:r w:rsidRPr="00873134">
              <w:rPr>
                <w:rFonts w:eastAsia="Times New Roman" w:cs="Times New Roman"/>
                <w:color w:val="000000" w:themeColor="text1"/>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5156C1" w:rsidRDefault="009543DB" w:rsidP="009543DB">
            <w:pPr>
              <w:pStyle w:val="QOStabletextleft"/>
              <w:rPr>
                <w:i/>
              </w:rPr>
            </w:pPr>
            <w:r>
              <w:rPr>
                <w:i/>
              </w:rPr>
              <w:t>Average throughput of outbound baggage system (per hour)</w:t>
            </w:r>
          </w:p>
        </w:tc>
        <w:tc>
          <w:tcPr>
            <w:tcW w:w="1559" w:type="dxa"/>
            <w:tcBorders>
              <w:top w:val="nil"/>
              <w:left w:val="nil"/>
              <w:bottom w:val="nil"/>
              <w:right w:val="nil"/>
            </w:tcBorders>
          </w:tcPr>
          <w:p w:rsidR="009543DB" w:rsidRPr="00FC0AD9"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890AE9" w:rsidRDefault="009543DB" w:rsidP="009543DB">
            <w:pPr>
              <w:pStyle w:val="QOStabletextleft"/>
              <w:rPr>
                <w:i/>
              </w:rPr>
            </w:pPr>
            <w:r>
              <w:rPr>
                <w:i/>
              </w:rPr>
              <w:t>524 items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FC0AD9" w:rsidRDefault="009543DB" w:rsidP="009543DB">
            <w:pPr>
              <w:pStyle w:val="QOStabletextleft"/>
            </w:pPr>
            <w:r>
              <w:t>Circulation space for inbound baggage reclaim</w:t>
            </w:r>
          </w:p>
        </w:tc>
        <w:tc>
          <w:tcPr>
            <w:tcW w:w="1559" w:type="dxa"/>
            <w:tcBorders>
              <w:top w:val="nil"/>
              <w:left w:val="nil"/>
              <w:bottom w:val="nil"/>
              <w:right w:val="nil"/>
            </w:tcBorders>
          </w:tcPr>
          <w:p w:rsidR="009543DB" w:rsidRPr="00FC0AD9"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Information display for inbound baggage reclaim</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FC0AD9" w:rsidRDefault="009543DB" w:rsidP="009543DB">
            <w:pPr>
              <w:pStyle w:val="QOStabletextleft"/>
              <w:rPr>
                <w:i/>
              </w:rPr>
            </w:pPr>
            <w:r>
              <w:rPr>
                <w:i/>
              </w:rPr>
              <w:t>Number of arriving passengers per m</w:t>
            </w:r>
            <w:r>
              <w:rPr>
                <w:i/>
                <w:vertAlign w:val="superscript"/>
              </w:rPr>
              <w:t xml:space="preserve">2 </w:t>
            </w:r>
            <w:r>
              <w:rPr>
                <w:i/>
              </w:rPr>
              <w:t>of inbound baggage reclaim area (peak hour)</w:t>
            </w:r>
          </w:p>
        </w:tc>
        <w:tc>
          <w:tcPr>
            <w:tcW w:w="1559" w:type="dxa"/>
            <w:tcBorders>
              <w:top w:val="nil"/>
              <w:left w:val="nil"/>
              <w:bottom w:val="nil"/>
              <w:right w:val="nil"/>
            </w:tcBorders>
          </w:tcPr>
          <w:p w:rsidR="009543DB" w:rsidRPr="00FC0AD9"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890AE9" w:rsidRDefault="009543DB" w:rsidP="009543DB">
            <w:pPr>
              <w:pStyle w:val="QOStabletextleft"/>
              <w:rPr>
                <w:i/>
              </w:rPr>
            </w:pPr>
            <w:r>
              <w:rPr>
                <w:i/>
              </w:rPr>
              <w:t>1.5 passengers</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t>N/A</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Findability of baggage trolleys</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r w:rsidRPr="006B740F">
              <w:rPr>
                <w:rFonts w:eastAsia="Times New Roman" w:cs="Times New Roman"/>
                <w:color w:val="000000" w:themeColor="text1"/>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753977" w:rsidRDefault="009543DB" w:rsidP="009543DB">
            <w:pPr>
              <w:pStyle w:val="QOStabletextleft"/>
              <w:rPr>
                <w:i/>
              </w:rPr>
            </w:pPr>
            <w:r>
              <w:rPr>
                <w:i/>
              </w:rPr>
              <w:t>Number of passengers per baggage trolley (peak hour)</w:t>
            </w:r>
          </w:p>
        </w:tc>
        <w:tc>
          <w:tcPr>
            <w:tcW w:w="1559"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890AE9" w:rsidRDefault="009543DB" w:rsidP="009543DB">
            <w:pPr>
              <w:pStyle w:val="QOStabletextleft"/>
              <w:rPr>
                <w:i/>
              </w:rPr>
            </w:pPr>
            <w:r>
              <w:rPr>
                <w:i/>
              </w:rPr>
              <w:t>1.1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Gate lounges</w:t>
            </w:r>
          </w:p>
        </w:tc>
        <w:tc>
          <w:tcPr>
            <w:tcW w:w="6662" w:type="dxa"/>
            <w:tcBorders>
              <w:top w:val="single" w:sz="4" w:space="0" w:color="auto"/>
              <w:left w:val="nil"/>
              <w:bottom w:val="nil"/>
              <w:right w:val="nil"/>
            </w:tcBorders>
          </w:tcPr>
          <w:p w:rsidR="009543DB" w:rsidRDefault="009543DB" w:rsidP="009543DB">
            <w:pPr>
              <w:pStyle w:val="QOStabletextleft"/>
            </w:pPr>
            <w:r>
              <w:t>Seating in lounge area (quality and availability)</w:t>
            </w:r>
          </w:p>
        </w:tc>
        <w:tc>
          <w:tcPr>
            <w:tcW w:w="1559" w:type="dxa"/>
            <w:tcBorders>
              <w:top w:val="single" w:sz="4" w:space="0" w:color="auto"/>
              <w:left w:val="nil"/>
              <w:bottom w:val="nil"/>
              <w:right w:val="nil"/>
            </w:tcBorders>
          </w:tcPr>
          <w:p w:rsidR="009543DB" w:rsidRDefault="009543DB" w:rsidP="009543DB">
            <w:pPr>
              <w:pStyle w:val="QOStabletextleft"/>
            </w:pPr>
            <w:r>
              <w:t>Passenger survey</w:t>
            </w:r>
          </w:p>
        </w:tc>
        <w:tc>
          <w:tcPr>
            <w:tcW w:w="1559" w:type="dxa"/>
            <w:tcBorders>
              <w:top w:val="single" w:sz="4" w:space="0" w:color="auto"/>
              <w:left w:val="nil"/>
              <w:bottom w:val="nil"/>
              <w:right w:val="nil"/>
            </w:tcBorders>
          </w:tcPr>
          <w:p w:rsidR="009543DB" w:rsidRDefault="009543DB" w:rsidP="009543DB">
            <w:pPr>
              <w:pStyle w:val="QOStabletextleft"/>
            </w:pPr>
            <w:r>
              <w:t>Good</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53977" w:rsidRDefault="009543DB" w:rsidP="009543DB">
            <w:pPr>
              <w:pStyle w:val="QOStabletextleft"/>
              <w:rPr>
                <w:i/>
              </w:rPr>
            </w:pPr>
            <w:r>
              <w:rPr>
                <w:i/>
              </w:rPr>
              <w:t>Number of departing passengers per seat in gate lounges (peak hour)</w:t>
            </w:r>
          </w:p>
        </w:tc>
        <w:tc>
          <w:tcPr>
            <w:tcW w:w="1559" w:type="dxa"/>
            <w:tcBorders>
              <w:top w:val="nil"/>
              <w:left w:val="nil"/>
              <w:bottom w:val="nil"/>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1C322F" w:rsidRDefault="009543DB" w:rsidP="009543DB">
            <w:pPr>
              <w:pStyle w:val="QOStabletextleft"/>
              <w:rPr>
                <w:i/>
              </w:rPr>
            </w:pPr>
            <w:r>
              <w:rPr>
                <w:i/>
              </w:rPr>
              <w:t>0.3 passengers</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Crowding in lounge area</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FC0AD9" w:rsidRDefault="009543DB" w:rsidP="009543DB">
            <w:pPr>
              <w:pStyle w:val="QOStabletextleft"/>
              <w:rPr>
                <w:i/>
              </w:rPr>
            </w:pPr>
            <w:r>
              <w:rPr>
                <w:i/>
              </w:rPr>
              <w:t>Number of departing passengers per m</w:t>
            </w:r>
            <w:r>
              <w:rPr>
                <w:i/>
                <w:vertAlign w:val="superscript"/>
              </w:rPr>
              <w:t xml:space="preserve">2 </w:t>
            </w:r>
            <w:r>
              <w:rPr>
                <w:i/>
              </w:rPr>
              <w:t>of lounge area (peak hour)</w:t>
            </w:r>
          </w:p>
        </w:tc>
        <w:tc>
          <w:tcPr>
            <w:tcW w:w="1559"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1C322F" w:rsidRDefault="009543DB" w:rsidP="009543DB">
            <w:pPr>
              <w:pStyle w:val="QOStabletextleft"/>
              <w:rPr>
                <w:i/>
              </w:rPr>
            </w:pPr>
            <w:r>
              <w:rPr>
                <w:i/>
              </w:rPr>
              <w:t>0.2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Amenities</w:t>
            </w:r>
          </w:p>
        </w:tc>
        <w:tc>
          <w:tcPr>
            <w:tcW w:w="6662" w:type="dxa"/>
            <w:tcBorders>
              <w:top w:val="single" w:sz="4" w:space="0" w:color="auto"/>
              <w:left w:val="nil"/>
              <w:bottom w:val="nil"/>
              <w:right w:val="nil"/>
            </w:tcBorders>
          </w:tcPr>
          <w:p w:rsidR="009543DB" w:rsidRPr="00FC0AD9" w:rsidRDefault="009543DB" w:rsidP="009543DB">
            <w:pPr>
              <w:pStyle w:val="QOStabletextleft"/>
            </w:pPr>
            <w:r>
              <w:t>Standard of washrooms</w:t>
            </w:r>
          </w:p>
        </w:tc>
        <w:tc>
          <w:tcPr>
            <w:tcW w:w="1559" w:type="dxa"/>
            <w:tcBorders>
              <w:top w:val="single" w:sz="4" w:space="0" w:color="auto"/>
              <w:left w:val="nil"/>
              <w:bottom w:val="nil"/>
              <w:right w:val="nil"/>
            </w:tcBorders>
          </w:tcPr>
          <w:p w:rsidR="009543DB" w:rsidRPr="00A064F3" w:rsidRDefault="009543DB" w:rsidP="009543DB">
            <w:pPr>
              <w:pStyle w:val="QOStabletextleft"/>
            </w:pPr>
            <w:r>
              <w:t>Passenger survey</w:t>
            </w:r>
          </w:p>
        </w:tc>
        <w:tc>
          <w:tcPr>
            <w:tcW w:w="1559" w:type="dxa"/>
            <w:tcBorders>
              <w:top w:val="single" w:sz="4" w:space="0" w:color="auto"/>
              <w:left w:val="nil"/>
              <w:bottom w:val="nil"/>
              <w:right w:val="nil"/>
            </w:tcBorders>
          </w:tcPr>
          <w:p w:rsidR="009543DB" w:rsidRDefault="009543DB" w:rsidP="009543DB">
            <w:pPr>
              <w:pStyle w:val="QOStabletextleft"/>
            </w:pPr>
            <w:r>
              <w:t>Good</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FC0AD9" w:rsidRDefault="009543DB" w:rsidP="009543DB">
            <w:pPr>
              <w:pStyle w:val="QOStabletextleft"/>
              <w:rPr>
                <w:i/>
              </w:rPr>
            </w:pPr>
            <w:r>
              <w:rPr>
                <w:i/>
              </w:rPr>
              <w:t>Number of departing passengers per washroom (peak hour)</w:t>
            </w:r>
          </w:p>
        </w:tc>
        <w:tc>
          <w:tcPr>
            <w:tcW w:w="1559" w:type="dxa"/>
            <w:tcBorders>
              <w:top w:val="nil"/>
              <w:left w:val="nil"/>
              <w:bottom w:val="single" w:sz="4" w:space="0" w:color="auto"/>
              <w:right w:val="nil"/>
            </w:tcBorders>
          </w:tcPr>
          <w:p w:rsidR="009543DB" w:rsidRPr="00A064F3"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1C322F" w:rsidRDefault="009543DB" w:rsidP="009543DB">
            <w:pPr>
              <w:pStyle w:val="QOStabletextleft"/>
              <w:rPr>
                <w:i/>
              </w:rPr>
            </w:pPr>
            <w:r>
              <w:rPr>
                <w:i/>
              </w:rPr>
              <w:t>73.0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t>N/A</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Aerobridges</w:t>
            </w:r>
          </w:p>
        </w:tc>
        <w:tc>
          <w:tcPr>
            <w:tcW w:w="6662" w:type="dxa"/>
            <w:tcBorders>
              <w:top w:val="single" w:sz="4" w:space="0" w:color="auto"/>
              <w:left w:val="nil"/>
              <w:bottom w:val="nil"/>
              <w:right w:val="nil"/>
            </w:tcBorders>
          </w:tcPr>
          <w:p w:rsidR="009543DB" w:rsidRDefault="009543DB" w:rsidP="009543DB">
            <w:pPr>
              <w:pStyle w:val="QOStabletextleft"/>
            </w:pPr>
            <w:r>
              <w:t>Aerobridges availability</w:t>
            </w:r>
          </w:p>
        </w:tc>
        <w:tc>
          <w:tcPr>
            <w:tcW w:w="1559" w:type="dxa"/>
            <w:tcBorders>
              <w:top w:val="single" w:sz="4" w:space="0" w:color="auto"/>
              <w:left w:val="nil"/>
              <w:bottom w:val="nil"/>
              <w:right w:val="nil"/>
            </w:tcBorders>
          </w:tcPr>
          <w:p w:rsidR="009543DB" w:rsidRDefault="009543DB" w:rsidP="009543DB">
            <w:pPr>
              <w:pStyle w:val="QOStabletextleft"/>
            </w:pPr>
            <w:r>
              <w:t>Airline survey</w:t>
            </w:r>
          </w:p>
        </w:tc>
        <w:tc>
          <w:tcPr>
            <w:tcW w:w="1559" w:type="dxa"/>
            <w:tcBorders>
              <w:top w:val="single" w:sz="4" w:space="0" w:color="auto"/>
              <w:left w:val="nil"/>
              <w:bottom w:val="nil"/>
              <w:right w:val="nil"/>
            </w:tcBorders>
          </w:tcPr>
          <w:p w:rsidR="009543DB" w:rsidRDefault="009543DB" w:rsidP="009543DB">
            <w:pPr>
              <w:pStyle w:val="QOStabletextleft"/>
            </w:pPr>
            <w:r>
              <w:t>Satisfactory</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Aerobridges standard</w:t>
            </w:r>
          </w:p>
        </w:tc>
        <w:tc>
          <w:tcPr>
            <w:tcW w:w="1559" w:type="dxa"/>
            <w:tcBorders>
              <w:top w:val="nil"/>
              <w:left w:val="nil"/>
              <w:bottom w:val="nil"/>
              <w:right w:val="nil"/>
            </w:tcBorders>
          </w:tcPr>
          <w:p w:rsidR="009543DB" w:rsidRDefault="009543DB" w:rsidP="009543DB">
            <w:pPr>
              <w:pStyle w:val="QOStabletextleft"/>
            </w:pPr>
            <w:r>
              <w:t>Airline survey</w:t>
            </w:r>
          </w:p>
        </w:tc>
        <w:tc>
          <w:tcPr>
            <w:tcW w:w="1559" w:type="dxa"/>
            <w:tcBorders>
              <w:top w:val="nil"/>
              <w:left w:val="nil"/>
              <w:bottom w:val="nil"/>
              <w:right w:val="nil"/>
            </w:tcBorders>
          </w:tcPr>
          <w:p w:rsidR="009543DB" w:rsidRDefault="009543DB" w:rsidP="009543DB">
            <w:pPr>
              <w:pStyle w:val="QOStabletextleft"/>
            </w:pPr>
            <w:r>
              <w:t>Satisfactory</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FC0AD9" w:rsidRDefault="009543DB" w:rsidP="009543DB">
            <w:pPr>
              <w:pStyle w:val="QOStabletextleft"/>
              <w:rPr>
                <w:i/>
              </w:rPr>
            </w:pPr>
            <w:r>
              <w:rPr>
                <w:i/>
              </w:rPr>
              <w:t>Percentage of international passengers arriving using an aerobridge</w:t>
            </w:r>
          </w:p>
        </w:tc>
        <w:tc>
          <w:tcPr>
            <w:tcW w:w="1559" w:type="dxa"/>
            <w:tcBorders>
              <w:top w:val="nil"/>
              <w:left w:val="nil"/>
              <w:bottom w:val="nil"/>
              <w:right w:val="nil"/>
            </w:tcBorders>
          </w:tcPr>
          <w:p w:rsidR="009543DB" w:rsidRPr="00A064F3"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1C322F" w:rsidRDefault="009543DB" w:rsidP="009543DB">
            <w:pPr>
              <w:pStyle w:val="QOStabletextleft"/>
              <w:rPr>
                <w:i/>
              </w:rPr>
            </w:pPr>
            <w:r w:rsidRPr="001C322F">
              <w:rPr>
                <w:i/>
              </w:rPr>
              <w:t>98.7%</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FC0AD9" w:rsidRDefault="009543DB" w:rsidP="009543DB">
            <w:pPr>
              <w:pStyle w:val="QOStabletextleft"/>
              <w:rPr>
                <w:i/>
              </w:rPr>
            </w:pPr>
            <w:r>
              <w:rPr>
                <w:i/>
              </w:rPr>
              <w:t>Percentage of international passengers departing using an aerobridge</w:t>
            </w:r>
          </w:p>
        </w:tc>
        <w:tc>
          <w:tcPr>
            <w:tcW w:w="1559" w:type="dxa"/>
            <w:tcBorders>
              <w:top w:val="nil"/>
              <w:left w:val="nil"/>
              <w:bottom w:val="single" w:sz="4" w:space="0" w:color="auto"/>
              <w:right w:val="nil"/>
            </w:tcBorders>
          </w:tcPr>
          <w:p w:rsidR="009543DB" w:rsidRPr="00A064F3"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1C322F" w:rsidRDefault="009543DB" w:rsidP="009543DB">
            <w:pPr>
              <w:pStyle w:val="QOStabletextleft"/>
              <w:rPr>
                <w:i/>
              </w:rPr>
            </w:pPr>
            <w:r>
              <w:rPr>
                <w:i/>
              </w:rPr>
              <w:t>99.5%</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Security</w:t>
            </w:r>
          </w:p>
        </w:tc>
        <w:tc>
          <w:tcPr>
            <w:tcW w:w="6662" w:type="dxa"/>
            <w:tcBorders>
              <w:top w:val="single" w:sz="4" w:space="0" w:color="auto"/>
              <w:left w:val="nil"/>
              <w:bottom w:val="nil"/>
              <w:right w:val="nil"/>
            </w:tcBorders>
          </w:tcPr>
          <w:p w:rsidR="009543DB" w:rsidRDefault="009543DB" w:rsidP="009543DB">
            <w:pPr>
              <w:pStyle w:val="QOStabletextleft"/>
            </w:pPr>
            <w:r>
              <w:t>Quality of security search process</w:t>
            </w:r>
          </w:p>
        </w:tc>
        <w:tc>
          <w:tcPr>
            <w:tcW w:w="1559" w:type="dxa"/>
            <w:tcBorders>
              <w:top w:val="single" w:sz="4" w:space="0" w:color="auto"/>
              <w:left w:val="nil"/>
              <w:bottom w:val="nil"/>
              <w:right w:val="nil"/>
            </w:tcBorders>
          </w:tcPr>
          <w:p w:rsidR="009543DB" w:rsidRDefault="009543DB" w:rsidP="009543DB">
            <w:pPr>
              <w:pStyle w:val="QOStabletextleft"/>
            </w:pPr>
            <w:r>
              <w:t>Passenger survey</w:t>
            </w:r>
          </w:p>
        </w:tc>
        <w:tc>
          <w:tcPr>
            <w:tcW w:w="1559" w:type="dxa"/>
            <w:tcBorders>
              <w:top w:val="single" w:sz="4" w:space="0" w:color="auto"/>
              <w:left w:val="nil"/>
              <w:bottom w:val="nil"/>
              <w:right w:val="nil"/>
            </w:tcBorders>
          </w:tcPr>
          <w:p w:rsidR="009543DB" w:rsidRDefault="009543DB" w:rsidP="009543DB">
            <w:pPr>
              <w:pStyle w:val="QOStabletextleft"/>
            </w:pPr>
            <w:r>
              <w:t>Good</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right w:val="nil"/>
            </w:tcBorders>
          </w:tcPr>
          <w:p w:rsidR="009543DB" w:rsidRDefault="009543DB" w:rsidP="009543DB">
            <w:pPr>
              <w:pStyle w:val="QOStabletextleftbold"/>
            </w:pPr>
          </w:p>
        </w:tc>
        <w:tc>
          <w:tcPr>
            <w:tcW w:w="6662" w:type="dxa"/>
            <w:tcBorders>
              <w:top w:val="nil"/>
              <w:left w:val="nil"/>
              <w:right w:val="nil"/>
            </w:tcBorders>
          </w:tcPr>
          <w:p w:rsidR="009543DB" w:rsidRPr="00FC0AD9" w:rsidRDefault="009543DB" w:rsidP="009543DB">
            <w:pPr>
              <w:pStyle w:val="QOStabletextleft"/>
              <w:rPr>
                <w:i/>
              </w:rPr>
            </w:pPr>
            <w:r>
              <w:rPr>
                <w:i/>
              </w:rPr>
              <w:t>Number of departing passengers per security clearance system (peak hour)</w:t>
            </w:r>
          </w:p>
        </w:tc>
        <w:tc>
          <w:tcPr>
            <w:tcW w:w="1559" w:type="dxa"/>
            <w:tcBorders>
              <w:top w:val="nil"/>
              <w:left w:val="nil"/>
              <w:right w:val="nil"/>
            </w:tcBorders>
          </w:tcPr>
          <w:p w:rsidR="009543DB" w:rsidRPr="00A064F3" w:rsidRDefault="009543DB" w:rsidP="009543DB">
            <w:pPr>
              <w:pStyle w:val="QOStabletextleft"/>
              <w:rPr>
                <w:i/>
              </w:rPr>
            </w:pPr>
            <w:r>
              <w:rPr>
                <w:i/>
              </w:rPr>
              <w:t>Objective indicator</w:t>
            </w:r>
          </w:p>
        </w:tc>
        <w:tc>
          <w:tcPr>
            <w:tcW w:w="1559" w:type="dxa"/>
            <w:tcBorders>
              <w:top w:val="nil"/>
              <w:left w:val="nil"/>
              <w:right w:val="nil"/>
            </w:tcBorders>
          </w:tcPr>
          <w:p w:rsidR="009543DB" w:rsidRPr="001C322F" w:rsidRDefault="009543DB" w:rsidP="009543DB">
            <w:pPr>
              <w:pStyle w:val="QOStabletextleft"/>
              <w:rPr>
                <w:i/>
              </w:rPr>
            </w:pPr>
            <w:r>
              <w:rPr>
                <w:i/>
              </w:rPr>
              <w:t>129.8 passengers</w:t>
            </w:r>
          </w:p>
        </w:tc>
        <w:tc>
          <w:tcPr>
            <w:tcW w:w="1493" w:type="dxa"/>
            <w:tcBorders>
              <w:top w:val="nil"/>
              <w:left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bl>
    <w:p w:rsidR="009543DB" w:rsidRDefault="009543DB" w:rsidP="009543DB">
      <w:pPr>
        <w:pStyle w:val="Sourceandnotes"/>
        <w:rPr>
          <w:rFonts w:cs="Arial"/>
          <w:color w:val="000000" w:themeColor="text1"/>
        </w:rPr>
        <w:sectPr w:rsidR="009543DB" w:rsidSect="009543DB">
          <w:headerReference w:type="even" r:id="rId99"/>
          <w:headerReference w:type="default" r:id="rId100"/>
          <w:footnotePr>
            <w:numStart w:val="93"/>
          </w:footnotePr>
          <w:pgSz w:w="16838" w:h="11906" w:orient="landscape"/>
          <w:pgMar w:top="1729" w:right="1440" w:bottom="1729" w:left="1582" w:header="709" w:footer="709" w:gutter="0"/>
          <w:cols w:space="708"/>
          <w:docGrid w:linePitch="360"/>
        </w:sect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br/>
        <w:t>* Rating changed by a category over the period. ** Rating changed by two categories over the period.</w:t>
      </w:r>
    </w:p>
    <w:p w:rsidR="009543DB" w:rsidRDefault="009543DB" w:rsidP="00114E05">
      <w:pPr>
        <w:pStyle w:val="Non-numberedheading4"/>
      </w:pPr>
      <w:r>
        <w:lastRenderedPageBreak/>
        <w:t>Domestic terminal (T3)</w:t>
      </w:r>
    </w:p>
    <w:p w:rsidR="009543DB" w:rsidRDefault="009543DB" w:rsidP="009543DB">
      <w:r>
        <w:t>As shown in Table 3.3.3,</w:t>
      </w:r>
      <w:r w:rsidRPr="00B4584B">
        <w:t xml:space="preserve"> passengers’ ratings of each subjective indicator of Melbourne Airport’s </w:t>
      </w:r>
      <w:r>
        <w:t>Terminal 3</w:t>
      </w:r>
      <w:r w:rsidRPr="00B4584B">
        <w:t xml:space="preserve"> remained within the ‘good’ range</w:t>
      </w:r>
      <w:r>
        <w:t xml:space="preserve"> in 2014</w:t>
      </w:r>
      <w:r>
        <w:noBreakHyphen/>
        <w:t>15.</w:t>
      </w:r>
      <w:r w:rsidRPr="00B4584B">
        <w:t xml:space="preserve"> </w:t>
      </w:r>
      <w:r>
        <w:t>In contrast, airlines were much less positive regarding Terminal 3 and rated each indicator as either ‘satisfactory’ or ‘poor’ in 2014</w:t>
      </w:r>
      <w:r>
        <w:noBreakHyphen/>
        <w:t>15.</w:t>
      </w:r>
    </w:p>
    <w:p w:rsidR="009543DB" w:rsidRDefault="009543DB" w:rsidP="009543DB">
      <w:r>
        <w:t>Most passenger ratings were unchanged during 2014</w:t>
      </w:r>
      <w:r>
        <w:noBreakHyphen/>
        <w:t>15. Three slightly decreased (check</w:t>
      </w:r>
      <w:r>
        <w:noBreakHyphen/>
        <w:t>in waiting time, findability of baggage trolleys and standard of washrooms) and one slightly increased (flight information display screens).</w:t>
      </w:r>
    </w:p>
    <w:p w:rsidR="009543DB" w:rsidRPr="00B4584B" w:rsidRDefault="009543DB" w:rsidP="009543DB">
      <w:pPr>
        <w:rPr>
          <w:highlight w:val="yellow"/>
        </w:rPr>
      </w:pPr>
      <w:r w:rsidRPr="00D01BBF">
        <w:t>Melbourne Airport decreased the number of check</w:t>
      </w:r>
      <w:r w:rsidRPr="00D01BBF">
        <w:noBreakHyphen/>
        <w:t>in kiosk facilities from 16 to 13 during 2014</w:t>
      </w:r>
      <w:r w:rsidRPr="00D01BBF">
        <w:noBreakHyphen/>
        <w:t xml:space="preserve">15. </w:t>
      </w:r>
      <w:proofErr w:type="gramStart"/>
      <w:r>
        <w:t>Passengers’ rated check</w:t>
      </w:r>
      <w:r>
        <w:noBreakHyphen/>
        <w:t>in waiting time as ‘good’ in 2014</w:t>
      </w:r>
      <w:r>
        <w:noBreakHyphen/>
        <w:t>15, although this rating slightly declined during the year.</w:t>
      </w:r>
      <w:proofErr w:type="gramEnd"/>
      <w:r>
        <w:t xml:space="preserve"> Airlines rated the availability of check</w:t>
      </w:r>
      <w:r>
        <w:noBreakHyphen/>
        <w:t xml:space="preserve">in </w:t>
      </w:r>
      <w:r w:rsidRPr="00D01BBF">
        <w:t>services and facilities as ‘poor’ in 2014</w:t>
      </w:r>
      <w:r w:rsidRPr="00D01BBF">
        <w:noBreakHyphen/>
        <w:t>15, and rated the standard of these services and facilities as ‘satisfactory’. In commentary provided to support these ratings, airlines noted that the check</w:t>
      </w:r>
      <w:r w:rsidRPr="00D01BBF">
        <w:noBreakHyphen/>
        <w:t xml:space="preserve">in hall is </w:t>
      </w:r>
      <w:r>
        <w:t xml:space="preserve">often very </w:t>
      </w:r>
      <w:r w:rsidRPr="00D01BBF">
        <w:t>busy and can overflow into the landside areas.</w:t>
      </w:r>
    </w:p>
    <w:p w:rsidR="009543DB" w:rsidRDefault="009543DB" w:rsidP="009543DB">
      <w:pPr>
        <w:rPr>
          <w:highlight w:val="yellow"/>
        </w:rPr>
      </w:pPr>
      <w:r>
        <w:t>Airlines’ rating of the availability and standard of baggage processing facilities increased from ‘poor’ in 2013</w:t>
      </w:r>
      <w:r>
        <w:noBreakHyphen/>
        <w:t>14 to ‘satisfactory’ in 2014</w:t>
      </w:r>
      <w:r>
        <w:noBreakHyphen/>
        <w:t>15. However, the ratings for 2014</w:t>
      </w:r>
      <w:r>
        <w:noBreakHyphen/>
        <w:t>15 were at the bottom of the ‘satisfactory’ range. Airlines commented that the baggage processing systems were old, out-dated and unclean. Airlines also raised issues with congestion in the inbound and outbound baggage processes due to infrastructure constraints.</w:t>
      </w:r>
      <w:r w:rsidRPr="00D01BBF">
        <w:rPr>
          <w:highlight w:val="yellow"/>
        </w:rPr>
        <w:t xml:space="preserve"> </w:t>
      </w:r>
    </w:p>
    <w:p w:rsidR="009543DB" w:rsidRDefault="009543DB" w:rsidP="009543DB">
      <w:r>
        <w:t>Melbourne Airport stated that it added two additional flight information display screens in its public gate lounge areas during 2014</w:t>
      </w:r>
      <w:r>
        <w:noBreakHyphen/>
        <w:t>15. This improvement corresponds to slightly improved passenger ratings within the ‘good’ range for flight information display screens.</w:t>
      </w:r>
    </w:p>
    <w:p w:rsidR="009543DB" w:rsidRDefault="009543DB" w:rsidP="00114E05">
      <w:pPr>
        <w:pStyle w:val="Non-numberedheading4"/>
      </w:pPr>
      <w:r>
        <w:t>Domestic terminal (T4)</w:t>
      </w:r>
    </w:p>
    <w:p w:rsidR="009543DB" w:rsidRDefault="009543DB" w:rsidP="009543DB">
      <w:r>
        <w:t>As presented in Table 3.3.4, all of the ratings on Melbourne Airport’s subjective indicators at Terminal 4 remained in the ‘good’ range during 2014</w:t>
      </w:r>
      <w:r>
        <w:noBreakHyphen/>
        <w:t>15. Of these, the only measure that declined was the findability of baggage trolleys. Melbourne Airport stated that construction works for the new Terminal 4 impacted baggage trolley availability during the year.</w:t>
      </w:r>
    </w:p>
    <w:p w:rsidR="009543DB" w:rsidRDefault="009543DB" w:rsidP="009543DB">
      <w:r>
        <w:t>Despite 2014</w:t>
      </w:r>
      <w:r>
        <w:noBreakHyphen/>
        <w:t>15 being the final year of operation for the existing Terminal 4, passengers did note some improvements in a number of services and facilities during the year. For example, passengers’ rating of check</w:t>
      </w:r>
      <w:r>
        <w:noBreakHyphen/>
        <w:t>in waiting time increased within the ‘good’ range in 2014</w:t>
      </w:r>
      <w:r>
        <w:noBreakHyphen/>
        <w:t>15. Melbourne Airport stated that this was due to Tigerair implementing a new fully automated check</w:t>
      </w:r>
      <w:r>
        <w:noBreakHyphen/>
        <w:t>in system to work in conjunction with its traditional check</w:t>
      </w:r>
      <w:r>
        <w:noBreakHyphen/>
        <w:t>in desks. Passengers’ rating of the circulation space for inbound baggage reclaim also increased within the ‘good’ range in 2014</w:t>
      </w:r>
      <w:r>
        <w:noBreakHyphen/>
        <w:t>15. Melbourne Airport noted that the relocation of the inbound baggage reclaim area to a new larger area resulted in positive feedback from passengers.</w:t>
      </w:r>
    </w:p>
    <w:p w:rsidR="009543DB" w:rsidRDefault="009543DB" w:rsidP="009543DB"/>
    <w:p w:rsidR="009543DB" w:rsidRDefault="009543DB" w:rsidP="009543DB"/>
    <w:p w:rsidR="009543DB" w:rsidRDefault="009543DB" w:rsidP="009543DB">
      <w:pPr>
        <w:sectPr w:rsidR="009543DB" w:rsidSect="009543DB">
          <w:headerReference w:type="even" r:id="rId101"/>
          <w:headerReference w:type="default" r:id="rId102"/>
          <w:footnotePr>
            <w:numStart w:val="93"/>
          </w:footnotePr>
          <w:pgSz w:w="11906" w:h="16838"/>
          <w:pgMar w:top="1440" w:right="1729" w:bottom="1582" w:left="1729" w:header="709" w:footer="709" w:gutter="0"/>
          <w:cols w:space="708"/>
          <w:docGrid w:linePitch="360"/>
        </w:sectPr>
      </w:pPr>
    </w:p>
    <w:p w:rsidR="009543DB" w:rsidRDefault="009543DB" w:rsidP="009543DB">
      <w:pPr>
        <w:pStyle w:val="Numberedcharttitle"/>
      </w:pPr>
      <w:r>
        <w:lastRenderedPageBreak/>
        <w:t>Table 3.3.3:</w:t>
      </w:r>
      <w:r>
        <w:tab/>
        <w:t>Melbourne Airport—indicators of quality of passenger</w:t>
      </w:r>
      <w:r>
        <w:noBreakHyphen/>
        <w:t>related services and facilities—domestic terminal (T3):</w:t>
      </w:r>
      <w:r>
        <w:br/>
        <w:t>2014-15, 1-year change and change since 2010-11</w:t>
      </w:r>
    </w:p>
    <w:tbl>
      <w:tblPr>
        <w:tblStyle w:val="TableGrid"/>
        <w:tblW w:w="0" w:type="auto"/>
        <w:tblLook w:val="04A0" w:firstRow="1" w:lastRow="0" w:firstColumn="1" w:lastColumn="0" w:noHBand="0" w:noVBand="1"/>
      </w:tblPr>
      <w:tblGrid>
        <w:gridCol w:w="1287"/>
        <w:gridCol w:w="6648"/>
        <w:gridCol w:w="1558"/>
        <w:gridCol w:w="1557"/>
        <w:gridCol w:w="1491"/>
        <w:gridCol w:w="1491"/>
      </w:tblGrid>
      <w:tr w:rsidR="009543DB" w:rsidTr="009543DB">
        <w:tc>
          <w:tcPr>
            <w:tcW w:w="1287" w:type="dxa"/>
            <w:tcBorders>
              <w:left w:val="nil"/>
              <w:bottom w:val="single" w:sz="4" w:space="0" w:color="auto"/>
              <w:right w:val="nil"/>
            </w:tcBorders>
            <w:shd w:val="clear" w:color="auto" w:fill="DFE0DC"/>
          </w:tcPr>
          <w:p w:rsidR="009543DB" w:rsidRDefault="009543DB" w:rsidP="009543DB">
            <w:pPr>
              <w:pStyle w:val="QOStabletextleftbold"/>
            </w:pPr>
            <w:r>
              <w:t>Category</w:t>
            </w:r>
          </w:p>
        </w:tc>
        <w:tc>
          <w:tcPr>
            <w:tcW w:w="6648" w:type="dxa"/>
            <w:tcBorders>
              <w:left w:val="nil"/>
              <w:bottom w:val="single" w:sz="4" w:space="0" w:color="auto"/>
              <w:right w:val="nil"/>
            </w:tcBorders>
            <w:shd w:val="clear" w:color="auto" w:fill="DFE0DC"/>
          </w:tcPr>
          <w:p w:rsidR="009543DB" w:rsidRDefault="009543DB" w:rsidP="009543DB">
            <w:pPr>
              <w:pStyle w:val="QOStabletextleftbold"/>
            </w:pPr>
            <w:r>
              <w:t>Indicator</w:t>
            </w:r>
          </w:p>
        </w:tc>
        <w:tc>
          <w:tcPr>
            <w:tcW w:w="1558" w:type="dxa"/>
            <w:tcBorders>
              <w:left w:val="nil"/>
              <w:bottom w:val="single" w:sz="4" w:space="0" w:color="auto"/>
              <w:right w:val="nil"/>
            </w:tcBorders>
            <w:shd w:val="clear" w:color="auto" w:fill="DFE0DC"/>
          </w:tcPr>
          <w:p w:rsidR="009543DB" w:rsidRDefault="009543DB" w:rsidP="009543DB">
            <w:pPr>
              <w:pStyle w:val="QOStabletextleftbold"/>
            </w:pPr>
            <w:r>
              <w:t>Data source</w:t>
            </w:r>
          </w:p>
        </w:tc>
        <w:tc>
          <w:tcPr>
            <w:tcW w:w="1557" w:type="dxa"/>
            <w:tcBorders>
              <w:left w:val="nil"/>
              <w:bottom w:val="single" w:sz="4" w:space="0" w:color="auto"/>
              <w:right w:val="nil"/>
            </w:tcBorders>
            <w:shd w:val="clear" w:color="auto" w:fill="DFE0DC"/>
          </w:tcPr>
          <w:p w:rsidR="009543DB" w:rsidRDefault="009543DB" w:rsidP="009543DB">
            <w:pPr>
              <w:pStyle w:val="QOStabletextleftbold"/>
            </w:pPr>
            <w:r>
              <w:t>Indicator result 2014-15</w:t>
            </w:r>
          </w:p>
        </w:tc>
        <w:tc>
          <w:tcPr>
            <w:tcW w:w="1491" w:type="dxa"/>
            <w:tcBorders>
              <w:left w:val="nil"/>
              <w:bottom w:val="single" w:sz="4" w:space="0" w:color="auto"/>
              <w:right w:val="nil"/>
            </w:tcBorders>
            <w:shd w:val="clear" w:color="auto" w:fill="DFE0DC"/>
          </w:tcPr>
          <w:p w:rsidR="009543DB" w:rsidRDefault="009543DB" w:rsidP="009543DB">
            <w:pPr>
              <w:pStyle w:val="QOStabletextleftbold"/>
            </w:pPr>
            <w:r>
              <w:t>1-year change</w:t>
            </w:r>
          </w:p>
        </w:tc>
        <w:tc>
          <w:tcPr>
            <w:tcW w:w="1491" w:type="dxa"/>
            <w:tcBorders>
              <w:left w:val="nil"/>
              <w:bottom w:val="single" w:sz="4" w:space="0" w:color="auto"/>
              <w:right w:val="nil"/>
            </w:tcBorders>
            <w:shd w:val="clear" w:color="auto" w:fill="DFE0DC"/>
          </w:tcPr>
          <w:p w:rsidR="009543DB" w:rsidRDefault="009543DB" w:rsidP="009543DB">
            <w:pPr>
              <w:pStyle w:val="QOStabletextleftbold"/>
            </w:pPr>
            <w:r>
              <w:t>Change since 2010</w:t>
            </w:r>
            <w:r>
              <w:noBreakHyphen/>
              <w:t>11</w:t>
            </w:r>
          </w:p>
        </w:tc>
      </w:tr>
      <w:tr w:rsidR="009543DB" w:rsidTr="009543DB">
        <w:tc>
          <w:tcPr>
            <w:tcW w:w="1287" w:type="dxa"/>
            <w:tcBorders>
              <w:left w:val="nil"/>
              <w:bottom w:val="nil"/>
              <w:right w:val="nil"/>
            </w:tcBorders>
          </w:tcPr>
          <w:p w:rsidR="009543DB" w:rsidRDefault="009543DB" w:rsidP="009543DB">
            <w:pPr>
              <w:pStyle w:val="QOStabletextleftbold"/>
            </w:pPr>
            <w:r>
              <w:t>Check-in</w:t>
            </w:r>
          </w:p>
        </w:tc>
        <w:tc>
          <w:tcPr>
            <w:tcW w:w="6648" w:type="dxa"/>
            <w:tcBorders>
              <w:left w:val="nil"/>
              <w:bottom w:val="nil"/>
              <w:right w:val="nil"/>
            </w:tcBorders>
          </w:tcPr>
          <w:p w:rsidR="009543DB" w:rsidRDefault="009543DB" w:rsidP="009543DB">
            <w:pPr>
              <w:pStyle w:val="QOStabletextleft"/>
            </w:pPr>
            <w:r>
              <w:t>Check-in availability</w:t>
            </w:r>
          </w:p>
        </w:tc>
        <w:tc>
          <w:tcPr>
            <w:tcW w:w="1558" w:type="dxa"/>
            <w:tcBorders>
              <w:left w:val="nil"/>
              <w:bottom w:val="nil"/>
              <w:right w:val="nil"/>
            </w:tcBorders>
          </w:tcPr>
          <w:p w:rsidR="009543DB" w:rsidRDefault="009543DB" w:rsidP="009543DB">
            <w:pPr>
              <w:pStyle w:val="QOStabletextleft"/>
            </w:pPr>
            <w:r>
              <w:t>Airline survey</w:t>
            </w:r>
          </w:p>
        </w:tc>
        <w:tc>
          <w:tcPr>
            <w:tcW w:w="1557" w:type="dxa"/>
            <w:tcBorders>
              <w:left w:val="nil"/>
              <w:bottom w:val="nil"/>
              <w:right w:val="nil"/>
            </w:tcBorders>
          </w:tcPr>
          <w:p w:rsidR="009543DB" w:rsidRDefault="009543DB" w:rsidP="009543DB">
            <w:pPr>
              <w:pStyle w:val="QOStabletextleft"/>
            </w:pPr>
            <w:r>
              <w:t>Poor</w:t>
            </w:r>
          </w:p>
        </w:tc>
        <w:tc>
          <w:tcPr>
            <w:tcW w:w="1491" w:type="dxa"/>
            <w:tcBorders>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r w:rsidRPr="006B740F">
              <w:rPr>
                <w:rFonts w:eastAsia="Times New Roman" w:cs="Times New Roman"/>
                <w:color w:val="000000" w:themeColor="text1"/>
                <w:szCs w:val="24"/>
                <w:lang w:eastAsia="en-AU"/>
              </w:rPr>
              <w:t>*</w:t>
            </w:r>
          </w:p>
        </w:tc>
        <w:tc>
          <w:tcPr>
            <w:tcW w:w="1491" w:type="dxa"/>
            <w:tcBorders>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Default="009543DB" w:rsidP="009543DB">
            <w:pPr>
              <w:pStyle w:val="QOStabletextleft"/>
            </w:pPr>
            <w:r>
              <w:t>Check-in standard</w:t>
            </w:r>
          </w:p>
        </w:tc>
        <w:tc>
          <w:tcPr>
            <w:tcW w:w="1558" w:type="dxa"/>
            <w:tcBorders>
              <w:top w:val="nil"/>
              <w:left w:val="nil"/>
              <w:bottom w:val="nil"/>
              <w:right w:val="nil"/>
            </w:tcBorders>
          </w:tcPr>
          <w:p w:rsidR="009543DB" w:rsidRDefault="009543DB" w:rsidP="009543DB">
            <w:pPr>
              <w:pStyle w:val="QOStabletextleft"/>
            </w:pPr>
            <w:r>
              <w:t>Airline survey</w:t>
            </w:r>
          </w:p>
        </w:tc>
        <w:tc>
          <w:tcPr>
            <w:tcW w:w="1557" w:type="dxa"/>
            <w:tcBorders>
              <w:top w:val="nil"/>
              <w:left w:val="nil"/>
              <w:bottom w:val="nil"/>
              <w:right w:val="nil"/>
            </w:tcBorders>
          </w:tcPr>
          <w:p w:rsidR="009543DB" w:rsidRDefault="009543DB" w:rsidP="009543DB">
            <w:pPr>
              <w:pStyle w:val="QOStabletextleft"/>
            </w:pPr>
            <w:r>
              <w:t>Satisfactory</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Default="009543DB" w:rsidP="009543DB">
            <w:pPr>
              <w:pStyle w:val="QOStabletextleft"/>
            </w:pPr>
            <w:r>
              <w:t>Check-in waiting time</w:t>
            </w:r>
          </w:p>
        </w:tc>
        <w:tc>
          <w:tcPr>
            <w:tcW w:w="1558" w:type="dxa"/>
            <w:tcBorders>
              <w:top w:val="nil"/>
              <w:left w:val="nil"/>
              <w:bottom w:val="nil"/>
              <w:right w:val="nil"/>
            </w:tcBorders>
          </w:tcPr>
          <w:p w:rsidR="009543DB" w:rsidRDefault="009543DB" w:rsidP="009543DB">
            <w:pPr>
              <w:pStyle w:val="QOStabletextleft"/>
            </w:pPr>
            <w:r>
              <w:t>Passenger survey</w:t>
            </w:r>
          </w:p>
        </w:tc>
        <w:tc>
          <w:tcPr>
            <w:tcW w:w="1557" w:type="dxa"/>
            <w:tcBorders>
              <w:top w:val="nil"/>
              <w:left w:val="nil"/>
              <w:bottom w:val="nil"/>
              <w:right w:val="nil"/>
            </w:tcBorders>
          </w:tcPr>
          <w:p w:rsidR="009543DB" w:rsidRDefault="009543DB" w:rsidP="009543DB">
            <w:pPr>
              <w:pStyle w:val="QOStabletextleft"/>
            </w:pPr>
            <w:r>
              <w:t>Good</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nil"/>
              <w:left w:val="nil"/>
              <w:bottom w:val="single" w:sz="4" w:space="0" w:color="auto"/>
              <w:right w:val="nil"/>
            </w:tcBorders>
          </w:tcPr>
          <w:p w:rsidR="009543DB" w:rsidRDefault="009543DB" w:rsidP="009543DB">
            <w:pPr>
              <w:pStyle w:val="QOStabletextleftbold"/>
            </w:pPr>
          </w:p>
        </w:tc>
        <w:tc>
          <w:tcPr>
            <w:tcW w:w="6648" w:type="dxa"/>
            <w:tcBorders>
              <w:top w:val="nil"/>
              <w:left w:val="nil"/>
              <w:bottom w:val="single" w:sz="4" w:space="0" w:color="auto"/>
              <w:right w:val="nil"/>
            </w:tcBorders>
          </w:tcPr>
          <w:p w:rsidR="009543DB" w:rsidRPr="007B17BA" w:rsidRDefault="009543DB" w:rsidP="009543DB">
            <w:pPr>
              <w:pStyle w:val="QOStabletextleft"/>
              <w:rPr>
                <w:i/>
              </w:rPr>
            </w:pPr>
            <w:r>
              <w:rPr>
                <w:i/>
              </w:rPr>
              <w:t>Number of departing passengers per check-in desk, kiosk and bag drop facility (peak hour)</w:t>
            </w:r>
          </w:p>
        </w:tc>
        <w:tc>
          <w:tcPr>
            <w:tcW w:w="1558" w:type="dxa"/>
            <w:tcBorders>
              <w:top w:val="nil"/>
              <w:left w:val="nil"/>
              <w:bottom w:val="single" w:sz="4" w:space="0" w:color="auto"/>
              <w:right w:val="nil"/>
            </w:tcBorders>
          </w:tcPr>
          <w:p w:rsidR="009543DB" w:rsidRPr="007C7F0D" w:rsidRDefault="009543DB" w:rsidP="009543DB">
            <w:pPr>
              <w:pStyle w:val="QOStabletextleft"/>
              <w:rPr>
                <w:i/>
              </w:rPr>
            </w:pPr>
            <w:r>
              <w:rPr>
                <w:i/>
              </w:rPr>
              <w:t>Objective indicator</w:t>
            </w:r>
          </w:p>
        </w:tc>
        <w:tc>
          <w:tcPr>
            <w:tcW w:w="1557" w:type="dxa"/>
            <w:tcBorders>
              <w:top w:val="nil"/>
              <w:left w:val="nil"/>
              <w:bottom w:val="single" w:sz="4" w:space="0" w:color="auto"/>
              <w:right w:val="nil"/>
            </w:tcBorders>
          </w:tcPr>
          <w:p w:rsidR="009543DB" w:rsidRPr="0039040F" w:rsidRDefault="009543DB" w:rsidP="009543DB">
            <w:pPr>
              <w:pStyle w:val="QOStabletextleft"/>
              <w:rPr>
                <w:i/>
              </w:rPr>
            </w:pPr>
            <w:r>
              <w:rPr>
                <w:i/>
              </w:rPr>
              <w:t>19.2 passengers</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single" w:sz="4" w:space="0" w:color="auto"/>
              <w:left w:val="nil"/>
              <w:bottom w:val="nil"/>
              <w:right w:val="nil"/>
            </w:tcBorders>
          </w:tcPr>
          <w:p w:rsidR="009543DB" w:rsidRDefault="009543DB" w:rsidP="009543DB">
            <w:pPr>
              <w:pStyle w:val="QOStabletextleftbold"/>
            </w:pPr>
            <w:r>
              <w:t>Baggage</w:t>
            </w:r>
          </w:p>
        </w:tc>
        <w:tc>
          <w:tcPr>
            <w:tcW w:w="6648" w:type="dxa"/>
            <w:tcBorders>
              <w:top w:val="single" w:sz="4" w:space="0" w:color="auto"/>
              <w:left w:val="nil"/>
              <w:bottom w:val="nil"/>
              <w:right w:val="nil"/>
            </w:tcBorders>
          </w:tcPr>
          <w:p w:rsidR="009543DB" w:rsidRDefault="009543DB" w:rsidP="009543DB">
            <w:pPr>
              <w:pStyle w:val="QOStabletextleft"/>
            </w:pPr>
            <w:r>
              <w:t>Baggage processing facilities availability</w:t>
            </w:r>
          </w:p>
        </w:tc>
        <w:tc>
          <w:tcPr>
            <w:tcW w:w="1558" w:type="dxa"/>
            <w:tcBorders>
              <w:top w:val="single" w:sz="4" w:space="0" w:color="auto"/>
              <w:left w:val="nil"/>
              <w:bottom w:val="nil"/>
              <w:right w:val="nil"/>
            </w:tcBorders>
          </w:tcPr>
          <w:p w:rsidR="009543DB" w:rsidRDefault="009543DB" w:rsidP="009543DB">
            <w:pPr>
              <w:pStyle w:val="QOStabletextleft"/>
            </w:pPr>
            <w:r>
              <w:t>Airline survey</w:t>
            </w:r>
          </w:p>
        </w:tc>
        <w:tc>
          <w:tcPr>
            <w:tcW w:w="1557" w:type="dxa"/>
            <w:tcBorders>
              <w:top w:val="single" w:sz="4" w:space="0" w:color="auto"/>
              <w:left w:val="nil"/>
              <w:bottom w:val="nil"/>
              <w:right w:val="nil"/>
            </w:tcBorders>
          </w:tcPr>
          <w:p w:rsidR="009543DB" w:rsidRDefault="009543DB" w:rsidP="009543DB">
            <w:pPr>
              <w:pStyle w:val="QOStabletextleft"/>
            </w:pPr>
            <w:r>
              <w:t>Satisfactory</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1C322F">
              <w:rPr>
                <w:rFonts w:eastAsia="Times New Roman" w:cs="Times New Roman"/>
                <w:color w:val="000000" w:themeColor="text1"/>
                <w:szCs w:val="24"/>
                <w:lang w:eastAsia="en-AU"/>
              </w:rPr>
              <w:t>*</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6B740F">
              <w:rPr>
                <w:rFonts w:eastAsia="Times New Roman" w:cs="Times New Roman"/>
                <w:color w:val="000000" w:themeColor="text1"/>
                <w:szCs w:val="24"/>
                <w:lang w:eastAsia="en-AU"/>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Default="009543DB" w:rsidP="009543DB">
            <w:pPr>
              <w:pStyle w:val="QOStabletextleft"/>
            </w:pPr>
            <w:r>
              <w:t>Baggage processing facilities standard</w:t>
            </w:r>
          </w:p>
        </w:tc>
        <w:tc>
          <w:tcPr>
            <w:tcW w:w="1558" w:type="dxa"/>
            <w:tcBorders>
              <w:top w:val="nil"/>
              <w:left w:val="nil"/>
              <w:bottom w:val="nil"/>
              <w:right w:val="nil"/>
            </w:tcBorders>
          </w:tcPr>
          <w:p w:rsidR="009543DB" w:rsidRDefault="009543DB" w:rsidP="009543DB">
            <w:pPr>
              <w:pStyle w:val="QOStabletextleft"/>
            </w:pPr>
            <w:r>
              <w:t>Airline survey</w:t>
            </w:r>
          </w:p>
        </w:tc>
        <w:tc>
          <w:tcPr>
            <w:tcW w:w="1557" w:type="dxa"/>
            <w:tcBorders>
              <w:top w:val="nil"/>
              <w:left w:val="nil"/>
              <w:bottom w:val="nil"/>
              <w:right w:val="nil"/>
            </w:tcBorders>
          </w:tcPr>
          <w:p w:rsidR="009543DB" w:rsidRDefault="009543DB" w:rsidP="009543DB">
            <w:pPr>
              <w:pStyle w:val="QOStabletextleft"/>
            </w:pPr>
            <w:r>
              <w:t>Satisfactory</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1C322F">
              <w:rPr>
                <w:rFonts w:eastAsia="Times New Roman" w:cs="Times New Roman"/>
                <w:color w:val="000000" w:themeColor="text1"/>
                <w:szCs w:val="24"/>
                <w:lang w:eastAsia="en-AU"/>
              </w:rPr>
              <w:t>*</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r w:rsidRPr="006B740F">
              <w:rPr>
                <w:rFonts w:eastAsia="Times New Roman" w:cs="Times New Roman"/>
                <w:color w:val="000000" w:themeColor="text1"/>
                <w:szCs w:val="24"/>
                <w:lang w:eastAsia="en-AU"/>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Pr="00FC0AD9" w:rsidRDefault="009543DB" w:rsidP="009543DB">
            <w:pPr>
              <w:pStyle w:val="QOStabletextleft"/>
            </w:pPr>
            <w:r>
              <w:t>Circulation space for inbound baggage reclaim</w:t>
            </w:r>
          </w:p>
        </w:tc>
        <w:tc>
          <w:tcPr>
            <w:tcW w:w="1558" w:type="dxa"/>
            <w:tcBorders>
              <w:top w:val="nil"/>
              <w:left w:val="nil"/>
              <w:bottom w:val="nil"/>
              <w:right w:val="nil"/>
            </w:tcBorders>
          </w:tcPr>
          <w:p w:rsidR="009543DB" w:rsidRPr="00FC0AD9" w:rsidRDefault="009543DB" w:rsidP="009543DB">
            <w:pPr>
              <w:pStyle w:val="QOStabletextleft"/>
            </w:pPr>
            <w:r>
              <w:t>Passenger survey</w:t>
            </w:r>
          </w:p>
        </w:tc>
        <w:tc>
          <w:tcPr>
            <w:tcW w:w="1557" w:type="dxa"/>
            <w:tcBorders>
              <w:top w:val="nil"/>
              <w:left w:val="nil"/>
              <w:bottom w:val="nil"/>
              <w:right w:val="nil"/>
            </w:tcBorders>
          </w:tcPr>
          <w:p w:rsidR="009543DB" w:rsidRDefault="009543DB" w:rsidP="009543DB">
            <w:pPr>
              <w:pStyle w:val="QOStabletextleft"/>
            </w:pPr>
            <w:r>
              <w:t>Good</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Default="009543DB" w:rsidP="009543DB">
            <w:pPr>
              <w:pStyle w:val="QOStabletextleft"/>
            </w:pPr>
            <w:r>
              <w:t>Information display for inbound baggage reclaim</w:t>
            </w:r>
          </w:p>
        </w:tc>
        <w:tc>
          <w:tcPr>
            <w:tcW w:w="1558" w:type="dxa"/>
            <w:tcBorders>
              <w:top w:val="nil"/>
              <w:left w:val="nil"/>
              <w:bottom w:val="nil"/>
              <w:right w:val="nil"/>
            </w:tcBorders>
          </w:tcPr>
          <w:p w:rsidR="009543DB" w:rsidRDefault="009543DB" w:rsidP="009543DB">
            <w:pPr>
              <w:pStyle w:val="QOStabletextleft"/>
            </w:pPr>
            <w:r>
              <w:t>Passenger survey</w:t>
            </w:r>
          </w:p>
        </w:tc>
        <w:tc>
          <w:tcPr>
            <w:tcW w:w="1557" w:type="dxa"/>
            <w:tcBorders>
              <w:top w:val="nil"/>
              <w:left w:val="nil"/>
              <w:bottom w:val="nil"/>
              <w:right w:val="nil"/>
            </w:tcBorders>
          </w:tcPr>
          <w:p w:rsidR="009543DB" w:rsidRDefault="009543DB" w:rsidP="009543DB">
            <w:pPr>
              <w:pStyle w:val="QOStabletextleft"/>
            </w:pPr>
            <w:r>
              <w:t>Good</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1" w:type="dxa"/>
            <w:tcBorders>
              <w:top w:val="nil"/>
              <w:left w:val="nil"/>
              <w:bottom w:val="nil"/>
              <w:right w:val="nil"/>
            </w:tcBorders>
          </w:tcPr>
          <w:p w:rsidR="009543DB" w:rsidRDefault="009543DB" w:rsidP="009543DB">
            <w:pPr>
              <w:pStyle w:val="QOStabletextleft"/>
            </w:pPr>
            <w:r>
              <w:t>N/A</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Pr="00FC0AD9" w:rsidRDefault="009543DB" w:rsidP="009543DB">
            <w:pPr>
              <w:pStyle w:val="QOStabletextleft"/>
              <w:rPr>
                <w:i/>
              </w:rPr>
            </w:pPr>
            <w:r>
              <w:rPr>
                <w:i/>
              </w:rPr>
              <w:t>Number of arriving passengers per m</w:t>
            </w:r>
            <w:r>
              <w:rPr>
                <w:i/>
                <w:vertAlign w:val="superscript"/>
              </w:rPr>
              <w:t xml:space="preserve">2 </w:t>
            </w:r>
            <w:r>
              <w:rPr>
                <w:i/>
              </w:rPr>
              <w:t>of inbound baggage reclaim area (peak hour)</w:t>
            </w:r>
          </w:p>
        </w:tc>
        <w:tc>
          <w:tcPr>
            <w:tcW w:w="1558" w:type="dxa"/>
            <w:tcBorders>
              <w:top w:val="nil"/>
              <w:left w:val="nil"/>
              <w:bottom w:val="nil"/>
              <w:right w:val="nil"/>
            </w:tcBorders>
          </w:tcPr>
          <w:p w:rsidR="009543DB" w:rsidRPr="00FC0AD9" w:rsidRDefault="009543DB" w:rsidP="009543DB">
            <w:pPr>
              <w:pStyle w:val="QOStabletextleft"/>
              <w:rPr>
                <w:i/>
              </w:rPr>
            </w:pPr>
            <w:r>
              <w:rPr>
                <w:i/>
              </w:rPr>
              <w:t>Objective indicator</w:t>
            </w:r>
          </w:p>
        </w:tc>
        <w:tc>
          <w:tcPr>
            <w:tcW w:w="1557" w:type="dxa"/>
            <w:tcBorders>
              <w:top w:val="nil"/>
              <w:left w:val="nil"/>
              <w:bottom w:val="nil"/>
              <w:right w:val="nil"/>
            </w:tcBorders>
          </w:tcPr>
          <w:p w:rsidR="009543DB" w:rsidRPr="0039040F" w:rsidRDefault="009543DB" w:rsidP="009543DB">
            <w:pPr>
              <w:pStyle w:val="QOStabletextleft"/>
              <w:rPr>
                <w:i/>
              </w:rPr>
            </w:pPr>
            <w:r>
              <w:rPr>
                <w:i/>
              </w:rPr>
              <w:t>7.4 passengers</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nil"/>
              <w:left w:val="nil"/>
              <w:bottom w:val="nil"/>
              <w:right w:val="nil"/>
            </w:tcBorders>
          </w:tcPr>
          <w:p w:rsidR="009543DB" w:rsidRDefault="009543DB" w:rsidP="009543DB">
            <w:pPr>
              <w:pStyle w:val="QOStabletextleft"/>
            </w:pPr>
            <w:r>
              <w:t>N/A</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Default="009543DB" w:rsidP="009543DB">
            <w:pPr>
              <w:pStyle w:val="QOStabletextleft"/>
            </w:pPr>
            <w:r>
              <w:t>Findability of baggage trolleys</w:t>
            </w:r>
          </w:p>
        </w:tc>
        <w:tc>
          <w:tcPr>
            <w:tcW w:w="1558" w:type="dxa"/>
            <w:tcBorders>
              <w:top w:val="nil"/>
              <w:left w:val="nil"/>
              <w:bottom w:val="nil"/>
              <w:right w:val="nil"/>
            </w:tcBorders>
          </w:tcPr>
          <w:p w:rsidR="009543DB" w:rsidRDefault="009543DB" w:rsidP="009543DB">
            <w:pPr>
              <w:pStyle w:val="QOStabletextleft"/>
            </w:pPr>
            <w:r>
              <w:t>Passenger survey</w:t>
            </w:r>
          </w:p>
        </w:tc>
        <w:tc>
          <w:tcPr>
            <w:tcW w:w="1557" w:type="dxa"/>
            <w:tcBorders>
              <w:top w:val="nil"/>
              <w:left w:val="nil"/>
              <w:bottom w:val="nil"/>
              <w:right w:val="nil"/>
            </w:tcBorders>
          </w:tcPr>
          <w:p w:rsidR="009543DB" w:rsidRDefault="009543DB" w:rsidP="009543DB">
            <w:pPr>
              <w:pStyle w:val="QOStabletextleft"/>
            </w:pPr>
            <w:r>
              <w:t>Good</w:t>
            </w:r>
          </w:p>
        </w:tc>
        <w:tc>
          <w:tcPr>
            <w:tcW w:w="1491" w:type="dxa"/>
            <w:tcBorders>
              <w:top w:val="nil"/>
              <w:left w:val="nil"/>
              <w:bottom w:val="nil"/>
              <w:right w:val="nil"/>
            </w:tcBorders>
          </w:tcPr>
          <w:p w:rsidR="009543DB" w:rsidRDefault="009543DB" w:rsidP="009543DB">
            <w:pPr>
              <w:pStyle w:val="QOStabletextleft"/>
              <w:tabs>
                <w:tab w:val="left" w:pos="804"/>
              </w:tabs>
            </w:pPr>
            <w:r w:rsidRPr="00F617F8">
              <w:rPr>
                <w:rFonts w:eastAsia="Times New Roman" w:cs="Times New Roman"/>
                <w:color w:val="F79646"/>
                <w:szCs w:val="24"/>
                <w:lang w:eastAsia="en-AU"/>
              </w:rPr>
              <w:t>▼</w:t>
            </w:r>
            <w:r>
              <w:rPr>
                <w:rFonts w:eastAsia="Times New Roman" w:cs="Times New Roman"/>
                <w:color w:val="F79646"/>
                <w:szCs w:val="24"/>
                <w:lang w:eastAsia="en-AU"/>
              </w:rPr>
              <w:tab/>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87" w:type="dxa"/>
            <w:tcBorders>
              <w:top w:val="nil"/>
              <w:left w:val="nil"/>
              <w:bottom w:val="single" w:sz="4" w:space="0" w:color="auto"/>
              <w:right w:val="nil"/>
            </w:tcBorders>
          </w:tcPr>
          <w:p w:rsidR="009543DB" w:rsidRDefault="009543DB" w:rsidP="009543DB">
            <w:pPr>
              <w:pStyle w:val="QOStabletextleftbold"/>
            </w:pPr>
          </w:p>
        </w:tc>
        <w:tc>
          <w:tcPr>
            <w:tcW w:w="6648" w:type="dxa"/>
            <w:tcBorders>
              <w:top w:val="nil"/>
              <w:left w:val="nil"/>
              <w:bottom w:val="single" w:sz="4" w:space="0" w:color="auto"/>
              <w:right w:val="nil"/>
            </w:tcBorders>
          </w:tcPr>
          <w:p w:rsidR="009543DB" w:rsidRPr="00753977" w:rsidRDefault="009543DB" w:rsidP="009543DB">
            <w:pPr>
              <w:pStyle w:val="QOStabletextleft"/>
              <w:rPr>
                <w:i/>
              </w:rPr>
            </w:pPr>
            <w:r>
              <w:rPr>
                <w:i/>
              </w:rPr>
              <w:t>Number of passengers per baggage trolley (peak hour)</w:t>
            </w:r>
          </w:p>
        </w:tc>
        <w:tc>
          <w:tcPr>
            <w:tcW w:w="1558"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7" w:type="dxa"/>
            <w:tcBorders>
              <w:top w:val="nil"/>
              <w:left w:val="nil"/>
              <w:bottom w:val="single" w:sz="4" w:space="0" w:color="auto"/>
              <w:right w:val="nil"/>
            </w:tcBorders>
          </w:tcPr>
          <w:p w:rsidR="009543DB" w:rsidRPr="0039040F" w:rsidRDefault="009543DB" w:rsidP="009543DB">
            <w:pPr>
              <w:pStyle w:val="QOStabletextleft"/>
              <w:rPr>
                <w:i/>
              </w:rPr>
            </w:pPr>
            <w:r>
              <w:rPr>
                <w:i/>
              </w:rPr>
              <w:t>3.7 passengers</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single" w:sz="4" w:space="0" w:color="auto"/>
              <w:left w:val="nil"/>
              <w:bottom w:val="nil"/>
              <w:right w:val="nil"/>
            </w:tcBorders>
          </w:tcPr>
          <w:p w:rsidR="009543DB" w:rsidRDefault="009543DB" w:rsidP="009543DB">
            <w:pPr>
              <w:pStyle w:val="QOStabletextleftbold"/>
            </w:pPr>
            <w:r>
              <w:t>Information</w:t>
            </w:r>
          </w:p>
        </w:tc>
        <w:tc>
          <w:tcPr>
            <w:tcW w:w="6648" w:type="dxa"/>
            <w:tcBorders>
              <w:top w:val="single" w:sz="4" w:space="0" w:color="auto"/>
              <w:left w:val="nil"/>
              <w:bottom w:val="nil"/>
              <w:right w:val="nil"/>
            </w:tcBorders>
          </w:tcPr>
          <w:p w:rsidR="009543DB" w:rsidRPr="007B17BA" w:rsidRDefault="009543DB" w:rsidP="009543DB">
            <w:pPr>
              <w:pStyle w:val="QOStabletextleft"/>
            </w:pPr>
            <w:r w:rsidRPr="007B17BA">
              <w:t>Flight information display screens</w:t>
            </w:r>
          </w:p>
        </w:tc>
        <w:tc>
          <w:tcPr>
            <w:tcW w:w="1558" w:type="dxa"/>
            <w:tcBorders>
              <w:top w:val="single" w:sz="4" w:space="0" w:color="auto"/>
              <w:left w:val="nil"/>
              <w:bottom w:val="nil"/>
              <w:right w:val="nil"/>
            </w:tcBorders>
          </w:tcPr>
          <w:p w:rsidR="009543DB" w:rsidRPr="007C7F0D" w:rsidRDefault="009543DB" w:rsidP="009543DB">
            <w:pPr>
              <w:pStyle w:val="QOStabletextleft"/>
            </w:pPr>
            <w:r w:rsidRPr="007C7F0D">
              <w:t>Passenger su</w:t>
            </w:r>
            <w:r>
              <w:t>r</w:t>
            </w:r>
            <w:r w:rsidRPr="007C7F0D">
              <w:t>vey</w:t>
            </w:r>
          </w:p>
        </w:tc>
        <w:tc>
          <w:tcPr>
            <w:tcW w:w="1557" w:type="dxa"/>
            <w:tcBorders>
              <w:top w:val="single" w:sz="4" w:space="0" w:color="auto"/>
              <w:left w:val="nil"/>
              <w:bottom w:val="nil"/>
              <w:right w:val="nil"/>
            </w:tcBorders>
          </w:tcPr>
          <w:p w:rsidR="009543DB" w:rsidRDefault="009543DB" w:rsidP="009543DB">
            <w:pPr>
              <w:pStyle w:val="QOStabletextleft"/>
            </w:pPr>
            <w:r>
              <w:t>Good</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Pr="007B17BA" w:rsidRDefault="009543DB" w:rsidP="009543DB">
            <w:pPr>
              <w:pStyle w:val="QOStabletextleft"/>
            </w:pPr>
            <w:r>
              <w:t>Signage and wayfinding</w:t>
            </w:r>
          </w:p>
        </w:tc>
        <w:tc>
          <w:tcPr>
            <w:tcW w:w="1558" w:type="dxa"/>
            <w:tcBorders>
              <w:top w:val="nil"/>
              <w:left w:val="nil"/>
              <w:bottom w:val="nil"/>
              <w:right w:val="nil"/>
            </w:tcBorders>
          </w:tcPr>
          <w:p w:rsidR="009543DB" w:rsidRPr="007C7F0D" w:rsidRDefault="009543DB" w:rsidP="009543DB">
            <w:pPr>
              <w:pStyle w:val="QOStabletextleft"/>
            </w:pPr>
            <w:r>
              <w:t>Passenger survey</w:t>
            </w:r>
          </w:p>
        </w:tc>
        <w:tc>
          <w:tcPr>
            <w:tcW w:w="1557" w:type="dxa"/>
            <w:tcBorders>
              <w:top w:val="nil"/>
              <w:left w:val="nil"/>
              <w:bottom w:val="nil"/>
              <w:right w:val="nil"/>
            </w:tcBorders>
          </w:tcPr>
          <w:p w:rsidR="009543DB" w:rsidRDefault="009543DB" w:rsidP="009543DB">
            <w:pPr>
              <w:pStyle w:val="QOStabletextleft"/>
            </w:pPr>
            <w:r>
              <w:t>Good</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87" w:type="dxa"/>
            <w:tcBorders>
              <w:top w:val="nil"/>
              <w:left w:val="nil"/>
              <w:bottom w:val="single" w:sz="4" w:space="0" w:color="auto"/>
              <w:right w:val="nil"/>
            </w:tcBorders>
          </w:tcPr>
          <w:p w:rsidR="009543DB" w:rsidRDefault="009543DB" w:rsidP="009543DB">
            <w:pPr>
              <w:pStyle w:val="QOStabletextleftbold"/>
            </w:pPr>
          </w:p>
        </w:tc>
        <w:tc>
          <w:tcPr>
            <w:tcW w:w="6648" w:type="dxa"/>
            <w:tcBorders>
              <w:top w:val="nil"/>
              <w:left w:val="nil"/>
              <w:bottom w:val="single" w:sz="4" w:space="0" w:color="auto"/>
              <w:right w:val="nil"/>
            </w:tcBorders>
          </w:tcPr>
          <w:p w:rsidR="009543DB" w:rsidRPr="007B17BA" w:rsidRDefault="009543DB" w:rsidP="009543DB">
            <w:pPr>
              <w:pStyle w:val="QOStabletextleft"/>
              <w:rPr>
                <w:i/>
                <w:vertAlign w:val="superscript"/>
              </w:rPr>
            </w:pPr>
            <w:r>
              <w:rPr>
                <w:i/>
              </w:rPr>
              <w:t>Number of passengers per flight information display screen (peak hour)</w:t>
            </w:r>
            <w:r>
              <w:rPr>
                <w:i/>
                <w:vertAlign w:val="superscript"/>
              </w:rPr>
              <w:t>(a)</w:t>
            </w:r>
          </w:p>
        </w:tc>
        <w:tc>
          <w:tcPr>
            <w:tcW w:w="1558" w:type="dxa"/>
            <w:tcBorders>
              <w:top w:val="nil"/>
              <w:left w:val="nil"/>
              <w:bottom w:val="single" w:sz="4" w:space="0" w:color="auto"/>
              <w:right w:val="nil"/>
            </w:tcBorders>
          </w:tcPr>
          <w:p w:rsidR="009543DB" w:rsidRPr="007C7F0D" w:rsidRDefault="009543DB" w:rsidP="009543DB">
            <w:pPr>
              <w:pStyle w:val="QOStabletextleft"/>
              <w:rPr>
                <w:i/>
              </w:rPr>
            </w:pPr>
            <w:r>
              <w:rPr>
                <w:i/>
              </w:rPr>
              <w:t>Objective indicator</w:t>
            </w:r>
          </w:p>
        </w:tc>
        <w:tc>
          <w:tcPr>
            <w:tcW w:w="1557" w:type="dxa"/>
            <w:tcBorders>
              <w:top w:val="nil"/>
              <w:left w:val="nil"/>
              <w:bottom w:val="single" w:sz="4" w:space="0" w:color="auto"/>
              <w:right w:val="nil"/>
            </w:tcBorders>
          </w:tcPr>
          <w:p w:rsidR="009543DB" w:rsidRPr="0039040F" w:rsidRDefault="009543DB" w:rsidP="009543DB">
            <w:pPr>
              <w:pStyle w:val="QOStabletextleft"/>
              <w:rPr>
                <w:i/>
              </w:rPr>
            </w:pPr>
            <w:r w:rsidRPr="0039040F">
              <w:rPr>
                <w:i/>
              </w:rPr>
              <w:t>39.2 passengers</w:t>
            </w:r>
          </w:p>
        </w:tc>
        <w:tc>
          <w:tcPr>
            <w:tcW w:w="1491" w:type="dxa"/>
            <w:tcBorders>
              <w:top w:val="nil"/>
              <w:left w:val="nil"/>
              <w:bottom w:val="single" w:sz="4" w:space="0" w:color="auto"/>
              <w:right w:val="nil"/>
            </w:tcBorders>
          </w:tcPr>
          <w:p w:rsidR="009543DB" w:rsidRDefault="009543DB" w:rsidP="009543DB">
            <w:pPr>
              <w:pStyle w:val="QOStabletextleft"/>
              <w:tabs>
                <w:tab w:val="left" w:pos="804"/>
              </w:tabs>
            </w:pPr>
            <w:r w:rsidRPr="00F617F8">
              <w:rPr>
                <w:rFonts w:eastAsia="Times New Roman" w:cs="Times New Roman"/>
                <w:color w:val="F79646"/>
                <w:szCs w:val="24"/>
                <w:lang w:eastAsia="en-AU"/>
              </w:rPr>
              <w:t>▼</w:t>
            </w:r>
            <w:r>
              <w:rPr>
                <w:rFonts w:eastAsia="Times New Roman" w:cs="Times New Roman"/>
                <w:color w:val="F79646"/>
                <w:szCs w:val="24"/>
                <w:lang w:eastAsia="en-AU"/>
              </w:rPr>
              <w:tab/>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87" w:type="dxa"/>
            <w:tcBorders>
              <w:top w:val="single" w:sz="4" w:space="0" w:color="auto"/>
              <w:left w:val="nil"/>
              <w:bottom w:val="nil"/>
              <w:right w:val="nil"/>
            </w:tcBorders>
          </w:tcPr>
          <w:p w:rsidR="009543DB" w:rsidRDefault="009543DB" w:rsidP="009543DB">
            <w:pPr>
              <w:pStyle w:val="QOStabletextleftbold"/>
            </w:pPr>
            <w:r>
              <w:t>Gate lounges</w:t>
            </w:r>
          </w:p>
        </w:tc>
        <w:tc>
          <w:tcPr>
            <w:tcW w:w="6648" w:type="dxa"/>
            <w:tcBorders>
              <w:top w:val="single" w:sz="4" w:space="0" w:color="auto"/>
              <w:left w:val="nil"/>
              <w:bottom w:val="nil"/>
              <w:right w:val="nil"/>
            </w:tcBorders>
          </w:tcPr>
          <w:p w:rsidR="009543DB" w:rsidRDefault="009543DB" w:rsidP="009543DB">
            <w:pPr>
              <w:pStyle w:val="QOStabletextleft"/>
            </w:pPr>
            <w:r>
              <w:t>Seating in lounge area (quality and availability)</w:t>
            </w:r>
          </w:p>
        </w:tc>
        <w:tc>
          <w:tcPr>
            <w:tcW w:w="1558" w:type="dxa"/>
            <w:tcBorders>
              <w:top w:val="single" w:sz="4" w:space="0" w:color="auto"/>
              <w:left w:val="nil"/>
              <w:bottom w:val="nil"/>
              <w:right w:val="nil"/>
            </w:tcBorders>
          </w:tcPr>
          <w:p w:rsidR="009543DB" w:rsidRDefault="009543DB" w:rsidP="009543DB">
            <w:pPr>
              <w:pStyle w:val="QOStabletextleft"/>
            </w:pPr>
            <w:r>
              <w:t>Passenger survey</w:t>
            </w:r>
          </w:p>
        </w:tc>
        <w:tc>
          <w:tcPr>
            <w:tcW w:w="1557" w:type="dxa"/>
            <w:tcBorders>
              <w:top w:val="single" w:sz="4" w:space="0" w:color="auto"/>
              <w:left w:val="nil"/>
              <w:bottom w:val="nil"/>
              <w:right w:val="nil"/>
            </w:tcBorders>
          </w:tcPr>
          <w:p w:rsidR="009543DB" w:rsidRDefault="009543DB" w:rsidP="009543DB">
            <w:pPr>
              <w:pStyle w:val="QOStabletextleft"/>
            </w:pPr>
            <w:r>
              <w:t>Good</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Pr="00753977" w:rsidRDefault="009543DB" w:rsidP="009543DB">
            <w:pPr>
              <w:pStyle w:val="QOStabletextleft"/>
              <w:rPr>
                <w:i/>
              </w:rPr>
            </w:pPr>
            <w:r>
              <w:rPr>
                <w:i/>
              </w:rPr>
              <w:t>Number of departing passengers per seat in gate lounges (peak hour)</w:t>
            </w:r>
          </w:p>
        </w:tc>
        <w:tc>
          <w:tcPr>
            <w:tcW w:w="1558" w:type="dxa"/>
            <w:tcBorders>
              <w:top w:val="nil"/>
              <w:left w:val="nil"/>
              <w:bottom w:val="nil"/>
              <w:right w:val="nil"/>
            </w:tcBorders>
          </w:tcPr>
          <w:p w:rsidR="009543DB" w:rsidRPr="005156C1" w:rsidRDefault="009543DB" w:rsidP="009543DB">
            <w:pPr>
              <w:pStyle w:val="QOStabletextleft"/>
              <w:rPr>
                <w:i/>
              </w:rPr>
            </w:pPr>
            <w:r>
              <w:rPr>
                <w:i/>
              </w:rPr>
              <w:t>Objective indicator</w:t>
            </w:r>
          </w:p>
        </w:tc>
        <w:tc>
          <w:tcPr>
            <w:tcW w:w="1557" w:type="dxa"/>
            <w:tcBorders>
              <w:top w:val="nil"/>
              <w:left w:val="nil"/>
              <w:bottom w:val="nil"/>
              <w:right w:val="nil"/>
            </w:tcBorders>
          </w:tcPr>
          <w:p w:rsidR="009543DB" w:rsidRPr="0039040F" w:rsidRDefault="009543DB" w:rsidP="009543DB">
            <w:pPr>
              <w:pStyle w:val="QOStabletextleft"/>
              <w:rPr>
                <w:i/>
              </w:rPr>
            </w:pPr>
            <w:r>
              <w:rPr>
                <w:i/>
              </w:rPr>
              <w:t>0.6 passengers</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87" w:type="dxa"/>
            <w:tcBorders>
              <w:top w:val="nil"/>
              <w:left w:val="nil"/>
              <w:bottom w:val="nil"/>
              <w:right w:val="nil"/>
            </w:tcBorders>
          </w:tcPr>
          <w:p w:rsidR="009543DB" w:rsidRDefault="009543DB" w:rsidP="009543DB">
            <w:pPr>
              <w:pStyle w:val="QOStabletextleftbold"/>
            </w:pPr>
          </w:p>
        </w:tc>
        <w:tc>
          <w:tcPr>
            <w:tcW w:w="6648" w:type="dxa"/>
            <w:tcBorders>
              <w:top w:val="nil"/>
              <w:left w:val="nil"/>
              <w:bottom w:val="nil"/>
              <w:right w:val="nil"/>
            </w:tcBorders>
          </w:tcPr>
          <w:p w:rsidR="009543DB" w:rsidRDefault="009543DB" w:rsidP="009543DB">
            <w:pPr>
              <w:pStyle w:val="QOStabletextleft"/>
            </w:pPr>
            <w:r>
              <w:t>Crowding in lounge area</w:t>
            </w:r>
          </w:p>
        </w:tc>
        <w:tc>
          <w:tcPr>
            <w:tcW w:w="1558" w:type="dxa"/>
            <w:tcBorders>
              <w:top w:val="nil"/>
              <w:left w:val="nil"/>
              <w:bottom w:val="nil"/>
              <w:right w:val="nil"/>
            </w:tcBorders>
          </w:tcPr>
          <w:p w:rsidR="009543DB" w:rsidRDefault="009543DB" w:rsidP="009543DB">
            <w:pPr>
              <w:pStyle w:val="QOStabletextleft"/>
            </w:pPr>
            <w:r>
              <w:t>Passenger survey</w:t>
            </w:r>
          </w:p>
        </w:tc>
        <w:tc>
          <w:tcPr>
            <w:tcW w:w="1557" w:type="dxa"/>
            <w:tcBorders>
              <w:top w:val="nil"/>
              <w:left w:val="nil"/>
              <w:bottom w:val="nil"/>
              <w:right w:val="nil"/>
            </w:tcBorders>
          </w:tcPr>
          <w:p w:rsidR="009543DB" w:rsidRDefault="009543DB" w:rsidP="009543DB">
            <w:pPr>
              <w:pStyle w:val="QOStabletextleft"/>
            </w:pPr>
            <w:r>
              <w:t>Good</w:t>
            </w:r>
          </w:p>
        </w:tc>
        <w:tc>
          <w:tcPr>
            <w:tcW w:w="1491"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nil"/>
              <w:left w:val="nil"/>
              <w:bottom w:val="single" w:sz="4" w:space="0" w:color="auto"/>
              <w:right w:val="nil"/>
            </w:tcBorders>
          </w:tcPr>
          <w:p w:rsidR="009543DB" w:rsidRDefault="009543DB" w:rsidP="009543DB">
            <w:pPr>
              <w:pStyle w:val="QOStabletextleftbold"/>
            </w:pPr>
          </w:p>
        </w:tc>
        <w:tc>
          <w:tcPr>
            <w:tcW w:w="6648" w:type="dxa"/>
            <w:tcBorders>
              <w:top w:val="nil"/>
              <w:left w:val="nil"/>
              <w:bottom w:val="single" w:sz="4" w:space="0" w:color="auto"/>
              <w:right w:val="nil"/>
            </w:tcBorders>
          </w:tcPr>
          <w:p w:rsidR="009543DB" w:rsidRPr="00FC0AD9" w:rsidRDefault="009543DB" w:rsidP="009543DB">
            <w:pPr>
              <w:pStyle w:val="QOStabletextleft"/>
              <w:rPr>
                <w:i/>
              </w:rPr>
            </w:pPr>
            <w:r>
              <w:rPr>
                <w:i/>
              </w:rPr>
              <w:t>Number of departing passengers per m</w:t>
            </w:r>
            <w:r>
              <w:rPr>
                <w:i/>
                <w:vertAlign w:val="superscript"/>
              </w:rPr>
              <w:t xml:space="preserve">2 </w:t>
            </w:r>
            <w:r>
              <w:rPr>
                <w:i/>
              </w:rPr>
              <w:t>of lounge area (peak hour)</w:t>
            </w:r>
          </w:p>
        </w:tc>
        <w:tc>
          <w:tcPr>
            <w:tcW w:w="1558"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7" w:type="dxa"/>
            <w:tcBorders>
              <w:top w:val="nil"/>
              <w:left w:val="nil"/>
              <w:bottom w:val="single" w:sz="4" w:space="0" w:color="auto"/>
              <w:right w:val="nil"/>
            </w:tcBorders>
          </w:tcPr>
          <w:p w:rsidR="009543DB" w:rsidRPr="000B6E13" w:rsidRDefault="009543DB" w:rsidP="009543DB">
            <w:pPr>
              <w:pStyle w:val="QOStabletextleft"/>
              <w:rPr>
                <w:i/>
              </w:rPr>
            </w:pPr>
            <w:r>
              <w:rPr>
                <w:i/>
              </w:rPr>
              <w:t>0.2 passengers</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cs="Arial"/>
                <w:color w:val="4BACC6"/>
              </w:rPr>
              <w:t>▬</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cs="Arial"/>
                <w:color w:val="4BACC6"/>
              </w:rPr>
              <w:t>▬</w:t>
            </w:r>
          </w:p>
        </w:tc>
      </w:tr>
      <w:tr w:rsidR="009543DB" w:rsidTr="009543DB">
        <w:tc>
          <w:tcPr>
            <w:tcW w:w="1287" w:type="dxa"/>
            <w:tcBorders>
              <w:top w:val="single" w:sz="4" w:space="0" w:color="auto"/>
              <w:left w:val="nil"/>
              <w:bottom w:val="nil"/>
              <w:right w:val="nil"/>
            </w:tcBorders>
          </w:tcPr>
          <w:p w:rsidR="009543DB" w:rsidRDefault="009543DB" w:rsidP="009543DB">
            <w:pPr>
              <w:pStyle w:val="QOStabletextleftbold"/>
            </w:pPr>
            <w:r>
              <w:t>Amenities</w:t>
            </w:r>
          </w:p>
        </w:tc>
        <w:tc>
          <w:tcPr>
            <w:tcW w:w="6648" w:type="dxa"/>
            <w:tcBorders>
              <w:top w:val="single" w:sz="4" w:space="0" w:color="auto"/>
              <w:left w:val="nil"/>
              <w:bottom w:val="nil"/>
              <w:right w:val="nil"/>
            </w:tcBorders>
          </w:tcPr>
          <w:p w:rsidR="009543DB" w:rsidRPr="00FC0AD9" w:rsidRDefault="009543DB" w:rsidP="009543DB">
            <w:pPr>
              <w:pStyle w:val="QOStabletextleft"/>
            </w:pPr>
            <w:r>
              <w:t>Standard of washrooms</w:t>
            </w:r>
          </w:p>
        </w:tc>
        <w:tc>
          <w:tcPr>
            <w:tcW w:w="1558" w:type="dxa"/>
            <w:tcBorders>
              <w:top w:val="single" w:sz="4" w:space="0" w:color="auto"/>
              <w:left w:val="nil"/>
              <w:bottom w:val="nil"/>
              <w:right w:val="nil"/>
            </w:tcBorders>
          </w:tcPr>
          <w:p w:rsidR="009543DB" w:rsidRPr="00A064F3" w:rsidRDefault="009543DB" w:rsidP="009543DB">
            <w:pPr>
              <w:pStyle w:val="QOStabletextleft"/>
            </w:pPr>
            <w:r>
              <w:t>Passenger survey</w:t>
            </w:r>
          </w:p>
        </w:tc>
        <w:tc>
          <w:tcPr>
            <w:tcW w:w="1557" w:type="dxa"/>
            <w:tcBorders>
              <w:top w:val="single" w:sz="4" w:space="0" w:color="auto"/>
              <w:left w:val="nil"/>
              <w:bottom w:val="nil"/>
              <w:right w:val="nil"/>
            </w:tcBorders>
          </w:tcPr>
          <w:p w:rsidR="009543DB" w:rsidRDefault="009543DB" w:rsidP="009543DB">
            <w:pPr>
              <w:pStyle w:val="QOStabletextleft"/>
            </w:pPr>
            <w:r>
              <w:t>Good</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r>
      <w:tr w:rsidR="009543DB" w:rsidTr="009543DB">
        <w:tc>
          <w:tcPr>
            <w:tcW w:w="1287" w:type="dxa"/>
            <w:tcBorders>
              <w:top w:val="nil"/>
              <w:left w:val="nil"/>
              <w:bottom w:val="single" w:sz="4" w:space="0" w:color="auto"/>
              <w:right w:val="nil"/>
            </w:tcBorders>
          </w:tcPr>
          <w:p w:rsidR="009543DB" w:rsidRDefault="009543DB" w:rsidP="009543DB">
            <w:pPr>
              <w:pStyle w:val="QOStabletextleftbold"/>
            </w:pPr>
          </w:p>
        </w:tc>
        <w:tc>
          <w:tcPr>
            <w:tcW w:w="6648" w:type="dxa"/>
            <w:tcBorders>
              <w:top w:val="nil"/>
              <w:left w:val="nil"/>
              <w:bottom w:val="single" w:sz="4" w:space="0" w:color="auto"/>
              <w:right w:val="nil"/>
            </w:tcBorders>
          </w:tcPr>
          <w:p w:rsidR="009543DB" w:rsidRPr="00FC0AD9" w:rsidRDefault="009543DB" w:rsidP="009543DB">
            <w:pPr>
              <w:pStyle w:val="QOStabletextleft"/>
              <w:rPr>
                <w:i/>
              </w:rPr>
            </w:pPr>
            <w:r>
              <w:rPr>
                <w:i/>
              </w:rPr>
              <w:t>Number of departing passengers per washroom (peak hour)</w:t>
            </w:r>
          </w:p>
        </w:tc>
        <w:tc>
          <w:tcPr>
            <w:tcW w:w="1558" w:type="dxa"/>
            <w:tcBorders>
              <w:top w:val="nil"/>
              <w:left w:val="nil"/>
              <w:bottom w:val="single" w:sz="4" w:space="0" w:color="auto"/>
              <w:right w:val="nil"/>
            </w:tcBorders>
          </w:tcPr>
          <w:p w:rsidR="009543DB" w:rsidRPr="00A064F3" w:rsidRDefault="009543DB" w:rsidP="009543DB">
            <w:pPr>
              <w:pStyle w:val="QOStabletextleft"/>
              <w:rPr>
                <w:i/>
              </w:rPr>
            </w:pPr>
            <w:r>
              <w:rPr>
                <w:i/>
              </w:rPr>
              <w:t>Objective indicator</w:t>
            </w:r>
          </w:p>
        </w:tc>
        <w:tc>
          <w:tcPr>
            <w:tcW w:w="1557" w:type="dxa"/>
            <w:tcBorders>
              <w:top w:val="nil"/>
              <w:left w:val="nil"/>
              <w:bottom w:val="single" w:sz="4" w:space="0" w:color="auto"/>
              <w:right w:val="nil"/>
            </w:tcBorders>
          </w:tcPr>
          <w:p w:rsidR="009543DB" w:rsidRPr="000B6E13" w:rsidRDefault="009543DB" w:rsidP="009543DB">
            <w:pPr>
              <w:pStyle w:val="QOStabletextleft"/>
              <w:rPr>
                <w:i/>
              </w:rPr>
            </w:pPr>
            <w:r>
              <w:rPr>
                <w:i/>
              </w:rPr>
              <w:t>138.0 passengers</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nil"/>
              <w:left w:val="nil"/>
              <w:bottom w:val="single" w:sz="4" w:space="0" w:color="auto"/>
              <w:right w:val="nil"/>
            </w:tcBorders>
          </w:tcPr>
          <w:p w:rsidR="009543DB" w:rsidRDefault="009543DB" w:rsidP="009543DB">
            <w:pPr>
              <w:pStyle w:val="QOStabletextleft"/>
            </w:pPr>
            <w:r>
              <w:t>N/A</w:t>
            </w:r>
          </w:p>
        </w:tc>
      </w:tr>
      <w:tr w:rsidR="009543DB" w:rsidTr="009543DB">
        <w:tc>
          <w:tcPr>
            <w:tcW w:w="1287" w:type="dxa"/>
            <w:tcBorders>
              <w:top w:val="nil"/>
              <w:left w:val="nil"/>
              <w:bottom w:val="nil"/>
              <w:right w:val="nil"/>
            </w:tcBorders>
          </w:tcPr>
          <w:p w:rsidR="009543DB" w:rsidRPr="007B17BA" w:rsidRDefault="009543DB" w:rsidP="009543DB">
            <w:pPr>
              <w:pStyle w:val="QOStabletextleftbold"/>
              <w:rPr>
                <w:vertAlign w:val="superscript"/>
              </w:rPr>
            </w:pPr>
            <w:r>
              <w:t>Aerobridges</w:t>
            </w:r>
            <w:r>
              <w:rPr>
                <w:vertAlign w:val="superscript"/>
              </w:rPr>
              <w:t>(b)</w:t>
            </w:r>
          </w:p>
        </w:tc>
        <w:tc>
          <w:tcPr>
            <w:tcW w:w="6648" w:type="dxa"/>
            <w:tcBorders>
              <w:top w:val="nil"/>
              <w:left w:val="nil"/>
              <w:bottom w:val="nil"/>
              <w:right w:val="nil"/>
            </w:tcBorders>
          </w:tcPr>
          <w:p w:rsidR="009543DB" w:rsidRPr="00FC0AD9" w:rsidRDefault="009543DB" w:rsidP="009543DB">
            <w:pPr>
              <w:pStyle w:val="QOStabletextleft"/>
              <w:rPr>
                <w:i/>
              </w:rPr>
            </w:pPr>
            <w:r>
              <w:rPr>
                <w:i/>
              </w:rPr>
              <w:t>Number of arriving domestic passengers per aerobridge (peak hour)</w:t>
            </w:r>
          </w:p>
        </w:tc>
        <w:tc>
          <w:tcPr>
            <w:tcW w:w="1558" w:type="dxa"/>
            <w:tcBorders>
              <w:top w:val="nil"/>
              <w:left w:val="nil"/>
              <w:bottom w:val="nil"/>
              <w:right w:val="nil"/>
            </w:tcBorders>
          </w:tcPr>
          <w:p w:rsidR="009543DB" w:rsidRPr="00A064F3" w:rsidRDefault="009543DB" w:rsidP="009543DB">
            <w:pPr>
              <w:pStyle w:val="QOStabletextleft"/>
              <w:rPr>
                <w:i/>
              </w:rPr>
            </w:pPr>
            <w:r>
              <w:rPr>
                <w:i/>
              </w:rPr>
              <w:t>Objective indicator</w:t>
            </w:r>
          </w:p>
        </w:tc>
        <w:tc>
          <w:tcPr>
            <w:tcW w:w="1557" w:type="dxa"/>
            <w:tcBorders>
              <w:top w:val="nil"/>
              <w:left w:val="nil"/>
              <w:bottom w:val="nil"/>
              <w:right w:val="nil"/>
            </w:tcBorders>
          </w:tcPr>
          <w:p w:rsidR="009543DB" w:rsidRPr="000B6E13" w:rsidRDefault="009543DB" w:rsidP="009543DB">
            <w:pPr>
              <w:pStyle w:val="QOStabletextleft"/>
              <w:rPr>
                <w:i/>
              </w:rPr>
            </w:pPr>
            <w:r>
              <w:rPr>
                <w:i/>
              </w:rPr>
              <w:t>79.9 passengers</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1"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87" w:type="dxa"/>
            <w:tcBorders>
              <w:top w:val="nil"/>
              <w:left w:val="nil"/>
              <w:bottom w:val="single" w:sz="4" w:space="0" w:color="auto"/>
              <w:right w:val="nil"/>
            </w:tcBorders>
          </w:tcPr>
          <w:p w:rsidR="009543DB" w:rsidRDefault="009543DB" w:rsidP="009543DB">
            <w:pPr>
              <w:pStyle w:val="QOStabletextleftbold"/>
            </w:pPr>
          </w:p>
        </w:tc>
        <w:tc>
          <w:tcPr>
            <w:tcW w:w="6648" w:type="dxa"/>
            <w:tcBorders>
              <w:top w:val="nil"/>
              <w:left w:val="nil"/>
              <w:bottom w:val="single" w:sz="4" w:space="0" w:color="auto"/>
              <w:right w:val="nil"/>
            </w:tcBorders>
          </w:tcPr>
          <w:p w:rsidR="009543DB" w:rsidRPr="00FC0AD9" w:rsidRDefault="009543DB" w:rsidP="009543DB">
            <w:pPr>
              <w:pStyle w:val="QOStabletextleft"/>
              <w:rPr>
                <w:i/>
              </w:rPr>
            </w:pPr>
            <w:r>
              <w:rPr>
                <w:i/>
              </w:rPr>
              <w:t>Number of departing domestic passengers per aerobridge (peak hour)</w:t>
            </w:r>
          </w:p>
        </w:tc>
        <w:tc>
          <w:tcPr>
            <w:tcW w:w="1558" w:type="dxa"/>
            <w:tcBorders>
              <w:top w:val="nil"/>
              <w:left w:val="nil"/>
              <w:bottom w:val="single" w:sz="4" w:space="0" w:color="auto"/>
              <w:right w:val="nil"/>
            </w:tcBorders>
          </w:tcPr>
          <w:p w:rsidR="009543DB" w:rsidRPr="00A064F3" w:rsidRDefault="009543DB" w:rsidP="009543DB">
            <w:pPr>
              <w:pStyle w:val="QOStabletextleft"/>
              <w:rPr>
                <w:i/>
              </w:rPr>
            </w:pPr>
            <w:r>
              <w:rPr>
                <w:i/>
              </w:rPr>
              <w:t>Objective indicator</w:t>
            </w:r>
          </w:p>
        </w:tc>
        <w:tc>
          <w:tcPr>
            <w:tcW w:w="1557" w:type="dxa"/>
            <w:tcBorders>
              <w:top w:val="nil"/>
              <w:left w:val="nil"/>
              <w:bottom w:val="single" w:sz="4" w:space="0" w:color="auto"/>
              <w:right w:val="nil"/>
            </w:tcBorders>
          </w:tcPr>
          <w:p w:rsidR="009543DB" w:rsidRPr="000B6E13" w:rsidRDefault="009543DB" w:rsidP="009543DB">
            <w:pPr>
              <w:pStyle w:val="QOStabletextleft"/>
              <w:rPr>
                <w:i/>
              </w:rPr>
            </w:pPr>
            <w:r>
              <w:rPr>
                <w:i/>
              </w:rPr>
              <w:t>62.7 passengers</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1"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single" w:sz="4" w:space="0" w:color="auto"/>
              <w:left w:val="nil"/>
              <w:bottom w:val="nil"/>
              <w:right w:val="nil"/>
            </w:tcBorders>
          </w:tcPr>
          <w:p w:rsidR="009543DB" w:rsidRDefault="009543DB" w:rsidP="009543DB">
            <w:pPr>
              <w:pStyle w:val="QOStabletextleftbold"/>
            </w:pPr>
            <w:r>
              <w:t>Security</w:t>
            </w:r>
          </w:p>
        </w:tc>
        <w:tc>
          <w:tcPr>
            <w:tcW w:w="6648" w:type="dxa"/>
            <w:tcBorders>
              <w:top w:val="single" w:sz="4" w:space="0" w:color="auto"/>
              <w:left w:val="nil"/>
              <w:bottom w:val="nil"/>
              <w:right w:val="nil"/>
            </w:tcBorders>
          </w:tcPr>
          <w:p w:rsidR="009543DB" w:rsidRDefault="009543DB" w:rsidP="009543DB">
            <w:pPr>
              <w:pStyle w:val="QOStabletextleft"/>
            </w:pPr>
            <w:r>
              <w:t>Quality of security search process</w:t>
            </w:r>
          </w:p>
        </w:tc>
        <w:tc>
          <w:tcPr>
            <w:tcW w:w="1558" w:type="dxa"/>
            <w:tcBorders>
              <w:top w:val="single" w:sz="4" w:space="0" w:color="auto"/>
              <w:left w:val="nil"/>
              <w:bottom w:val="nil"/>
              <w:right w:val="nil"/>
            </w:tcBorders>
          </w:tcPr>
          <w:p w:rsidR="009543DB" w:rsidRDefault="009543DB" w:rsidP="009543DB">
            <w:pPr>
              <w:pStyle w:val="QOStabletextleft"/>
            </w:pPr>
            <w:r>
              <w:t>Passenger survey</w:t>
            </w:r>
          </w:p>
        </w:tc>
        <w:tc>
          <w:tcPr>
            <w:tcW w:w="1557" w:type="dxa"/>
            <w:tcBorders>
              <w:top w:val="single" w:sz="4" w:space="0" w:color="auto"/>
              <w:left w:val="nil"/>
              <w:bottom w:val="nil"/>
              <w:right w:val="nil"/>
            </w:tcBorders>
          </w:tcPr>
          <w:p w:rsidR="009543DB" w:rsidRDefault="009543DB" w:rsidP="009543DB">
            <w:pPr>
              <w:pStyle w:val="QOStabletextleft"/>
            </w:pPr>
            <w:r>
              <w:t>Good</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1"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87" w:type="dxa"/>
            <w:tcBorders>
              <w:top w:val="nil"/>
              <w:left w:val="nil"/>
              <w:right w:val="nil"/>
            </w:tcBorders>
          </w:tcPr>
          <w:p w:rsidR="009543DB" w:rsidRDefault="009543DB" w:rsidP="009543DB">
            <w:pPr>
              <w:pStyle w:val="QOStabletextleftbold"/>
            </w:pPr>
          </w:p>
        </w:tc>
        <w:tc>
          <w:tcPr>
            <w:tcW w:w="6648" w:type="dxa"/>
            <w:tcBorders>
              <w:top w:val="nil"/>
              <w:left w:val="nil"/>
              <w:right w:val="nil"/>
            </w:tcBorders>
          </w:tcPr>
          <w:p w:rsidR="009543DB" w:rsidRPr="00FC0AD9" w:rsidRDefault="009543DB" w:rsidP="009543DB">
            <w:pPr>
              <w:pStyle w:val="QOStabletextleft"/>
              <w:rPr>
                <w:i/>
              </w:rPr>
            </w:pPr>
            <w:r>
              <w:rPr>
                <w:i/>
              </w:rPr>
              <w:t>Number of departing passengers per security clearance system (peak hour)</w:t>
            </w:r>
          </w:p>
        </w:tc>
        <w:tc>
          <w:tcPr>
            <w:tcW w:w="1558" w:type="dxa"/>
            <w:tcBorders>
              <w:top w:val="nil"/>
              <w:left w:val="nil"/>
              <w:right w:val="nil"/>
            </w:tcBorders>
          </w:tcPr>
          <w:p w:rsidR="009543DB" w:rsidRPr="00A064F3" w:rsidRDefault="009543DB" w:rsidP="009543DB">
            <w:pPr>
              <w:pStyle w:val="QOStabletextleft"/>
              <w:rPr>
                <w:i/>
              </w:rPr>
            </w:pPr>
            <w:r>
              <w:rPr>
                <w:i/>
              </w:rPr>
              <w:t>Objective indicator</w:t>
            </w:r>
          </w:p>
        </w:tc>
        <w:tc>
          <w:tcPr>
            <w:tcW w:w="1557" w:type="dxa"/>
            <w:tcBorders>
              <w:top w:val="nil"/>
              <w:left w:val="nil"/>
              <w:right w:val="nil"/>
            </w:tcBorders>
          </w:tcPr>
          <w:p w:rsidR="009543DB" w:rsidRPr="000B6E13" w:rsidRDefault="009543DB" w:rsidP="009543DB">
            <w:pPr>
              <w:pStyle w:val="QOStabletextleft"/>
              <w:rPr>
                <w:i/>
              </w:rPr>
            </w:pPr>
            <w:r>
              <w:rPr>
                <w:i/>
              </w:rPr>
              <w:t>98.6 passengers</w:t>
            </w:r>
          </w:p>
        </w:tc>
        <w:tc>
          <w:tcPr>
            <w:tcW w:w="1491" w:type="dxa"/>
            <w:tcBorders>
              <w:top w:val="nil"/>
              <w:left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1" w:type="dxa"/>
            <w:tcBorders>
              <w:top w:val="nil"/>
              <w:left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bl>
    <w:p w:rsidR="009543DB" w:rsidRDefault="009543DB" w:rsidP="009543DB">
      <w:pPr>
        <w:pStyle w:val="Sourceandnotes"/>
        <w:sectPr w:rsidR="009543DB" w:rsidSect="009543DB">
          <w:headerReference w:type="even" r:id="rId103"/>
          <w:headerReference w:type="default" r:id="rId104"/>
          <w:footnotePr>
            <w:numStart w:val="93"/>
          </w:footnotePr>
          <w:pgSz w:w="16838" w:h="11906" w:orient="landscape"/>
          <w:pgMar w:top="1332" w:right="1440" w:bottom="1332" w:left="1582" w:header="709" w:footer="709" w:gutter="0"/>
          <w:cols w:space="708"/>
          <w:docGrid w:linePitch="360"/>
        </w:sect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t xml:space="preserve"> * Rating changed by a category over the period.</w:t>
      </w:r>
      <w:r>
        <w:rPr>
          <w:rFonts w:cs="Arial"/>
          <w:color w:val="000000" w:themeColor="text1"/>
        </w:rPr>
        <w:br/>
      </w:r>
      <w:r>
        <w:t>(a)</w:t>
      </w:r>
      <w:r>
        <w:tab/>
        <w:t>Melbourne Airport does not have any information points in Terminal 3</w:t>
      </w:r>
      <w:r>
        <w:br/>
        <w:t>(b)</w:t>
      </w:r>
      <w:r>
        <w:tab/>
        <w:t xml:space="preserve">Airlines’ rating for aerobridges </w:t>
      </w:r>
      <w:r w:rsidRPr="00DE4B95">
        <w:t>have not been included for confidentiality reasons, although these ratings have been included in average airline s</w:t>
      </w:r>
      <w:r>
        <w:t>urvey ratings elsewhere in this</w:t>
      </w:r>
      <w:r>
        <w:tab/>
      </w:r>
      <w:r w:rsidRPr="00DE4B95">
        <w:t>chapter.</w:t>
      </w:r>
    </w:p>
    <w:p w:rsidR="009543DB" w:rsidRDefault="009543DB" w:rsidP="00114E05">
      <w:pPr>
        <w:pStyle w:val="Non-numberedheading4"/>
      </w:pPr>
      <w:r>
        <w:lastRenderedPageBreak/>
        <w:t>Domestic terminal (T4)</w:t>
      </w:r>
    </w:p>
    <w:p w:rsidR="009543DB" w:rsidRDefault="009543DB" w:rsidP="009543DB">
      <w:pPr>
        <w:pStyle w:val="Numberedcharttitle"/>
      </w:pPr>
      <w:r>
        <w:t>Table 3.3.4:</w:t>
      </w:r>
      <w:r>
        <w:tab/>
        <w:t>Melbourne Airport—indicators of quality of passenger</w:t>
      </w:r>
      <w:r>
        <w:noBreakHyphen/>
        <w:t>related services and facilities—domestic terminal (T4):</w:t>
      </w:r>
      <w:r>
        <w:br/>
        <w:t>2014-15, 1-year change and change since 2010-11</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9543DB" w:rsidTr="009543DB">
        <w:tc>
          <w:tcPr>
            <w:tcW w:w="1266" w:type="dxa"/>
            <w:tcBorders>
              <w:left w:val="nil"/>
              <w:bottom w:val="single" w:sz="4" w:space="0" w:color="auto"/>
              <w:right w:val="nil"/>
            </w:tcBorders>
            <w:shd w:val="clear" w:color="auto" w:fill="DFE0DC"/>
          </w:tcPr>
          <w:p w:rsidR="009543DB" w:rsidRDefault="009543DB" w:rsidP="009543DB">
            <w:pPr>
              <w:pStyle w:val="QOStabletextleftbold"/>
            </w:pPr>
            <w:r>
              <w:t>Category</w:t>
            </w:r>
          </w:p>
        </w:tc>
        <w:tc>
          <w:tcPr>
            <w:tcW w:w="6662" w:type="dxa"/>
            <w:tcBorders>
              <w:left w:val="nil"/>
              <w:bottom w:val="single" w:sz="4" w:space="0" w:color="auto"/>
              <w:right w:val="nil"/>
            </w:tcBorders>
            <w:shd w:val="clear" w:color="auto" w:fill="DFE0DC"/>
          </w:tcPr>
          <w:p w:rsidR="009543DB" w:rsidRDefault="009543DB" w:rsidP="009543DB">
            <w:pPr>
              <w:pStyle w:val="QOStabletextleftbold"/>
            </w:pPr>
            <w:r>
              <w:t>Indicator</w:t>
            </w:r>
          </w:p>
        </w:tc>
        <w:tc>
          <w:tcPr>
            <w:tcW w:w="1559" w:type="dxa"/>
            <w:tcBorders>
              <w:left w:val="nil"/>
              <w:bottom w:val="single" w:sz="4" w:space="0" w:color="auto"/>
              <w:right w:val="nil"/>
            </w:tcBorders>
            <w:shd w:val="clear" w:color="auto" w:fill="DFE0DC"/>
          </w:tcPr>
          <w:p w:rsidR="009543DB" w:rsidRDefault="009543DB" w:rsidP="009543DB">
            <w:pPr>
              <w:pStyle w:val="QOStabletextleftbold"/>
            </w:pPr>
            <w:r>
              <w:t>Data source</w:t>
            </w:r>
          </w:p>
        </w:tc>
        <w:tc>
          <w:tcPr>
            <w:tcW w:w="1559" w:type="dxa"/>
            <w:tcBorders>
              <w:left w:val="nil"/>
              <w:bottom w:val="single" w:sz="4" w:space="0" w:color="auto"/>
              <w:right w:val="nil"/>
            </w:tcBorders>
            <w:shd w:val="clear" w:color="auto" w:fill="DFE0DC"/>
          </w:tcPr>
          <w:p w:rsidR="009543DB" w:rsidRDefault="009543DB" w:rsidP="009543DB">
            <w:pPr>
              <w:pStyle w:val="QOStabletextleftbold"/>
            </w:pPr>
            <w:r>
              <w:t>Indicator result 2014-15</w:t>
            </w:r>
          </w:p>
        </w:tc>
        <w:tc>
          <w:tcPr>
            <w:tcW w:w="1493" w:type="dxa"/>
            <w:tcBorders>
              <w:left w:val="nil"/>
              <w:bottom w:val="single" w:sz="4" w:space="0" w:color="auto"/>
              <w:right w:val="nil"/>
            </w:tcBorders>
            <w:shd w:val="clear" w:color="auto" w:fill="DFE0DC"/>
          </w:tcPr>
          <w:p w:rsidR="009543DB" w:rsidRDefault="009543DB" w:rsidP="009543DB">
            <w:pPr>
              <w:pStyle w:val="QOStabletextleftbold"/>
            </w:pPr>
            <w:r>
              <w:t>1-year change</w:t>
            </w:r>
          </w:p>
        </w:tc>
        <w:tc>
          <w:tcPr>
            <w:tcW w:w="1493" w:type="dxa"/>
            <w:tcBorders>
              <w:left w:val="nil"/>
              <w:bottom w:val="single" w:sz="4" w:space="0" w:color="auto"/>
              <w:right w:val="nil"/>
            </w:tcBorders>
            <w:shd w:val="clear" w:color="auto" w:fill="DFE0DC"/>
          </w:tcPr>
          <w:p w:rsidR="009543DB" w:rsidRDefault="009543DB" w:rsidP="009543DB">
            <w:pPr>
              <w:pStyle w:val="QOStabletextleftbold"/>
            </w:pPr>
            <w:r>
              <w:t>Change since 2010</w:t>
            </w:r>
            <w:r>
              <w:noBreakHyphen/>
              <w:t>11</w:t>
            </w:r>
          </w:p>
        </w:tc>
      </w:tr>
      <w:tr w:rsidR="009543DB" w:rsidTr="009543DB">
        <w:tc>
          <w:tcPr>
            <w:tcW w:w="1266" w:type="dxa"/>
            <w:tcBorders>
              <w:top w:val="nil"/>
              <w:left w:val="nil"/>
              <w:bottom w:val="nil"/>
              <w:right w:val="nil"/>
            </w:tcBorders>
          </w:tcPr>
          <w:p w:rsidR="009543DB" w:rsidRDefault="009543DB" w:rsidP="009543DB">
            <w:pPr>
              <w:pStyle w:val="QOStabletextleftbold"/>
            </w:pPr>
            <w:r>
              <w:t>Check-in</w:t>
            </w:r>
          </w:p>
        </w:tc>
        <w:tc>
          <w:tcPr>
            <w:tcW w:w="6662" w:type="dxa"/>
            <w:tcBorders>
              <w:top w:val="nil"/>
              <w:left w:val="nil"/>
              <w:bottom w:val="nil"/>
              <w:right w:val="nil"/>
            </w:tcBorders>
          </w:tcPr>
          <w:p w:rsidR="009543DB" w:rsidRDefault="009543DB" w:rsidP="009543DB">
            <w:pPr>
              <w:pStyle w:val="QOStabletextleft"/>
            </w:pPr>
            <w:r>
              <w:t>Check-in waiting time</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7B17BA" w:rsidRDefault="009543DB" w:rsidP="009543DB">
            <w:pPr>
              <w:pStyle w:val="QOStabletextleft"/>
              <w:rPr>
                <w:i/>
              </w:rPr>
            </w:pPr>
            <w:r>
              <w:rPr>
                <w:i/>
              </w:rPr>
              <w:t>Number of departing passengers per check-in desk, kiosk and bag drop facility (peak hour)</w:t>
            </w:r>
          </w:p>
        </w:tc>
        <w:tc>
          <w:tcPr>
            <w:tcW w:w="1559" w:type="dxa"/>
            <w:tcBorders>
              <w:top w:val="nil"/>
              <w:left w:val="nil"/>
              <w:bottom w:val="single" w:sz="4" w:space="0" w:color="auto"/>
              <w:right w:val="nil"/>
            </w:tcBorders>
          </w:tcPr>
          <w:p w:rsidR="009543DB" w:rsidRPr="007C7F0D"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4726A6" w:rsidRDefault="009543DB" w:rsidP="009543DB">
            <w:pPr>
              <w:pStyle w:val="QOStabletextleft"/>
              <w:rPr>
                <w:i/>
              </w:rPr>
            </w:pPr>
            <w:r>
              <w:rPr>
                <w:i/>
              </w:rPr>
              <w:t>20.9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r>
              <w:t>Baggage</w:t>
            </w:r>
          </w:p>
        </w:tc>
        <w:tc>
          <w:tcPr>
            <w:tcW w:w="6662" w:type="dxa"/>
            <w:tcBorders>
              <w:top w:val="nil"/>
              <w:left w:val="nil"/>
              <w:bottom w:val="nil"/>
              <w:right w:val="nil"/>
            </w:tcBorders>
          </w:tcPr>
          <w:p w:rsidR="009543DB" w:rsidRPr="00FC0AD9" w:rsidRDefault="009543DB" w:rsidP="009543DB">
            <w:pPr>
              <w:pStyle w:val="QOStabletextleft"/>
            </w:pPr>
            <w:r>
              <w:t>Circulation space for inbound baggage reclaim</w:t>
            </w:r>
          </w:p>
        </w:tc>
        <w:tc>
          <w:tcPr>
            <w:tcW w:w="1559" w:type="dxa"/>
            <w:tcBorders>
              <w:top w:val="nil"/>
              <w:left w:val="nil"/>
              <w:bottom w:val="nil"/>
              <w:right w:val="nil"/>
            </w:tcBorders>
          </w:tcPr>
          <w:p w:rsidR="009543DB" w:rsidRPr="00FC0AD9"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Information display for inbound baggage reclaim</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t>N/A</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FC0AD9" w:rsidRDefault="009543DB" w:rsidP="009543DB">
            <w:pPr>
              <w:pStyle w:val="QOStabletextleft"/>
              <w:rPr>
                <w:i/>
              </w:rPr>
            </w:pPr>
            <w:r>
              <w:rPr>
                <w:i/>
              </w:rPr>
              <w:t>Number of arriving passengers per m</w:t>
            </w:r>
            <w:r>
              <w:rPr>
                <w:i/>
                <w:vertAlign w:val="superscript"/>
              </w:rPr>
              <w:t xml:space="preserve">2 </w:t>
            </w:r>
            <w:r>
              <w:rPr>
                <w:i/>
              </w:rPr>
              <w:t>of inbound baggage reclaim area (peak hour)</w:t>
            </w:r>
          </w:p>
        </w:tc>
        <w:tc>
          <w:tcPr>
            <w:tcW w:w="1559" w:type="dxa"/>
            <w:tcBorders>
              <w:top w:val="nil"/>
              <w:left w:val="nil"/>
              <w:bottom w:val="nil"/>
              <w:right w:val="nil"/>
            </w:tcBorders>
          </w:tcPr>
          <w:p w:rsidR="009543DB" w:rsidRPr="00FC0AD9"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4726A6" w:rsidRDefault="009543DB" w:rsidP="009543DB">
            <w:pPr>
              <w:pStyle w:val="QOStabletextleft"/>
              <w:rPr>
                <w:i/>
              </w:rPr>
            </w:pPr>
            <w:r>
              <w:rPr>
                <w:i/>
              </w:rPr>
              <w:t>3.6 passengers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t>N/A</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Findability of baggage trolleys</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753977" w:rsidRDefault="009543DB" w:rsidP="009543DB">
            <w:pPr>
              <w:pStyle w:val="QOStabletextleft"/>
              <w:rPr>
                <w:i/>
              </w:rPr>
            </w:pPr>
            <w:r>
              <w:rPr>
                <w:i/>
              </w:rPr>
              <w:t>Number of passengers per baggage trolley (peak hour)</w:t>
            </w:r>
          </w:p>
        </w:tc>
        <w:tc>
          <w:tcPr>
            <w:tcW w:w="1559"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4726A6" w:rsidRDefault="009543DB" w:rsidP="009543DB">
            <w:pPr>
              <w:pStyle w:val="QOStabletextleft"/>
              <w:rPr>
                <w:i/>
              </w:rPr>
            </w:pPr>
            <w:r>
              <w:rPr>
                <w:i/>
              </w:rPr>
              <w:t>11.6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Information</w:t>
            </w:r>
          </w:p>
        </w:tc>
        <w:tc>
          <w:tcPr>
            <w:tcW w:w="6662" w:type="dxa"/>
            <w:tcBorders>
              <w:top w:val="single" w:sz="4" w:space="0" w:color="auto"/>
              <w:left w:val="nil"/>
              <w:bottom w:val="nil"/>
              <w:right w:val="nil"/>
            </w:tcBorders>
          </w:tcPr>
          <w:p w:rsidR="009543DB" w:rsidRPr="007B17BA" w:rsidRDefault="009543DB" w:rsidP="009543DB">
            <w:pPr>
              <w:pStyle w:val="QOStabletextleft"/>
            </w:pPr>
            <w:r w:rsidRPr="007B17BA">
              <w:t>Flight information display screens</w:t>
            </w:r>
          </w:p>
        </w:tc>
        <w:tc>
          <w:tcPr>
            <w:tcW w:w="1559" w:type="dxa"/>
            <w:tcBorders>
              <w:top w:val="single" w:sz="4" w:space="0" w:color="auto"/>
              <w:left w:val="nil"/>
              <w:bottom w:val="nil"/>
              <w:right w:val="nil"/>
            </w:tcBorders>
          </w:tcPr>
          <w:p w:rsidR="009543DB" w:rsidRPr="007C7F0D" w:rsidRDefault="009543DB" w:rsidP="009543DB">
            <w:pPr>
              <w:pStyle w:val="QOStabletextleft"/>
            </w:pPr>
            <w:r w:rsidRPr="007C7F0D">
              <w:t>Passenger su</w:t>
            </w:r>
            <w:r>
              <w:t>r</w:t>
            </w:r>
            <w:r w:rsidRPr="007C7F0D">
              <w:t>vey</w:t>
            </w:r>
          </w:p>
        </w:tc>
        <w:tc>
          <w:tcPr>
            <w:tcW w:w="1559" w:type="dxa"/>
            <w:tcBorders>
              <w:top w:val="single" w:sz="4" w:space="0" w:color="auto"/>
              <w:left w:val="nil"/>
              <w:bottom w:val="nil"/>
              <w:right w:val="nil"/>
            </w:tcBorders>
          </w:tcPr>
          <w:p w:rsidR="009543DB" w:rsidRDefault="009543DB" w:rsidP="009543DB">
            <w:pPr>
              <w:pStyle w:val="QOStabletextleft"/>
            </w:pPr>
            <w:r>
              <w:t>Good</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B17BA" w:rsidRDefault="009543DB" w:rsidP="009543DB">
            <w:pPr>
              <w:pStyle w:val="QOStabletextleft"/>
            </w:pPr>
            <w:r>
              <w:t>Signage and wayfinding</w:t>
            </w:r>
          </w:p>
        </w:tc>
        <w:tc>
          <w:tcPr>
            <w:tcW w:w="1559" w:type="dxa"/>
            <w:tcBorders>
              <w:top w:val="nil"/>
              <w:left w:val="nil"/>
              <w:bottom w:val="nil"/>
              <w:right w:val="nil"/>
            </w:tcBorders>
          </w:tcPr>
          <w:p w:rsidR="009543DB" w:rsidRPr="007C7F0D"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B17BA" w:rsidRDefault="009543DB" w:rsidP="009543DB">
            <w:pPr>
              <w:pStyle w:val="QOStabletextleft"/>
              <w:rPr>
                <w:i/>
                <w:vertAlign w:val="superscript"/>
              </w:rPr>
            </w:pPr>
            <w:r>
              <w:rPr>
                <w:i/>
              </w:rPr>
              <w:t>Number of passengers per flight information display screen (peak hour)</w:t>
            </w:r>
          </w:p>
        </w:tc>
        <w:tc>
          <w:tcPr>
            <w:tcW w:w="1559" w:type="dxa"/>
            <w:tcBorders>
              <w:top w:val="nil"/>
              <w:left w:val="nil"/>
              <w:bottom w:val="nil"/>
              <w:right w:val="nil"/>
            </w:tcBorders>
          </w:tcPr>
          <w:p w:rsidR="009543DB" w:rsidRPr="007C7F0D"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4726A6" w:rsidRDefault="009543DB" w:rsidP="009543DB">
            <w:pPr>
              <w:pStyle w:val="QOStabletextleft"/>
              <w:rPr>
                <w:i/>
              </w:rPr>
            </w:pPr>
            <w:r>
              <w:rPr>
                <w:i/>
              </w:rPr>
              <w:t>96.8 passengers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Gate lounges</w:t>
            </w:r>
          </w:p>
        </w:tc>
        <w:tc>
          <w:tcPr>
            <w:tcW w:w="6662" w:type="dxa"/>
            <w:tcBorders>
              <w:top w:val="single" w:sz="4" w:space="0" w:color="auto"/>
              <w:left w:val="nil"/>
              <w:bottom w:val="nil"/>
              <w:right w:val="nil"/>
            </w:tcBorders>
          </w:tcPr>
          <w:p w:rsidR="009543DB" w:rsidRDefault="009543DB" w:rsidP="009543DB">
            <w:pPr>
              <w:pStyle w:val="QOStabletextleft"/>
            </w:pPr>
            <w:r>
              <w:t>Seating in lounge area (quality and availability)</w:t>
            </w:r>
          </w:p>
        </w:tc>
        <w:tc>
          <w:tcPr>
            <w:tcW w:w="1559" w:type="dxa"/>
            <w:tcBorders>
              <w:top w:val="single" w:sz="4" w:space="0" w:color="auto"/>
              <w:left w:val="nil"/>
              <w:bottom w:val="nil"/>
              <w:right w:val="nil"/>
            </w:tcBorders>
          </w:tcPr>
          <w:p w:rsidR="009543DB" w:rsidRDefault="009543DB" w:rsidP="009543DB">
            <w:pPr>
              <w:pStyle w:val="QOStabletextleft"/>
            </w:pPr>
            <w:r>
              <w:t>Passenger survey</w:t>
            </w:r>
          </w:p>
        </w:tc>
        <w:tc>
          <w:tcPr>
            <w:tcW w:w="1559" w:type="dxa"/>
            <w:tcBorders>
              <w:top w:val="single" w:sz="4" w:space="0" w:color="auto"/>
              <w:left w:val="nil"/>
              <w:bottom w:val="nil"/>
              <w:right w:val="nil"/>
            </w:tcBorders>
          </w:tcPr>
          <w:p w:rsidR="009543DB" w:rsidRDefault="009543DB" w:rsidP="009543DB">
            <w:pPr>
              <w:pStyle w:val="QOStabletextleft"/>
            </w:pPr>
            <w:r>
              <w:t>Good</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Pr="00753977" w:rsidRDefault="009543DB" w:rsidP="009543DB">
            <w:pPr>
              <w:pStyle w:val="QOStabletextleft"/>
              <w:rPr>
                <w:i/>
              </w:rPr>
            </w:pPr>
            <w:r>
              <w:rPr>
                <w:i/>
              </w:rPr>
              <w:t>Number of departing passengers per seat in gate lounges (peak hour)</w:t>
            </w:r>
          </w:p>
        </w:tc>
        <w:tc>
          <w:tcPr>
            <w:tcW w:w="1559" w:type="dxa"/>
            <w:tcBorders>
              <w:top w:val="nil"/>
              <w:left w:val="nil"/>
              <w:bottom w:val="nil"/>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nil"/>
              <w:right w:val="nil"/>
            </w:tcBorders>
          </w:tcPr>
          <w:p w:rsidR="009543DB" w:rsidRPr="004726A6" w:rsidRDefault="009543DB" w:rsidP="009543DB">
            <w:pPr>
              <w:pStyle w:val="QOStabletextleft"/>
              <w:rPr>
                <w:i/>
              </w:rPr>
            </w:pPr>
            <w:r>
              <w:rPr>
                <w:i/>
              </w:rPr>
              <w:t>1.0 passengers</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nil"/>
              <w:left w:val="nil"/>
              <w:bottom w:val="nil"/>
              <w:right w:val="nil"/>
            </w:tcBorders>
          </w:tcPr>
          <w:p w:rsidR="009543DB" w:rsidRDefault="009543DB" w:rsidP="009543DB">
            <w:pPr>
              <w:pStyle w:val="QOStabletextleftbold"/>
            </w:pPr>
          </w:p>
        </w:tc>
        <w:tc>
          <w:tcPr>
            <w:tcW w:w="6662" w:type="dxa"/>
            <w:tcBorders>
              <w:top w:val="nil"/>
              <w:left w:val="nil"/>
              <w:bottom w:val="nil"/>
              <w:right w:val="nil"/>
            </w:tcBorders>
          </w:tcPr>
          <w:p w:rsidR="009543DB" w:rsidRDefault="009543DB" w:rsidP="009543DB">
            <w:pPr>
              <w:pStyle w:val="QOStabletextleft"/>
            </w:pPr>
            <w:r>
              <w:t>Crowding in lounge area</w:t>
            </w:r>
          </w:p>
        </w:tc>
        <w:tc>
          <w:tcPr>
            <w:tcW w:w="1559" w:type="dxa"/>
            <w:tcBorders>
              <w:top w:val="nil"/>
              <w:left w:val="nil"/>
              <w:bottom w:val="nil"/>
              <w:right w:val="nil"/>
            </w:tcBorders>
          </w:tcPr>
          <w:p w:rsidR="009543DB" w:rsidRDefault="009543DB" w:rsidP="009543DB">
            <w:pPr>
              <w:pStyle w:val="QOStabletextleft"/>
            </w:pPr>
            <w:r>
              <w:t>Passenger survey</w:t>
            </w:r>
          </w:p>
        </w:tc>
        <w:tc>
          <w:tcPr>
            <w:tcW w:w="1559" w:type="dxa"/>
            <w:tcBorders>
              <w:top w:val="nil"/>
              <w:left w:val="nil"/>
              <w:bottom w:val="nil"/>
              <w:right w:val="nil"/>
            </w:tcBorders>
          </w:tcPr>
          <w:p w:rsidR="009543DB" w:rsidRDefault="009543DB" w:rsidP="009543DB">
            <w:pPr>
              <w:pStyle w:val="QOStabletextleft"/>
            </w:pPr>
            <w:r>
              <w:t>Good</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nil"/>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FC0AD9" w:rsidRDefault="009543DB" w:rsidP="009543DB">
            <w:pPr>
              <w:pStyle w:val="QOStabletextleft"/>
              <w:rPr>
                <w:i/>
              </w:rPr>
            </w:pPr>
            <w:r>
              <w:rPr>
                <w:i/>
              </w:rPr>
              <w:t>Number of departing passengers per m</w:t>
            </w:r>
            <w:r>
              <w:rPr>
                <w:i/>
                <w:vertAlign w:val="superscript"/>
              </w:rPr>
              <w:t xml:space="preserve">2 </w:t>
            </w:r>
            <w:r>
              <w:rPr>
                <w:i/>
              </w:rPr>
              <w:t>of lounge area (peak hour)</w:t>
            </w:r>
          </w:p>
        </w:tc>
        <w:tc>
          <w:tcPr>
            <w:tcW w:w="1559" w:type="dxa"/>
            <w:tcBorders>
              <w:top w:val="nil"/>
              <w:left w:val="nil"/>
              <w:bottom w:val="single" w:sz="4" w:space="0" w:color="auto"/>
              <w:right w:val="nil"/>
            </w:tcBorders>
          </w:tcPr>
          <w:p w:rsidR="009543DB" w:rsidRPr="005156C1"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4726A6" w:rsidRDefault="009543DB" w:rsidP="009543DB">
            <w:pPr>
              <w:pStyle w:val="QOStabletextleft"/>
              <w:rPr>
                <w:i/>
              </w:rPr>
            </w:pPr>
            <w:r>
              <w:rPr>
                <w:i/>
              </w:rPr>
              <w:t>0.4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Amenities</w:t>
            </w:r>
          </w:p>
        </w:tc>
        <w:tc>
          <w:tcPr>
            <w:tcW w:w="6662" w:type="dxa"/>
            <w:tcBorders>
              <w:top w:val="single" w:sz="4" w:space="0" w:color="auto"/>
              <w:left w:val="nil"/>
              <w:bottom w:val="nil"/>
              <w:right w:val="nil"/>
            </w:tcBorders>
          </w:tcPr>
          <w:p w:rsidR="009543DB" w:rsidRPr="00FC0AD9" w:rsidRDefault="009543DB" w:rsidP="009543DB">
            <w:pPr>
              <w:pStyle w:val="QOStabletextleft"/>
            </w:pPr>
            <w:r>
              <w:t>Standard of washrooms</w:t>
            </w:r>
          </w:p>
        </w:tc>
        <w:tc>
          <w:tcPr>
            <w:tcW w:w="1559" w:type="dxa"/>
            <w:tcBorders>
              <w:top w:val="single" w:sz="4" w:space="0" w:color="auto"/>
              <w:left w:val="nil"/>
              <w:bottom w:val="nil"/>
              <w:right w:val="nil"/>
            </w:tcBorders>
          </w:tcPr>
          <w:p w:rsidR="009543DB" w:rsidRPr="00A064F3" w:rsidRDefault="009543DB" w:rsidP="009543DB">
            <w:pPr>
              <w:pStyle w:val="QOStabletextleft"/>
            </w:pPr>
            <w:r>
              <w:t>Passenger survey</w:t>
            </w:r>
          </w:p>
        </w:tc>
        <w:tc>
          <w:tcPr>
            <w:tcW w:w="1559" w:type="dxa"/>
            <w:tcBorders>
              <w:top w:val="single" w:sz="4" w:space="0" w:color="auto"/>
              <w:left w:val="nil"/>
              <w:bottom w:val="nil"/>
              <w:right w:val="nil"/>
            </w:tcBorders>
          </w:tcPr>
          <w:p w:rsidR="009543DB" w:rsidRDefault="009543DB" w:rsidP="009543DB">
            <w:pPr>
              <w:pStyle w:val="QOStabletextleft"/>
            </w:pPr>
            <w:r>
              <w:t>Good</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cs="Arial"/>
                <w:color w:val="4BACC6"/>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bottom w:val="single" w:sz="4" w:space="0" w:color="auto"/>
              <w:right w:val="nil"/>
            </w:tcBorders>
          </w:tcPr>
          <w:p w:rsidR="009543DB" w:rsidRDefault="009543DB" w:rsidP="009543DB">
            <w:pPr>
              <w:pStyle w:val="QOStabletextleftbold"/>
            </w:pPr>
          </w:p>
        </w:tc>
        <w:tc>
          <w:tcPr>
            <w:tcW w:w="6662" w:type="dxa"/>
            <w:tcBorders>
              <w:top w:val="nil"/>
              <w:left w:val="nil"/>
              <w:bottom w:val="single" w:sz="4" w:space="0" w:color="auto"/>
              <w:right w:val="nil"/>
            </w:tcBorders>
          </w:tcPr>
          <w:p w:rsidR="009543DB" w:rsidRPr="00FC0AD9" w:rsidRDefault="009543DB" w:rsidP="009543DB">
            <w:pPr>
              <w:pStyle w:val="QOStabletextleft"/>
              <w:rPr>
                <w:i/>
              </w:rPr>
            </w:pPr>
            <w:r>
              <w:rPr>
                <w:i/>
              </w:rPr>
              <w:t>Number of departing passengers per washroom (peak hour)</w:t>
            </w:r>
          </w:p>
        </w:tc>
        <w:tc>
          <w:tcPr>
            <w:tcW w:w="1559" w:type="dxa"/>
            <w:tcBorders>
              <w:top w:val="nil"/>
              <w:left w:val="nil"/>
              <w:bottom w:val="single" w:sz="4" w:space="0" w:color="auto"/>
              <w:right w:val="nil"/>
            </w:tcBorders>
          </w:tcPr>
          <w:p w:rsidR="009543DB" w:rsidRPr="00A064F3" w:rsidRDefault="009543DB" w:rsidP="009543DB">
            <w:pPr>
              <w:pStyle w:val="QOStabletextleft"/>
              <w:rPr>
                <w:i/>
              </w:rPr>
            </w:pPr>
            <w:r>
              <w:rPr>
                <w:i/>
              </w:rPr>
              <w:t>Objective indicator</w:t>
            </w:r>
          </w:p>
        </w:tc>
        <w:tc>
          <w:tcPr>
            <w:tcW w:w="1559" w:type="dxa"/>
            <w:tcBorders>
              <w:top w:val="nil"/>
              <w:left w:val="nil"/>
              <w:bottom w:val="single" w:sz="4" w:space="0" w:color="auto"/>
              <w:right w:val="nil"/>
            </w:tcBorders>
          </w:tcPr>
          <w:p w:rsidR="009543DB" w:rsidRPr="004726A6" w:rsidRDefault="009543DB" w:rsidP="009543DB">
            <w:pPr>
              <w:pStyle w:val="QOStabletextleft"/>
              <w:rPr>
                <w:i/>
              </w:rPr>
            </w:pPr>
            <w:r>
              <w:rPr>
                <w:i/>
              </w:rPr>
              <w:t>125.3 passengers</w:t>
            </w:r>
          </w:p>
        </w:tc>
        <w:tc>
          <w:tcPr>
            <w:tcW w:w="1493" w:type="dxa"/>
            <w:tcBorders>
              <w:top w:val="nil"/>
              <w:left w:val="nil"/>
              <w:bottom w:val="single" w:sz="4" w:space="0" w:color="auto"/>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bottom w:val="single" w:sz="4" w:space="0" w:color="auto"/>
              <w:right w:val="nil"/>
            </w:tcBorders>
          </w:tcPr>
          <w:p w:rsidR="009543DB" w:rsidRDefault="009543DB" w:rsidP="009543DB">
            <w:pPr>
              <w:pStyle w:val="QOStabletextleft"/>
            </w:pPr>
            <w:r>
              <w:t>N/A</w:t>
            </w:r>
          </w:p>
        </w:tc>
      </w:tr>
      <w:tr w:rsidR="009543DB" w:rsidTr="009543DB">
        <w:tc>
          <w:tcPr>
            <w:tcW w:w="1266" w:type="dxa"/>
            <w:tcBorders>
              <w:top w:val="single" w:sz="4" w:space="0" w:color="auto"/>
              <w:left w:val="nil"/>
              <w:bottom w:val="nil"/>
              <w:right w:val="nil"/>
            </w:tcBorders>
          </w:tcPr>
          <w:p w:rsidR="009543DB" w:rsidRDefault="009543DB" w:rsidP="009543DB">
            <w:pPr>
              <w:pStyle w:val="QOStabletextleftbold"/>
            </w:pPr>
            <w:r>
              <w:t>Security</w:t>
            </w:r>
          </w:p>
        </w:tc>
        <w:tc>
          <w:tcPr>
            <w:tcW w:w="6662" w:type="dxa"/>
            <w:tcBorders>
              <w:top w:val="single" w:sz="4" w:space="0" w:color="auto"/>
              <w:left w:val="nil"/>
              <w:bottom w:val="nil"/>
              <w:right w:val="nil"/>
            </w:tcBorders>
          </w:tcPr>
          <w:p w:rsidR="009543DB" w:rsidRDefault="009543DB" w:rsidP="009543DB">
            <w:pPr>
              <w:pStyle w:val="QOStabletextleft"/>
            </w:pPr>
            <w:r>
              <w:t>Quality of security search process</w:t>
            </w:r>
          </w:p>
        </w:tc>
        <w:tc>
          <w:tcPr>
            <w:tcW w:w="1559" w:type="dxa"/>
            <w:tcBorders>
              <w:top w:val="single" w:sz="4" w:space="0" w:color="auto"/>
              <w:left w:val="nil"/>
              <w:bottom w:val="nil"/>
              <w:right w:val="nil"/>
            </w:tcBorders>
          </w:tcPr>
          <w:p w:rsidR="009543DB" w:rsidRDefault="009543DB" w:rsidP="009543DB">
            <w:pPr>
              <w:pStyle w:val="QOStabletextleft"/>
            </w:pPr>
            <w:r>
              <w:t>Passenger survey</w:t>
            </w:r>
          </w:p>
        </w:tc>
        <w:tc>
          <w:tcPr>
            <w:tcW w:w="1559" w:type="dxa"/>
            <w:tcBorders>
              <w:top w:val="single" w:sz="4" w:space="0" w:color="auto"/>
              <w:left w:val="nil"/>
              <w:bottom w:val="nil"/>
              <w:right w:val="nil"/>
            </w:tcBorders>
          </w:tcPr>
          <w:p w:rsidR="009543DB" w:rsidRDefault="009543DB" w:rsidP="009543DB">
            <w:pPr>
              <w:pStyle w:val="QOStabletextleft"/>
            </w:pPr>
            <w:r>
              <w:t>Good</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c>
          <w:tcPr>
            <w:tcW w:w="1493" w:type="dxa"/>
            <w:tcBorders>
              <w:top w:val="single" w:sz="4" w:space="0" w:color="auto"/>
              <w:left w:val="nil"/>
              <w:bottom w:val="nil"/>
              <w:right w:val="nil"/>
            </w:tcBorders>
          </w:tcPr>
          <w:p w:rsidR="009543DB" w:rsidRDefault="009543DB" w:rsidP="009543DB">
            <w:pPr>
              <w:pStyle w:val="QOStabletextleft"/>
            </w:pPr>
            <w:r w:rsidRPr="00F617F8">
              <w:rPr>
                <w:rFonts w:eastAsia="Times New Roman" w:cs="Times New Roman"/>
                <w:color w:val="943634"/>
                <w:szCs w:val="24"/>
                <w:lang w:eastAsia="en-AU"/>
              </w:rPr>
              <w:t>▲</w:t>
            </w:r>
          </w:p>
        </w:tc>
      </w:tr>
      <w:tr w:rsidR="009543DB" w:rsidTr="009543DB">
        <w:tc>
          <w:tcPr>
            <w:tcW w:w="1266" w:type="dxa"/>
            <w:tcBorders>
              <w:top w:val="nil"/>
              <w:left w:val="nil"/>
              <w:right w:val="nil"/>
            </w:tcBorders>
          </w:tcPr>
          <w:p w:rsidR="009543DB" w:rsidRDefault="009543DB" w:rsidP="009543DB">
            <w:pPr>
              <w:pStyle w:val="QOStabletextleftbold"/>
            </w:pPr>
          </w:p>
        </w:tc>
        <w:tc>
          <w:tcPr>
            <w:tcW w:w="6662" w:type="dxa"/>
            <w:tcBorders>
              <w:top w:val="nil"/>
              <w:left w:val="nil"/>
              <w:right w:val="nil"/>
            </w:tcBorders>
          </w:tcPr>
          <w:p w:rsidR="009543DB" w:rsidRPr="00FC0AD9" w:rsidRDefault="009543DB" w:rsidP="009543DB">
            <w:pPr>
              <w:pStyle w:val="QOStabletextleft"/>
              <w:rPr>
                <w:i/>
              </w:rPr>
            </w:pPr>
            <w:r>
              <w:rPr>
                <w:i/>
              </w:rPr>
              <w:t>Number of departing passengers per security clearance system (peak hour)</w:t>
            </w:r>
          </w:p>
        </w:tc>
        <w:tc>
          <w:tcPr>
            <w:tcW w:w="1559" w:type="dxa"/>
            <w:tcBorders>
              <w:top w:val="nil"/>
              <w:left w:val="nil"/>
              <w:right w:val="nil"/>
            </w:tcBorders>
          </w:tcPr>
          <w:p w:rsidR="009543DB" w:rsidRPr="00A064F3" w:rsidRDefault="009543DB" w:rsidP="009543DB">
            <w:pPr>
              <w:pStyle w:val="QOStabletextleft"/>
              <w:rPr>
                <w:i/>
              </w:rPr>
            </w:pPr>
            <w:r>
              <w:rPr>
                <w:i/>
              </w:rPr>
              <w:t>Objective indicator</w:t>
            </w:r>
          </w:p>
        </w:tc>
        <w:tc>
          <w:tcPr>
            <w:tcW w:w="1559" w:type="dxa"/>
            <w:tcBorders>
              <w:top w:val="nil"/>
              <w:left w:val="nil"/>
              <w:right w:val="nil"/>
            </w:tcBorders>
          </w:tcPr>
          <w:p w:rsidR="009543DB" w:rsidRPr="004726A6" w:rsidRDefault="009543DB" w:rsidP="009543DB">
            <w:pPr>
              <w:pStyle w:val="QOStabletextleft"/>
              <w:rPr>
                <w:i/>
              </w:rPr>
            </w:pPr>
            <w:r>
              <w:rPr>
                <w:i/>
              </w:rPr>
              <w:t>188.0 passengers</w:t>
            </w:r>
          </w:p>
        </w:tc>
        <w:tc>
          <w:tcPr>
            <w:tcW w:w="1493" w:type="dxa"/>
            <w:tcBorders>
              <w:top w:val="nil"/>
              <w:left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c>
          <w:tcPr>
            <w:tcW w:w="1493" w:type="dxa"/>
            <w:tcBorders>
              <w:top w:val="nil"/>
              <w:left w:val="nil"/>
              <w:right w:val="nil"/>
            </w:tcBorders>
          </w:tcPr>
          <w:p w:rsidR="009543DB" w:rsidRDefault="009543DB" w:rsidP="009543DB">
            <w:pPr>
              <w:pStyle w:val="QOStabletextleft"/>
            </w:pPr>
            <w:r w:rsidRPr="00F617F8">
              <w:rPr>
                <w:rFonts w:eastAsia="Times New Roman" w:cs="Times New Roman"/>
                <w:color w:val="F79646"/>
                <w:szCs w:val="24"/>
                <w:lang w:eastAsia="en-AU"/>
              </w:rPr>
              <w:t>▼</w:t>
            </w:r>
          </w:p>
        </w:tc>
      </w:tr>
    </w:tbl>
    <w:p w:rsidR="009543DB" w:rsidRDefault="009543DB" w:rsidP="009543DB">
      <w:pPr>
        <w:pStyle w:val="Sourceandnotes"/>
        <w:sectPr w:rsidR="009543DB" w:rsidSect="009543DB">
          <w:headerReference w:type="even" r:id="rId105"/>
          <w:headerReference w:type="default" r:id="rId106"/>
          <w:footnotePr>
            <w:numStart w:val="93"/>
          </w:footnotePr>
          <w:pgSz w:w="16838" w:h="11906" w:orient="landscape"/>
          <w:pgMar w:top="1332" w:right="1440" w:bottom="1332" w:left="1582" w:header="709" w:footer="709" w:gutter="0"/>
          <w:cols w:space="708"/>
          <w:docGrid w:linePitch="360"/>
        </w:sect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 change.</w:t>
      </w:r>
      <w:r>
        <w:rPr>
          <w:rFonts w:cs="Arial"/>
          <w:color w:val="000000" w:themeColor="text1"/>
        </w:rPr>
        <w:t xml:space="preserve"> * Rating changed by a category over the period.</w:t>
      </w:r>
      <w:r>
        <w:rPr>
          <w:rFonts w:cs="Arial"/>
          <w:color w:val="000000" w:themeColor="text1"/>
        </w:rPr>
        <w:br/>
      </w:r>
      <w:r>
        <w:t xml:space="preserve">Terminal 4 has no aerobridges or information points and as a result, no indicators are included for </w:t>
      </w:r>
      <w:proofErr w:type="gramStart"/>
      <w:r>
        <w:t>these measure</w:t>
      </w:r>
      <w:proofErr w:type="gramEnd"/>
      <w:r>
        <w:t>.</w:t>
      </w:r>
      <w:r>
        <w:br/>
      </w:r>
      <w:r>
        <w:rPr>
          <w:rFonts w:cs="Arial"/>
          <w:color w:val="000000" w:themeColor="text1"/>
        </w:rPr>
        <w:t>Airline responses have not been included for confidentiality reasons, although these ratings have been included in average airline survey ratings elsewhere in this chapter.</w:t>
      </w:r>
    </w:p>
    <w:p w:rsidR="009543DB" w:rsidRDefault="009543DB" w:rsidP="00114E05">
      <w:pPr>
        <w:pStyle w:val="Numberedheading2"/>
      </w:pPr>
      <w:r>
        <w:lastRenderedPageBreak/>
        <w:t>Car parking services monitoring results</w:t>
      </w:r>
    </w:p>
    <w:p w:rsidR="009543DB" w:rsidRDefault="009543DB" w:rsidP="009543DB">
      <w:r w:rsidRPr="00F4378D">
        <w:t xml:space="preserve">This section assesses </w:t>
      </w:r>
      <w:r>
        <w:t xml:space="preserve">Melbourne </w:t>
      </w:r>
      <w:r w:rsidRPr="00F4378D">
        <w:t>Airport’s car parking and landside services and facilities. Areas covered include activity (</w:t>
      </w:r>
      <w:r>
        <w:t>S</w:t>
      </w:r>
      <w:r w:rsidRPr="00F4378D">
        <w:t xml:space="preserve">ection </w:t>
      </w:r>
      <w:r>
        <w:t>3</w:t>
      </w:r>
      <w:r w:rsidRPr="00F4378D">
        <w:t>.4.1), car park pricing (</w:t>
      </w:r>
      <w:r>
        <w:t>S</w:t>
      </w:r>
      <w:r w:rsidRPr="00F4378D">
        <w:t xml:space="preserve">ection </w:t>
      </w:r>
      <w:r>
        <w:t>3</w:t>
      </w:r>
      <w:r w:rsidRPr="00F4378D">
        <w:t>.4.2), revenues and margins (</w:t>
      </w:r>
      <w:r>
        <w:t>S</w:t>
      </w:r>
      <w:r w:rsidRPr="00F4378D">
        <w:t xml:space="preserve">ection </w:t>
      </w:r>
      <w:r>
        <w:t>3</w:t>
      </w:r>
      <w:r w:rsidRPr="00F4378D">
        <w:t>.4.3) and quality of service outcomes (</w:t>
      </w:r>
      <w:r>
        <w:t>S</w:t>
      </w:r>
      <w:r w:rsidRPr="00F4378D">
        <w:t xml:space="preserve">ection </w:t>
      </w:r>
      <w:r>
        <w:t>3</w:t>
      </w:r>
      <w:r w:rsidRPr="00F4378D">
        <w:t>.4.4).</w:t>
      </w:r>
    </w:p>
    <w:p w:rsidR="009543DB" w:rsidRDefault="009543DB" w:rsidP="009543DB">
      <w:pPr>
        <w:pStyle w:val="Numberedheading3"/>
      </w:pPr>
      <w:r>
        <w:t>Activity</w:t>
      </w:r>
    </w:p>
    <w:p w:rsidR="009543DB" w:rsidRDefault="009543DB" w:rsidP="009543DB">
      <w:r>
        <w:t>Table 3.4.1 outlines the number of car parking spaces available and throughput of those car parking facilities at Melbourne Airport from 2004</w:t>
      </w:r>
      <w:r>
        <w:noBreakHyphen/>
        <w:t>05 to 2014</w:t>
      </w:r>
      <w:r>
        <w:noBreakHyphen/>
        <w:t>15.</w:t>
      </w:r>
    </w:p>
    <w:p w:rsidR="009543DB" w:rsidRDefault="009543DB" w:rsidP="009543DB">
      <w:r>
        <w:t>The total number of car parking spaces at Melbourne Airport decreased by 4.8 per cent to 23 223 spaces in 2014</w:t>
      </w:r>
      <w:r>
        <w:noBreakHyphen/>
        <w:t>15, which was due to reduced spaces for both short term and long term parking. Melbourne Airport has reported the largest number of car parking spaces of the monitored airports in each year over the time series. Melbourne Airport stated that short term car parking spaces were lower in 2014</w:t>
      </w:r>
      <w:r>
        <w:noBreakHyphen/>
        <w:t xml:space="preserve">15 due to car rental facilities being moved within the short term car park. Melbourne Airport stated that long term car parking spaces were reduced due to the construction of an elevated road to access the new </w:t>
      </w:r>
      <w:r w:rsidRPr="00D33FF1">
        <w:t>Terminal 4. As noted in section 3.1.3, Melbourne Airport opened a new public car parking facility in November 2015 that has provided more than 2500 car parking spaces.</w:t>
      </w:r>
      <w:r>
        <w:t xml:space="preserve"> </w:t>
      </w:r>
    </w:p>
    <w:p w:rsidR="009543DB" w:rsidRDefault="009543DB" w:rsidP="009543DB">
      <w:r>
        <w:t>In 2014</w:t>
      </w:r>
      <w:r>
        <w:noBreakHyphen/>
        <w:t>15, Melbourne Airport’s car parking facilities included 6824 short term parking spaces (29.4 per cent of total car parking capacity), 13 830 long term parking spaces (59.6 per cent) and 2569 staff parking spaces (11.1 per cent).</w:t>
      </w:r>
    </w:p>
    <w:p w:rsidR="009543DB" w:rsidRPr="00822EBD" w:rsidRDefault="009543DB" w:rsidP="009543DB">
      <w:r>
        <w:t>In 2014</w:t>
      </w:r>
      <w:r>
        <w:noBreakHyphen/>
        <w:t>15, the average daily throughput for short term car parking decreased by 2.0 per cent, which is the third consecutive annual decrease in throughput. However, the average daily throughput for the long term car parking increased by 5.5 per cent, which is the third consecutive annual increase.</w:t>
      </w:r>
    </w:p>
    <w:p w:rsidR="009543DB" w:rsidRDefault="009543DB" w:rsidP="009543DB"/>
    <w:p w:rsidR="009543DB" w:rsidRDefault="009543DB" w:rsidP="009543DB">
      <w:pPr>
        <w:sectPr w:rsidR="009543DB" w:rsidSect="009543DB">
          <w:headerReference w:type="even" r:id="rId107"/>
          <w:headerReference w:type="default" r:id="rId108"/>
          <w:footnotePr>
            <w:numStart w:val="93"/>
          </w:footnotePr>
          <w:pgSz w:w="11906" w:h="16838"/>
          <w:pgMar w:top="1440" w:right="1729" w:bottom="1582" w:left="1729" w:header="709" w:footer="709" w:gutter="0"/>
          <w:cols w:space="708"/>
          <w:docGrid w:linePitch="360"/>
        </w:sectPr>
      </w:pPr>
    </w:p>
    <w:p w:rsidR="009543DB" w:rsidRDefault="009543DB" w:rsidP="009543DB">
      <w:pPr>
        <w:pStyle w:val="Numberedcharttitle"/>
      </w:pPr>
      <w:r>
        <w:lastRenderedPageBreak/>
        <w:t>Table 3.4.1:</w:t>
      </w:r>
      <w:r>
        <w:tab/>
        <w:t>Melbourne Airport—number of car park spaces and average daily throughput: 2004-05 to 2014-15</w:t>
      </w: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9543DB" w:rsidTr="009543DB">
        <w:tc>
          <w:tcPr>
            <w:tcW w:w="1214" w:type="dxa"/>
            <w:tcBorders>
              <w:left w:val="nil"/>
              <w:bottom w:val="single" w:sz="4" w:space="0" w:color="auto"/>
              <w:right w:val="nil"/>
            </w:tcBorders>
            <w:shd w:val="clear" w:color="auto" w:fill="DFE0DC"/>
          </w:tcPr>
          <w:p w:rsidR="009543DB" w:rsidRDefault="009543DB" w:rsidP="009543DB">
            <w:pPr>
              <w:pStyle w:val="Tabletextleft"/>
            </w:pPr>
          </w:p>
        </w:tc>
        <w:tc>
          <w:tcPr>
            <w:tcW w:w="2296" w:type="dxa"/>
            <w:tcBorders>
              <w:left w:val="nil"/>
              <w:bottom w:val="single" w:sz="4" w:space="0" w:color="auto"/>
              <w:right w:val="nil"/>
            </w:tcBorders>
            <w:shd w:val="clear" w:color="auto" w:fill="DFE0DC"/>
          </w:tcPr>
          <w:p w:rsidR="009543DB" w:rsidRDefault="009543DB" w:rsidP="009543DB">
            <w:pPr>
              <w:pStyle w:val="Tabletextleft"/>
            </w:pP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2004-05</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2005-06</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2006-07</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2007-08</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2008-09</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2009-10</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2010-11</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2011-12</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2012-13</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2013-14</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1214" w:type="dxa"/>
            <w:vMerge w:val="restart"/>
            <w:tcBorders>
              <w:left w:val="nil"/>
              <w:right w:val="nil"/>
            </w:tcBorders>
            <w:vAlign w:val="center"/>
          </w:tcPr>
          <w:p w:rsidR="009543DB" w:rsidRDefault="009543DB" w:rsidP="009543DB">
            <w:pPr>
              <w:pStyle w:val="Tabletextheadingcentre"/>
            </w:pPr>
            <w:r>
              <w:t>Number of car park spaces</w:t>
            </w:r>
          </w:p>
        </w:tc>
        <w:tc>
          <w:tcPr>
            <w:tcW w:w="2296" w:type="dxa"/>
            <w:tcBorders>
              <w:left w:val="nil"/>
              <w:right w:val="nil"/>
            </w:tcBorders>
          </w:tcPr>
          <w:p w:rsidR="009543DB" w:rsidRDefault="009543DB" w:rsidP="009543DB">
            <w:pPr>
              <w:pStyle w:val="Tabletextleft"/>
            </w:pPr>
            <w:r>
              <w:t>Short term</w:t>
            </w:r>
          </w:p>
        </w:tc>
        <w:tc>
          <w:tcPr>
            <w:tcW w:w="956" w:type="dxa"/>
            <w:tcBorders>
              <w:left w:val="nil"/>
              <w:right w:val="nil"/>
            </w:tcBorders>
          </w:tcPr>
          <w:p w:rsidR="009543DB" w:rsidRDefault="009543DB" w:rsidP="009543DB">
            <w:pPr>
              <w:pStyle w:val="Tabletextright"/>
            </w:pPr>
            <w:r>
              <w:t>3 553</w:t>
            </w:r>
          </w:p>
        </w:tc>
        <w:tc>
          <w:tcPr>
            <w:tcW w:w="957" w:type="dxa"/>
            <w:tcBorders>
              <w:left w:val="nil"/>
              <w:right w:val="nil"/>
            </w:tcBorders>
          </w:tcPr>
          <w:p w:rsidR="009543DB" w:rsidRDefault="009543DB" w:rsidP="009543DB">
            <w:pPr>
              <w:pStyle w:val="Tabletextright"/>
            </w:pPr>
            <w:r>
              <w:t>3 744</w:t>
            </w:r>
          </w:p>
        </w:tc>
        <w:tc>
          <w:tcPr>
            <w:tcW w:w="956" w:type="dxa"/>
            <w:tcBorders>
              <w:left w:val="nil"/>
              <w:right w:val="nil"/>
            </w:tcBorders>
          </w:tcPr>
          <w:p w:rsidR="009543DB" w:rsidRDefault="009543DB" w:rsidP="009543DB">
            <w:pPr>
              <w:pStyle w:val="Tabletextright"/>
            </w:pPr>
            <w:r>
              <w:t>3 315</w:t>
            </w:r>
          </w:p>
        </w:tc>
        <w:tc>
          <w:tcPr>
            <w:tcW w:w="957" w:type="dxa"/>
            <w:tcBorders>
              <w:left w:val="nil"/>
              <w:right w:val="nil"/>
            </w:tcBorders>
          </w:tcPr>
          <w:p w:rsidR="009543DB" w:rsidRDefault="009543DB" w:rsidP="009543DB">
            <w:pPr>
              <w:pStyle w:val="Tabletextright"/>
            </w:pPr>
            <w:r>
              <w:t>3 244</w:t>
            </w:r>
          </w:p>
        </w:tc>
        <w:tc>
          <w:tcPr>
            <w:tcW w:w="956" w:type="dxa"/>
            <w:tcBorders>
              <w:left w:val="nil"/>
              <w:right w:val="nil"/>
            </w:tcBorders>
          </w:tcPr>
          <w:p w:rsidR="009543DB" w:rsidRDefault="009543DB" w:rsidP="009543DB">
            <w:pPr>
              <w:pStyle w:val="Tabletextright"/>
            </w:pPr>
            <w:r>
              <w:t>7 698</w:t>
            </w:r>
          </w:p>
        </w:tc>
        <w:tc>
          <w:tcPr>
            <w:tcW w:w="957" w:type="dxa"/>
            <w:tcBorders>
              <w:left w:val="nil"/>
              <w:right w:val="nil"/>
            </w:tcBorders>
          </w:tcPr>
          <w:p w:rsidR="009543DB" w:rsidRDefault="009543DB" w:rsidP="009543DB">
            <w:pPr>
              <w:pStyle w:val="Tabletextright"/>
            </w:pPr>
            <w:r>
              <w:t>7 529</w:t>
            </w:r>
          </w:p>
        </w:tc>
        <w:tc>
          <w:tcPr>
            <w:tcW w:w="956" w:type="dxa"/>
            <w:tcBorders>
              <w:left w:val="nil"/>
              <w:right w:val="nil"/>
            </w:tcBorders>
          </w:tcPr>
          <w:p w:rsidR="009543DB" w:rsidRDefault="009543DB" w:rsidP="009543DB">
            <w:pPr>
              <w:pStyle w:val="Tabletextright"/>
            </w:pPr>
            <w:r>
              <w:t>7 529</w:t>
            </w:r>
          </w:p>
        </w:tc>
        <w:tc>
          <w:tcPr>
            <w:tcW w:w="957" w:type="dxa"/>
            <w:tcBorders>
              <w:left w:val="nil"/>
              <w:right w:val="nil"/>
            </w:tcBorders>
          </w:tcPr>
          <w:p w:rsidR="009543DB" w:rsidRDefault="009543DB" w:rsidP="009543DB">
            <w:pPr>
              <w:pStyle w:val="Tabletextright"/>
            </w:pPr>
            <w:r>
              <w:t>7 441</w:t>
            </w:r>
          </w:p>
        </w:tc>
        <w:tc>
          <w:tcPr>
            <w:tcW w:w="956" w:type="dxa"/>
            <w:tcBorders>
              <w:left w:val="nil"/>
              <w:right w:val="nil"/>
            </w:tcBorders>
          </w:tcPr>
          <w:p w:rsidR="009543DB" w:rsidRDefault="009543DB" w:rsidP="009543DB">
            <w:pPr>
              <w:pStyle w:val="Tabletextright"/>
            </w:pPr>
            <w:r>
              <w:t>7 441</w:t>
            </w:r>
          </w:p>
        </w:tc>
        <w:tc>
          <w:tcPr>
            <w:tcW w:w="957" w:type="dxa"/>
            <w:tcBorders>
              <w:left w:val="nil"/>
              <w:right w:val="nil"/>
            </w:tcBorders>
          </w:tcPr>
          <w:p w:rsidR="009543DB" w:rsidRDefault="009543DB" w:rsidP="009543DB">
            <w:pPr>
              <w:pStyle w:val="Tabletextright"/>
            </w:pPr>
            <w:r>
              <w:t>7 279</w:t>
            </w:r>
          </w:p>
        </w:tc>
        <w:tc>
          <w:tcPr>
            <w:tcW w:w="957" w:type="dxa"/>
            <w:tcBorders>
              <w:left w:val="nil"/>
              <w:right w:val="nil"/>
            </w:tcBorders>
          </w:tcPr>
          <w:p w:rsidR="009543DB" w:rsidRDefault="009543DB" w:rsidP="009543DB">
            <w:pPr>
              <w:pStyle w:val="Tabletextright"/>
            </w:pPr>
            <w:r>
              <w:t>6 824</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Long term</w:t>
            </w:r>
          </w:p>
        </w:tc>
        <w:tc>
          <w:tcPr>
            <w:tcW w:w="956" w:type="dxa"/>
            <w:tcBorders>
              <w:left w:val="nil"/>
              <w:right w:val="nil"/>
            </w:tcBorders>
          </w:tcPr>
          <w:p w:rsidR="009543DB" w:rsidRDefault="009543DB" w:rsidP="009543DB">
            <w:pPr>
              <w:pStyle w:val="Tabletextright"/>
            </w:pPr>
            <w:r>
              <w:t>6 859</w:t>
            </w:r>
          </w:p>
        </w:tc>
        <w:tc>
          <w:tcPr>
            <w:tcW w:w="957" w:type="dxa"/>
            <w:tcBorders>
              <w:left w:val="nil"/>
              <w:right w:val="nil"/>
            </w:tcBorders>
          </w:tcPr>
          <w:p w:rsidR="009543DB" w:rsidRDefault="009543DB" w:rsidP="009543DB">
            <w:pPr>
              <w:pStyle w:val="Tabletextright"/>
            </w:pPr>
            <w:r>
              <w:t>11 077</w:t>
            </w:r>
          </w:p>
        </w:tc>
        <w:tc>
          <w:tcPr>
            <w:tcW w:w="956" w:type="dxa"/>
            <w:tcBorders>
              <w:left w:val="nil"/>
              <w:right w:val="nil"/>
            </w:tcBorders>
          </w:tcPr>
          <w:p w:rsidR="009543DB" w:rsidRDefault="009543DB" w:rsidP="009543DB">
            <w:pPr>
              <w:pStyle w:val="Tabletextright"/>
            </w:pPr>
            <w:r>
              <w:t>11 913</w:t>
            </w:r>
          </w:p>
        </w:tc>
        <w:tc>
          <w:tcPr>
            <w:tcW w:w="957" w:type="dxa"/>
            <w:tcBorders>
              <w:left w:val="nil"/>
              <w:right w:val="nil"/>
            </w:tcBorders>
          </w:tcPr>
          <w:p w:rsidR="009543DB" w:rsidRDefault="009543DB" w:rsidP="009543DB">
            <w:pPr>
              <w:pStyle w:val="Tabletextright"/>
            </w:pPr>
            <w:r>
              <w:t>14 592</w:t>
            </w:r>
          </w:p>
        </w:tc>
        <w:tc>
          <w:tcPr>
            <w:tcW w:w="956" w:type="dxa"/>
            <w:tcBorders>
              <w:left w:val="nil"/>
              <w:right w:val="nil"/>
            </w:tcBorders>
          </w:tcPr>
          <w:p w:rsidR="009543DB" w:rsidRDefault="009543DB" w:rsidP="009543DB">
            <w:pPr>
              <w:pStyle w:val="Tabletextright"/>
            </w:pPr>
            <w:r>
              <w:t>12 500</w:t>
            </w:r>
          </w:p>
        </w:tc>
        <w:tc>
          <w:tcPr>
            <w:tcW w:w="957" w:type="dxa"/>
            <w:tcBorders>
              <w:left w:val="nil"/>
              <w:right w:val="nil"/>
            </w:tcBorders>
          </w:tcPr>
          <w:p w:rsidR="009543DB" w:rsidRDefault="009543DB" w:rsidP="009543DB">
            <w:pPr>
              <w:pStyle w:val="Tabletextright"/>
            </w:pPr>
            <w:r>
              <w:t>12 500</w:t>
            </w:r>
          </w:p>
        </w:tc>
        <w:tc>
          <w:tcPr>
            <w:tcW w:w="956" w:type="dxa"/>
            <w:tcBorders>
              <w:left w:val="nil"/>
              <w:right w:val="nil"/>
            </w:tcBorders>
          </w:tcPr>
          <w:p w:rsidR="009543DB" w:rsidRDefault="009543DB" w:rsidP="009543DB">
            <w:pPr>
              <w:pStyle w:val="Tabletextright"/>
            </w:pPr>
            <w:r>
              <w:t>12 500</w:t>
            </w:r>
          </w:p>
        </w:tc>
        <w:tc>
          <w:tcPr>
            <w:tcW w:w="957" w:type="dxa"/>
            <w:tcBorders>
              <w:left w:val="nil"/>
              <w:right w:val="nil"/>
            </w:tcBorders>
          </w:tcPr>
          <w:p w:rsidR="009543DB" w:rsidRDefault="009543DB" w:rsidP="009543DB">
            <w:pPr>
              <w:pStyle w:val="Tabletextright"/>
            </w:pPr>
            <w:r>
              <w:t>12 100</w:t>
            </w:r>
          </w:p>
        </w:tc>
        <w:tc>
          <w:tcPr>
            <w:tcW w:w="956" w:type="dxa"/>
            <w:tcBorders>
              <w:left w:val="nil"/>
              <w:right w:val="nil"/>
            </w:tcBorders>
          </w:tcPr>
          <w:p w:rsidR="009543DB" w:rsidRDefault="009543DB" w:rsidP="009543DB">
            <w:pPr>
              <w:pStyle w:val="Tabletextright"/>
            </w:pPr>
            <w:r>
              <w:t>12 250</w:t>
            </w:r>
          </w:p>
        </w:tc>
        <w:tc>
          <w:tcPr>
            <w:tcW w:w="957" w:type="dxa"/>
            <w:tcBorders>
              <w:left w:val="nil"/>
              <w:right w:val="nil"/>
            </w:tcBorders>
          </w:tcPr>
          <w:p w:rsidR="009543DB" w:rsidRDefault="009543DB" w:rsidP="009543DB">
            <w:pPr>
              <w:pStyle w:val="Tabletextright"/>
            </w:pPr>
            <w:r>
              <w:t>14 500</w:t>
            </w:r>
          </w:p>
        </w:tc>
        <w:tc>
          <w:tcPr>
            <w:tcW w:w="957" w:type="dxa"/>
            <w:tcBorders>
              <w:left w:val="nil"/>
              <w:right w:val="nil"/>
            </w:tcBorders>
          </w:tcPr>
          <w:p w:rsidR="009543DB" w:rsidRDefault="009543DB" w:rsidP="009543DB">
            <w:pPr>
              <w:pStyle w:val="Tabletextright"/>
            </w:pPr>
            <w:r>
              <w:t>13 830</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Staff</w:t>
            </w:r>
          </w:p>
        </w:tc>
        <w:tc>
          <w:tcPr>
            <w:tcW w:w="956" w:type="dxa"/>
            <w:tcBorders>
              <w:left w:val="nil"/>
              <w:right w:val="nil"/>
            </w:tcBorders>
          </w:tcPr>
          <w:p w:rsidR="009543DB" w:rsidRDefault="009543DB" w:rsidP="009543DB">
            <w:pPr>
              <w:pStyle w:val="Tabletextright"/>
            </w:pPr>
            <w:r>
              <w:t>1 300</w:t>
            </w:r>
          </w:p>
        </w:tc>
        <w:tc>
          <w:tcPr>
            <w:tcW w:w="957" w:type="dxa"/>
            <w:tcBorders>
              <w:left w:val="nil"/>
              <w:right w:val="nil"/>
            </w:tcBorders>
          </w:tcPr>
          <w:p w:rsidR="009543DB" w:rsidRDefault="009543DB" w:rsidP="009543DB">
            <w:pPr>
              <w:pStyle w:val="Tabletextright"/>
            </w:pPr>
            <w:r>
              <w:t>1 410</w:t>
            </w:r>
          </w:p>
        </w:tc>
        <w:tc>
          <w:tcPr>
            <w:tcW w:w="956" w:type="dxa"/>
            <w:tcBorders>
              <w:left w:val="nil"/>
              <w:right w:val="nil"/>
            </w:tcBorders>
          </w:tcPr>
          <w:p w:rsidR="009543DB" w:rsidRDefault="009543DB" w:rsidP="009543DB">
            <w:pPr>
              <w:pStyle w:val="Tabletextright"/>
            </w:pPr>
            <w:r>
              <w:t>1 676</w:t>
            </w:r>
          </w:p>
        </w:tc>
        <w:tc>
          <w:tcPr>
            <w:tcW w:w="957" w:type="dxa"/>
            <w:tcBorders>
              <w:left w:val="nil"/>
              <w:right w:val="nil"/>
            </w:tcBorders>
          </w:tcPr>
          <w:p w:rsidR="009543DB" w:rsidRDefault="009543DB" w:rsidP="009543DB">
            <w:pPr>
              <w:pStyle w:val="Tabletextright"/>
            </w:pPr>
            <w:r>
              <w:t>2 059</w:t>
            </w:r>
          </w:p>
        </w:tc>
        <w:tc>
          <w:tcPr>
            <w:tcW w:w="956" w:type="dxa"/>
            <w:tcBorders>
              <w:left w:val="nil"/>
              <w:right w:val="nil"/>
            </w:tcBorders>
          </w:tcPr>
          <w:p w:rsidR="009543DB" w:rsidRDefault="009543DB" w:rsidP="009543DB">
            <w:pPr>
              <w:pStyle w:val="Tabletextright"/>
            </w:pPr>
            <w:r>
              <w:t>2 059</w:t>
            </w:r>
          </w:p>
        </w:tc>
        <w:tc>
          <w:tcPr>
            <w:tcW w:w="957" w:type="dxa"/>
            <w:tcBorders>
              <w:left w:val="nil"/>
              <w:right w:val="nil"/>
            </w:tcBorders>
          </w:tcPr>
          <w:p w:rsidR="009543DB" w:rsidRDefault="009543DB" w:rsidP="009543DB">
            <w:pPr>
              <w:pStyle w:val="Tabletextright"/>
            </w:pPr>
            <w:r>
              <w:t>2 383</w:t>
            </w:r>
          </w:p>
        </w:tc>
        <w:tc>
          <w:tcPr>
            <w:tcW w:w="956" w:type="dxa"/>
            <w:tcBorders>
              <w:left w:val="nil"/>
              <w:right w:val="nil"/>
            </w:tcBorders>
          </w:tcPr>
          <w:p w:rsidR="009543DB" w:rsidRDefault="009543DB" w:rsidP="009543DB">
            <w:pPr>
              <w:pStyle w:val="Tabletextright"/>
            </w:pPr>
            <w:r>
              <w:t>2 383</w:t>
            </w:r>
          </w:p>
        </w:tc>
        <w:tc>
          <w:tcPr>
            <w:tcW w:w="957" w:type="dxa"/>
            <w:tcBorders>
              <w:left w:val="nil"/>
              <w:right w:val="nil"/>
            </w:tcBorders>
          </w:tcPr>
          <w:p w:rsidR="009543DB" w:rsidRDefault="009543DB" w:rsidP="009543DB">
            <w:pPr>
              <w:pStyle w:val="Tabletextright"/>
            </w:pPr>
            <w:r>
              <w:t>2 383</w:t>
            </w:r>
          </w:p>
        </w:tc>
        <w:tc>
          <w:tcPr>
            <w:tcW w:w="956" w:type="dxa"/>
            <w:tcBorders>
              <w:left w:val="nil"/>
              <w:right w:val="nil"/>
            </w:tcBorders>
          </w:tcPr>
          <w:p w:rsidR="009543DB" w:rsidRDefault="009543DB" w:rsidP="009543DB">
            <w:pPr>
              <w:pStyle w:val="Tabletextright"/>
            </w:pPr>
            <w:r>
              <w:t>2 627</w:t>
            </w:r>
          </w:p>
        </w:tc>
        <w:tc>
          <w:tcPr>
            <w:tcW w:w="957" w:type="dxa"/>
            <w:tcBorders>
              <w:left w:val="nil"/>
              <w:right w:val="nil"/>
            </w:tcBorders>
          </w:tcPr>
          <w:p w:rsidR="009543DB" w:rsidRDefault="009543DB" w:rsidP="009543DB">
            <w:pPr>
              <w:pStyle w:val="Tabletextright"/>
            </w:pPr>
            <w:r>
              <w:t>2 627</w:t>
            </w:r>
          </w:p>
        </w:tc>
        <w:tc>
          <w:tcPr>
            <w:tcW w:w="957" w:type="dxa"/>
            <w:tcBorders>
              <w:left w:val="nil"/>
              <w:right w:val="nil"/>
            </w:tcBorders>
          </w:tcPr>
          <w:p w:rsidR="009543DB" w:rsidRDefault="009543DB" w:rsidP="009543DB">
            <w:pPr>
              <w:pStyle w:val="Tabletextright"/>
            </w:pPr>
            <w:r>
              <w:t>2 569</w:t>
            </w:r>
          </w:p>
        </w:tc>
      </w:tr>
      <w:tr w:rsidR="009543DB" w:rsidTr="009543DB">
        <w:tc>
          <w:tcPr>
            <w:tcW w:w="1214" w:type="dxa"/>
            <w:vMerge/>
            <w:tcBorders>
              <w:left w:val="nil"/>
              <w:bottom w:val="single" w:sz="4" w:space="0" w:color="auto"/>
              <w:right w:val="nil"/>
            </w:tcBorders>
            <w:vAlign w:val="center"/>
          </w:tcPr>
          <w:p w:rsidR="009543DB" w:rsidRDefault="009543DB" w:rsidP="009543DB">
            <w:pPr>
              <w:pStyle w:val="Tabletextheadingcentre"/>
            </w:pPr>
          </w:p>
        </w:tc>
        <w:tc>
          <w:tcPr>
            <w:tcW w:w="2296" w:type="dxa"/>
            <w:tcBorders>
              <w:left w:val="nil"/>
              <w:bottom w:val="single" w:sz="4" w:space="0" w:color="auto"/>
              <w:right w:val="nil"/>
            </w:tcBorders>
          </w:tcPr>
          <w:p w:rsidR="009543DB" w:rsidRDefault="009543DB" w:rsidP="009543DB">
            <w:pPr>
              <w:pStyle w:val="Tabletextheading"/>
            </w:pPr>
            <w:r>
              <w:t>Total airport</w:t>
            </w:r>
          </w:p>
        </w:tc>
        <w:tc>
          <w:tcPr>
            <w:tcW w:w="956" w:type="dxa"/>
            <w:tcBorders>
              <w:left w:val="nil"/>
              <w:bottom w:val="single" w:sz="4" w:space="0" w:color="auto"/>
              <w:right w:val="nil"/>
            </w:tcBorders>
          </w:tcPr>
          <w:p w:rsidR="009543DB" w:rsidRDefault="009543DB" w:rsidP="009543DB">
            <w:pPr>
              <w:pStyle w:val="Tabletextheadingright"/>
            </w:pPr>
            <w:r>
              <w:t>11 712</w:t>
            </w:r>
          </w:p>
        </w:tc>
        <w:tc>
          <w:tcPr>
            <w:tcW w:w="957" w:type="dxa"/>
            <w:tcBorders>
              <w:left w:val="nil"/>
              <w:bottom w:val="single" w:sz="4" w:space="0" w:color="auto"/>
              <w:right w:val="nil"/>
            </w:tcBorders>
          </w:tcPr>
          <w:p w:rsidR="009543DB" w:rsidRDefault="009543DB" w:rsidP="009543DB">
            <w:pPr>
              <w:pStyle w:val="Tabletextheadingright"/>
            </w:pPr>
            <w:r>
              <w:t>16 231</w:t>
            </w:r>
          </w:p>
        </w:tc>
        <w:tc>
          <w:tcPr>
            <w:tcW w:w="956" w:type="dxa"/>
            <w:tcBorders>
              <w:left w:val="nil"/>
              <w:bottom w:val="single" w:sz="4" w:space="0" w:color="auto"/>
              <w:right w:val="nil"/>
            </w:tcBorders>
          </w:tcPr>
          <w:p w:rsidR="009543DB" w:rsidRDefault="009543DB" w:rsidP="009543DB">
            <w:pPr>
              <w:pStyle w:val="Tabletextheadingright"/>
            </w:pPr>
            <w:r>
              <w:t>16 904</w:t>
            </w:r>
          </w:p>
        </w:tc>
        <w:tc>
          <w:tcPr>
            <w:tcW w:w="957" w:type="dxa"/>
            <w:tcBorders>
              <w:left w:val="nil"/>
              <w:bottom w:val="single" w:sz="4" w:space="0" w:color="auto"/>
              <w:right w:val="nil"/>
            </w:tcBorders>
          </w:tcPr>
          <w:p w:rsidR="009543DB" w:rsidRDefault="009543DB" w:rsidP="009543DB">
            <w:pPr>
              <w:pStyle w:val="Tabletextheadingright"/>
            </w:pPr>
            <w:r>
              <w:t>19 895</w:t>
            </w:r>
          </w:p>
        </w:tc>
        <w:tc>
          <w:tcPr>
            <w:tcW w:w="956" w:type="dxa"/>
            <w:tcBorders>
              <w:left w:val="nil"/>
              <w:bottom w:val="single" w:sz="4" w:space="0" w:color="auto"/>
              <w:right w:val="nil"/>
            </w:tcBorders>
          </w:tcPr>
          <w:p w:rsidR="009543DB" w:rsidRDefault="009543DB" w:rsidP="009543DB">
            <w:pPr>
              <w:pStyle w:val="Tabletextheadingright"/>
            </w:pPr>
            <w:r>
              <w:t>22 257</w:t>
            </w:r>
          </w:p>
        </w:tc>
        <w:tc>
          <w:tcPr>
            <w:tcW w:w="957" w:type="dxa"/>
            <w:tcBorders>
              <w:left w:val="nil"/>
              <w:bottom w:val="single" w:sz="4" w:space="0" w:color="auto"/>
              <w:right w:val="nil"/>
            </w:tcBorders>
          </w:tcPr>
          <w:p w:rsidR="009543DB" w:rsidRDefault="009543DB" w:rsidP="009543DB">
            <w:pPr>
              <w:pStyle w:val="Tabletextheadingright"/>
            </w:pPr>
            <w:r>
              <w:t>22 412</w:t>
            </w:r>
          </w:p>
        </w:tc>
        <w:tc>
          <w:tcPr>
            <w:tcW w:w="956" w:type="dxa"/>
            <w:tcBorders>
              <w:left w:val="nil"/>
              <w:bottom w:val="single" w:sz="4" w:space="0" w:color="auto"/>
              <w:right w:val="nil"/>
            </w:tcBorders>
          </w:tcPr>
          <w:p w:rsidR="009543DB" w:rsidRDefault="009543DB" w:rsidP="009543DB">
            <w:pPr>
              <w:pStyle w:val="Tabletextheadingright"/>
            </w:pPr>
            <w:r>
              <w:t>22 412</w:t>
            </w:r>
          </w:p>
        </w:tc>
        <w:tc>
          <w:tcPr>
            <w:tcW w:w="957" w:type="dxa"/>
            <w:tcBorders>
              <w:left w:val="nil"/>
              <w:bottom w:val="single" w:sz="4" w:space="0" w:color="auto"/>
              <w:right w:val="nil"/>
            </w:tcBorders>
          </w:tcPr>
          <w:p w:rsidR="009543DB" w:rsidRDefault="009543DB" w:rsidP="009543DB">
            <w:pPr>
              <w:pStyle w:val="Tabletextheadingright"/>
            </w:pPr>
            <w:r>
              <w:t>21 924</w:t>
            </w:r>
          </w:p>
        </w:tc>
        <w:tc>
          <w:tcPr>
            <w:tcW w:w="956" w:type="dxa"/>
            <w:tcBorders>
              <w:left w:val="nil"/>
              <w:bottom w:val="single" w:sz="4" w:space="0" w:color="auto"/>
              <w:right w:val="nil"/>
            </w:tcBorders>
          </w:tcPr>
          <w:p w:rsidR="009543DB" w:rsidRDefault="009543DB" w:rsidP="009543DB">
            <w:pPr>
              <w:pStyle w:val="Tabletextheadingright"/>
            </w:pPr>
            <w:r>
              <w:t>22 318</w:t>
            </w:r>
          </w:p>
        </w:tc>
        <w:tc>
          <w:tcPr>
            <w:tcW w:w="957" w:type="dxa"/>
            <w:tcBorders>
              <w:left w:val="nil"/>
              <w:bottom w:val="single" w:sz="4" w:space="0" w:color="auto"/>
              <w:right w:val="nil"/>
            </w:tcBorders>
          </w:tcPr>
          <w:p w:rsidR="009543DB" w:rsidRDefault="009543DB" w:rsidP="009543DB">
            <w:pPr>
              <w:pStyle w:val="Tabletextheadingright"/>
            </w:pPr>
            <w:r>
              <w:t>24 406</w:t>
            </w:r>
          </w:p>
        </w:tc>
        <w:tc>
          <w:tcPr>
            <w:tcW w:w="957" w:type="dxa"/>
            <w:tcBorders>
              <w:left w:val="nil"/>
              <w:bottom w:val="single" w:sz="4" w:space="0" w:color="auto"/>
              <w:right w:val="nil"/>
            </w:tcBorders>
          </w:tcPr>
          <w:p w:rsidR="009543DB" w:rsidRDefault="009543DB" w:rsidP="009543DB">
            <w:pPr>
              <w:pStyle w:val="Tabletextheadingright"/>
            </w:pPr>
            <w:r>
              <w:t>23 223</w:t>
            </w:r>
          </w:p>
        </w:tc>
      </w:tr>
    </w:tbl>
    <w:p w:rsidR="009543DB" w:rsidRDefault="009543DB" w:rsidP="009543DB">
      <w:pPr>
        <w:pStyle w:val="Tabletextheadingcentre"/>
        <w:sectPr w:rsidR="009543DB" w:rsidSect="009543DB">
          <w:headerReference w:type="even" r:id="rId109"/>
          <w:headerReference w:type="default" r:id="rId110"/>
          <w:footnotePr>
            <w:numStart w:val="93"/>
          </w:footnotePr>
          <w:pgSz w:w="16838" w:h="11906" w:orient="landscape"/>
          <w:pgMar w:top="1729" w:right="1440" w:bottom="1729" w:left="1582" w:header="709" w:footer="709" w:gutter="0"/>
          <w:cols w:space="708"/>
          <w:docGrid w:linePitch="360"/>
        </w:sectPr>
      </w:pP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9543DB" w:rsidTr="009543DB">
        <w:tc>
          <w:tcPr>
            <w:tcW w:w="1214" w:type="dxa"/>
            <w:vMerge w:val="restart"/>
            <w:tcBorders>
              <w:top w:val="nil"/>
              <w:left w:val="nil"/>
              <w:right w:val="nil"/>
            </w:tcBorders>
            <w:vAlign w:val="center"/>
          </w:tcPr>
          <w:p w:rsidR="009543DB" w:rsidRDefault="009543DB" w:rsidP="009543DB">
            <w:pPr>
              <w:pStyle w:val="Tabletextheadingcentre"/>
            </w:pPr>
            <w:r>
              <w:lastRenderedPageBreak/>
              <w:t>Annual throughput of car park facilities (thousand)</w:t>
            </w:r>
            <w:r>
              <w:rPr>
                <w:rStyle w:val="FootnoteReference"/>
              </w:rPr>
              <w:footnoteReference w:id="108"/>
            </w:r>
          </w:p>
        </w:tc>
        <w:tc>
          <w:tcPr>
            <w:tcW w:w="2296" w:type="dxa"/>
            <w:tcBorders>
              <w:top w:val="nil"/>
              <w:left w:val="nil"/>
              <w:right w:val="nil"/>
            </w:tcBorders>
          </w:tcPr>
          <w:p w:rsidR="009543DB" w:rsidRDefault="009543DB" w:rsidP="009543DB">
            <w:pPr>
              <w:pStyle w:val="Tabletextleft"/>
            </w:pPr>
            <w:r>
              <w:t>Short term</w:t>
            </w:r>
          </w:p>
        </w:tc>
        <w:tc>
          <w:tcPr>
            <w:tcW w:w="956" w:type="dxa"/>
            <w:tcBorders>
              <w:top w:val="nil"/>
              <w:left w:val="nil"/>
              <w:right w:val="nil"/>
            </w:tcBorders>
          </w:tcPr>
          <w:p w:rsidR="009543DB" w:rsidRDefault="009543DB" w:rsidP="009543DB">
            <w:pPr>
              <w:pStyle w:val="Tabletextright"/>
            </w:pPr>
            <w:r>
              <w:t>2 719</w:t>
            </w:r>
          </w:p>
        </w:tc>
        <w:tc>
          <w:tcPr>
            <w:tcW w:w="957" w:type="dxa"/>
            <w:tcBorders>
              <w:top w:val="nil"/>
              <w:left w:val="nil"/>
              <w:right w:val="nil"/>
            </w:tcBorders>
          </w:tcPr>
          <w:p w:rsidR="009543DB" w:rsidRDefault="009543DB" w:rsidP="009543DB">
            <w:pPr>
              <w:pStyle w:val="Tabletextright"/>
            </w:pPr>
            <w:r>
              <w:t>2 752</w:t>
            </w:r>
          </w:p>
        </w:tc>
        <w:tc>
          <w:tcPr>
            <w:tcW w:w="956" w:type="dxa"/>
            <w:tcBorders>
              <w:top w:val="nil"/>
              <w:left w:val="nil"/>
              <w:right w:val="nil"/>
            </w:tcBorders>
          </w:tcPr>
          <w:p w:rsidR="009543DB" w:rsidRDefault="009543DB" w:rsidP="009543DB">
            <w:pPr>
              <w:pStyle w:val="Tabletextright"/>
            </w:pPr>
            <w:r>
              <w:t>2 594</w:t>
            </w:r>
          </w:p>
        </w:tc>
        <w:tc>
          <w:tcPr>
            <w:tcW w:w="957" w:type="dxa"/>
            <w:tcBorders>
              <w:top w:val="nil"/>
              <w:left w:val="nil"/>
              <w:right w:val="nil"/>
            </w:tcBorders>
          </w:tcPr>
          <w:p w:rsidR="009543DB" w:rsidRDefault="009543DB" w:rsidP="009543DB">
            <w:pPr>
              <w:pStyle w:val="Tabletextright"/>
            </w:pPr>
            <w:r>
              <w:t>2 644</w:t>
            </w:r>
          </w:p>
        </w:tc>
        <w:tc>
          <w:tcPr>
            <w:tcW w:w="956" w:type="dxa"/>
            <w:tcBorders>
              <w:top w:val="nil"/>
              <w:left w:val="nil"/>
              <w:right w:val="nil"/>
            </w:tcBorders>
          </w:tcPr>
          <w:p w:rsidR="009543DB" w:rsidRDefault="009543DB" w:rsidP="009543DB">
            <w:pPr>
              <w:pStyle w:val="Tabletextright"/>
            </w:pPr>
            <w:r>
              <w:t>2 664</w:t>
            </w:r>
          </w:p>
        </w:tc>
        <w:tc>
          <w:tcPr>
            <w:tcW w:w="957" w:type="dxa"/>
            <w:tcBorders>
              <w:top w:val="nil"/>
              <w:left w:val="nil"/>
              <w:right w:val="nil"/>
            </w:tcBorders>
          </w:tcPr>
          <w:p w:rsidR="009543DB" w:rsidRDefault="009543DB" w:rsidP="009543DB">
            <w:pPr>
              <w:pStyle w:val="Tabletextright"/>
            </w:pPr>
            <w:r>
              <w:t>2 725</w:t>
            </w:r>
          </w:p>
        </w:tc>
        <w:tc>
          <w:tcPr>
            <w:tcW w:w="956" w:type="dxa"/>
            <w:tcBorders>
              <w:top w:val="nil"/>
              <w:left w:val="nil"/>
              <w:right w:val="nil"/>
            </w:tcBorders>
          </w:tcPr>
          <w:p w:rsidR="009543DB" w:rsidRDefault="009543DB" w:rsidP="009543DB">
            <w:pPr>
              <w:pStyle w:val="Tabletextright"/>
            </w:pPr>
            <w:r>
              <w:t>2 723</w:t>
            </w:r>
          </w:p>
        </w:tc>
        <w:tc>
          <w:tcPr>
            <w:tcW w:w="957" w:type="dxa"/>
            <w:tcBorders>
              <w:top w:val="nil"/>
              <w:left w:val="nil"/>
              <w:right w:val="nil"/>
            </w:tcBorders>
          </w:tcPr>
          <w:p w:rsidR="009543DB" w:rsidRDefault="009543DB" w:rsidP="009543DB">
            <w:pPr>
              <w:pStyle w:val="Tabletextright"/>
            </w:pPr>
            <w:r>
              <w:t>2 804</w:t>
            </w:r>
          </w:p>
        </w:tc>
        <w:tc>
          <w:tcPr>
            <w:tcW w:w="956" w:type="dxa"/>
            <w:tcBorders>
              <w:top w:val="nil"/>
              <w:left w:val="nil"/>
              <w:right w:val="nil"/>
            </w:tcBorders>
          </w:tcPr>
          <w:p w:rsidR="009543DB" w:rsidRDefault="009543DB" w:rsidP="009543DB">
            <w:pPr>
              <w:pStyle w:val="Tabletextright"/>
            </w:pPr>
            <w:r>
              <w:t>2 701</w:t>
            </w:r>
          </w:p>
        </w:tc>
        <w:tc>
          <w:tcPr>
            <w:tcW w:w="957" w:type="dxa"/>
            <w:tcBorders>
              <w:top w:val="nil"/>
              <w:left w:val="nil"/>
              <w:right w:val="nil"/>
            </w:tcBorders>
          </w:tcPr>
          <w:p w:rsidR="009543DB" w:rsidRDefault="009543DB" w:rsidP="009543DB">
            <w:pPr>
              <w:pStyle w:val="Tabletextright"/>
            </w:pPr>
            <w:r>
              <w:t>2 594</w:t>
            </w:r>
          </w:p>
        </w:tc>
        <w:tc>
          <w:tcPr>
            <w:tcW w:w="957" w:type="dxa"/>
            <w:tcBorders>
              <w:top w:val="nil"/>
              <w:left w:val="nil"/>
              <w:right w:val="nil"/>
            </w:tcBorders>
          </w:tcPr>
          <w:p w:rsidR="009543DB" w:rsidRDefault="009543DB" w:rsidP="009543DB">
            <w:pPr>
              <w:pStyle w:val="Tabletextright"/>
            </w:pPr>
            <w:r>
              <w:t>2 543</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Long term</w:t>
            </w:r>
          </w:p>
        </w:tc>
        <w:tc>
          <w:tcPr>
            <w:tcW w:w="956" w:type="dxa"/>
            <w:tcBorders>
              <w:left w:val="nil"/>
              <w:right w:val="nil"/>
            </w:tcBorders>
          </w:tcPr>
          <w:p w:rsidR="009543DB" w:rsidRDefault="009543DB" w:rsidP="009543DB">
            <w:pPr>
              <w:pStyle w:val="Tabletextright"/>
            </w:pPr>
            <w:r>
              <w:t>418</w:t>
            </w:r>
          </w:p>
        </w:tc>
        <w:tc>
          <w:tcPr>
            <w:tcW w:w="957" w:type="dxa"/>
            <w:tcBorders>
              <w:left w:val="nil"/>
              <w:right w:val="nil"/>
            </w:tcBorders>
          </w:tcPr>
          <w:p w:rsidR="009543DB" w:rsidRDefault="009543DB" w:rsidP="009543DB">
            <w:pPr>
              <w:pStyle w:val="Tabletextright"/>
            </w:pPr>
            <w:r>
              <w:t>512</w:t>
            </w:r>
          </w:p>
        </w:tc>
        <w:tc>
          <w:tcPr>
            <w:tcW w:w="956" w:type="dxa"/>
            <w:tcBorders>
              <w:left w:val="nil"/>
              <w:right w:val="nil"/>
            </w:tcBorders>
          </w:tcPr>
          <w:p w:rsidR="009543DB" w:rsidRDefault="009543DB" w:rsidP="009543DB">
            <w:pPr>
              <w:pStyle w:val="Tabletextright"/>
            </w:pPr>
            <w:r>
              <w:t>539</w:t>
            </w:r>
          </w:p>
        </w:tc>
        <w:tc>
          <w:tcPr>
            <w:tcW w:w="957" w:type="dxa"/>
            <w:tcBorders>
              <w:left w:val="nil"/>
              <w:right w:val="nil"/>
            </w:tcBorders>
          </w:tcPr>
          <w:p w:rsidR="009543DB" w:rsidRDefault="009543DB" w:rsidP="009543DB">
            <w:pPr>
              <w:pStyle w:val="Tabletextright"/>
            </w:pPr>
            <w:r>
              <w:t>703</w:t>
            </w:r>
          </w:p>
        </w:tc>
        <w:tc>
          <w:tcPr>
            <w:tcW w:w="956" w:type="dxa"/>
            <w:tcBorders>
              <w:left w:val="nil"/>
              <w:right w:val="nil"/>
            </w:tcBorders>
          </w:tcPr>
          <w:p w:rsidR="009543DB" w:rsidRDefault="009543DB" w:rsidP="009543DB">
            <w:pPr>
              <w:pStyle w:val="Tabletextright"/>
            </w:pPr>
            <w:r>
              <w:t>527</w:t>
            </w:r>
          </w:p>
        </w:tc>
        <w:tc>
          <w:tcPr>
            <w:tcW w:w="957" w:type="dxa"/>
            <w:tcBorders>
              <w:left w:val="nil"/>
              <w:right w:val="nil"/>
            </w:tcBorders>
          </w:tcPr>
          <w:p w:rsidR="009543DB" w:rsidRDefault="009543DB" w:rsidP="009543DB">
            <w:pPr>
              <w:pStyle w:val="Tabletextright"/>
            </w:pPr>
            <w:r>
              <w:t>521</w:t>
            </w:r>
          </w:p>
        </w:tc>
        <w:tc>
          <w:tcPr>
            <w:tcW w:w="956" w:type="dxa"/>
            <w:tcBorders>
              <w:left w:val="nil"/>
              <w:right w:val="nil"/>
            </w:tcBorders>
          </w:tcPr>
          <w:p w:rsidR="009543DB" w:rsidRDefault="009543DB" w:rsidP="009543DB">
            <w:pPr>
              <w:pStyle w:val="Tabletextright"/>
            </w:pPr>
            <w:r>
              <w:t>540</w:t>
            </w:r>
          </w:p>
        </w:tc>
        <w:tc>
          <w:tcPr>
            <w:tcW w:w="957" w:type="dxa"/>
            <w:tcBorders>
              <w:left w:val="nil"/>
              <w:right w:val="nil"/>
            </w:tcBorders>
          </w:tcPr>
          <w:p w:rsidR="009543DB" w:rsidRDefault="009543DB" w:rsidP="009543DB">
            <w:pPr>
              <w:pStyle w:val="Tabletextright"/>
            </w:pPr>
            <w:r>
              <w:t>530</w:t>
            </w:r>
          </w:p>
        </w:tc>
        <w:tc>
          <w:tcPr>
            <w:tcW w:w="956" w:type="dxa"/>
            <w:tcBorders>
              <w:left w:val="nil"/>
              <w:right w:val="nil"/>
            </w:tcBorders>
          </w:tcPr>
          <w:p w:rsidR="009543DB" w:rsidRDefault="009543DB" w:rsidP="009543DB">
            <w:pPr>
              <w:pStyle w:val="Tabletextright"/>
            </w:pPr>
            <w:r>
              <w:t>579</w:t>
            </w:r>
          </w:p>
        </w:tc>
        <w:tc>
          <w:tcPr>
            <w:tcW w:w="957" w:type="dxa"/>
            <w:tcBorders>
              <w:left w:val="nil"/>
              <w:right w:val="nil"/>
            </w:tcBorders>
          </w:tcPr>
          <w:p w:rsidR="009543DB" w:rsidRDefault="009543DB" w:rsidP="009543DB">
            <w:pPr>
              <w:pStyle w:val="Tabletextright"/>
            </w:pPr>
            <w:r>
              <w:t>586</w:t>
            </w:r>
          </w:p>
        </w:tc>
        <w:tc>
          <w:tcPr>
            <w:tcW w:w="957" w:type="dxa"/>
            <w:tcBorders>
              <w:left w:val="nil"/>
              <w:right w:val="nil"/>
            </w:tcBorders>
          </w:tcPr>
          <w:p w:rsidR="009543DB" w:rsidRDefault="009543DB" w:rsidP="009543DB">
            <w:pPr>
              <w:pStyle w:val="Tabletextright"/>
            </w:pPr>
            <w:r>
              <w:t>618</w:t>
            </w:r>
          </w:p>
        </w:tc>
      </w:tr>
      <w:tr w:rsidR="009543DB" w:rsidTr="009543DB">
        <w:tc>
          <w:tcPr>
            <w:tcW w:w="1214" w:type="dxa"/>
            <w:vMerge/>
            <w:tcBorders>
              <w:left w:val="nil"/>
              <w:bottom w:val="single" w:sz="4" w:space="0" w:color="auto"/>
              <w:right w:val="nil"/>
            </w:tcBorders>
            <w:vAlign w:val="center"/>
          </w:tcPr>
          <w:p w:rsidR="009543DB" w:rsidRDefault="009543DB" w:rsidP="009543DB">
            <w:pPr>
              <w:pStyle w:val="Tabletextheadingcentre"/>
            </w:pPr>
          </w:p>
        </w:tc>
        <w:tc>
          <w:tcPr>
            <w:tcW w:w="2296" w:type="dxa"/>
            <w:tcBorders>
              <w:left w:val="nil"/>
              <w:bottom w:val="single" w:sz="4" w:space="0" w:color="auto"/>
              <w:right w:val="nil"/>
            </w:tcBorders>
          </w:tcPr>
          <w:p w:rsidR="009543DB" w:rsidRDefault="009543DB" w:rsidP="009543DB">
            <w:pPr>
              <w:pStyle w:val="Tabletextheading"/>
            </w:pPr>
            <w:r>
              <w:t>Total airport</w:t>
            </w:r>
          </w:p>
        </w:tc>
        <w:tc>
          <w:tcPr>
            <w:tcW w:w="956" w:type="dxa"/>
            <w:tcBorders>
              <w:left w:val="nil"/>
              <w:bottom w:val="single" w:sz="4" w:space="0" w:color="auto"/>
              <w:right w:val="nil"/>
            </w:tcBorders>
          </w:tcPr>
          <w:p w:rsidR="009543DB" w:rsidRDefault="009543DB" w:rsidP="009543DB">
            <w:pPr>
              <w:pStyle w:val="Tabletextheadingright"/>
            </w:pPr>
            <w:r>
              <w:t>3 136</w:t>
            </w:r>
          </w:p>
        </w:tc>
        <w:tc>
          <w:tcPr>
            <w:tcW w:w="957" w:type="dxa"/>
            <w:tcBorders>
              <w:left w:val="nil"/>
              <w:bottom w:val="single" w:sz="4" w:space="0" w:color="auto"/>
              <w:right w:val="nil"/>
            </w:tcBorders>
          </w:tcPr>
          <w:p w:rsidR="009543DB" w:rsidRDefault="009543DB" w:rsidP="009543DB">
            <w:pPr>
              <w:pStyle w:val="Tabletextheadingright"/>
            </w:pPr>
            <w:r>
              <w:t>3 264</w:t>
            </w:r>
          </w:p>
        </w:tc>
        <w:tc>
          <w:tcPr>
            <w:tcW w:w="956" w:type="dxa"/>
            <w:tcBorders>
              <w:left w:val="nil"/>
              <w:bottom w:val="single" w:sz="4" w:space="0" w:color="auto"/>
              <w:right w:val="nil"/>
            </w:tcBorders>
          </w:tcPr>
          <w:p w:rsidR="009543DB" w:rsidRDefault="009543DB" w:rsidP="009543DB">
            <w:pPr>
              <w:pStyle w:val="Tabletextheadingright"/>
            </w:pPr>
            <w:r>
              <w:t>3 133</w:t>
            </w:r>
          </w:p>
        </w:tc>
        <w:tc>
          <w:tcPr>
            <w:tcW w:w="957" w:type="dxa"/>
            <w:tcBorders>
              <w:left w:val="nil"/>
              <w:bottom w:val="single" w:sz="4" w:space="0" w:color="auto"/>
              <w:right w:val="nil"/>
            </w:tcBorders>
          </w:tcPr>
          <w:p w:rsidR="009543DB" w:rsidRDefault="009543DB" w:rsidP="009543DB">
            <w:pPr>
              <w:pStyle w:val="Tabletextheadingright"/>
            </w:pPr>
            <w:r>
              <w:t>3 347</w:t>
            </w:r>
          </w:p>
        </w:tc>
        <w:tc>
          <w:tcPr>
            <w:tcW w:w="956" w:type="dxa"/>
            <w:tcBorders>
              <w:left w:val="nil"/>
              <w:bottom w:val="single" w:sz="4" w:space="0" w:color="auto"/>
              <w:right w:val="nil"/>
            </w:tcBorders>
          </w:tcPr>
          <w:p w:rsidR="009543DB" w:rsidRDefault="009543DB" w:rsidP="009543DB">
            <w:pPr>
              <w:pStyle w:val="Tabletextheadingright"/>
            </w:pPr>
            <w:r>
              <w:t>3 191</w:t>
            </w:r>
          </w:p>
        </w:tc>
        <w:tc>
          <w:tcPr>
            <w:tcW w:w="957" w:type="dxa"/>
            <w:tcBorders>
              <w:left w:val="nil"/>
              <w:bottom w:val="single" w:sz="4" w:space="0" w:color="auto"/>
              <w:right w:val="nil"/>
            </w:tcBorders>
          </w:tcPr>
          <w:p w:rsidR="009543DB" w:rsidRDefault="009543DB" w:rsidP="009543DB">
            <w:pPr>
              <w:pStyle w:val="Tabletextheadingright"/>
            </w:pPr>
            <w:r>
              <w:t>3 246</w:t>
            </w:r>
          </w:p>
        </w:tc>
        <w:tc>
          <w:tcPr>
            <w:tcW w:w="956" w:type="dxa"/>
            <w:tcBorders>
              <w:left w:val="nil"/>
              <w:bottom w:val="single" w:sz="4" w:space="0" w:color="auto"/>
              <w:right w:val="nil"/>
            </w:tcBorders>
          </w:tcPr>
          <w:p w:rsidR="009543DB" w:rsidRDefault="009543DB" w:rsidP="009543DB">
            <w:pPr>
              <w:pStyle w:val="Tabletextheadingright"/>
            </w:pPr>
            <w:r>
              <w:t>3 263</w:t>
            </w:r>
          </w:p>
        </w:tc>
        <w:tc>
          <w:tcPr>
            <w:tcW w:w="957" w:type="dxa"/>
            <w:tcBorders>
              <w:left w:val="nil"/>
              <w:bottom w:val="single" w:sz="4" w:space="0" w:color="auto"/>
              <w:right w:val="nil"/>
            </w:tcBorders>
          </w:tcPr>
          <w:p w:rsidR="009543DB" w:rsidRDefault="009543DB" w:rsidP="009543DB">
            <w:pPr>
              <w:pStyle w:val="Tabletextheadingright"/>
            </w:pPr>
            <w:r>
              <w:t>3 334</w:t>
            </w:r>
          </w:p>
        </w:tc>
        <w:tc>
          <w:tcPr>
            <w:tcW w:w="956" w:type="dxa"/>
            <w:tcBorders>
              <w:left w:val="nil"/>
              <w:bottom w:val="single" w:sz="4" w:space="0" w:color="auto"/>
              <w:right w:val="nil"/>
            </w:tcBorders>
          </w:tcPr>
          <w:p w:rsidR="009543DB" w:rsidRDefault="009543DB" w:rsidP="009543DB">
            <w:pPr>
              <w:pStyle w:val="Tabletextheadingright"/>
            </w:pPr>
            <w:r>
              <w:t>3 279</w:t>
            </w:r>
          </w:p>
        </w:tc>
        <w:tc>
          <w:tcPr>
            <w:tcW w:w="957" w:type="dxa"/>
            <w:tcBorders>
              <w:left w:val="nil"/>
              <w:bottom w:val="single" w:sz="4" w:space="0" w:color="auto"/>
              <w:right w:val="nil"/>
            </w:tcBorders>
          </w:tcPr>
          <w:p w:rsidR="009543DB" w:rsidRDefault="009543DB" w:rsidP="009543DB">
            <w:pPr>
              <w:pStyle w:val="Tabletextheadingright"/>
            </w:pPr>
            <w:r>
              <w:t>3 180</w:t>
            </w:r>
          </w:p>
        </w:tc>
        <w:tc>
          <w:tcPr>
            <w:tcW w:w="957" w:type="dxa"/>
            <w:tcBorders>
              <w:left w:val="nil"/>
              <w:bottom w:val="single" w:sz="4" w:space="0" w:color="auto"/>
              <w:right w:val="nil"/>
            </w:tcBorders>
          </w:tcPr>
          <w:p w:rsidR="009543DB" w:rsidRDefault="009543DB" w:rsidP="009543DB">
            <w:pPr>
              <w:pStyle w:val="Tabletextheadingright"/>
            </w:pPr>
            <w:r>
              <w:t>3 161</w:t>
            </w:r>
          </w:p>
        </w:tc>
      </w:tr>
      <w:tr w:rsidR="009543DB" w:rsidTr="009543DB">
        <w:tc>
          <w:tcPr>
            <w:tcW w:w="1214" w:type="dxa"/>
            <w:vMerge w:val="restart"/>
            <w:tcBorders>
              <w:left w:val="nil"/>
              <w:right w:val="nil"/>
            </w:tcBorders>
            <w:vAlign w:val="center"/>
          </w:tcPr>
          <w:p w:rsidR="009543DB" w:rsidRDefault="009543DB" w:rsidP="009543DB">
            <w:pPr>
              <w:pStyle w:val="Tabletextheadingcentre"/>
            </w:pPr>
            <w:r>
              <w:t>Average daily throughput of car park facilities</w:t>
            </w:r>
          </w:p>
        </w:tc>
        <w:tc>
          <w:tcPr>
            <w:tcW w:w="2296" w:type="dxa"/>
            <w:tcBorders>
              <w:left w:val="nil"/>
              <w:right w:val="nil"/>
            </w:tcBorders>
          </w:tcPr>
          <w:p w:rsidR="009543DB" w:rsidRDefault="009543DB" w:rsidP="009543DB">
            <w:pPr>
              <w:pStyle w:val="Tabletextleft"/>
            </w:pPr>
            <w:r>
              <w:t>Short term</w:t>
            </w:r>
          </w:p>
        </w:tc>
        <w:tc>
          <w:tcPr>
            <w:tcW w:w="956" w:type="dxa"/>
            <w:tcBorders>
              <w:left w:val="nil"/>
              <w:right w:val="nil"/>
            </w:tcBorders>
          </w:tcPr>
          <w:p w:rsidR="009543DB" w:rsidRDefault="009543DB" w:rsidP="009543DB">
            <w:pPr>
              <w:pStyle w:val="Tabletextright"/>
            </w:pPr>
            <w:r>
              <w:t>7 448</w:t>
            </w:r>
          </w:p>
        </w:tc>
        <w:tc>
          <w:tcPr>
            <w:tcW w:w="957" w:type="dxa"/>
            <w:tcBorders>
              <w:left w:val="nil"/>
              <w:right w:val="nil"/>
            </w:tcBorders>
          </w:tcPr>
          <w:p w:rsidR="009543DB" w:rsidRDefault="009543DB" w:rsidP="009543DB">
            <w:pPr>
              <w:pStyle w:val="Tabletextright"/>
            </w:pPr>
            <w:r>
              <w:t>7 540</w:t>
            </w:r>
          </w:p>
        </w:tc>
        <w:tc>
          <w:tcPr>
            <w:tcW w:w="956" w:type="dxa"/>
            <w:tcBorders>
              <w:left w:val="nil"/>
              <w:right w:val="nil"/>
            </w:tcBorders>
          </w:tcPr>
          <w:p w:rsidR="009543DB" w:rsidRDefault="009543DB" w:rsidP="009543DB">
            <w:pPr>
              <w:pStyle w:val="Tabletextright"/>
            </w:pPr>
            <w:r>
              <w:t>7 107</w:t>
            </w:r>
          </w:p>
        </w:tc>
        <w:tc>
          <w:tcPr>
            <w:tcW w:w="957" w:type="dxa"/>
            <w:tcBorders>
              <w:left w:val="nil"/>
              <w:right w:val="nil"/>
            </w:tcBorders>
          </w:tcPr>
          <w:p w:rsidR="009543DB" w:rsidRDefault="009543DB" w:rsidP="009543DB">
            <w:pPr>
              <w:pStyle w:val="Tabletextright"/>
            </w:pPr>
            <w:r>
              <w:t>7 224</w:t>
            </w:r>
          </w:p>
        </w:tc>
        <w:tc>
          <w:tcPr>
            <w:tcW w:w="956" w:type="dxa"/>
            <w:tcBorders>
              <w:left w:val="nil"/>
              <w:right w:val="nil"/>
            </w:tcBorders>
          </w:tcPr>
          <w:p w:rsidR="009543DB" w:rsidRDefault="009543DB" w:rsidP="009543DB">
            <w:pPr>
              <w:pStyle w:val="Tabletextright"/>
            </w:pPr>
            <w:r>
              <w:t>7 298</w:t>
            </w:r>
          </w:p>
        </w:tc>
        <w:tc>
          <w:tcPr>
            <w:tcW w:w="957" w:type="dxa"/>
            <w:tcBorders>
              <w:left w:val="nil"/>
              <w:right w:val="nil"/>
            </w:tcBorders>
          </w:tcPr>
          <w:p w:rsidR="009543DB" w:rsidRDefault="009543DB" w:rsidP="009543DB">
            <w:pPr>
              <w:pStyle w:val="Tabletextright"/>
            </w:pPr>
            <w:r>
              <w:t>7 466</w:t>
            </w:r>
          </w:p>
        </w:tc>
        <w:tc>
          <w:tcPr>
            <w:tcW w:w="956" w:type="dxa"/>
            <w:tcBorders>
              <w:left w:val="nil"/>
              <w:right w:val="nil"/>
            </w:tcBorders>
          </w:tcPr>
          <w:p w:rsidR="009543DB" w:rsidRDefault="009543DB" w:rsidP="009543DB">
            <w:pPr>
              <w:pStyle w:val="Tabletextright"/>
            </w:pPr>
            <w:r>
              <w:t>7 460</w:t>
            </w:r>
          </w:p>
        </w:tc>
        <w:tc>
          <w:tcPr>
            <w:tcW w:w="957" w:type="dxa"/>
            <w:tcBorders>
              <w:left w:val="nil"/>
              <w:right w:val="nil"/>
            </w:tcBorders>
          </w:tcPr>
          <w:p w:rsidR="009543DB" w:rsidRDefault="009543DB" w:rsidP="009543DB">
            <w:pPr>
              <w:pStyle w:val="Tabletextright"/>
            </w:pPr>
            <w:r>
              <w:t>7 662</w:t>
            </w:r>
          </w:p>
        </w:tc>
        <w:tc>
          <w:tcPr>
            <w:tcW w:w="956" w:type="dxa"/>
            <w:tcBorders>
              <w:left w:val="nil"/>
              <w:right w:val="nil"/>
            </w:tcBorders>
          </w:tcPr>
          <w:p w:rsidR="009543DB" w:rsidRDefault="009543DB" w:rsidP="009543DB">
            <w:pPr>
              <w:pStyle w:val="Tabletextright"/>
            </w:pPr>
            <w:r>
              <w:t>7 400</w:t>
            </w:r>
          </w:p>
        </w:tc>
        <w:tc>
          <w:tcPr>
            <w:tcW w:w="957" w:type="dxa"/>
            <w:tcBorders>
              <w:left w:val="nil"/>
              <w:right w:val="nil"/>
            </w:tcBorders>
          </w:tcPr>
          <w:p w:rsidR="009543DB" w:rsidRDefault="009543DB" w:rsidP="009543DB">
            <w:pPr>
              <w:pStyle w:val="Tabletextright"/>
            </w:pPr>
            <w:r>
              <w:t>7 106</w:t>
            </w:r>
          </w:p>
        </w:tc>
        <w:tc>
          <w:tcPr>
            <w:tcW w:w="957" w:type="dxa"/>
            <w:tcBorders>
              <w:left w:val="nil"/>
              <w:right w:val="nil"/>
            </w:tcBorders>
          </w:tcPr>
          <w:p w:rsidR="009543DB" w:rsidRDefault="009543DB" w:rsidP="009543DB">
            <w:pPr>
              <w:pStyle w:val="Tabletextright"/>
            </w:pPr>
            <w:r>
              <w:t>6 967</w:t>
            </w:r>
          </w:p>
        </w:tc>
      </w:tr>
      <w:tr w:rsidR="009543DB" w:rsidTr="009543DB">
        <w:tc>
          <w:tcPr>
            <w:tcW w:w="1214" w:type="dxa"/>
            <w:vMerge/>
            <w:tcBorders>
              <w:left w:val="nil"/>
              <w:right w:val="nil"/>
            </w:tcBorders>
          </w:tcPr>
          <w:p w:rsidR="009543DB" w:rsidRDefault="009543DB" w:rsidP="009543DB">
            <w:pPr>
              <w:pStyle w:val="Tabletextheading"/>
            </w:pPr>
          </w:p>
        </w:tc>
        <w:tc>
          <w:tcPr>
            <w:tcW w:w="2296" w:type="dxa"/>
            <w:tcBorders>
              <w:left w:val="nil"/>
              <w:right w:val="nil"/>
            </w:tcBorders>
          </w:tcPr>
          <w:p w:rsidR="009543DB" w:rsidRDefault="009543DB" w:rsidP="009543DB">
            <w:pPr>
              <w:pStyle w:val="Tabletextleft"/>
            </w:pPr>
            <w:r>
              <w:t>Long term</w:t>
            </w:r>
          </w:p>
        </w:tc>
        <w:tc>
          <w:tcPr>
            <w:tcW w:w="956" w:type="dxa"/>
            <w:tcBorders>
              <w:left w:val="nil"/>
              <w:right w:val="nil"/>
            </w:tcBorders>
          </w:tcPr>
          <w:p w:rsidR="009543DB" w:rsidRDefault="009543DB" w:rsidP="009543DB">
            <w:pPr>
              <w:pStyle w:val="Tabletextright"/>
            </w:pPr>
            <w:r>
              <w:t>1 144</w:t>
            </w:r>
          </w:p>
        </w:tc>
        <w:tc>
          <w:tcPr>
            <w:tcW w:w="957" w:type="dxa"/>
            <w:tcBorders>
              <w:left w:val="nil"/>
              <w:right w:val="nil"/>
            </w:tcBorders>
          </w:tcPr>
          <w:p w:rsidR="009543DB" w:rsidRDefault="009543DB" w:rsidP="009543DB">
            <w:pPr>
              <w:pStyle w:val="Tabletextright"/>
            </w:pPr>
            <w:r>
              <w:t>1 402</w:t>
            </w:r>
          </w:p>
        </w:tc>
        <w:tc>
          <w:tcPr>
            <w:tcW w:w="956" w:type="dxa"/>
            <w:tcBorders>
              <w:left w:val="nil"/>
              <w:right w:val="nil"/>
            </w:tcBorders>
          </w:tcPr>
          <w:p w:rsidR="009543DB" w:rsidRDefault="009543DB" w:rsidP="009543DB">
            <w:pPr>
              <w:pStyle w:val="Tabletextright"/>
            </w:pPr>
            <w:r>
              <w:t>1 478</w:t>
            </w:r>
          </w:p>
        </w:tc>
        <w:tc>
          <w:tcPr>
            <w:tcW w:w="957" w:type="dxa"/>
            <w:tcBorders>
              <w:left w:val="nil"/>
              <w:right w:val="nil"/>
            </w:tcBorders>
          </w:tcPr>
          <w:p w:rsidR="009543DB" w:rsidRDefault="009543DB" w:rsidP="009543DB">
            <w:pPr>
              <w:pStyle w:val="Tabletextright"/>
            </w:pPr>
            <w:r>
              <w:t>1 921</w:t>
            </w:r>
          </w:p>
        </w:tc>
        <w:tc>
          <w:tcPr>
            <w:tcW w:w="956" w:type="dxa"/>
            <w:tcBorders>
              <w:left w:val="nil"/>
              <w:right w:val="nil"/>
            </w:tcBorders>
          </w:tcPr>
          <w:p w:rsidR="009543DB" w:rsidRDefault="009543DB" w:rsidP="009543DB">
            <w:pPr>
              <w:pStyle w:val="Tabletextright"/>
            </w:pPr>
            <w:r>
              <w:t>1 443</w:t>
            </w:r>
          </w:p>
        </w:tc>
        <w:tc>
          <w:tcPr>
            <w:tcW w:w="957" w:type="dxa"/>
            <w:tcBorders>
              <w:left w:val="nil"/>
              <w:right w:val="nil"/>
            </w:tcBorders>
          </w:tcPr>
          <w:p w:rsidR="009543DB" w:rsidRDefault="009543DB" w:rsidP="009543DB">
            <w:pPr>
              <w:pStyle w:val="Tabletextright"/>
            </w:pPr>
            <w:r>
              <w:t>1 427</w:t>
            </w:r>
          </w:p>
        </w:tc>
        <w:tc>
          <w:tcPr>
            <w:tcW w:w="956" w:type="dxa"/>
            <w:tcBorders>
              <w:left w:val="nil"/>
              <w:right w:val="nil"/>
            </w:tcBorders>
          </w:tcPr>
          <w:p w:rsidR="009543DB" w:rsidRDefault="009543DB" w:rsidP="009543DB">
            <w:pPr>
              <w:pStyle w:val="Tabletextright"/>
            </w:pPr>
            <w:r>
              <w:t>1 480</w:t>
            </w:r>
          </w:p>
        </w:tc>
        <w:tc>
          <w:tcPr>
            <w:tcW w:w="957" w:type="dxa"/>
            <w:tcBorders>
              <w:left w:val="nil"/>
              <w:right w:val="nil"/>
            </w:tcBorders>
          </w:tcPr>
          <w:p w:rsidR="009543DB" w:rsidRDefault="009543DB" w:rsidP="009543DB">
            <w:pPr>
              <w:pStyle w:val="Tabletextright"/>
            </w:pPr>
            <w:r>
              <w:t>1 447</w:t>
            </w:r>
          </w:p>
        </w:tc>
        <w:tc>
          <w:tcPr>
            <w:tcW w:w="956" w:type="dxa"/>
            <w:tcBorders>
              <w:left w:val="nil"/>
              <w:right w:val="nil"/>
            </w:tcBorders>
          </w:tcPr>
          <w:p w:rsidR="009543DB" w:rsidRDefault="009543DB" w:rsidP="009543DB">
            <w:pPr>
              <w:pStyle w:val="Tabletextright"/>
            </w:pPr>
            <w:r>
              <w:t>1 585</w:t>
            </w:r>
          </w:p>
        </w:tc>
        <w:tc>
          <w:tcPr>
            <w:tcW w:w="957" w:type="dxa"/>
            <w:tcBorders>
              <w:left w:val="nil"/>
              <w:right w:val="nil"/>
            </w:tcBorders>
          </w:tcPr>
          <w:p w:rsidR="009543DB" w:rsidRDefault="009543DB" w:rsidP="009543DB">
            <w:pPr>
              <w:pStyle w:val="Tabletextright"/>
            </w:pPr>
            <w:r>
              <w:t>1 606</w:t>
            </w:r>
          </w:p>
        </w:tc>
        <w:tc>
          <w:tcPr>
            <w:tcW w:w="957" w:type="dxa"/>
            <w:tcBorders>
              <w:left w:val="nil"/>
              <w:right w:val="nil"/>
            </w:tcBorders>
          </w:tcPr>
          <w:p w:rsidR="009543DB" w:rsidRDefault="009543DB" w:rsidP="009543DB">
            <w:pPr>
              <w:pStyle w:val="Tabletextright"/>
            </w:pPr>
            <w:r>
              <w:t>1 694</w:t>
            </w:r>
          </w:p>
        </w:tc>
      </w:tr>
      <w:tr w:rsidR="009543DB" w:rsidTr="009543DB">
        <w:tc>
          <w:tcPr>
            <w:tcW w:w="1214" w:type="dxa"/>
            <w:vMerge/>
            <w:tcBorders>
              <w:left w:val="nil"/>
              <w:right w:val="nil"/>
            </w:tcBorders>
          </w:tcPr>
          <w:p w:rsidR="009543DB" w:rsidRDefault="009543DB" w:rsidP="009543DB">
            <w:pPr>
              <w:pStyle w:val="Tabletextheading"/>
            </w:pPr>
          </w:p>
        </w:tc>
        <w:tc>
          <w:tcPr>
            <w:tcW w:w="2296" w:type="dxa"/>
            <w:tcBorders>
              <w:left w:val="nil"/>
              <w:right w:val="nil"/>
            </w:tcBorders>
          </w:tcPr>
          <w:p w:rsidR="009543DB" w:rsidRDefault="009543DB" w:rsidP="009543DB">
            <w:pPr>
              <w:pStyle w:val="Tabletextheading"/>
            </w:pPr>
            <w:r>
              <w:t>Total airport</w:t>
            </w:r>
          </w:p>
        </w:tc>
        <w:tc>
          <w:tcPr>
            <w:tcW w:w="956" w:type="dxa"/>
            <w:tcBorders>
              <w:left w:val="nil"/>
              <w:right w:val="nil"/>
            </w:tcBorders>
          </w:tcPr>
          <w:p w:rsidR="009543DB" w:rsidRDefault="009543DB" w:rsidP="009543DB">
            <w:pPr>
              <w:pStyle w:val="Tabletextheadingright"/>
            </w:pPr>
            <w:r>
              <w:t>8 592</w:t>
            </w:r>
          </w:p>
        </w:tc>
        <w:tc>
          <w:tcPr>
            <w:tcW w:w="957" w:type="dxa"/>
            <w:tcBorders>
              <w:left w:val="nil"/>
              <w:right w:val="nil"/>
            </w:tcBorders>
          </w:tcPr>
          <w:p w:rsidR="009543DB" w:rsidRDefault="009543DB" w:rsidP="009543DB">
            <w:pPr>
              <w:pStyle w:val="Tabletextheadingright"/>
            </w:pPr>
            <w:r>
              <w:t>8 942</w:t>
            </w:r>
          </w:p>
        </w:tc>
        <w:tc>
          <w:tcPr>
            <w:tcW w:w="956" w:type="dxa"/>
            <w:tcBorders>
              <w:left w:val="nil"/>
              <w:right w:val="nil"/>
            </w:tcBorders>
          </w:tcPr>
          <w:p w:rsidR="009543DB" w:rsidRDefault="009543DB" w:rsidP="009543DB">
            <w:pPr>
              <w:pStyle w:val="Tabletextheadingright"/>
            </w:pPr>
            <w:r>
              <w:t>8 585</w:t>
            </w:r>
          </w:p>
        </w:tc>
        <w:tc>
          <w:tcPr>
            <w:tcW w:w="957" w:type="dxa"/>
            <w:tcBorders>
              <w:left w:val="nil"/>
              <w:right w:val="nil"/>
            </w:tcBorders>
          </w:tcPr>
          <w:p w:rsidR="009543DB" w:rsidRDefault="009543DB" w:rsidP="009543DB">
            <w:pPr>
              <w:pStyle w:val="Tabletextheadingright"/>
            </w:pPr>
            <w:r>
              <w:t>9 144</w:t>
            </w:r>
          </w:p>
        </w:tc>
        <w:tc>
          <w:tcPr>
            <w:tcW w:w="956" w:type="dxa"/>
            <w:tcBorders>
              <w:left w:val="nil"/>
              <w:right w:val="nil"/>
            </w:tcBorders>
          </w:tcPr>
          <w:p w:rsidR="009543DB" w:rsidRDefault="009543DB" w:rsidP="009543DB">
            <w:pPr>
              <w:pStyle w:val="Tabletextheadingright"/>
            </w:pPr>
            <w:r>
              <w:t>8 742</w:t>
            </w:r>
          </w:p>
        </w:tc>
        <w:tc>
          <w:tcPr>
            <w:tcW w:w="957" w:type="dxa"/>
            <w:tcBorders>
              <w:left w:val="nil"/>
              <w:right w:val="nil"/>
            </w:tcBorders>
          </w:tcPr>
          <w:p w:rsidR="009543DB" w:rsidRDefault="009543DB" w:rsidP="009543DB">
            <w:pPr>
              <w:pStyle w:val="Tabletextheadingright"/>
            </w:pPr>
            <w:r>
              <w:t>8 893</w:t>
            </w:r>
          </w:p>
        </w:tc>
        <w:tc>
          <w:tcPr>
            <w:tcW w:w="956" w:type="dxa"/>
            <w:tcBorders>
              <w:left w:val="nil"/>
              <w:right w:val="nil"/>
            </w:tcBorders>
          </w:tcPr>
          <w:p w:rsidR="009543DB" w:rsidRDefault="009543DB" w:rsidP="009543DB">
            <w:pPr>
              <w:pStyle w:val="Tabletextheadingright"/>
            </w:pPr>
            <w:r>
              <w:t>8 940</w:t>
            </w:r>
          </w:p>
        </w:tc>
        <w:tc>
          <w:tcPr>
            <w:tcW w:w="957" w:type="dxa"/>
            <w:tcBorders>
              <w:left w:val="nil"/>
              <w:right w:val="nil"/>
            </w:tcBorders>
          </w:tcPr>
          <w:p w:rsidR="009543DB" w:rsidRDefault="009543DB" w:rsidP="009543DB">
            <w:pPr>
              <w:pStyle w:val="Tabletextheadingright"/>
            </w:pPr>
            <w:r>
              <w:t>9 110</w:t>
            </w:r>
          </w:p>
        </w:tc>
        <w:tc>
          <w:tcPr>
            <w:tcW w:w="956" w:type="dxa"/>
            <w:tcBorders>
              <w:left w:val="nil"/>
              <w:right w:val="nil"/>
            </w:tcBorders>
          </w:tcPr>
          <w:p w:rsidR="009543DB" w:rsidRDefault="009543DB" w:rsidP="009543DB">
            <w:pPr>
              <w:pStyle w:val="Tabletextheadingright"/>
            </w:pPr>
            <w:r>
              <w:t>8 985</w:t>
            </w:r>
          </w:p>
        </w:tc>
        <w:tc>
          <w:tcPr>
            <w:tcW w:w="957" w:type="dxa"/>
            <w:tcBorders>
              <w:left w:val="nil"/>
              <w:right w:val="nil"/>
            </w:tcBorders>
          </w:tcPr>
          <w:p w:rsidR="009543DB" w:rsidRDefault="009543DB" w:rsidP="009543DB">
            <w:pPr>
              <w:pStyle w:val="Tabletextheadingright"/>
            </w:pPr>
            <w:r>
              <w:t>8 711</w:t>
            </w:r>
          </w:p>
        </w:tc>
        <w:tc>
          <w:tcPr>
            <w:tcW w:w="957" w:type="dxa"/>
            <w:tcBorders>
              <w:left w:val="nil"/>
              <w:right w:val="nil"/>
            </w:tcBorders>
          </w:tcPr>
          <w:p w:rsidR="009543DB" w:rsidRDefault="009543DB" w:rsidP="009543DB">
            <w:pPr>
              <w:pStyle w:val="Tabletextheadingright"/>
            </w:pPr>
            <w:r>
              <w:t>8 661</w:t>
            </w:r>
          </w:p>
        </w:tc>
      </w:tr>
    </w:tbl>
    <w:p w:rsidR="009543DB" w:rsidRDefault="009543DB" w:rsidP="009543DB">
      <w:pPr>
        <w:sectPr w:rsidR="009543DB" w:rsidSect="009543DB">
          <w:type w:val="continuous"/>
          <w:pgSz w:w="16838" w:h="11906" w:orient="landscape"/>
          <w:pgMar w:top="1729" w:right="1440" w:bottom="1729" w:left="1582" w:header="709" w:footer="709" w:gutter="0"/>
          <w:cols w:space="708"/>
          <w:docGrid w:linePitch="360"/>
        </w:sectPr>
      </w:pPr>
    </w:p>
    <w:p w:rsidR="009543DB" w:rsidRDefault="009543DB" w:rsidP="009543DB">
      <w:pPr>
        <w:pStyle w:val="Numberedheading3"/>
      </w:pPr>
      <w:r>
        <w:lastRenderedPageBreak/>
        <w:t>Prices</w:t>
      </w:r>
    </w:p>
    <w:p w:rsidR="009543DB" w:rsidRDefault="009543DB" w:rsidP="009543DB">
      <w:r w:rsidRPr="00822EBD">
        <w:t>The followi</w:t>
      </w:r>
      <w:r>
        <w:t>ng section assesses the trend in Melbour</w:t>
      </w:r>
      <w:r w:rsidRPr="00822EBD">
        <w:t xml:space="preserve">ne Airport’s ‘drive-up’ car parking charges </w:t>
      </w:r>
      <w:r>
        <w:t>in real terms from 30 June 2005 to 30 June 2015</w:t>
      </w:r>
      <w:r w:rsidRPr="00822EBD">
        <w:t xml:space="preserve">. The ACCC notes that </w:t>
      </w:r>
      <w:r>
        <w:t>Melbourne</w:t>
      </w:r>
      <w:r w:rsidRPr="00822EBD">
        <w:t xml:space="preserve"> Airport also provides an online car park booking system, which provides customers with access to charges that are </w:t>
      </w:r>
      <w:r>
        <w:t xml:space="preserve">typically </w:t>
      </w:r>
      <w:r w:rsidRPr="00822EBD">
        <w:t xml:space="preserve">at a discount to </w:t>
      </w:r>
      <w:r>
        <w:t>Melbourn</w:t>
      </w:r>
      <w:r w:rsidRPr="00822EBD">
        <w:t>e Airport’s ‘drive up’ charges.</w:t>
      </w:r>
      <w:r>
        <w:rPr>
          <w:rStyle w:val="FootnoteReference"/>
        </w:rPr>
        <w:footnoteReference w:id="109"/>
      </w:r>
    </w:p>
    <w:p w:rsidR="009543DB" w:rsidRDefault="009543DB" w:rsidP="009543DB">
      <w:pPr>
        <w:pStyle w:val="Standardheading"/>
      </w:pPr>
      <w:r>
        <w:t>Short term car parking</w:t>
      </w:r>
    </w:p>
    <w:p w:rsidR="009543DB" w:rsidRDefault="009543DB" w:rsidP="009543DB">
      <w:r>
        <w:t>Chart 3.4.1 shows the trends in prices for Melbourne Airport’s multi</w:t>
      </w:r>
      <w:r>
        <w:noBreakHyphen/>
        <w:t>level short term car park. The prices have been fairly stable in real terms since 2009</w:t>
      </w:r>
      <w:r>
        <w:noBreakHyphen/>
        <w:t>10, with two hours parking experiencing the largest increase, of 6.5 per cent in real terms since 2009</w:t>
      </w:r>
      <w:r>
        <w:noBreakHyphen/>
        <w:t>10.</w:t>
      </w:r>
    </w:p>
    <w:p w:rsidR="009543DB" w:rsidRPr="00822EBD" w:rsidRDefault="009543DB" w:rsidP="009543DB">
      <w:pPr>
        <w:pStyle w:val="Numberedcharttitle"/>
      </w:pPr>
      <w:r>
        <w:t>Chart 3.4.1:</w:t>
      </w:r>
      <w:r>
        <w:tab/>
        <w:t>Melbourne Airport—selected prices at multi-level short term car park in real terms: 30 June 2005 to 30 June 2015</w:t>
      </w:r>
    </w:p>
    <w:p w:rsidR="009543DB" w:rsidRDefault="009543DB" w:rsidP="009543DB">
      <w:r w:rsidRPr="00E530D3">
        <w:rPr>
          <w:noProof/>
          <w:lang w:eastAsia="en-AU"/>
        </w:rPr>
        <w:drawing>
          <wp:inline distT="0" distB="0" distL="0" distR="0" wp14:anchorId="68EED096" wp14:editId="2CC4F1E5">
            <wp:extent cx="5358810" cy="2541181"/>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64480" cy="2543870"/>
                    </a:xfrm>
                    <a:prstGeom prst="rect">
                      <a:avLst/>
                    </a:prstGeom>
                    <a:noFill/>
                    <a:ln>
                      <a:noFill/>
                    </a:ln>
                  </pic:spPr>
                </pic:pic>
              </a:graphicData>
            </a:graphic>
          </wp:inline>
        </w:drawing>
      </w:r>
    </w:p>
    <w:p w:rsidR="009543DB" w:rsidRDefault="009543DB" w:rsidP="009543DB">
      <w:pPr>
        <w:pStyle w:val="Sourceandnotes"/>
      </w:pPr>
      <w:r>
        <w:t>Note:</w:t>
      </w:r>
      <w:r>
        <w:tab/>
        <w:t>Real values in 2014-15 dollars</w:t>
      </w:r>
    </w:p>
    <w:p w:rsidR="009543DB" w:rsidRDefault="009543DB" w:rsidP="009543DB">
      <w:r w:rsidRPr="00B94BB6">
        <w:t xml:space="preserve">As noted, </w:t>
      </w:r>
      <w:r>
        <w:t>Melbourne</w:t>
      </w:r>
      <w:r w:rsidRPr="00B94BB6">
        <w:t xml:space="preserve"> Airport also provides online pre-booking of car parking spaces, which </w:t>
      </w:r>
      <w:r>
        <w:t xml:space="preserve">typically </w:t>
      </w:r>
      <w:r w:rsidRPr="00B94BB6">
        <w:t xml:space="preserve">provide customers with discounted charges. Table </w:t>
      </w:r>
      <w:r>
        <w:t>3</w:t>
      </w:r>
      <w:r w:rsidRPr="00B94BB6">
        <w:t xml:space="preserve">.4.2 below compares the drive-up charges with the average </w:t>
      </w:r>
      <w:r>
        <w:t>weighted drive-up and online charges. The results indicate that the average drive-up and online calculation does not differ substantially from the drive-up charge and relatively few consumers are obtaining significant savings by booking online for these durations.</w:t>
      </w:r>
    </w:p>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Pr>
        <w:pStyle w:val="Numberedcharttitle"/>
      </w:pPr>
      <w:r>
        <w:lastRenderedPageBreak/>
        <w:t>Table 3.4.2:</w:t>
      </w:r>
      <w:r>
        <w:tab/>
        <w:t>Melbourne Airport—drive-up, online and average parking charges at the short term car park: 2014</w:t>
      </w:r>
      <w:r>
        <w:noBreakHyphen/>
        <w:t>15</w:t>
      </w:r>
    </w:p>
    <w:tbl>
      <w:tblPr>
        <w:tblStyle w:val="TableGrid"/>
        <w:tblW w:w="0" w:type="auto"/>
        <w:tblLook w:val="04A0" w:firstRow="1" w:lastRow="0" w:firstColumn="1" w:lastColumn="0" w:noHBand="0" w:noVBand="1"/>
      </w:tblPr>
      <w:tblGrid>
        <w:gridCol w:w="2166"/>
        <w:gridCol w:w="2166"/>
        <w:gridCol w:w="2166"/>
        <w:gridCol w:w="2166"/>
      </w:tblGrid>
      <w:tr w:rsidR="009543DB" w:rsidTr="009543DB">
        <w:tc>
          <w:tcPr>
            <w:tcW w:w="2166" w:type="dxa"/>
            <w:tcBorders>
              <w:left w:val="nil"/>
              <w:bottom w:val="single" w:sz="4" w:space="0" w:color="auto"/>
              <w:right w:val="nil"/>
            </w:tcBorders>
            <w:shd w:val="clear" w:color="auto" w:fill="DFE0DC"/>
          </w:tcPr>
          <w:p w:rsidR="009543DB" w:rsidRDefault="009543DB" w:rsidP="009543DB">
            <w:pPr>
              <w:pStyle w:val="Tabletextheading"/>
            </w:pPr>
            <w:r>
              <w:t>Length of stay</w:t>
            </w:r>
          </w:p>
        </w:tc>
        <w:tc>
          <w:tcPr>
            <w:tcW w:w="2166" w:type="dxa"/>
            <w:tcBorders>
              <w:left w:val="nil"/>
              <w:bottom w:val="single" w:sz="4" w:space="0" w:color="auto"/>
              <w:right w:val="nil"/>
            </w:tcBorders>
            <w:shd w:val="clear" w:color="auto" w:fill="DFE0DC"/>
          </w:tcPr>
          <w:p w:rsidR="009543DB" w:rsidRDefault="009543DB" w:rsidP="009543DB">
            <w:pPr>
              <w:pStyle w:val="Tabletextheadingright"/>
            </w:pPr>
            <w:r>
              <w:t xml:space="preserve">Drive-up </w:t>
            </w:r>
            <w:r>
              <w:br/>
              <w:t>($)</w:t>
            </w:r>
          </w:p>
        </w:tc>
        <w:tc>
          <w:tcPr>
            <w:tcW w:w="2166" w:type="dxa"/>
            <w:tcBorders>
              <w:left w:val="nil"/>
              <w:bottom w:val="single" w:sz="4" w:space="0" w:color="auto"/>
              <w:right w:val="single" w:sz="4" w:space="0" w:color="auto"/>
            </w:tcBorders>
            <w:shd w:val="clear" w:color="auto" w:fill="DFE0DC"/>
          </w:tcPr>
          <w:p w:rsidR="009543DB" w:rsidRDefault="009543DB" w:rsidP="009543DB">
            <w:pPr>
              <w:pStyle w:val="Tabletextheadingright"/>
            </w:pPr>
            <w:r>
              <w:t xml:space="preserve">Average online </w:t>
            </w:r>
            <w:r>
              <w:br/>
              <w:t>($)</w:t>
            </w:r>
          </w:p>
        </w:tc>
        <w:tc>
          <w:tcPr>
            <w:tcW w:w="2166" w:type="dxa"/>
            <w:tcBorders>
              <w:left w:val="single" w:sz="4" w:space="0" w:color="auto"/>
              <w:bottom w:val="single" w:sz="4" w:space="0" w:color="auto"/>
              <w:right w:val="nil"/>
            </w:tcBorders>
            <w:shd w:val="clear" w:color="auto" w:fill="DFE0DC"/>
          </w:tcPr>
          <w:p w:rsidR="009543DB" w:rsidRDefault="009543DB" w:rsidP="009543DB">
            <w:pPr>
              <w:pStyle w:val="Tabletextheadingright"/>
            </w:pPr>
            <w:r>
              <w:t>Weighted average of drive-up and online ($)</w:t>
            </w:r>
          </w:p>
        </w:tc>
      </w:tr>
      <w:tr w:rsidR="009543DB" w:rsidTr="009543DB">
        <w:tc>
          <w:tcPr>
            <w:tcW w:w="2166" w:type="dxa"/>
            <w:tcBorders>
              <w:left w:val="nil"/>
              <w:bottom w:val="nil"/>
              <w:right w:val="nil"/>
            </w:tcBorders>
          </w:tcPr>
          <w:p w:rsidR="009543DB" w:rsidRDefault="009543DB" w:rsidP="009543DB">
            <w:pPr>
              <w:pStyle w:val="Tabletextleft"/>
            </w:pPr>
            <w:r>
              <w:t>0-30 minutes</w:t>
            </w:r>
          </w:p>
        </w:tc>
        <w:tc>
          <w:tcPr>
            <w:tcW w:w="2166" w:type="dxa"/>
            <w:tcBorders>
              <w:left w:val="nil"/>
              <w:bottom w:val="nil"/>
              <w:right w:val="nil"/>
            </w:tcBorders>
          </w:tcPr>
          <w:p w:rsidR="009543DB" w:rsidRDefault="009543DB" w:rsidP="009543DB">
            <w:pPr>
              <w:pStyle w:val="Tabletextright"/>
            </w:pPr>
            <w:r>
              <w:t>6.00</w:t>
            </w:r>
          </w:p>
        </w:tc>
        <w:tc>
          <w:tcPr>
            <w:tcW w:w="2166" w:type="dxa"/>
            <w:tcBorders>
              <w:left w:val="nil"/>
              <w:bottom w:val="nil"/>
              <w:right w:val="single" w:sz="4" w:space="0" w:color="auto"/>
            </w:tcBorders>
          </w:tcPr>
          <w:p w:rsidR="009543DB" w:rsidRDefault="009543DB" w:rsidP="009543DB">
            <w:pPr>
              <w:pStyle w:val="Tabletextright"/>
            </w:pPr>
            <w:r>
              <w:t>-</w:t>
            </w:r>
          </w:p>
        </w:tc>
        <w:tc>
          <w:tcPr>
            <w:tcW w:w="2166" w:type="dxa"/>
            <w:tcBorders>
              <w:left w:val="single" w:sz="4" w:space="0" w:color="auto"/>
              <w:bottom w:val="nil"/>
              <w:right w:val="nil"/>
            </w:tcBorders>
          </w:tcPr>
          <w:p w:rsidR="009543DB" w:rsidRDefault="009543DB" w:rsidP="009543DB">
            <w:pPr>
              <w:pStyle w:val="Tabletextright"/>
            </w:pPr>
            <w:r>
              <w:t>6.00</w:t>
            </w:r>
          </w:p>
        </w:tc>
      </w:tr>
      <w:tr w:rsidR="009543DB" w:rsidTr="009543DB">
        <w:tc>
          <w:tcPr>
            <w:tcW w:w="2166" w:type="dxa"/>
            <w:tcBorders>
              <w:top w:val="nil"/>
              <w:left w:val="nil"/>
              <w:bottom w:val="nil"/>
              <w:right w:val="nil"/>
            </w:tcBorders>
          </w:tcPr>
          <w:p w:rsidR="009543DB" w:rsidRDefault="009543DB" w:rsidP="009543DB">
            <w:pPr>
              <w:pStyle w:val="Tabletextleft"/>
            </w:pPr>
            <w:r>
              <w:t>31-60 minutes</w:t>
            </w:r>
          </w:p>
        </w:tc>
        <w:tc>
          <w:tcPr>
            <w:tcW w:w="2166" w:type="dxa"/>
            <w:tcBorders>
              <w:top w:val="nil"/>
              <w:left w:val="nil"/>
              <w:bottom w:val="nil"/>
              <w:right w:val="nil"/>
            </w:tcBorders>
          </w:tcPr>
          <w:p w:rsidR="009543DB" w:rsidRDefault="009543DB" w:rsidP="009543DB">
            <w:pPr>
              <w:pStyle w:val="Tabletextright"/>
            </w:pPr>
            <w:r>
              <w:t>14.00</w:t>
            </w:r>
          </w:p>
        </w:tc>
        <w:tc>
          <w:tcPr>
            <w:tcW w:w="2166" w:type="dxa"/>
            <w:tcBorders>
              <w:top w:val="nil"/>
              <w:left w:val="nil"/>
              <w:bottom w:val="nil"/>
              <w:right w:val="single" w:sz="4" w:space="0" w:color="auto"/>
            </w:tcBorders>
          </w:tcPr>
          <w:p w:rsidR="009543DB" w:rsidRDefault="009543DB" w:rsidP="009543DB">
            <w:pPr>
              <w:pStyle w:val="Tabletextright"/>
            </w:pPr>
            <w:r w:rsidRPr="001C1C2B">
              <w:t>-</w:t>
            </w:r>
          </w:p>
        </w:tc>
        <w:tc>
          <w:tcPr>
            <w:tcW w:w="2166" w:type="dxa"/>
            <w:tcBorders>
              <w:top w:val="nil"/>
              <w:left w:val="single" w:sz="4" w:space="0" w:color="auto"/>
              <w:bottom w:val="nil"/>
              <w:right w:val="nil"/>
            </w:tcBorders>
          </w:tcPr>
          <w:p w:rsidR="009543DB" w:rsidRDefault="009543DB" w:rsidP="009543DB">
            <w:pPr>
              <w:pStyle w:val="Tabletextright"/>
            </w:pPr>
            <w:r>
              <w:t>14.00</w:t>
            </w:r>
          </w:p>
        </w:tc>
      </w:tr>
      <w:tr w:rsidR="009543DB" w:rsidTr="009543DB">
        <w:tc>
          <w:tcPr>
            <w:tcW w:w="2166" w:type="dxa"/>
            <w:tcBorders>
              <w:top w:val="nil"/>
              <w:left w:val="nil"/>
              <w:bottom w:val="nil"/>
              <w:right w:val="nil"/>
            </w:tcBorders>
          </w:tcPr>
          <w:p w:rsidR="009543DB" w:rsidRDefault="009543DB" w:rsidP="009543DB">
            <w:pPr>
              <w:pStyle w:val="Tabletextleft"/>
            </w:pPr>
            <w:r>
              <w:t>1-2 hours</w:t>
            </w:r>
          </w:p>
        </w:tc>
        <w:tc>
          <w:tcPr>
            <w:tcW w:w="2166" w:type="dxa"/>
            <w:tcBorders>
              <w:top w:val="nil"/>
              <w:left w:val="nil"/>
              <w:bottom w:val="nil"/>
              <w:right w:val="nil"/>
            </w:tcBorders>
          </w:tcPr>
          <w:p w:rsidR="009543DB" w:rsidRDefault="009543DB" w:rsidP="009543DB">
            <w:pPr>
              <w:pStyle w:val="Tabletextright"/>
            </w:pPr>
            <w:r>
              <w:t>24.00</w:t>
            </w:r>
          </w:p>
        </w:tc>
        <w:tc>
          <w:tcPr>
            <w:tcW w:w="2166" w:type="dxa"/>
            <w:tcBorders>
              <w:top w:val="nil"/>
              <w:left w:val="nil"/>
              <w:bottom w:val="nil"/>
              <w:right w:val="single" w:sz="4" w:space="0" w:color="auto"/>
            </w:tcBorders>
          </w:tcPr>
          <w:p w:rsidR="009543DB" w:rsidRDefault="009543DB" w:rsidP="009543DB">
            <w:pPr>
              <w:pStyle w:val="Tabletextright"/>
            </w:pPr>
            <w:r w:rsidRPr="001C1C2B">
              <w:t>-</w:t>
            </w:r>
          </w:p>
        </w:tc>
        <w:tc>
          <w:tcPr>
            <w:tcW w:w="2166" w:type="dxa"/>
            <w:tcBorders>
              <w:top w:val="nil"/>
              <w:left w:val="single" w:sz="4" w:space="0" w:color="auto"/>
              <w:bottom w:val="nil"/>
              <w:right w:val="nil"/>
            </w:tcBorders>
          </w:tcPr>
          <w:p w:rsidR="009543DB" w:rsidRDefault="009543DB" w:rsidP="009543DB">
            <w:pPr>
              <w:pStyle w:val="Tabletextright"/>
            </w:pPr>
            <w:r>
              <w:t>23.86</w:t>
            </w:r>
          </w:p>
        </w:tc>
      </w:tr>
      <w:tr w:rsidR="009543DB" w:rsidTr="009543DB">
        <w:tc>
          <w:tcPr>
            <w:tcW w:w="2166" w:type="dxa"/>
            <w:tcBorders>
              <w:top w:val="nil"/>
              <w:left w:val="nil"/>
              <w:bottom w:val="nil"/>
              <w:right w:val="nil"/>
            </w:tcBorders>
          </w:tcPr>
          <w:p w:rsidR="009543DB" w:rsidRDefault="009543DB" w:rsidP="009543DB">
            <w:pPr>
              <w:pStyle w:val="Tabletextleft"/>
            </w:pPr>
            <w:r>
              <w:t>2-3 hours</w:t>
            </w:r>
          </w:p>
        </w:tc>
        <w:tc>
          <w:tcPr>
            <w:tcW w:w="2166" w:type="dxa"/>
            <w:tcBorders>
              <w:top w:val="nil"/>
              <w:left w:val="nil"/>
              <w:bottom w:val="nil"/>
              <w:right w:val="nil"/>
            </w:tcBorders>
          </w:tcPr>
          <w:p w:rsidR="009543DB" w:rsidRDefault="009543DB" w:rsidP="009543DB">
            <w:pPr>
              <w:pStyle w:val="Tabletextright"/>
            </w:pPr>
            <w:r>
              <w:t>29.00</w:t>
            </w:r>
          </w:p>
        </w:tc>
        <w:tc>
          <w:tcPr>
            <w:tcW w:w="2166" w:type="dxa"/>
            <w:tcBorders>
              <w:top w:val="nil"/>
              <w:left w:val="nil"/>
              <w:bottom w:val="nil"/>
              <w:right w:val="single" w:sz="4" w:space="0" w:color="auto"/>
            </w:tcBorders>
          </w:tcPr>
          <w:p w:rsidR="009543DB" w:rsidRDefault="009543DB" w:rsidP="009543DB">
            <w:pPr>
              <w:pStyle w:val="Tabletextright"/>
            </w:pPr>
            <w:r w:rsidRPr="001C1C2B">
              <w:t>-</w:t>
            </w:r>
          </w:p>
        </w:tc>
        <w:tc>
          <w:tcPr>
            <w:tcW w:w="2166" w:type="dxa"/>
            <w:tcBorders>
              <w:top w:val="nil"/>
              <w:left w:val="single" w:sz="4" w:space="0" w:color="auto"/>
              <w:bottom w:val="nil"/>
              <w:right w:val="nil"/>
            </w:tcBorders>
          </w:tcPr>
          <w:p w:rsidR="009543DB" w:rsidRDefault="009543DB" w:rsidP="009543DB">
            <w:pPr>
              <w:pStyle w:val="Tabletextright"/>
            </w:pPr>
            <w:r>
              <w:t>29.00</w:t>
            </w:r>
          </w:p>
        </w:tc>
      </w:tr>
      <w:tr w:rsidR="009543DB" w:rsidTr="009543DB">
        <w:tc>
          <w:tcPr>
            <w:tcW w:w="2166" w:type="dxa"/>
            <w:tcBorders>
              <w:top w:val="nil"/>
              <w:left w:val="nil"/>
              <w:bottom w:val="nil"/>
              <w:right w:val="nil"/>
            </w:tcBorders>
          </w:tcPr>
          <w:p w:rsidR="009543DB" w:rsidRDefault="009543DB" w:rsidP="009543DB">
            <w:pPr>
              <w:pStyle w:val="Tabletextleft"/>
            </w:pPr>
            <w:r>
              <w:t>3-4 hours</w:t>
            </w:r>
          </w:p>
        </w:tc>
        <w:tc>
          <w:tcPr>
            <w:tcW w:w="2166" w:type="dxa"/>
            <w:tcBorders>
              <w:top w:val="nil"/>
              <w:left w:val="nil"/>
              <w:bottom w:val="nil"/>
              <w:right w:val="nil"/>
            </w:tcBorders>
          </w:tcPr>
          <w:p w:rsidR="009543DB" w:rsidRDefault="009543DB" w:rsidP="009543DB">
            <w:pPr>
              <w:pStyle w:val="Tabletextright"/>
            </w:pPr>
            <w:r>
              <w:t>37.00</w:t>
            </w:r>
          </w:p>
        </w:tc>
        <w:tc>
          <w:tcPr>
            <w:tcW w:w="2166" w:type="dxa"/>
            <w:tcBorders>
              <w:top w:val="nil"/>
              <w:left w:val="nil"/>
              <w:bottom w:val="nil"/>
              <w:right w:val="single" w:sz="4" w:space="0" w:color="auto"/>
            </w:tcBorders>
          </w:tcPr>
          <w:p w:rsidR="009543DB" w:rsidRDefault="009543DB" w:rsidP="009543DB">
            <w:pPr>
              <w:pStyle w:val="Tabletextright"/>
            </w:pPr>
            <w:r w:rsidRPr="001C1C2B">
              <w:t>-</w:t>
            </w:r>
          </w:p>
        </w:tc>
        <w:tc>
          <w:tcPr>
            <w:tcW w:w="2166" w:type="dxa"/>
            <w:tcBorders>
              <w:top w:val="nil"/>
              <w:left w:val="single" w:sz="4" w:space="0" w:color="auto"/>
              <w:bottom w:val="nil"/>
              <w:right w:val="nil"/>
            </w:tcBorders>
          </w:tcPr>
          <w:p w:rsidR="009543DB" w:rsidRDefault="009543DB" w:rsidP="009543DB">
            <w:pPr>
              <w:pStyle w:val="Tabletextright"/>
            </w:pPr>
            <w:r>
              <w:t>33.53</w:t>
            </w:r>
          </w:p>
        </w:tc>
      </w:tr>
      <w:tr w:rsidR="009543DB" w:rsidTr="009543DB">
        <w:tc>
          <w:tcPr>
            <w:tcW w:w="2166" w:type="dxa"/>
            <w:tcBorders>
              <w:top w:val="nil"/>
              <w:left w:val="nil"/>
              <w:bottom w:val="single" w:sz="4" w:space="0" w:color="auto"/>
              <w:right w:val="nil"/>
            </w:tcBorders>
          </w:tcPr>
          <w:p w:rsidR="009543DB" w:rsidRDefault="009543DB" w:rsidP="009543DB">
            <w:pPr>
              <w:pStyle w:val="Tabletextleft"/>
            </w:pPr>
            <w:r>
              <w:t>4-24 hours</w:t>
            </w:r>
          </w:p>
        </w:tc>
        <w:tc>
          <w:tcPr>
            <w:tcW w:w="2166" w:type="dxa"/>
            <w:tcBorders>
              <w:top w:val="nil"/>
              <w:left w:val="nil"/>
              <w:bottom w:val="single" w:sz="4" w:space="0" w:color="auto"/>
              <w:right w:val="nil"/>
            </w:tcBorders>
          </w:tcPr>
          <w:p w:rsidR="009543DB" w:rsidRDefault="009543DB" w:rsidP="009543DB">
            <w:pPr>
              <w:pStyle w:val="Tabletextright"/>
            </w:pPr>
            <w:r>
              <w:t>57.00</w:t>
            </w:r>
          </w:p>
        </w:tc>
        <w:tc>
          <w:tcPr>
            <w:tcW w:w="2166" w:type="dxa"/>
            <w:tcBorders>
              <w:top w:val="nil"/>
              <w:left w:val="nil"/>
              <w:bottom w:val="single" w:sz="4" w:space="0" w:color="auto"/>
              <w:right w:val="single" w:sz="4" w:space="0" w:color="auto"/>
            </w:tcBorders>
          </w:tcPr>
          <w:p w:rsidR="009543DB" w:rsidRDefault="009543DB" w:rsidP="009543DB">
            <w:pPr>
              <w:pStyle w:val="Tabletextright"/>
            </w:pPr>
            <w:r w:rsidRPr="001C1C2B">
              <w:t>-</w:t>
            </w:r>
          </w:p>
        </w:tc>
        <w:tc>
          <w:tcPr>
            <w:tcW w:w="2166" w:type="dxa"/>
            <w:tcBorders>
              <w:top w:val="nil"/>
              <w:left w:val="single" w:sz="4" w:space="0" w:color="auto"/>
              <w:bottom w:val="single" w:sz="4" w:space="0" w:color="auto"/>
              <w:right w:val="nil"/>
            </w:tcBorders>
          </w:tcPr>
          <w:p w:rsidR="009543DB" w:rsidRDefault="009543DB" w:rsidP="009543DB">
            <w:pPr>
              <w:pStyle w:val="Tabletextright"/>
            </w:pPr>
            <w:r>
              <w:t>56.45</w:t>
            </w:r>
          </w:p>
        </w:tc>
      </w:tr>
    </w:tbl>
    <w:p w:rsidR="009543DB" w:rsidRDefault="009543DB" w:rsidP="009543DB">
      <w:pPr>
        <w:pStyle w:val="Sourceandnotes"/>
      </w:pPr>
      <w:r w:rsidRPr="00971A2E">
        <w:t>Note:</w:t>
      </w:r>
      <w:r w:rsidRPr="00971A2E">
        <w:tab/>
        <w:t>Average car parking charges are calculated as the weighted average of drive-up and online charges</w:t>
      </w:r>
    </w:p>
    <w:p w:rsidR="009543DB" w:rsidRPr="00971A2E" w:rsidRDefault="009543DB" w:rsidP="009543DB">
      <w:pPr>
        <w:pStyle w:val="Sourceandnotes"/>
      </w:pPr>
      <w:r w:rsidRPr="000F0902">
        <w:t>-</w:t>
      </w:r>
      <w:r>
        <w:t xml:space="preserve"> Commercial in confidence </w:t>
      </w:r>
    </w:p>
    <w:p w:rsidR="009543DB" w:rsidRDefault="009543DB" w:rsidP="009543DB">
      <w:pPr>
        <w:pStyle w:val="Standardheading"/>
      </w:pPr>
      <w:r>
        <w:t>Long term car parking</w:t>
      </w:r>
    </w:p>
    <w:p w:rsidR="009543DB" w:rsidRDefault="009543DB" w:rsidP="009543DB">
      <w:r>
        <w:t>Chart 3.4.2 shows pricing for the uncovered long term car park. Melbourne Airport did not change any of the prices for eight or fewer days parking but changed its pricing structure for parking between nine and fourteen days parking. In particular, Melbourne had previously charged an additional $5 for each day from nine to fourteen days, which has now increased to an additional $10 for each day in this period.</w:t>
      </w:r>
    </w:p>
    <w:p w:rsidR="009543DB" w:rsidRPr="00822EBD" w:rsidRDefault="009543DB" w:rsidP="009543DB">
      <w:pPr>
        <w:pStyle w:val="Numberedcharttitle"/>
      </w:pPr>
      <w:r>
        <w:t>Chart 3.4.2:</w:t>
      </w:r>
      <w:r>
        <w:tab/>
        <w:t>Melbourne Airport—selected prices at uncovered long term car park in real terms: 30 June 2005 to 30 June 2015</w:t>
      </w:r>
    </w:p>
    <w:p w:rsidR="009543DB" w:rsidRDefault="009543DB" w:rsidP="009543DB">
      <w:r w:rsidRPr="00E530D3">
        <w:rPr>
          <w:noProof/>
          <w:lang w:eastAsia="en-AU"/>
        </w:rPr>
        <w:drawing>
          <wp:inline distT="0" distB="0" distL="0" distR="0" wp14:anchorId="1A80AB25" wp14:editId="553272D2">
            <wp:extent cx="5358807" cy="2530549"/>
            <wp:effectExtent l="0" t="0" r="0" b="317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64480" cy="2533228"/>
                    </a:xfrm>
                    <a:prstGeom prst="rect">
                      <a:avLst/>
                    </a:prstGeom>
                    <a:noFill/>
                    <a:ln>
                      <a:noFill/>
                    </a:ln>
                  </pic:spPr>
                </pic:pic>
              </a:graphicData>
            </a:graphic>
          </wp:inline>
        </w:drawing>
      </w:r>
    </w:p>
    <w:p w:rsidR="009543DB" w:rsidRDefault="009543DB" w:rsidP="009543DB">
      <w:pPr>
        <w:pStyle w:val="Sourceandnotes"/>
      </w:pPr>
      <w:r>
        <w:t>Note:</w:t>
      </w:r>
      <w:r>
        <w:tab/>
        <w:t>Real values in 2014</w:t>
      </w:r>
      <w:r>
        <w:noBreakHyphen/>
        <w:t>15 dollars</w:t>
      </w:r>
    </w:p>
    <w:p w:rsidR="009543DB" w:rsidRDefault="009543DB" w:rsidP="009543DB">
      <w:r>
        <w:t>Prices are higher at Melbourne Airport’s multi</w:t>
      </w:r>
      <w:r>
        <w:noBreakHyphen/>
        <w:t>level long term car park due to its proximity to the terminals. Melbourne Airport left its two day charge unchanged and increased all other charges by between $1 and $5. Chart 3.4.3 shows that prices have remained fairly stable in real terms during 2014</w:t>
      </w:r>
      <w:r>
        <w:noBreakHyphen/>
        <w:t>15.</w:t>
      </w:r>
    </w:p>
    <w:p w:rsidR="009543DB" w:rsidRPr="00822EBD" w:rsidRDefault="009543DB" w:rsidP="009543DB">
      <w:pPr>
        <w:pStyle w:val="Numberedcharttitle"/>
      </w:pPr>
      <w:r>
        <w:lastRenderedPageBreak/>
        <w:t>Chart 3.4.3:</w:t>
      </w:r>
      <w:r>
        <w:tab/>
        <w:t>Melbourne Airport—selected prices at multi-level long term car park in real terms: 30 June 2008 to 30 June 2015</w:t>
      </w:r>
    </w:p>
    <w:p w:rsidR="009543DB" w:rsidRPr="00D6477C" w:rsidRDefault="009543DB" w:rsidP="009543DB">
      <w:r w:rsidRPr="00E530D3">
        <w:rPr>
          <w:noProof/>
          <w:lang w:eastAsia="en-AU"/>
        </w:rPr>
        <w:drawing>
          <wp:inline distT="0" distB="0" distL="0" distR="0" wp14:anchorId="0B6BCDF7" wp14:editId="41C930E1">
            <wp:extent cx="5358810" cy="269003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64480" cy="2692884"/>
                    </a:xfrm>
                    <a:prstGeom prst="rect">
                      <a:avLst/>
                    </a:prstGeom>
                    <a:noFill/>
                    <a:ln>
                      <a:noFill/>
                    </a:ln>
                  </pic:spPr>
                </pic:pic>
              </a:graphicData>
            </a:graphic>
          </wp:inline>
        </w:drawing>
      </w:r>
    </w:p>
    <w:p w:rsidR="009543DB" w:rsidRDefault="009543DB" w:rsidP="009543DB">
      <w:pPr>
        <w:pStyle w:val="Sourceandnotes"/>
      </w:pPr>
      <w:r>
        <w:t>Note:</w:t>
      </w:r>
      <w:r>
        <w:tab/>
        <w:t>Real values in 2014</w:t>
      </w:r>
      <w:r>
        <w:noBreakHyphen/>
        <w:t>15 dollars</w:t>
      </w:r>
    </w:p>
    <w:p w:rsidR="009543DB" w:rsidRDefault="009543DB" w:rsidP="009543DB">
      <w:r>
        <w:t>Since 2007</w:t>
      </w:r>
      <w:r>
        <w:noBreakHyphen/>
        <w:t>08, the prices for between one and six days parking have all increased in real terms, with the largest increase occurring for four days parking (11.8 per cent in real terms). However, the prices for more than six days parking have all declined by between 14.0 to 16.0 per cent in real terms since 2007</w:t>
      </w:r>
      <w:r>
        <w:noBreakHyphen/>
        <w:t>08.</w:t>
      </w:r>
    </w:p>
    <w:p w:rsidR="009543DB" w:rsidRDefault="009543DB" w:rsidP="009543DB">
      <w:r>
        <w:t xml:space="preserve">The highest long term car parking prices are for the business car park. Chart 3.4.4 shows that Melbourne Airport increased prices </w:t>
      </w:r>
      <w:proofErr w:type="gramStart"/>
      <w:r>
        <w:t>for each duration</w:t>
      </w:r>
      <w:proofErr w:type="gramEnd"/>
      <w:r>
        <w:t xml:space="preserve"> by between $3 and $55 in 2014</w:t>
      </w:r>
      <w:r>
        <w:noBreakHyphen/>
        <w:t>15.</w:t>
      </w:r>
    </w:p>
    <w:p w:rsidR="009543DB" w:rsidRDefault="009543DB" w:rsidP="009543DB">
      <w:pPr>
        <w:pStyle w:val="Numberedcharttitle"/>
      </w:pPr>
      <w:r>
        <w:t>Chart 3.4.4:</w:t>
      </w:r>
      <w:r>
        <w:tab/>
        <w:t xml:space="preserve">Melbourne Airport—selected prices at business car park in real terms: </w:t>
      </w:r>
      <w:r>
        <w:br/>
        <w:t>30 June 2005 to 30 June 2015</w:t>
      </w:r>
    </w:p>
    <w:p w:rsidR="009543DB" w:rsidRDefault="009543DB" w:rsidP="009543DB">
      <w:r w:rsidRPr="00E530D3">
        <w:rPr>
          <w:noProof/>
          <w:lang w:eastAsia="en-AU"/>
        </w:rPr>
        <w:drawing>
          <wp:inline distT="0" distB="0" distL="0" distR="0" wp14:anchorId="5E6511C3" wp14:editId="66674080">
            <wp:extent cx="5358810" cy="2796362"/>
            <wp:effectExtent l="0" t="0" r="0" b="444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64480" cy="2799321"/>
                    </a:xfrm>
                    <a:prstGeom prst="rect">
                      <a:avLst/>
                    </a:prstGeom>
                    <a:noFill/>
                    <a:ln>
                      <a:noFill/>
                    </a:ln>
                  </pic:spPr>
                </pic:pic>
              </a:graphicData>
            </a:graphic>
          </wp:inline>
        </w:drawing>
      </w:r>
    </w:p>
    <w:p w:rsidR="009543DB" w:rsidRDefault="009543DB" w:rsidP="009543DB">
      <w:pPr>
        <w:pStyle w:val="Sourceandnotes"/>
      </w:pPr>
      <w:r>
        <w:t>Note:</w:t>
      </w:r>
      <w:r>
        <w:tab/>
        <w:t>Real values in 2014-15 dollars</w:t>
      </w:r>
    </w:p>
    <w:p w:rsidR="009543DB" w:rsidRDefault="009543DB" w:rsidP="009543DB">
      <w:r>
        <w:t xml:space="preserve">As noted, Melbourne Airport also provides online pre-booking of car parking spaces, which provides customers with discounted charges. Table 3.4.3 below displays the drive-up charges   </w:t>
      </w:r>
      <w:r>
        <w:lastRenderedPageBreak/>
        <w:t>and the weighted average of drive-up and online charges in 2014</w:t>
      </w:r>
      <w:r>
        <w:noBreakHyphen/>
        <w:t xml:space="preserve">15. The lower figures for the weighted average suggests that users of the long term car parking facilities are more likely to be obtaining online discounts than those using the short term car park. </w:t>
      </w:r>
    </w:p>
    <w:p w:rsidR="009543DB" w:rsidRDefault="009543DB" w:rsidP="009543DB">
      <w:pPr>
        <w:pStyle w:val="Numberedcharttitle"/>
      </w:pPr>
      <w:r>
        <w:t>Table 3.4.3:</w:t>
      </w:r>
      <w:r>
        <w:tab/>
        <w:t>Melbourne Airport—drive-up, online and average parking charges at the long term car parking facilities: 2014</w:t>
      </w:r>
      <w:r>
        <w:noBreakHyphen/>
        <w:t>15</w:t>
      </w:r>
    </w:p>
    <w:tbl>
      <w:tblPr>
        <w:tblStyle w:val="TableGrid"/>
        <w:tblW w:w="0" w:type="auto"/>
        <w:tblLook w:val="04A0" w:firstRow="1" w:lastRow="0" w:firstColumn="1" w:lastColumn="0" w:noHBand="0" w:noVBand="1"/>
      </w:tblPr>
      <w:tblGrid>
        <w:gridCol w:w="2166"/>
        <w:gridCol w:w="2166"/>
        <w:gridCol w:w="2166"/>
        <w:gridCol w:w="2166"/>
      </w:tblGrid>
      <w:tr w:rsidR="009543DB" w:rsidTr="009543DB">
        <w:tc>
          <w:tcPr>
            <w:tcW w:w="8664" w:type="dxa"/>
            <w:gridSpan w:val="4"/>
            <w:tcBorders>
              <w:left w:val="nil"/>
              <w:bottom w:val="nil"/>
              <w:right w:val="nil"/>
            </w:tcBorders>
            <w:shd w:val="clear" w:color="auto" w:fill="DFE0DC"/>
          </w:tcPr>
          <w:p w:rsidR="009543DB" w:rsidRDefault="009543DB" w:rsidP="009543DB">
            <w:pPr>
              <w:pStyle w:val="Tabletextheadingcentre"/>
            </w:pPr>
            <w:r>
              <w:t>Multi-level long term car park (includes ‘business’ car park)</w:t>
            </w:r>
          </w:p>
        </w:tc>
      </w:tr>
      <w:tr w:rsidR="009543DB" w:rsidTr="009543DB">
        <w:tc>
          <w:tcPr>
            <w:tcW w:w="2166" w:type="dxa"/>
            <w:tcBorders>
              <w:top w:val="nil"/>
              <w:left w:val="nil"/>
              <w:bottom w:val="single" w:sz="4" w:space="0" w:color="auto"/>
              <w:right w:val="nil"/>
            </w:tcBorders>
            <w:shd w:val="clear" w:color="auto" w:fill="DFE0DC"/>
          </w:tcPr>
          <w:p w:rsidR="009543DB" w:rsidRDefault="009543DB" w:rsidP="009543DB">
            <w:pPr>
              <w:pStyle w:val="Tabletextheading"/>
            </w:pPr>
            <w:r>
              <w:t>Length of stay</w:t>
            </w:r>
          </w:p>
        </w:tc>
        <w:tc>
          <w:tcPr>
            <w:tcW w:w="2166" w:type="dxa"/>
            <w:tcBorders>
              <w:top w:val="nil"/>
              <w:left w:val="nil"/>
              <w:bottom w:val="single" w:sz="4" w:space="0" w:color="auto"/>
              <w:right w:val="nil"/>
            </w:tcBorders>
            <w:shd w:val="clear" w:color="auto" w:fill="DFE0DC"/>
          </w:tcPr>
          <w:p w:rsidR="009543DB" w:rsidRDefault="009543DB" w:rsidP="009543DB">
            <w:pPr>
              <w:pStyle w:val="Tabletextheadingright"/>
            </w:pPr>
            <w:r>
              <w:t xml:space="preserve">Drive-up </w:t>
            </w:r>
            <w:r>
              <w:br/>
              <w:t>($)</w:t>
            </w:r>
          </w:p>
        </w:tc>
        <w:tc>
          <w:tcPr>
            <w:tcW w:w="2166" w:type="dxa"/>
            <w:tcBorders>
              <w:top w:val="nil"/>
              <w:left w:val="nil"/>
              <w:bottom w:val="single" w:sz="4" w:space="0" w:color="auto"/>
              <w:right w:val="single" w:sz="4" w:space="0" w:color="auto"/>
            </w:tcBorders>
            <w:shd w:val="clear" w:color="auto" w:fill="DFE0DC"/>
          </w:tcPr>
          <w:p w:rsidR="009543DB" w:rsidRDefault="009543DB" w:rsidP="009543DB">
            <w:pPr>
              <w:pStyle w:val="Tabletextheadingright"/>
            </w:pPr>
            <w:r>
              <w:t xml:space="preserve">Average online </w:t>
            </w:r>
            <w:r>
              <w:br/>
              <w:t>($)</w:t>
            </w:r>
          </w:p>
        </w:tc>
        <w:tc>
          <w:tcPr>
            <w:tcW w:w="2166" w:type="dxa"/>
            <w:tcBorders>
              <w:top w:val="nil"/>
              <w:left w:val="single" w:sz="4" w:space="0" w:color="auto"/>
              <w:bottom w:val="single" w:sz="4" w:space="0" w:color="auto"/>
              <w:right w:val="nil"/>
            </w:tcBorders>
            <w:shd w:val="clear" w:color="auto" w:fill="DFE0DC"/>
          </w:tcPr>
          <w:p w:rsidR="009543DB" w:rsidRDefault="009543DB" w:rsidP="009543DB">
            <w:pPr>
              <w:pStyle w:val="Tabletextheadingright"/>
            </w:pPr>
            <w:r>
              <w:t>Weighted average of drive-up and online ($)</w:t>
            </w:r>
          </w:p>
        </w:tc>
      </w:tr>
      <w:tr w:rsidR="009543DB" w:rsidTr="009543DB">
        <w:tc>
          <w:tcPr>
            <w:tcW w:w="2166" w:type="dxa"/>
            <w:tcBorders>
              <w:left w:val="nil"/>
              <w:bottom w:val="nil"/>
              <w:right w:val="nil"/>
            </w:tcBorders>
          </w:tcPr>
          <w:p w:rsidR="009543DB" w:rsidRDefault="009543DB" w:rsidP="009543DB">
            <w:pPr>
              <w:pStyle w:val="Tabletextleft"/>
            </w:pPr>
            <w:r>
              <w:t>1-2 days</w:t>
            </w:r>
          </w:p>
        </w:tc>
        <w:tc>
          <w:tcPr>
            <w:tcW w:w="2166" w:type="dxa"/>
            <w:tcBorders>
              <w:left w:val="nil"/>
              <w:bottom w:val="nil"/>
              <w:right w:val="nil"/>
            </w:tcBorders>
          </w:tcPr>
          <w:p w:rsidR="009543DB" w:rsidRDefault="009543DB" w:rsidP="009543DB">
            <w:pPr>
              <w:pStyle w:val="Tabletextright"/>
            </w:pPr>
            <w:r>
              <w:t>112.56</w:t>
            </w:r>
          </w:p>
        </w:tc>
        <w:tc>
          <w:tcPr>
            <w:tcW w:w="2166" w:type="dxa"/>
            <w:tcBorders>
              <w:left w:val="nil"/>
              <w:bottom w:val="nil"/>
              <w:right w:val="single" w:sz="4" w:space="0" w:color="auto"/>
            </w:tcBorders>
          </w:tcPr>
          <w:p w:rsidR="009543DB" w:rsidRDefault="009543DB" w:rsidP="009543DB">
            <w:pPr>
              <w:pStyle w:val="Tabletextright"/>
            </w:pPr>
            <w:r>
              <w:t>-</w:t>
            </w:r>
          </w:p>
        </w:tc>
        <w:tc>
          <w:tcPr>
            <w:tcW w:w="2166" w:type="dxa"/>
            <w:tcBorders>
              <w:left w:val="single" w:sz="4" w:space="0" w:color="auto"/>
              <w:bottom w:val="nil"/>
              <w:right w:val="nil"/>
            </w:tcBorders>
          </w:tcPr>
          <w:p w:rsidR="009543DB" w:rsidRDefault="009543DB" w:rsidP="009543DB">
            <w:pPr>
              <w:pStyle w:val="Tabletextright"/>
            </w:pPr>
            <w:r>
              <w:t>104.80</w:t>
            </w:r>
          </w:p>
        </w:tc>
      </w:tr>
      <w:tr w:rsidR="009543DB" w:rsidTr="009543DB">
        <w:tc>
          <w:tcPr>
            <w:tcW w:w="2166" w:type="dxa"/>
            <w:tcBorders>
              <w:top w:val="nil"/>
              <w:left w:val="nil"/>
              <w:bottom w:val="nil"/>
              <w:right w:val="nil"/>
            </w:tcBorders>
          </w:tcPr>
          <w:p w:rsidR="009543DB" w:rsidRDefault="009543DB" w:rsidP="009543DB">
            <w:pPr>
              <w:pStyle w:val="Tabletextleft"/>
            </w:pPr>
            <w:r>
              <w:t>2-3 days</w:t>
            </w:r>
          </w:p>
        </w:tc>
        <w:tc>
          <w:tcPr>
            <w:tcW w:w="2166" w:type="dxa"/>
            <w:tcBorders>
              <w:top w:val="nil"/>
              <w:left w:val="nil"/>
              <w:bottom w:val="nil"/>
              <w:right w:val="nil"/>
            </w:tcBorders>
          </w:tcPr>
          <w:p w:rsidR="009543DB" w:rsidRDefault="009543DB" w:rsidP="009543DB">
            <w:pPr>
              <w:pStyle w:val="Tabletextright"/>
            </w:pPr>
            <w:r>
              <w:t>123.92</w:t>
            </w:r>
          </w:p>
        </w:tc>
        <w:tc>
          <w:tcPr>
            <w:tcW w:w="2166" w:type="dxa"/>
            <w:tcBorders>
              <w:top w:val="nil"/>
              <w:left w:val="nil"/>
              <w:bottom w:val="nil"/>
              <w:right w:val="single" w:sz="4" w:space="0" w:color="auto"/>
            </w:tcBorders>
          </w:tcPr>
          <w:p w:rsidR="009543DB" w:rsidRDefault="009543DB" w:rsidP="009543DB">
            <w:pPr>
              <w:pStyle w:val="Tabletextright"/>
            </w:pPr>
            <w:r w:rsidRPr="00021B36">
              <w:t>-</w:t>
            </w:r>
          </w:p>
        </w:tc>
        <w:tc>
          <w:tcPr>
            <w:tcW w:w="2166" w:type="dxa"/>
            <w:tcBorders>
              <w:top w:val="nil"/>
              <w:left w:val="single" w:sz="4" w:space="0" w:color="auto"/>
              <w:bottom w:val="nil"/>
              <w:right w:val="nil"/>
            </w:tcBorders>
          </w:tcPr>
          <w:p w:rsidR="009543DB" w:rsidRDefault="009543DB" w:rsidP="009543DB">
            <w:pPr>
              <w:pStyle w:val="Tabletextright"/>
            </w:pPr>
            <w:r>
              <w:t>107.89</w:t>
            </w:r>
          </w:p>
        </w:tc>
      </w:tr>
      <w:tr w:rsidR="009543DB" w:rsidTr="009543DB">
        <w:tc>
          <w:tcPr>
            <w:tcW w:w="2166" w:type="dxa"/>
            <w:tcBorders>
              <w:top w:val="nil"/>
              <w:left w:val="nil"/>
              <w:bottom w:val="nil"/>
              <w:right w:val="nil"/>
            </w:tcBorders>
          </w:tcPr>
          <w:p w:rsidR="009543DB" w:rsidRDefault="009543DB" w:rsidP="009543DB">
            <w:pPr>
              <w:pStyle w:val="Tabletextleft"/>
            </w:pPr>
            <w:r>
              <w:t>3-4 days</w:t>
            </w:r>
          </w:p>
        </w:tc>
        <w:tc>
          <w:tcPr>
            <w:tcW w:w="2166" w:type="dxa"/>
            <w:tcBorders>
              <w:top w:val="nil"/>
              <w:left w:val="nil"/>
              <w:bottom w:val="nil"/>
              <w:right w:val="nil"/>
            </w:tcBorders>
          </w:tcPr>
          <w:p w:rsidR="009543DB" w:rsidRDefault="009543DB" w:rsidP="009543DB">
            <w:pPr>
              <w:pStyle w:val="Tabletextright"/>
            </w:pPr>
            <w:r>
              <w:t>132.92</w:t>
            </w:r>
          </w:p>
        </w:tc>
        <w:tc>
          <w:tcPr>
            <w:tcW w:w="2166" w:type="dxa"/>
            <w:tcBorders>
              <w:top w:val="nil"/>
              <w:left w:val="nil"/>
              <w:bottom w:val="nil"/>
              <w:right w:val="single" w:sz="4" w:space="0" w:color="auto"/>
            </w:tcBorders>
          </w:tcPr>
          <w:p w:rsidR="009543DB" w:rsidRDefault="009543DB" w:rsidP="009543DB">
            <w:pPr>
              <w:pStyle w:val="Tabletextright"/>
            </w:pPr>
            <w:r w:rsidRPr="00021B36">
              <w:t>-</w:t>
            </w:r>
          </w:p>
        </w:tc>
        <w:tc>
          <w:tcPr>
            <w:tcW w:w="2166" w:type="dxa"/>
            <w:tcBorders>
              <w:top w:val="nil"/>
              <w:left w:val="single" w:sz="4" w:space="0" w:color="auto"/>
              <w:bottom w:val="nil"/>
              <w:right w:val="nil"/>
            </w:tcBorders>
          </w:tcPr>
          <w:p w:rsidR="009543DB" w:rsidRDefault="009543DB" w:rsidP="009543DB">
            <w:pPr>
              <w:pStyle w:val="Tabletextright"/>
            </w:pPr>
            <w:r>
              <w:t>114.87</w:t>
            </w:r>
          </w:p>
        </w:tc>
      </w:tr>
      <w:tr w:rsidR="009543DB" w:rsidTr="009543DB">
        <w:tc>
          <w:tcPr>
            <w:tcW w:w="2166" w:type="dxa"/>
            <w:tcBorders>
              <w:top w:val="nil"/>
              <w:left w:val="nil"/>
              <w:bottom w:val="nil"/>
              <w:right w:val="nil"/>
            </w:tcBorders>
          </w:tcPr>
          <w:p w:rsidR="009543DB" w:rsidRDefault="009543DB" w:rsidP="009543DB">
            <w:pPr>
              <w:pStyle w:val="Tabletextleft"/>
            </w:pPr>
            <w:r>
              <w:t>4-5 days</w:t>
            </w:r>
          </w:p>
        </w:tc>
        <w:tc>
          <w:tcPr>
            <w:tcW w:w="2166" w:type="dxa"/>
            <w:tcBorders>
              <w:top w:val="nil"/>
              <w:left w:val="nil"/>
              <w:bottom w:val="nil"/>
              <w:right w:val="nil"/>
            </w:tcBorders>
          </w:tcPr>
          <w:p w:rsidR="009543DB" w:rsidRDefault="009543DB" w:rsidP="009543DB">
            <w:pPr>
              <w:pStyle w:val="Tabletextright"/>
            </w:pPr>
            <w:r>
              <w:t>141.68</w:t>
            </w:r>
          </w:p>
        </w:tc>
        <w:tc>
          <w:tcPr>
            <w:tcW w:w="2166" w:type="dxa"/>
            <w:tcBorders>
              <w:top w:val="nil"/>
              <w:left w:val="nil"/>
              <w:bottom w:val="nil"/>
              <w:right w:val="single" w:sz="4" w:space="0" w:color="auto"/>
            </w:tcBorders>
          </w:tcPr>
          <w:p w:rsidR="009543DB" w:rsidRDefault="009543DB" w:rsidP="009543DB">
            <w:pPr>
              <w:pStyle w:val="Tabletextright"/>
            </w:pPr>
            <w:r w:rsidRPr="00021B36">
              <w:t>-</w:t>
            </w:r>
          </w:p>
        </w:tc>
        <w:tc>
          <w:tcPr>
            <w:tcW w:w="2166" w:type="dxa"/>
            <w:tcBorders>
              <w:top w:val="nil"/>
              <w:left w:val="single" w:sz="4" w:space="0" w:color="auto"/>
              <w:bottom w:val="nil"/>
              <w:right w:val="nil"/>
            </w:tcBorders>
          </w:tcPr>
          <w:p w:rsidR="009543DB" w:rsidRDefault="009543DB" w:rsidP="009543DB">
            <w:pPr>
              <w:pStyle w:val="Tabletextright"/>
            </w:pPr>
            <w:r>
              <w:t>126.35</w:t>
            </w:r>
          </w:p>
        </w:tc>
      </w:tr>
      <w:tr w:rsidR="009543DB" w:rsidTr="009543DB">
        <w:tc>
          <w:tcPr>
            <w:tcW w:w="2166" w:type="dxa"/>
            <w:tcBorders>
              <w:top w:val="nil"/>
              <w:left w:val="nil"/>
              <w:bottom w:val="nil"/>
              <w:right w:val="nil"/>
            </w:tcBorders>
          </w:tcPr>
          <w:p w:rsidR="009543DB" w:rsidRDefault="009543DB" w:rsidP="009543DB">
            <w:pPr>
              <w:pStyle w:val="Tabletextleft"/>
            </w:pPr>
            <w:r>
              <w:t>5-6 days</w:t>
            </w:r>
          </w:p>
        </w:tc>
        <w:tc>
          <w:tcPr>
            <w:tcW w:w="2166" w:type="dxa"/>
            <w:tcBorders>
              <w:top w:val="nil"/>
              <w:left w:val="nil"/>
              <w:bottom w:val="nil"/>
              <w:right w:val="nil"/>
            </w:tcBorders>
          </w:tcPr>
          <w:p w:rsidR="009543DB" w:rsidRDefault="009543DB" w:rsidP="009543DB">
            <w:pPr>
              <w:pStyle w:val="Tabletextright"/>
            </w:pPr>
            <w:r>
              <w:t>140.80</w:t>
            </w:r>
          </w:p>
        </w:tc>
        <w:tc>
          <w:tcPr>
            <w:tcW w:w="2166" w:type="dxa"/>
            <w:tcBorders>
              <w:top w:val="nil"/>
              <w:left w:val="nil"/>
              <w:bottom w:val="nil"/>
              <w:right w:val="single" w:sz="4" w:space="0" w:color="auto"/>
            </w:tcBorders>
          </w:tcPr>
          <w:p w:rsidR="009543DB" w:rsidRDefault="009543DB" w:rsidP="009543DB">
            <w:pPr>
              <w:pStyle w:val="Tabletextright"/>
            </w:pPr>
            <w:r w:rsidRPr="00021B36">
              <w:t>-</w:t>
            </w:r>
          </w:p>
        </w:tc>
        <w:tc>
          <w:tcPr>
            <w:tcW w:w="2166" w:type="dxa"/>
            <w:tcBorders>
              <w:top w:val="nil"/>
              <w:left w:val="single" w:sz="4" w:space="0" w:color="auto"/>
              <w:bottom w:val="nil"/>
              <w:right w:val="nil"/>
            </w:tcBorders>
          </w:tcPr>
          <w:p w:rsidR="009543DB" w:rsidRDefault="009543DB" w:rsidP="009543DB">
            <w:pPr>
              <w:pStyle w:val="Tabletextright"/>
            </w:pPr>
            <w:r>
              <w:t>126.93</w:t>
            </w:r>
          </w:p>
        </w:tc>
      </w:tr>
      <w:tr w:rsidR="009543DB" w:rsidTr="009543DB">
        <w:tc>
          <w:tcPr>
            <w:tcW w:w="2166" w:type="dxa"/>
            <w:tcBorders>
              <w:top w:val="nil"/>
              <w:left w:val="nil"/>
              <w:bottom w:val="single" w:sz="4" w:space="0" w:color="auto"/>
              <w:right w:val="nil"/>
            </w:tcBorders>
          </w:tcPr>
          <w:p w:rsidR="009543DB" w:rsidRDefault="009543DB" w:rsidP="009543DB">
            <w:pPr>
              <w:pStyle w:val="Tabletextleft"/>
            </w:pPr>
            <w:r>
              <w:t>6-7 days</w:t>
            </w:r>
          </w:p>
        </w:tc>
        <w:tc>
          <w:tcPr>
            <w:tcW w:w="2166" w:type="dxa"/>
            <w:tcBorders>
              <w:top w:val="nil"/>
              <w:left w:val="nil"/>
              <w:bottom w:val="single" w:sz="4" w:space="0" w:color="auto"/>
              <w:right w:val="nil"/>
            </w:tcBorders>
          </w:tcPr>
          <w:p w:rsidR="009543DB" w:rsidRDefault="009543DB" w:rsidP="009543DB">
            <w:pPr>
              <w:pStyle w:val="Tabletextright"/>
            </w:pPr>
            <w:r>
              <w:t>140.62</w:t>
            </w:r>
          </w:p>
        </w:tc>
        <w:tc>
          <w:tcPr>
            <w:tcW w:w="2166" w:type="dxa"/>
            <w:tcBorders>
              <w:top w:val="nil"/>
              <w:left w:val="nil"/>
              <w:bottom w:val="single" w:sz="4" w:space="0" w:color="auto"/>
              <w:right w:val="single" w:sz="4" w:space="0" w:color="auto"/>
            </w:tcBorders>
          </w:tcPr>
          <w:p w:rsidR="009543DB" w:rsidRDefault="009543DB" w:rsidP="009543DB">
            <w:pPr>
              <w:pStyle w:val="Tabletextright"/>
            </w:pPr>
            <w:r w:rsidRPr="00021B36">
              <w:t>-</w:t>
            </w:r>
          </w:p>
        </w:tc>
        <w:tc>
          <w:tcPr>
            <w:tcW w:w="2166" w:type="dxa"/>
            <w:tcBorders>
              <w:top w:val="nil"/>
              <w:left w:val="single" w:sz="4" w:space="0" w:color="auto"/>
              <w:bottom w:val="single" w:sz="4" w:space="0" w:color="auto"/>
              <w:right w:val="nil"/>
            </w:tcBorders>
          </w:tcPr>
          <w:p w:rsidR="009543DB" w:rsidRDefault="009543DB" w:rsidP="009543DB">
            <w:pPr>
              <w:pStyle w:val="Tabletextright"/>
            </w:pPr>
            <w:r>
              <w:t>126.57</w:t>
            </w:r>
          </w:p>
        </w:tc>
      </w:tr>
      <w:tr w:rsidR="009543DB" w:rsidTr="009543DB">
        <w:tc>
          <w:tcPr>
            <w:tcW w:w="8664" w:type="dxa"/>
            <w:gridSpan w:val="4"/>
            <w:tcBorders>
              <w:top w:val="single" w:sz="4" w:space="0" w:color="auto"/>
              <w:left w:val="nil"/>
              <w:bottom w:val="nil"/>
              <w:right w:val="nil"/>
            </w:tcBorders>
            <w:shd w:val="clear" w:color="auto" w:fill="DFE0DC"/>
          </w:tcPr>
          <w:p w:rsidR="009543DB" w:rsidRDefault="009543DB" w:rsidP="009543DB">
            <w:pPr>
              <w:pStyle w:val="Tabletextheadingcentre"/>
            </w:pPr>
            <w:r>
              <w:t>Uncovered long term car park</w:t>
            </w:r>
          </w:p>
        </w:tc>
      </w:tr>
      <w:tr w:rsidR="009543DB" w:rsidTr="009543DB">
        <w:tc>
          <w:tcPr>
            <w:tcW w:w="2166" w:type="dxa"/>
            <w:tcBorders>
              <w:top w:val="nil"/>
              <w:left w:val="nil"/>
              <w:bottom w:val="single" w:sz="4" w:space="0" w:color="auto"/>
              <w:right w:val="nil"/>
            </w:tcBorders>
            <w:shd w:val="clear" w:color="auto" w:fill="DFE0DC"/>
          </w:tcPr>
          <w:p w:rsidR="009543DB" w:rsidRDefault="009543DB" w:rsidP="009543DB">
            <w:pPr>
              <w:pStyle w:val="Tabletextheading"/>
            </w:pPr>
            <w:r>
              <w:t>Length of stay</w:t>
            </w:r>
          </w:p>
        </w:tc>
        <w:tc>
          <w:tcPr>
            <w:tcW w:w="2166" w:type="dxa"/>
            <w:tcBorders>
              <w:top w:val="nil"/>
              <w:left w:val="nil"/>
              <w:bottom w:val="single" w:sz="4" w:space="0" w:color="auto"/>
              <w:right w:val="nil"/>
            </w:tcBorders>
            <w:shd w:val="clear" w:color="auto" w:fill="DFE0DC"/>
          </w:tcPr>
          <w:p w:rsidR="009543DB" w:rsidRDefault="009543DB" w:rsidP="009543DB">
            <w:pPr>
              <w:pStyle w:val="Tabletextheadingright"/>
            </w:pPr>
            <w:r>
              <w:t xml:space="preserve">Drive-up </w:t>
            </w:r>
            <w:r>
              <w:br/>
              <w:t>($)</w:t>
            </w:r>
          </w:p>
        </w:tc>
        <w:tc>
          <w:tcPr>
            <w:tcW w:w="2166" w:type="dxa"/>
            <w:tcBorders>
              <w:top w:val="nil"/>
              <w:left w:val="nil"/>
              <w:bottom w:val="single" w:sz="4" w:space="0" w:color="auto"/>
              <w:right w:val="single" w:sz="4" w:space="0" w:color="auto"/>
            </w:tcBorders>
            <w:shd w:val="clear" w:color="auto" w:fill="DFE0DC"/>
          </w:tcPr>
          <w:p w:rsidR="009543DB" w:rsidRDefault="009543DB" w:rsidP="009543DB">
            <w:pPr>
              <w:pStyle w:val="Tabletextheadingright"/>
            </w:pPr>
            <w:r>
              <w:t xml:space="preserve">Average online </w:t>
            </w:r>
            <w:r>
              <w:br/>
              <w:t>($)</w:t>
            </w:r>
          </w:p>
        </w:tc>
        <w:tc>
          <w:tcPr>
            <w:tcW w:w="2166" w:type="dxa"/>
            <w:tcBorders>
              <w:top w:val="nil"/>
              <w:left w:val="single" w:sz="4" w:space="0" w:color="auto"/>
              <w:bottom w:val="single" w:sz="4" w:space="0" w:color="auto"/>
              <w:right w:val="nil"/>
            </w:tcBorders>
            <w:shd w:val="clear" w:color="auto" w:fill="DFE0DC"/>
          </w:tcPr>
          <w:p w:rsidR="009543DB" w:rsidRDefault="009543DB" w:rsidP="009543DB">
            <w:pPr>
              <w:pStyle w:val="Tabletextheadingright"/>
            </w:pPr>
            <w:r>
              <w:t>Weighted average of drive-up and online ($)</w:t>
            </w:r>
          </w:p>
        </w:tc>
      </w:tr>
      <w:tr w:rsidR="009543DB" w:rsidTr="009543DB">
        <w:tc>
          <w:tcPr>
            <w:tcW w:w="2166" w:type="dxa"/>
            <w:tcBorders>
              <w:top w:val="single" w:sz="4" w:space="0" w:color="auto"/>
              <w:left w:val="nil"/>
              <w:bottom w:val="nil"/>
              <w:right w:val="nil"/>
            </w:tcBorders>
          </w:tcPr>
          <w:p w:rsidR="009543DB" w:rsidRDefault="009543DB" w:rsidP="009543DB">
            <w:pPr>
              <w:pStyle w:val="Tabletextleft"/>
            </w:pPr>
            <w:r>
              <w:t>0-24 hours</w:t>
            </w:r>
          </w:p>
        </w:tc>
        <w:tc>
          <w:tcPr>
            <w:tcW w:w="2166" w:type="dxa"/>
            <w:tcBorders>
              <w:top w:val="single" w:sz="4" w:space="0" w:color="auto"/>
              <w:left w:val="nil"/>
              <w:bottom w:val="nil"/>
              <w:right w:val="nil"/>
            </w:tcBorders>
          </w:tcPr>
          <w:p w:rsidR="009543DB" w:rsidRDefault="009543DB" w:rsidP="009543DB">
            <w:pPr>
              <w:pStyle w:val="Tabletextright"/>
            </w:pPr>
            <w:r>
              <w:t>39.00</w:t>
            </w:r>
          </w:p>
        </w:tc>
        <w:tc>
          <w:tcPr>
            <w:tcW w:w="2166" w:type="dxa"/>
            <w:tcBorders>
              <w:top w:val="single" w:sz="4" w:space="0" w:color="auto"/>
              <w:left w:val="nil"/>
              <w:bottom w:val="nil"/>
              <w:right w:val="single" w:sz="4" w:space="0" w:color="auto"/>
            </w:tcBorders>
          </w:tcPr>
          <w:p w:rsidR="009543DB" w:rsidRDefault="009543DB" w:rsidP="009543DB">
            <w:pPr>
              <w:pStyle w:val="Tabletextright"/>
            </w:pPr>
            <w:r w:rsidRPr="00C747F7">
              <w:t>-</w:t>
            </w:r>
          </w:p>
        </w:tc>
        <w:tc>
          <w:tcPr>
            <w:tcW w:w="2166" w:type="dxa"/>
            <w:tcBorders>
              <w:top w:val="single" w:sz="4" w:space="0" w:color="auto"/>
              <w:left w:val="single" w:sz="4" w:space="0" w:color="auto"/>
              <w:bottom w:val="nil"/>
              <w:right w:val="nil"/>
            </w:tcBorders>
          </w:tcPr>
          <w:p w:rsidR="009543DB" w:rsidRDefault="009543DB" w:rsidP="009543DB">
            <w:pPr>
              <w:pStyle w:val="Tabletextright"/>
            </w:pPr>
            <w:r>
              <w:t>30.44</w:t>
            </w:r>
          </w:p>
        </w:tc>
      </w:tr>
      <w:tr w:rsidR="009543DB" w:rsidTr="009543DB">
        <w:tc>
          <w:tcPr>
            <w:tcW w:w="2166" w:type="dxa"/>
            <w:tcBorders>
              <w:top w:val="nil"/>
              <w:left w:val="nil"/>
              <w:bottom w:val="nil"/>
              <w:right w:val="nil"/>
            </w:tcBorders>
          </w:tcPr>
          <w:p w:rsidR="009543DB" w:rsidRDefault="009543DB" w:rsidP="009543DB">
            <w:pPr>
              <w:pStyle w:val="Tabletextleft"/>
            </w:pPr>
            <w:r>
              <w:t>1-2 days</w:t>
            </w:r>
          </w:p>
        </w:tc>
        <w:tc>
          <w:tcPr>
            <w:tcW w:w="2166" w:type="dxa"/>
            <w:tcBorders>
              <w:top w:val="nil"/>
              <w:left w:val="nil"/>
              <w:bottom w:val="nil"/>
              <w:right w:val="nil"/>
            </w:tcBorders>
          </w:tcPr>
          <w:p w:rsidR="009543DB" w:rsidRDefault="009543DB" w:rsidP="009543DB">
            <w:pPr>
              <w:pStyle w:val="Tabletextright"/>
            </w:pPr>
            <w:r>
              <w:t>49.00</w:t>
            </w:r>
          </w:p>
        </w:tc>
        <w:tc>
          <w:tcPr>
            <w:tcW w:w="2166" w:type="dxa"/>
            <w:tcBorders>
              <w:top w:val="nil"/>
              <w:left w:val="nil"/>
              <w:bottom w:val="nil"/>
              <w:right w:val="single" w:sz="4" w:space="0" w:color="auto"/>
            </w:tcBorders>
          </w:tcPr>
          <w:p w:rsidR="009543DB" w:rsidRDefault="009543DB" w:rsidP="009543DB">
            <w:pPr>
              <w:pStyle w:val="Tabletextright"/>
            </w:pPr>
            <w:r w:rsidRPr="00C747F7">
              <w:t>-</w:t>
            </w:r>
          </w:p>
        </w:tc>
        <w:tc>
          <w:tcPr>
            <w:tcW w:w="2166" w:type="dxa"/>
            <w:tcBorders>
              <w:top w:val="nil"/>
              <w:left w:val="single" w:sz="4" w:space="0" w:color="auto"/>
              <w:bottom w:val="nil"/>
              <w:right w:val="nil"/>
            </w:tcBorders>
          </w:tcPr>
          <w:p w:rsidR="009543DB" w:rsidRDefault="009543DB" w:rsidP="009543DB">
            <w:pPr>
              <w:pStyle w:val="Tabletextright"/>
            </w:pPr>
            <w:r>
              <w:t>40.50</w:t>
            </w:r>
          </w:p>
        </w:tc>
      </w:tr>
      <w:tr w:rsidR="009543DB" w:rsidTr="009543DB">
        <w:tc>
          <w:tcPr>
            <w:tcW w:w="2166" w:type="dxa"/>
            <w:tcBorders>
              <w:top w:val="nil"/>
              <w:left w:val="nil"/>
              <w:bottom w:val="nil"/>
              <w:right w:val="nil"/>
            </w:tcBorders>
          </w:tcPr>
          <w:p w:rsidR="009543DB" w:rsidRDefault="009543DB" w:rsidP="009543DB">
            <w:pPr>
              <w:pStyle w:val="Tabletextleft"/>
            </w:pPr>
            <w:r>
              <w:t>2-3 days</w:t>
            </w:r>
          </w:p>
        </w:tc>
        <w:tc>
          <w:tcPr>
            <w:tcW w:w="2166" w:type="dxa"/>
            <w:tcBorders>
              <w:top w:val="nil"/>
              <w:left w:val="nil"/>
              <w:bottom w:val="nil"/>
              <w:right w:val="nil"/>
            </w:tcBorders>
          </w:tcPr>
          <w:p w:rsidR="009543DB" w:rsidRDefault="009543DB" w:rsidP="009543DB">
            <w:pPr>
              <w:pStyle w:val="Tabletextright"/>
            </w:pPr>
            <w:r>
              <w:t>69.00</w:t>
            </w:r>
          </w:p>
        </w:tc>
        <w:tc>
          <w:tcPr>
            <w:tcW w:w="2166" w:type="dxa"/>
            <w:tcBorders>
              <w:top w:val="nil"/>
              <w:left w:val="nil"/>
              <w:bottom w:val="nil"/>
              <w:right w:val="single" w:sz="4" w:space="0" w:color="auto"/>
            </w:tcBorders>
          </w:tcPr>
          <w:p w:rsidR="009543DB" w:rsidRDefault="009543DB" w:rsidP="009543DB">
            <w:pPr>
              <w:pStyle w:val="Tabletextright"/>
            </w:pPr>
            <w:r w:rsidRPr="00C747F7">
              <w:t>-</w:t>
            </w:r>
          </w:p>
        </w:tc>
        <w:tc>
          <w:tcPr>
            <w:tcW w:w="2166" w:type="dxa"/>
            <w:tcBorders>
              <w:top w:val="nil"/>
              <w:left w:val="single" w:sz="4" w:space="0" w:color="auto"/>
              <w:bottom w:val="nil"/>
              <w:right w:val="nil"/>
            </w:tcBorders>
          </w:tcPr>
          <w:p w:rsidR="009543DB" w:rsidRDefault="009543DB" w:rsidP="009543DB">
            <w:pPr>
              <w:pStyle w:val="Tabletextright"/>
            </w:pPr>
            <w:r>
              <w:t>55.60</w:t>
            </w:r>
          </w:p>
        </w:tc>
      </w:tr>
      <w:tr w:rsidR="009543DB" w:rsidTr="009543DB">
        <w:tc>
          <w:tcPr>
            <w:tcW w:w="2166" w:type="dxa"/>
            <w:tcBorders>
              <w:top w:val="nil"/>
              <w:left w:val="nil"/>
              <w:bottom w:val="nil"/>
              <w:right w:val="nil"/>
            </w:tcBorders>
          </w:tcPr>
          <w:p w:rsidR="009543DB" w:rsidRDefault="009543DB" w:rsidP="009543DB">
            <w:pPr>
              <w:pStyle w:val="Tabletextleft"/>
            </w:pPr>
            <w:r>
              <w:t>3-4 days</w:t>
            </w:r>
          </w:p>
        </w:tc>
        <w:tc>
          <w:tcPr>
            <w:tcW w:w="2166" w:type="dxa"/>
            <w:tcBorders>
              <w:top w:val="nil"/>
              <w:left w:val="nil"/>
              <w:bottom w:val="nil"/>
              <w:right w:val="nil"/>
            </w:tcBorders>
          </w:tcPr>
          <w:p w:rsidR="009543DB" w:rsidRDefault="009543DB" w:rsidP="009543DB">
            <w:pPr>
              <w:pStyle w:val="Tabletextright"/>
            </w:pPr>
            <w:r>
              <w:t>75.00</w:t>
            </w:r>
          </w:p>
        </w:tc>
        <w:tc>
          <w:tcPr>
            <w:tcW w:w="2166" w:type="dxa"/>
            <w:tcBorders>
              <w:top w:val="nil"/>
              <w:left w:val="nil"/>
              <w:bottom w:val="nil"/>
              <w:right w:val="single" w:sz="4" w:space="0" w:color="auto"/>
            </w:tcBorders>
          </w:tcPr>
          <w:p w:rsidR="009543DB" w:rsidRDefault="009543DB" w:rsidP="009543DB">
            <w:pPr>
              <w:pStyle w:val="Tabletextright"/>
            </w:pPr>
            <w:r w:rsidRPr="00C747F7">
              <w:t>-</w:t>
            </w:r>
          </w:p>
        </w:tc>
        <w:tc>
          <w:tcPr>
            <w:tcW w:w="2166" w:type="dxa"/>
            <w:tcBorders>
              <w:top w:val="nil"/>
              <w:left w:val="single" w:sz="4" w:space="0" w:color="auto"/>
              <w:bottom w:val="nil"/>
              <w:right w:val="nil"/>
            </w:tcBorders>
          </w:tcPr>
          <w:p w:rsidR="009543DB" w:rsidRDefault="009543DB" w:rsidP="009543DB">
            <w:pPr>
              <w:pStyle w:val="Tabletextright"/>
            </w:pPr>
            <w:r>
              <w:t>60.34</w:t>
            </w:r>
          </w:p>
        </w:tc>
      </w:tr>
      <w:tr w:rsidR="009543DB" w:rsidTr="009543DB">
        <w:tc>
          <w:tcPr>
            <w:tcW w:w="2166" w:type="dxa"/>
            <w:tcBorders>
              <w:top w:val="nil"/>
              <w:left w:val="nil"/>
              <w:bottom w:val="nil"/>
              <w:right w:val="nil"/>
            </w:tcBorders>
          </w:tcPr>
          <w:p w:rsidR="009543DB" w:rsidRDefault="009543DB" w:rsidP="009543DB">
            <w:pPr>
              <w:pStyle w:val="Tabletextleft"/>
            </w:pPr>
            <w:r>
              <w:t>4-5 days</w:t>
            </w:r>
          </w:p>
        </w:tc>
        <w:tc>
          <w:tcPr>
            <w:tcW w:w="2166" w:type="dxa"/>
            <w:tcBorders>
              <w:top w:val="nil"/>
              <w:left w:val="nil"/>
              <w:bottom w:val="nil"/>
              <w:right w:val="nil"/>
            </w:tcBorders>
          </w:tcPr>
          <w:p w:rsidR="009543DB" w:rsidRDefault="009543DB" w:rsidP="009543DB">
            <w:pPr>
              <w:pStyle w:val="Tabletextright"/>
            </w:pPr>
            <w:r>
              <w:t>79.00</w:t>
            </w:r>
          </w:p>
        </w:tc>
        <w:tc>
          <w:tcPr>
            <w:tcW w:w="2166" w:type="dxa"/>
            <w:tcBorders>
              <w:top w:val="nil"/>
              <w:left w:val="nil"/>
              <w:bottom w:val="nil"/>
              <w:right w:val="single" w:sz="4" w:space="0" w:color="auto"/>
            </w:tcBorders>
          </w:tcPr>
          <w:p w:rsidR="009543DB" w:rsidRDefault="009543DB" w:rsidP="009543DB">
            <w:pPr>
              <w:pStyle w:val="Tabletextright"/>
            </w:pPr>
            <w:r w:rsidRPr="00C747F7">
              <w:t>-</w:t>
            </w:r>
          </w:p>
        </w:tc>
        <w:tc>
          <w:tcPr>
            <w:tcW w:w="2166" w:type="dxa"/>
            <w:tcBorders>
              <w:top w:val="nil"/>
              <w:left w:val="single" w:sz="4" w:space="0" w:color="auto"/>
              <w:bottom w:val="nil"/>
              <w:right w:val="nil"/>
            </w:tcBorders>
          </w:tcPr>
          <w:p w:rsidR="009543DB" w:rsidRDefault="009543DB" w:rsidP="009543DB">
            <w:pPr>
              <w:pStyle w:val="Tabletextright"/>
            </w:pPr>
            <w:r>
              <w:t>65.23</w:t>
            </w:r>
          </w:p>
        </w:tc>
      </w:tr>
      <w:tr w:rsidR="009543DB" w:rsidTr="009543DB">
        <w:tc>
          <w:tcPr>
            <w:tcW w:w="2166" w:type="dxa"/>
            <w:tcBorders>
              <w:top w:val="nil"/>
              <w:left w:val="nil"/>
              <w:bottom w:val="nil"/>
              <w:right w:val="nil"/>
            </w:tcBorders>
          </w:tcPr>
          <w:p w:rsidR="009543DB" w:rsidRDefault="009543DB" w:rsidP="009543DB">
            <w:pPr>
              <w:pStyle w:val="Tabletextleft"/>
            </w:pPr>
            <w:r>
              <w:t>5-6 days</w:t>
            </w:r>
          </w:p>
        </w:tc>
        <w:tc>
          <w:tcPr>
            <w:tcW w:w="2166" w:type="dxa"/>
            <w:tcBorders>
              <w:top w:val="nil"/>
              <w:left w:val="nil"/>
              <w:bottom w:val="nil"/>
              <w:right w:val="nil"/>
            </w:tcBorders>
          </w:tcPr>
          <w:p w:rsidR="009543DB" w:rsidRDefault="009543DB" w:rsidP="009543DB">
            <w:pPr>
              <w:pStyle w:val="Tabletextright"/>
            </w:pPr>
            <w:r>
              <w:t>89.00</w:t>
            </w:r>
          </w:p>
        </w:tc>
        <w:tc>
          <w:tcPr>
            <w:tcW w:w="2166" w:type="dxa"/>
            <w:tcBorders>
              <w:top w:val="nil"/>
              <w:left w:val="nil"/>
              <w:bottom w:val="nil"/>
              <w:right w:val="single" w:sz="4" w:space="0" w:color="auto"/>
            </w:tcBorders>
          </w:tcPr>
          <w:p w:rsidR="009543DB" w:rsidRDefault="009543DB" w:rsidP="009543DB">
            <w:pPr>
              <w:pStyle w:val="Tabletextright"/>
            </w:pPr>
            <w:r w:rsidRPr="00C747F7">
              <w:t>-</w:t>
            </w:r>
          </w:p>
        </w:tc>
        <w:tc>
          <w:tcPr>
            <w:tcW w:w="2166" w:type="dxa"/>
            <w:tcBorders>
              <w:top w:val="nil"/>
              <w:left w:val="single" w:sz="4" w:space="0" w:color="auto"/>
              <w:bottom w:val="nil"/>
              <w:right w:val="nil"/>
            </w:tcBorders>
          </w:tcPr>
          <w:p w:rsidR="009543DB" w:rsidRDefault="009543DB" w:rsidP="009543DB">
            <w:pPr>
              <w:pStyle w:val="Tabletextright"/>
            </w:pPr>
            <w:r>
              <w:t>70.54</w:t>
            </w:r>
          </w:p>
        </w:tc>
      </w:tr>
      <w:tr w:rsidR="009543DB" w:rsidTr="009543DB">
        <w:tc>
          <w:tcPr>
            <w:tcW w:w="2166" w:type="dxa"/>
            <w:tcBorders>
              <w:top w:val="nil"/>
              <w:left w:val="nil"/>
              <w:bottom w:val="nil"/>
              <w:right w:val="nil"/>
            </w:tcBorders>
          </w:tcPr>
          <w:p w:rsidR="009543DB" w:rsidRDefault="009543DB" w:rsidP="009543DB">
            <w:pPr>
              <w:pStyle w:val="Tabletextleft"/>
            </w:pPr>
            <w:r>
              <w:t>6-7 days</w:t>
            </w:r>
          </w:p>
        </w:tc>
        <w:tc>
          <w:tcPr>
            <w:tcW w:w="2166" w:type="dxa"/>
            <w:tcBorders>
              <w:top w:val="nil"/>
              <w:left w:val="nil"/>
              <w:bottom w:val="nil"/>
              <w:right w:val="nil"/>
            </w:tcBorders>
          </w:tcPr>
          <w:p w:rsidR="009543DB" w:rsidRDefault="009543DB" w:rsidP="009543DB">
            <w:pPr>
              <w:pStyle w:val="Tabletextright"/>
            </w:pPr>
            <w:r>
              <w:t>99.00</w:t>
            </w:r>
          </w:p>
        </w:tc>
        <w:tc>
          <w:tcPr>
            <w:tcW w:w="2166" w:type="dxa"/>
            <w:tcBorders>
              <w:top w:val="nil"/>
              <w:left w:val="nil"/>
              <w:bottom w:val="nil"/>
              <w:right w:val="single" w:sz="4" w:space="0" w:color="auto"/>
            </w:tcBorders>
          </w:tcPr>
          <w:p w:rsidR="009543DB" w:rsidRDefault="009543DB" w:rsidP="009543DB">
            <w:pPr>
              <w:pStyle w:val="Tabletextright"/>
            </w:pPr>
            <w:r w:rsidRPr="00C747F7">
              <w:t>-</w:t>
            </w:r>
          </w:p>
        </w:tc>
        <w:tc>
          <w:tcPr>
            <w:tcW w:w="2166" w:type="dxa"/>
            <w:tcBorders>
              <w:top w:val="nil"/>
              <w:left w:val="single" w:sz="4" w:space="0" w:color="auto"/>
              <w:bottom w:val="nil"/>
              <w:right w:val="nil"/>
            </w:tcBorders>
          </w:tcPr>
          <w:p w:rsidR="009543DB" w:rsidRDefault="009543DB" w:rsidP="009543DB">
            <w:pPr>
              <w:pStyle w:val="Tabletextright"/>
            </w:pPr>
            <w:r>
              <w:t>75.26</w:t>
            </w:r>
          </w:p>
        </w:tc>
      </w:tr>
      <w:tr w:rsidR="009543DB" w:rsidTr="009543DB">
        <w:tc>
          <w:tcPr>
            <w:tcW w:w="2166" w:type="dxa"/>
            <w:tcBorders>
              <w:top w:val="nil"/>
              <w:left w:val="nil"/>
              <w:bottom w:val="single" w:sz="4" w:space="0" w:color="auto"/>
              <w:right w:val="nil"/>
            </w:tcBorders>
          </w:tcPr>
          <w:p w:rsidR="009543DB" w:rsidRDefault="009543DB" w:rsidP="009543DB">
            <w:pPr>
              <w:pStyle w:val="Tabletextleft"/>
            </w:pPr>
            <w:r>
              <w:t>7-8 days</w:t>
            </w:r>
          </w:p>
        </w:tc>
        <w:tc>
          <w:tcPr>
            <w:tcW w:w="2166" w:type="dxa"/>
            <w:tcBorders>
              <w:top w:val="nil"/>
              <w:left w:val="nil"/>
              <w:bottom w:val="single" w:sz="4" w:space="0" w:color="auto"/>
              <w:right w:val="nil"/>
            </w:tcBorders>
          </w:tcPr>
          <w:p w:rsidR="009543DB" w:rsidRDefault="009543DB" w:rsidP="009543DB">
            <w:pPr>
              <w:pStyle w:val="Tabletextright"/>
            </w:pPr>
            <w:r>
              <w:t>109.00</w:t>
            </w:r>
          </w:p>
        </w:tc>
        <w:tc>
          <w:tcPr>
            <w:tcW w:w="2166" w:type="dxa"/>
            <w:tcBorders>
              <w:top w:val="nil"/>
              <w:left w:val="nil"/>
              <w:bottom w:val="single" w:sz="4" w:space="0" w:color="auto"/>
              <w:right w:val="single" w:sz="4" w:space="0" w:color="auto"/>
            </w:tcBorders>
          </w:tcPr>
          <w:p w:rsidR="009543DB" w:rsidRDefault="009543DB" w:rsidP="009543DB">
            <w:pPr>
              <w:pStyle w:val="Tabletextright"/>
            </w:pPr>
            <w:r w:rsidRPr="00C747F7">
              <w:t>-</w:t>
            </w:r>
          </w:p>
        </w:tc>
        <w:tc>
          <w:tcPr>
            <w:tcW w:w="2166" w:type="dxa"/>
            <w:tcBorders>
              <w:top w:val="nil"/>
              <w:left w:val="single" w:sz="4" w:space="0" w:color="auto"/>
              <w:bottom w:val="single" w:sz="4" w:space="0" w:color="auto"/>
              <w:right w:val="nil"/>
            </w:tcBorders>
          </w:tcPr>
          <w:p w:rsidR="009543DB" w:rsidRDefault="009543DB" w:rsidP="009543DB">
            <w:pPr>
              <w:pStyle w:val="Tabletextright"/>
            </w:pPr>
            <w:r>
              <w:t>84.12</w:t>
            </w:r>
          </w:p>
        </w:tc>
      </w:tr>
      <w:tr w:rsidR="009543DB" w:rsidTr="009543DB">
        <w:tc>
          <w:tcPr>
            <w:tcW w:w="8664" w:type="dxa"/>
            <w:gridSpan w:val="4"/>
            <w:tcBorders>
              <w:top w:val="single" w:sz="4" w:space="0" w:color="auto"/>
              <w:left w:val="nil"/>
              <w:bottom w:val="nil"/>
              <w:right w:val="nil"/>
            </w:tcBorders>
            <w:shd w:val="clear" w:color="auto" w:fill="DFE0DC"/>
          </w:tcPr>
          <w:p w:rsidR="009543DB" w:rsidRDefault="009543DB" w:rsidP="009543DB">
            <w:pPr>
              <w:pStyle w:val="Tabletextheadingcentre"/>
            </w:pPr>
            <w:r>
              <w:t>Value long term car park</w:t>
            </w:r>
          </w:p>
        </w:tc>
      </w:tr>
      <w:tr w:rsidR="009543DB" w:rsidTr="009543DB">
        <w:tc>
          <w:tcPr>
            <w:tcW w:w="2166" w:type="dxa"/>
            <w:tcBorders>
              <w:top w:val="nil"/>
              <w:left w:val="nil"/>
              <w:bottom w:val="single" w:sz="4" w:space="0" w:color="auto"/>
              <w:right w:val="nil"/>
            </w:tcBorders>
            <w:shd w:val="clear" w:color="auto" w:fill="DFE0DC"/>
          </w:tcPr>
          <w:p w:rsidR="009543DB" w:rsidRDefault="009543DB" w:rsidP="009543DB">
            <w:pPr>
              <w:pStyle w:val="Tabletextheading"/>
            </w:pPr>
            <w:r>
              <w:t>Length of stay</w:t>
            </w:r>
          </w:p>
        </w:tc>
        <w:tc>
          <w:tcPr>
            <w:tcW w:w="2166" w:type="dxa"/>
            <w:tcBorders>
              <w:top w:val="nil"/>
              <w:left w:val="nil"/>
              <w:bottom w:val="single" w:sz="4" w:space="0" w:color="auto"/>
              <w:right w:val="nil"/>
            </w:tcBorders>
            <w:shd w:val="clear" w:color="auto" w:fill="DFE0DC"/>
          </w:tcPr>
          <w:p w:rsidR="009543DB" w:rsidRDefault="009543DB" w:rsidP="009543DB">
            <w:pPr>
              <w:pStyle w:val="Tabletextheadingright"/>
            </w:pPr>
            <w:r>
              <w:t xml:space="preserve">Drive-up </w:t>
            </w:r>
            <w:r>
              <w:br/>
              <w:t>($)</w:t>
            </w:r>
          </w:p>
        </w:tc>
        <w:tc>
          <w:tcPr>
            <w:tcW w:w="2166" w:type="dxa"/>
            <w:tcBorders>
              <w:top w:val="nil"/>
              <w:left w:val="nil"/>
              <w:bottom w:val="single" w:sz="4" w:space="0" w:color="auto"/>
              <w:right w:val="single" w:sz="4" w:space="0" w:color="auto"/>
            </w:tcBorders>
            <w:shd w:val="clear" w:color="auto" w:fill="DFE0DC"/>
          </w:tcPr>
          <w:p w:rsidR="009543DB" w:rsidRDefault="009543DB" w:rsidP="009543DB">
            <w:pPr>
              <w:pStyle w:val="Tabletextheadingright"/>
            </w:pPr>
            <w:r>
              <w:t xml:space="preserve">Average online </w:t>
            </w:r>
            <w:r>
              <w:br/>
              <w:t>($)</w:t>
            </w:r>
          </w:p>
        </w:tc>
        <w:tc>
          <w:tcPr>
            <w:tcW w:w="2166" w:type="dxa"/>
            <w:tcBorders>
              <w:top w:val="nil"/>
              <w:left w:val="single" w:sz="4" w:space="0" w:color="auto"/>
              <w:bottom w:val="single" w:sz="4" w:space="0" w:color="auto"/>
              <w:right w:val="nil"/>
            </w:tcBorders>
            <w:shd w:val="clear" w:color="auto" w:fill="DFE0DC"/>
          </w:tcPr>
          <w:p w:rsidR="009543DB" w:rsidRDefault="009543DB" w:rsidP="009543DB">
            <w:pPr>
              <w:pStyle w:val="Tabletextheadingright"/>
            </w:pPr>
            <w:r>
              <w:t>Weighted average of drive-up and online ($)</w:t>
            </w:r>
          </w:p>
        </w:tc>
      </w:tr>
      <w:tr w:rsidR="009543DB" w:rsidTr="009543DB">
        <w:tc>
          <w:tcPr>
            <w:tcW w:w="2166" w:type="dxa"/>
            <w:tcBorders>
              <w:top w:val="single" w:sz="4" w:space="0" w:color="auto"/>
              <w:left w:val="nil"/>
              <w:bottom w:val="nil"/>
              <w:right w:val="nil"/>
            </w:tcBorders>
          </w:tcPr>
          <w:p w:rsidR="009543DB" w:rsidRDefault="009543DB" w:rsidP="009543DB">
            <w:pPr>
              <w:pStyle w:val="Tabletextleft"/>
            </w:pPr>
            <w:r>
              <w:t>0-24 hours</w:t>
            </w:r>
          </w:p>
        </w:tc>
        <w:tc>
          <w:tcPr>
            <w:tcW w:w="2166" w:type="dxa"/>
            <w:tcBorders>
              <w:top w:val="single" w:sz="4" w:space="0" w:color="auto"/>
              <w:left w:val="nil"/>
              <w:bottom w:val="nil"/>
              <w:right w:val="nil"/>
            </w:tcBorders>
          </w:tcPr>
          <w:p w:rsidR="009543DB" w:rsidRDefault="009543DB" w:rsidP="009543DB">
            <w:pPr>
              <w:pStyle w:val="Tabletextright"/>
            </w:pPr>
            <w:r>
              <w:t>39.00</w:t>
            </w:r>
          </w:p>
        </w:tc>
        <w:tc>
          <w:tcPr>
            <w:tcW w:w="2166" w:type="dxa"/>
            <w:tcBorders>
              <w:top w:val="single" w:sz="4" w:space="0" w:color="auto"/>
              <w:left w:val="nil"/>
              <w:bottom w:val="nil"/>
              <w:right w:val="single" w:sz="4" w:space="0" w:color="auto"/>
            </w:tcBorders>
          </w:tcPr>
          <w:p w:rsidR="009543DB" w:rsidRDefault="009543DB" w:rsidP="009543DB">
            <w:pPr>
              <w:pStyle w:val="Tabletextright"/>
            </w:pPr>
            <w:r w:rsidRPr="00617B7E">
              <w:t>-</w:t>
            </w:r>
          </w:p>
        </w:tc>
        <w:tc>
          <w:tcPr>
            <w:tcW w:w="2166" w:type="dxa"/>
            <w:tcBorders>
              <w:top w:val="single" w:sz="4" w:space="0" w:color="auto"/>
              <w:left w:val="single" w:sz="4" w:space="0" w:color="auto"/>
              <w:bottom w:val="nil"/>
              <w:right w:val="nil"/>
            </w:tcBorders>
          </w:tcPr>
          <w:p w:rsidR="009543DB" w:rsidRDefault="009543DB" w:rsidP="009543DB">
            <w:pPr>
              <w:pStyle w:val="Tabletextright"/>
            </w:pPr>
            <w:r>
              <w:t>37.69</w:t>
            </w:r>
          </w:p>
        </w:tc>
      </w:tr>
      <w:tr w:rsidR="009543DB" w:rsidTr="009543DB">
        <w:tc>
          <w:tcPr>
            <w:tcW w:w="2166" w:type="dxa"/>
            <w:tcBorders>
              <w:top w:val="nil"/>
              <w:left w:val="nil"/>
              <w:bottom w:val="nil"/>
              <w:right w:val="nil"/>
            </w:tcBorders>
          </w:tcPr>
          <w:p w:rsidR="009543DB" w:rsidRDefault="009543DB" w:rsidP="009543DB">
            <w:pPr>
              <w:pStyle w:val="Tabletextleft"/>
            </w:pPr>
            <w:r>
              <w:t>1-2 days</w:t>
            </w:r>
          </w:p>
        </w:tc>
        <w:tc>
          <w:tcPr>
            <w:tcW w:w="2166" w:type="dxa"/>
            <w:tcBorders>
              <w:top w:val="nil"/>
              <w:left w:val="nil"/>
              <w:bottom w:val="nil"/>
              <w:right w:val="nil"/>
            </w:tcBorders>
          </w:tcPr>
          <w:p w:rsidR="009543DB" w:rsidRDefault="009543DB" w:rsidP="009543DB">
            <w:pPr>
              <w:pStyle w:val="Tabletextright"/>
            </w:pPr>
            <w:r>
              <w:t>49.00</w:t>
            </w:r>
          </w:p>
        </w:tc>
        <w:tc>
          <w:tcPr>
            <w:tcW w:w="2166" w:type="dxa"/>
            <w:tcBorders>
              <w:top w:val="nil"/>
              <w:left w:val="nil"/>
              <w:bottom w:val="nil"/>
              <w:right w:val="single" w:sz="4" w:space="0" w:color="auto"/>
            </w:tcBorders>
          </w:tcPr>
          <w:p w:rsidR="009543DB" w:rsidRDefault="009543DB" w:rsidP="009543DB">
            <w:pPr>
              <w:pStyle w:val="Tabletextright"/>
            </w:pPr>
            <w:r w:rsidRPr="00617B7E">
              <w:t>-</w:t>
            </w:r>
          </w:p>
        </w:tc>
        <w:tc>
          <w:tcPr>
            <w:tcW w:w="2166" w:type="dxa"/>
            <w:tcBorders>
              <w:top w:val="nil"/>
              <w:left w:val="single" w:sz="4" w:space="0" w:color="auto"/>
              <w:bottom w:val="nil"/>
              <w:right w:val="nil"/>
            </w:tcBorders>
          </w:tcPr>
          <w:p w:rsidR="009543DB" w:rsidRDefault="009543DB" w:rsidP="009543DB">
            <w:pPr>
              <w:pStyle w:val="Tabletextright"/>
            </w:pPr>
            <w:r>
              <w:t>45.55</w:t>
            </w:r>
          </w:p>
        </w:tc>
      </w:tr>
      <w:tr w:rsidR="009543DB" w:rsidTr="009543DB">
        <w:tc>
          <w:tcPr>
            <w:tcW w:w="2166" w:type="dxa"/>
            <w:tcBorders>
              <w:top w:val="nil"/>
              <w:left w:val="nil"/>
              <w:bottom w:val="nil"/>
              <w:right w:val="nil"/>
            </w:tcBorders>
          </w:tcPr>
          <w:p w:rsidR="009543DB" w:rsidRDefault="009543DB" w:rsidP="009543DB">
            <w:pPr>
              <w:pStyle w:val="Tabletextleft"/>
            </w:pPr>
            <w:r>
              <w:t>2-3 days</w:t>
            </w:r>
          </w:p>
        </w:tc>
        <w:tc>
          <w:tcPr>
            <w:tcW w:w="2166" w:type="dxa"/>
            <w:tcBorders>
              <w:top w:val="nil"/>
              <w:left w:val="nil"/>
              <w:bottom w:val="nil"/>
              <w:right w:val="nil"/>
            </w:tcBorders>
          </w:tcPr>
          <w:p w:rsidR="009543DB" w:rsidRDefault="009543DB" w:rsidP="009543DB">
            <w:pPr>
              <w:pStyle w:val="Tabletextright"/>
            </w:pPr>
            <w:r>
              <w:t>69.00</w:t>
            </w:r>
          </w:p>
        </w:tc>
        <w:tc>
          <w:tcPr>
            <w:tcW w:w="2166" w:type="dxa"/>
            <w:tcBorders>
              <w:top w:val="nil"/>
              <w:left w:val="nil"/>
              <w:bottom w:val="nil"/>
              <w:right w:val="single" w:sz="4" w:space="0" w:color="auto"/>
            </w:tcBorders>
          </w:tcPr>
          <w:p w:rsidR="009543DB" w:rsidRDefault="009543DB" w:rsidP="009543DB">
            <w:pPr>
              <w:pStyle w:val="Tabletextright"/>
            </w:pPr>
            <w:r w:rsidRPr="00617B7E">
              <w:t>-</w:t>
            </w:r>
          </w:p>
        </w:tc>
        <w:tc>
          <w:tcPr>
            <w:tcW w:w="2166" w:type="dxa"/>
            <w:tcBorders>
              <w:top w:val="nil"/>
              <w:left w:val="single" w:sz="4" w:space="0" w:color="auto"/>
              <w:bottom w:val="nil"/>
              <w:right w:val="nil"/>
            </w:tcBorders>
          </w:tcPr>
          <w:p w:rsidR="009543DB" w:rsidRDefault="009543DB" w:rsidP="009543DB">
            <w:pPr>
              <w:pStyle w:val="Tabletextright"/>
            </w:pPr>
            <w:r>
              <w:t>47.12</w:t>
            </w:r>
          </w:p>
        </w:tc>
      </w:tr>
      <w:tr w:rsidR="009543DB" w:rsidTr="009543DB">
        <w:tc>
          <w:tcPr>
            <w:tcW w:w="2166" w:type="dxa"/>
            <w:tcBorders>
              <w:top w:val="nil"/>
              <w:left w:val="nil"/>
              <w:bottom w:val="nil"/>
              <w:right w:val="nil"/>
            </w:tcBorders>
          </w:tcPr>
          <w:p w:rsidR="009543DB" w:rsidRDefault="009543DB" w:rsidP="009543DB">
            <w:pPr>
              <w:pStyle w:val="Tabletextleft"/>
            </w:pPr>
            <w:r>
              <w:t>3-4 days</w:t>
            </w:r>
          </w:p>
        </w:tc>
        <w:tc>
          <w:tcPr>
            <w:tcW w:w="2166" w:type="dxa"/>
            <w:tcBorders>
              <w:top w:val="nil"/>
              <w:left w:val="nil"/>
              <w:bottom w:val="nil"/>
              <w:right w:val="nil"/>
            </w:tcBorders>
          </w:tcPr>
          <w:p w:rsidR="009543DB" w:rsidRDefault="009543DB" w:rsidP="009543DB">
            <w:pPr>
              <w:pStyle w:val="Tabletextright"/>
            </w:pPr>
            <w:r>
              <w:t>75.00</w:t>
            </w:r>
          </w:p>
        </w:tc>
        <w:tc>
          <w:tcPr>
            <w:tcW w:w="2166" w:type="dxa"/>
            <w:tcBorders>
              <w:top w:val="nil"/>
              <w:left w:val="nil"/>
              <w:bottom w:val="nil"/>
              <w:right w:val="single" w:sz="4" w:space="0" w:color="auto"/>
            </w:tcBorders>
          </w:tcPr>
          <w:p w:rsidR="009543DB" w:rsidRDefault="009543DB" w:rsidP="009543DB">
            <w:pPr>
              <w:pStyle w:val="Tabletextright"/>
            </w:pPr>
            <w:r w:rsidRPr="00617B7E">
              <w:t>-</w:t>
            </w:r>
          </w:p>
        </w:tc>
        <w:tc>
          <w:tcPr>
            <w:tcW w:w="2166" w:type="dxa"/>
            <w:tcBorders>
              <w:top w:val="nil"/>
              <w:left w:val="single" w:sz="4" w:space="0" w:color="auto"/>
              <w:bottom w:val="nil"/>
              <w:right w:val="nil"/>
            </w:tcBorders>
          </w:tcPr>
          <w:p w:rsidR="009543DB" w:rsidRDefault="009543DB" w:rsidP="009543DB">
            <w:pPr>
              <w:pStyle w:val="Tabletextright"/>
            </w:pPr>
            <w:r>
              <w:t>58.80</w:t>
            </w:r>
          </w:p>
        </w:tc>
      </w:tr>
      <w:tr w:rsidR="009543DB" w:rsidTr="009543DB">
        <w:tc>
          <w:tcPr>
            <w:tcW w:w="2166" w:type="dxa"/>
            <w:tcBorders>
              <w:top w:val="nil"/>
              <w:left w:val="nil"/>
              <w:bottom w:val="nil"/>
              <w:right w:val="nil"/>
            </w:tcBorders>
          </w:tcPr>
          <w:p w:rsidR="009543DB" w:rsidRDefault="009543DB" w:rsidP="009543DB">
            <w:pPr>
              <w:pStyle w:val="Tabletextleft"/>
            </w:pPr>
            <w:r>
              <w:t>4-5 days</w:t>
            </w:r>
          </w:p>
        </w:tc>
        <w:tc>
          <w:tcPr>
            <w:tcW w:w="2166" w:type="dxa"/>
            <w:tcBorders>
              <w:top w:val="nil"/>
              <w:left w:val="nil"/>
              <w:bottom w:val="nil"/>
              <w:right w:val="nil"/>
            </w:tcBorders>
          </w:tcPr>
          <w:p w:rsidR="009543DB" w:rsidRDefault="009543DB" w:rsidP="009543DB">
            <w:pPr>
              <w:pStyle w:val="Tabletextright"/>
            </w:pPr>
            <w:r>
              <w:t>79.00</w:t>
            </w:r>
          </w:p>
        </w:tc>
        <w:tc>
          <w:tcPr>
            <w:tcW w:w="2166" w:type="dxa"/>
            <w:tcBorders>
              <w:top w:val="nil"/>
              <w:left w:val="nil"/>
              <w:bottom w:val="nil"/>
              <w:right w:val="single" w:sz="4" w:space="0" w:color="auto"/>
            </w:tcBorders>
          </w:tcPr>
          <w:p w:rsidR="009543DB" w:rsidRDefault="009543DB" w:rsidP="009543DB">
            <w:pPr>
              <w:pStyle w:val="Tabletextright"/>
            </w:pPr>
            <w:r w:rsidRPr="00617B7E">
              <w:t>-</w:t>
            </w:r>
          </w:p>
        </w:tc>
        <w:tc>
          <w:tcPr>
            <w:tcW w:w="2166" w:type="dxa"/>
            <w:tcBorders>
              <w:top w:val="nil"/>
              <w:left w:val="single" w:sz="4" w:space="0" w:color="auto"/>
              <w:bottom w:val="nil"/>
              <w:right w:val="nil"/>
            </w:tcBorders>
          </w:tcPr>
          <w:p w:rsidR="009543DB" w:rsidRDefault="009543DB" w:rsidP="009543DB">
            <w:pPr>
              <w:pStyle w:val="Tabletextright"/>
            </w:pPr>
            <w:r>
              <w:t>59.08</w:t>
            </w:r>
          </w:p>
        </w:tc>
      </w:tr>
      <w:tr w:rsidR="009543DB" w:rsidTr="009543DB">
        <w:tc>
          <w:tcPr>
            <w:tcW w:w="2166" w:type="dxa"/>
            <w:tcBorders>
              <w:top w:val="nil"/>
              <w:left w:val="nil"/>
              <w:bottom w:val="nil"/>
              <w:right w:val="nil"/>
            </w:tcBorders>
          </w:tcPr>
          <w:p w:rsidR="009543DB" w:rsidRDefault="009543DB" w:rsidP="009543DB">
            <w:pPr>
              <w:pStyle w:val="Tabletextleft"/>
            </w:pPr>
            <w:r>
              <w:t>5-6 days</w:t>
            </w:r>
          </w:p>
        </w:tc>
        <w:tc>
          <w:tcPr>
            <w:tcW w:w="2166" w:type="dxa"/>
            <w:tcBorders>
              <w:top w:val="nil"/>
              <w:left w:val="nil"/>
              <w:bottom w:val="nil"/>
              <w:right w:val="nil"/>
            </w:tcBorders>
          </w:tcPr>
          <w:p w:rsidR="009543DB" w:rsidRDefault="009543DB" w:rsidP="009543DB">
            <w:pPr>
              <w:pStyle w:val="Tabletextright"/>
            </w:pPr>
            <w:r>
              <w:t>89.00</w:t>
            </w:r>
          </w:p>
        </w:tc>
        <w:tc>
          <w:tcPr>
            <w:tcW w:w="2166" w:type="dxa"/>
            <w:tcBorders>
              <w:top w:val="nil"/>
              <w:left w:val="nil"/>
              <w:bottom w:val="nil"/>
              <w:right w:val="single" w:sz="4" w:space="0" w:color="auto"/>
            </w:tcBorders>
          </w:tcPr>
          <w:p w:rsidR="009543DB" w:rsidRDefault="009543DB" w:rsidP="009543DB">
            <w:pPr>
              <w:pStyle w:val="Tabletextright"/>
            </w:pPr>
            <w:r w:rsidRPr="00617B7E">
              <w:t>-</w:t>
            </w:r>
          </w:p>
        </w:tc>
        <w:tc>
          <w:tcPr>
            <w:tcW w:w="2166" w:type="dxa"/>
            <w:tcBorders>
              <w:top w:val="nil"/>
              <w:left w:val="single" w:sz="4" w:space="0" w:color="auto"/>
              <w:bottom w:val="nil"/>
              <w:right w:val="nil"/>
            </w:tcBorders>
          </w:tcPr>
          <w:p w:rsidR="009543DB" w:rsidRDefault="009543DB" w:rsidP="009543DB">
            <w:pPr>
              <w:pStyle w:val="Tabletextright"/>
            </w:pPr>
            <w:r>
              <w:t>72.06</w:t>
            </w:r>
          </w:p>
        </w:tc>
      </w:tr>
      <w:tr w:rsidR="009543DB" w:rsidTr="009543DB">
        <w:tc>
          <w:tcPr>
            <w:tcW w:w="2166" w:type="dxa"/>
            <w:tcBorders>
              <w:top w:val="nil"/>
              <w:left w:val="nil"/>
              <w:bottom w:val="nil"/>
              <w:right w:val="nil"/>
            </w:tcBorders>
          </w:tcPr>
          <w:p w:rsidR="009543DB" w:rsidRDefault="009543DB" w:rsidP="009543DB">
            <w:pPr>
              <w:pStyle w:val="Tabletextleft"/>
            </w:pPr>
            <w:r>
              <w:t>6-7 days</w:t>
            </w:r>
          </w:p>
        </w:tc>
        <w:tc>
          <w:tcPr>
            <w:tcW w:w="2166" w:type="dxa"/>
            <w:tcBorders>
              <w:top w:val="nil"/>
              <w:left w:val="nil"/>
              <w:bottom w:val="nil"/>
              <w:right w:val="nil"/>
            </w:tcBorders>
          </w:tcPr>
          <w:p w:rsidR="009543DB" w:rsidRDefault="009543DB" w:rsidP="009543DB">
            <w:pPr>
              <w:pStyle w:val="Tabletextright"/>
            </w:pPr>
            <w:r>
              <w:t>99.00</w:t>
            </w:r>
          </w:p>
        </w:tc>
        <w:tc>
          <w:tcPr>
            <w:tcW w:w="2166" w:type="dxa"/>
            <w:tcBorders>
              <w:top w:val="nil"/>
              <w:left w:val="nil"/>
              <w:bottom w:val="nil"/>
              <w:right w:val="single" w:sz="4" w:space="0" w:color="auto"/>
            </w:tcBorders>
          </w:tcPr>
          <w:p w:rsidR="009543DB" w:rsidRDefault="009543DB" w:rsidP="009543DB">
            <w:pPr>
              <w:pStyle w:val="Tabletextright"/>
            </w:pPr>
            <w:r w:rsidRPr="00617B7E">
              <w:t>-</w:t>
            </w:r>
          </w:p>
        </w:tc>
        <w:tc>
          <w:tcPr>
            <w:tcW w:w="2166" w:type="dxa"/>
            <w:tcBorders>
              <w:top w:val="nil"/>
              <w:left w:val="single" w:sz="4" w:space="0" w:color="auto"/>
              <w:bottom w:val="nil"/>
              <w:right w:val="nil"/>
            </w:tcBorders>
          </w:tcPr>
          <w:p w:rsidR="009543DB" w:rsidRDefault="009543DB" w:rsidP="009543DB">
            <w:pPr>
              <w:pStyle w:val="Tabletextright"/>
            </w:pPr>
            <w:r>
              <w:t>79.96</w:t>
            </w:r>
          </w:p>
        </w:tc>
      </w:tr>
      <w:tr w:rsidR="009543DB" w:rsidTr="009543DB">
        <w:tc>
          <w:tcPr>
            <w:tcW w:w="2166" w:type="dxa"/>
            <w:tcBorders>
              <w:top w:val="nil"/>
              <w:left w:val="nil"/>
              <w:bottom w:val="single" w:sz="4" w:space="0" w:color="auto"/>
              <w:right w:val="nil"/>
            </w:tcBorders>
          </w:tcPr>
          <w:p w:rsidR="009543DB" w:rsidRDefault="009543DB" w:rsidP="009543DB">
            <w:pPr>
              <w:pStyle w:val="Tabletextleft"/>
            </w:pPr>
            <w:r>
              <w:t>7-8 days</w:t>
            </w:r>
          </w:p>
        </w:tc>
        <w:tc>
          <w:tcPr>
            <w:tcW w:w="2166" w:type="dxa"/>
            <w:tcBorders>
              <w:top w:val="nil"/>
              <w:left w:val="nil"/>
              <w:bottom w:val="single" w:sz="4" w:space="0" w:color="auto"/>
              <w:right w:val="nil"/>
            </w:tcBorders>
          </w:tcPr>
          <w:p w:rsidR="009543DB" w:rsidRDefault="009543DB" w:rsidP="009543DB">
            <w:pPr>
              <w:pStyle w:val="Tabletextright"/>
            </w:pPr>
            <w:r>
              <w:t>109.00</w:t>
            </w:r>
          </w:p>
        </w:tc>
        <w:tc>
          <w:tcPr>
            <w:tcW w:w="2166" w:type="dxa"/>
            <w:tcBorders>
              <w:top w:val="nil"/>
              <w:left w:val="nil"/>
              <w:bottom w:val="single" w:sz="4" w:space="0" w:color="auto"/>
              <w:right w:val="single" w:sz="4" w:space="0" w:color="auto"/>
            </w:tcBorders>
          </w:tcPr>
          <w:p w:rsidR="009543DB" w:rsidRDefault="009543DB" w:rsidP="009543DB">
            <w:pPr>
              <w:pStyle w:val="Tabletextright"/>
            </w:pPr>
            <w:r w:rsidRPr="00617B7E">
              <w:t>-</w:t>
            </w:r>
          </w:p>
        </w:tc>
        <w:tc>
          <w:tcPr>
            <w:tcW w:w="2166" w:type="dxa"/>
            <w:tcBorders>
              <w:top w:val="nil"/>
              <w:left w:val="single" w:sz="4" w:space="0" w:color="auto"/>
              <w:bottom w:val="single" w:sz="4" w:space="0" w:color="auto"/>
              <w:right w:val="nil"/>
            </w:tcBorders>
          </w:tcPr>
          <w:p w:rsidR="009543DB" w:rsidRDefault="009543DB" w:rsidP="009543DB">
            <w:pPr>
              <w:pStyle w:val="Tabletextright"/>
            </w:pPr>
            <w:r>
              <w:t>78.27</w:t>
            </w:r>
          </w:p>
        </w:tc>
      </w:tr>
    </w:tbl>
    <w:p w:rsidR="009543DB" w:rsidRDefault="009543DB" w:rsidP="009543DB">
      <w:pPr>
        <w:pStyle w:val="Sourceandnotes"/>
      </w:pPr>
      <w:r>
        <w:t>Note:</w:t>
      </w:r>
      <w:r>
        <w:tab/>
      </w:r>
      <w:r w:rsidRPr="00B94BB6">
        <w:t>Average car parking charges are calculated as the weighted average of drive-up and online charges</w:t>
      </w:r>
    </w:p>
    <w:p w:rsidR="009543DB" w:rsidRPr="00971A2E" w:rsidRDefault="009543DB" w:rsidP="009543DB">
      <w:pPr>
        <w:pStyle w:val="Sourceandnotes"/>
      </w:pPr>
      <w:r w:rsidRPr="008B2A58">
        <w:t>-</w:t>
      </w:r>
      <w:r>
        <w:t xml:space="preserve"> Commercial in confidence </w:t>
      </w:r>
    </w:p>
    <w:p w:rsidR="009543DB" w:rsidRDefault="009543DB" w:rsidP="009543DB">
      <w:pPr>
        <w:pStyle w:val="Numberedheading3"/>
      </w:pPr>
      <w:r>
        <w:t>Revenues, costs and profits</w:t>
      </w:r>
    </w:p>
    <w:p w:rsidR="009543DB" w:rsidRDefault="009543DB" w:rsidP="009543DB">
      <w:r w:rsidRPr="000D1B20">
        <w:t xml:space="preserve">Table </w:t>
      </w:r>
      <w:r>
        <w:t>3</w:t>
      </w:r>
      <w:r w:rsidRPr="000D1B20">
        <w:t xml:space="preserve">.4.4 outlines </w:t>
      </w:r>
      <w:r>
        <w:t>Melbourn</w:t>
      </w:r>
      <w:r w:rsidRPr="000D1B20">
        <w:t xml:space="preserve">e Airport’s revenues, operating expenses and </w:t>
      </w:r>
      <w:r>
        <w:t>aggregate</w:t>
      </w:r>
      <w:r w:rsidRPr="000D1B20">
        <w:t xml:space="preserve"> margin for car parking and </w:t>
      </w:r>
      <w:r>
        <w:t>total airport services from 2004</w:t>
      </w:r>
      <w:r>
        <w:noBreakHyphen/>
      </w:r>
      <w:r w:rsidRPr="000D1B20">
        <w:t>05 to 2014</w:t>
      </w:r>
      <w:r>
        <w:noBreakHyphen/>
      </w:r>
      <w:r w:rsidRPr="000D1B20">
        <w:t>15.</w:t>
      </w:r>
    </w:p>
    <w:p w:rsidR="009543DB" w:rsidRDefault="009543DB" w:rsidP="009543DB">
      <w:r>
        <w:t>In 2014</w:t>
      </w:r>
      <w:r>
        <w:noBreakHyphen/>
        <w:t>15, Melbourne Airport’s car parking revenue increased by 14.8 per cent in real terms to $147.0 million. This occurred despite total car parking throughput decreasing by 0.6 per cent during the year. As most prices did not increase substantially during 2014</w:t>
      </w:r>
      <w:r>
        <w:noBreakHyphen/>
        <w:t>15, this result was likely due to customers parking for longer durations. Since 2004</w:t>
      </w:r>
      <w:r>
        <w:noBreakHyphen/>
        <w:t>05, car parking revenue has increased by an average of 8.6 per cent per year in real terms.</w:t>
      </w:r>
    </w:p>
    <w:p w:rsidR="009543DB" w:rsidRDefault="009543DB" w:rsidP="009543DB">
      <w:r>
        <w:lastRenderedPageBreak/>
        <w:t>Car parking operating expenses decreased by 0.3 per cent in real terms during 2014</w:t>
      </w:r>
      <w:r>
        <w:noBreakHyphen/>
        <w:t>15, which resulted in car parking aggregate margin significantly increasing by 21.6 per cent in real terms to $107.6 million. Since 2004</w:t>
      </w:r>
      <w:r>
        <w:noBreakHyphen/>
        <w:t>05, car parking aggregate margin has increased by an average of 7.9 per cent per year in real terms.</w:t>
      </w:r>
    </w:p>
    <w:p w:rsidR="009543DB" w:rsidRDefault="009543DB" w:rsidP="00F56817">
      <w:pPr>
        <w:keepNext/>
      </w:pPr>
      <w:r>
        <w:t>Melbourne Airport reported the largest percentage growth in car parking revenue and aggregate margin of the monitored airports during 2014</w:t>
      </w:r>
      <w:r>
        <w:noBreakHyphen/>
        <w:t xml:space="preserve">15. Melbourne Airport also reported the largest values of car parking revenue and aggregate margin of the monitored airports. </w:t>
      </w:r>
    </w:p>
    <w:p w:rsidR="009543DB" w:rsidRDefault="009543DB" w:rsidP="00F56817">
      <w:pPr>
        <w:keepNext/>
      </w:pPr>
      <w:r w:rsidRPr="00867EC6">
        <w:t>In most years since 2004</w:t>
      </w:r>
      <w:r>
        <w:t>-</w:t>
      </w:r>
      <w:r w:rsidRPr="00867EC6">
        <w:t>05, Melbourne Airport has reported the highest car parking</w:t>
      </w:r>
      <w:r>
        <w:t xml:space="preserve"> aggregate</w:t>
      </w:r>
      <w:r w:rsidRPr="00867EC6">
        <w:t xml:space="preserve"> margin as a percentage of revenue of the monitored airports. In 2014</w:t>
      </w:r>
      <w:r>
        <w:t>-</w:t>
      </w:r>
      <w:r w:rsidRPr="00867EC6">
        <w:t xml:space="preserve">15, Melbourne Airport’s car parking </w:t>
      </w:r>
      <w:r>
        <w:t>aggregate</w:t>
      </w:r>
      <w:r w:rsidRPr="00867EC6">
        <w:t xml:space="preserve"> margin represented 73.2 per cent of car parking revenue.</w:t>
      </w:r>
    </w:p>
    <w:p w:rsidR="009543DB" w:rsidRDefault="009543DB" w:rsidP="00F56817">
      <w:pPr>
        <w:keepNext/>
      </w:pPr>
      <w:r>
        <w:t>The changes on a per car park space basis were more pronounced in 2014</w:t>
      </w:r>
      <w:r>
        <w:noBreakHyphen/>
        <w:t xml:space="preserve">15 due to car park spaces decreasing during the year. Revenue per car park space increased by 20.7 per cent in real terms, and operating expenses per car park space also increased. </w:t>
      </w:r>
      <w:proofErr w:type="gramStart"/>
      <w:r>
        <w:t>Aggregate margin per car park space increased by 27.8 per cent in real terms during 2014</w:t>
      </w:r>
      <w:r>
        <w:noBreakHyphen/>
        <w:t>15, to $4633 per car park space.</w:t>
      </w:r>
      <w:proofErr w:type="gramEnd"/>
    </w:p>
    <w:p w:rsidR="009543DB" w:rsidRDefault="009543DB" w:rsidP="00F56817">
      <w:pPr>
        <w:keepNext/>
      </w:pPr>
    </w:p>
    <w:p w:rsidR="009543DB" w:rsidRDefault="009543DB" w:rsidP="00F56817">
      <w:pPr>
        <w:keepNext/>
        <w:sectPr w:rsidR="009543DB" w:rsidSect="009543DB">
          <w:headerReference w:type="even" r:id="rId115"/>
          <w:headerReference w:type="default" r:id="rId116"/>
          <w:type w:val="continuous"/>
          <w:pgSz w:w="11906" w:h="16838"/>
          <w:pgMar w:top="1440" w:right="1729" w:bottom="1582" w:left="1729" w:header="709" w:footer="709" w:gutter="0"/>
          <w:cols w:space="708"/>
          <w:docGrid w:linePitch="360"/>
        </w:sectPr>
      </w:pPr>
    </w:p>
    <w:p w:rsidR="009543DB" w:rsidRDefault="009543DB" w:rsidP="00F56817">
      <w:pPr>
        <w:pStyle w:val="Numberedcharttitle"/>
      </w:pPr>
      <w:r>
        <w:lastRenderedPageBreak/>
        <w:t>Table 3.4.4:</w:t>
      </w:r>
      <w:r>
        <w:tab/>
        <w:t>Melbourne Airport—revenues, operating expenses and aggregateg margins for car parking and total airport services in real terms: 2004</w:t>
      </w:r>
      <w:r>
        <w:noBreakHyphen/>
        <w:t>05 to 2014</w:t>
      </w:r>
      <w:r>
        <w:noBreakHyphen/>
        <w:t>15</w:t>
      </w:r>
    </w:p>
    <w:tbl>
      <w:tblPr>
        <w:tblStyle w:val="TableGrid"/>
        <w:tblW w:w="0" w:type="auto"/>
        <w:tblLook w:val="04A0" w:firstRow="1" w:lastRow="0" w:firstColumn="1" w:lastColumn="0" w:noHBand="0" w:noVBand="1"/>
      </w:tblPr>
      <w:tblGrid>
        <w:gridCol w:w="1243"/>
        <w:gridCol w:w="1984"/>
        <w:gridCol w:w="982"/>
        <w:gridCol w:w="982"/>
        <w:gridCol w:w="982"/>
        <w:gridCol w:w="983"/>
        <w:gridCol w:w="982"/>
        <w:gridCol w:w="982"/>
        <w:gridCol w:w="982"/>
        <w:gridCol w:w="983"/>
        <w:gridCol w:w="982"/>
        <w:gridCol w:w="982"/>
        <w:gridCol w:w="983"/>
      </w:tblGrid>
      <w:tr w:rsidR="009543DB" w:rsidTr="009543DB">
        <w:tc>
          <w:tcPr>
            <w:tcW w:w="1243" w:type="dxa"/>
            <w:tcBorders>
              <w:left w:val="nil"/>
              <w:bottom w:val="single" w:sz="4" w:space="0" w:color="auto"/>
              <w:right w:val="nil"/>
            </w:tcBorders>
            <w:shd w:val="clear" w:color="auto" w:fill="DFE0DC"/>
          </w:tcPr>
          <w:p w:rsidR="009543DB" w:rsidRDefault="009543DB" w:rsidP="00F56817">
            <w:pPr>
              <w:pStyle w:val="Tabletextheading"/>
              <w:keepNext/>
            </w:pPr>
          </w:p>
        </w:tc>
        <w:tc>
          <w:tcPr>
            <w:tcW w:w="1984" w:type="dxa"/>
            <w:tcBorders>
              <w:left w:val="nil"/>
              <w:bottom w:val="single" w:sz="4" w:space="0" w:color="auto"/>
              <w:right w:val="nil"/>
            </w:tcBorders>
            <w:shd w:val="clear" w:color="auto" w:fill="DFE0DC"/>
          </w:tcPr>
          <w:p w:rsidR="009543DB" w:rsidRDefault="009543DB" w:rsidP="00F56817">
            <w:pPr>
              <w:pStyle w:val="Tabletextheadingright"/>
              <w:keepNext/>
            </w:pP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2004-05</w:t>
            </w: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2005-06</w:t>
            </w: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2006-07</w:t>
            </w:r>
          </w:p>
        </w:tc>
        <w:tc>
          <w:tcPr>
            <w:tcW w:w="983" w:type="dxa"/>
            <w:tcBorders>
              <w:left w:val="nil"/>
              <w:bottom w:val="single" w:sz="4" w:space="0" w:color="auto"/>
              <w:right w:val="nil"/>
            </w:tcBorders>
            <w:shd w:val="clear" w:color="auto" w:fill="DFE0DC"/>
          </w:tcPr>
          <w:p w:rsidR="009543DB" w:rsidRDefault="009543DB" w:rsidP="00F56817">
            <w:pPr>
              <w:pStyle w:val="Tabletextheadingright"/>
              <w:keepNext/>
            </w:pPr>
            <w:r>
              <w:t>2007-08</w:t>
            </w: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2008-09</w:t>
            </w: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2009-10</w:t>
            </w: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2010-11</w:t>
            </w:r>
          </w:p>
        </w:tc>
        <w:tc>
          <w:tcPr>
            <w:tcW w:w="983" w:type="dxa"/>
            <w:tcBorders>
              <w:left w:val="nil"/>
              <w:bottom w:val="single" w:sz="4" w:space="0" w:color="auto"/>
              <w:right w:val="nil"/>
            </w:tcBorders>
            <w:shd w:val="clear" w:color="auto" w:fill="DFE0DC"/>
          </w:tcPr>
          <w:p w:rsidR="009543DB" w:rsidRDefault="009543DB" w:rsidP="00F56817">
            <w:pPr>
              <w:pStyle w:val="Tabletextheadingright"/>
              <w:keepNext/>
            </w:pPr>
            <w:r>
              <w:t>2011-12</w:t>
            </w: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2012-13</w:t>
            </w:r>
          </w:p>
        </w:tc>
        <w:tc>
          <w:tcPr>
            <w:tcW w:w="982" w:type="dxa"/>
            <w:tcBorders>
              <w:left w:val="nil"/>
              <w:bottom w:val="single" w:sz="4" w:space="0" w:color="auto"/>
              <w:right w:val="nil"/>
            </w:tcBorders>
            <w:shd w:val="clear" w:color="auto" w:fill="DFE0DC"/>
          </w:tcPr>
          <w:p w:rsidR="009543DB" w:rsidRDefault="009543DB" w:rsidP="00F56817">
            <w:pPr>
              <w:pStyle w:val="Tabletextheadingright"/>
              <w:keepNext/>
            </w:pPr>
            <w:r>
              <w:t>2013-14</w:t>
            </w:r>
          </w:p>
        </w:tc>
        <w:tc>
          <w:tcPr>
            <w:tcW w:w="983" w:type="dxa"/>
            <w:tcBorders>
              <w:left w:val="nil"/>
              <w:bottom w:val="single" w:sz="4" w:space="0" w:color="auto"/>
              <w:right w:val="nil"/>
            </w:tcBorders>
            <w:shd w:val="clear" w:color="auto" w:fill="DFE0DC"/>
          </w:tcPr>
          <w:p w:rsidR="009543DB" w:rsidRDefault="009543DB" w:rsidP="00F56817">
            <w:pPr>
              <w:pStyle w:val="Tabletextheadingright"/>
              <w:keepNext/>
            </w:pPr>
            <w:r>
              <w:t>2014-15</w:t>
            </w:r>
          </w:p>
        </w:tc>
      </w:tr>
      <w:tr w:rsidR="009543DB" w:rsidTr="009543DB">
        <w:tc>
          <w:tcPr>
            <w:tcW w:w="1243" w:type="dxa"/>
            <w:vMerge w:val="restart"/>
            <w:tcBorders>
              <w:left w:val="nil"/>
              <w:right w:val="nil"/>
            </w:tcBorders>
            <w:vAlign w:val="center"/>
          </w:tcPr>
          <w:p w:rsidR="009543DB" w:rsidRDefault="009543DB" w:rsidP="00F56817">
            <w:pPr>
              <w:pStyle w:val="Tabletextheadingcentre"/>
              <w:jc w:val="left"/>
            </w:pPr>
            <w:r>
              <w:t>Revenue ($million)</w:t>
            </w:r>
          </w:p>
        </w:tc>
        <w:tc>
          <w:tcPr>
            <w:tcW w:w="1984" w:type="dxa"/>
            <w:tcBorders>
              <w:left w:val="nil"/>
              <w:right w:val="nil"/>
            </w:tcBorders>
          </w:tcPr>
          <w:p w:rsidR="009543DB" w:rsidRDefault="009543DB" w:rsidP="00F56817">
            <w:pPr>
              <w:pStyle w:val="Tabletextleft"/>
              <w:keepNext/>
            </w:pPr>
            <w:r>
              <w:t>Car parking</w:t>
            </w:r>
          </w:p>
        </w:tc>
        <w:tc>
          <w:tcPr>
            <w:tcW w:w="982" w:type="dxa"/>
            <w:tcBorders>
              <w:left w:val="nil"/>
              <w:right w:val="nil"/>
            </w:tcBorders>
          </w:tcPr>
          <w:p w:rsidR="009543DB" w:rsidRDefault="009543DB" w:rsidP="00F56817">
            <w:pPr>
              <w:pStyle w:val="Tabletextright"/>
              <w:keepNext/>
            </w:pPr>
            <w:r>
              <w:t>64.3</w:t>
            </w:r>
          </w:p>
        </w:tc>
        <w:tc>
          <w:tcPr>
            <w:tcW w:w="982" w:type="dxa"/>
            <w:tcBorders>
              <w:left w:val="nil"/>
              <w:right w:val="nil"/>
            </w:tcBorders>
          </w:tcPr>
          <w:p w:rsidR="009543DB" w:rsidRDefault="009543DB" w:rsidP="00F56817">
            <w:pPr>
              <w:pStyle w:val="Tabletextright"/>
              <w:keepNext/>
            </w:pPr>
            <w:r>
              <w:t>74.8</w:t>
            </w:r>
          </w:p>
        </w:tc>
        <w:tc>
          <w:tcPr>
            <w:tcW w:w="982" w:type="dxa"/>
            <w:tcBorders>
              <w:left w:val="nil"/>
              <w:right w:val="nil"/>
            </w:tcBorders>
          </w:tcPr>
          <w:p w:rsidR="009543DB" w:rsidRDefault="009543DB" w:rsidP="00F56817">
            <w:pPr>
              <w:pStyle w:val="Tabletextright"/>
              <w:keepNext/>
            </w:pPr>
            <w:r>
              <w:t>84.4</w:t>
            </w:r>
          </w:p>
        </w:tc>
        <w:tc>
          <w:tcPr>
            <w:tcW w:w="983" w:type="dxa"/>
            <w:tcBorders>
              <w:left w:val="nil"/>
              <w:right w:val="nil"/>
            </w:tcBorders>
          </w:tcPr>
          <w:p w:rsidR="009543DB" w:rsidRDefault="009543DB" w:rsidP="00F56817">
            <w:pPr>
              <w:pStyle w:val="Tabletextright"/>
              <w:keepNext/>
            </w:pPr>
            <w:r>
              <w:t>108.3</w:t>
            </w:r>
          </w:p>
        </w:tc>
        <w:tc>
          <w:tcPr>
            <w:tcW w:w="982" w:type="dxa"/>
            <w:tcBorders>
              <w:left w:val="nil"/>
              <w:right w:val="nil"/>
            </w:tcBorders>
          </w:tcPr>
          <w:p w:rsidR="009543DB" w:rsidRDefault="009543DB" w:rsidP="00F56817">
            <w:pPr>
              <w:pStyle w:val="Tabletextright"/>
              <w:keepNext/>
            </w:pPr>
            <w:r>
              <w:t>109.3</w:t>
            </w:r>
          </w:p>
        </w:tc>
        <w:tc>
          <w:tcPr>
            <w:tcW w:w="982" w:type="dxa"/>
            <w:tcBorders>
              <w:left w:val="nil"/>
              <w:right w:val="nil"/>
            </w:tcBorders>
          </w:tcPr>
          <w:p w:rsidR="009543DB" w:rsidRDefault="009543DB" w:rsidP="00F56817">
            <w:pPr>
              <w:pStyle w:val="Tabletextright"/>
              <w:keepNext/>
            </w:pPr>
            <w:r>
              <w:t>117.1</w:t>
            </w:r>
          </w:p>
        </w:tc>
        <w:tc>
          <w:tcPr>
            <w:tcW w:w="982" w:type="dxa"/>
            <w:tcBorders>
              <w:left w:val="nil"/>
              <w:right w:val="nil"/>
            </w:tcBorders>
          </w:tcPr>
          <w:p w:rsidR="009543DB" w:rsidRDefault="009543DB" w:rsidP="00F56817">
            <w:pPr>
              <w:pStyle w:val="Tabletextright"/>
              <w:keepNext/>
            </w:pPr>
            <w:r>
              <w:t>125.3</w:t>
            </w:r>
          </w:p>
        </w:tc>
        <w:tc>
          <w:tcPr>
            <w:tcW w:w="983" w:type="dxa"/>
            <w:tcBorders>
              <w:left w:val="nil"/>
              <w:right w:val="nil"/>
            </w:tcBorders>
          </w:tcPr>
          <w:p w:rsidR="009543DB" w:rsidRDefault="009543DB" w:rsidP="00F56817">
            <w:pPr>
              <w:pStyle w:val="Tabletextright"/>
              <w:keepNext/>
            </w:pPr>
            <w:r>
              <w:t>122.5</w:t>
            </w:r>
          </w:p>
        </w:tc>
        <w:tc>
          <w:tcPr>
            <w:tcW w:w="982" w:type="dxa"/>
            <w:tcBorders>
              <w:left w:val="nil"/>
              <w:right w:val="nil"/>
            </w:tcBorders>
          </w:tcPr>
          <w:p w:rsidR="009543DB" w:rsidRDefault="009543DB" w:rsidP="00F56817">
            <w:pPr>
              <w:pStyle w:val="Tabletextright"/>
              <w:keepNext/>
            </w:pPr>
            <w:r>
              <w:t>125.4</w:t>
            </w:r>
          </w:p>
        </w:tc>
        <w:tc>
          <w:tcPr>
            <w:tcW w:w="982" w:type="dxa"/>
            <w:tcBorders>
              <w:left w:val="nil"/>
              <w:right w:val="nil"/>
            </w:tcBorders>
          </w:tcPr>
          <w:p w:rsidR="009543DB" w:rsidRDefault="009543DB" w:rsidP="00F56817">
            <w:pPr>
              <w:pStyle w:val="Tabletextright"/>
              <w:keepNext/>
            </w:pPr>
            <w:r>
              <w:t>128.1</w:t>
            </w:r>
          </w:p>
        </w:tc>
        <w:tc>
          <w:tcPr>
            <w:tcW w:w="983" w:type="dxa"/>
            <w:tcBorders>
              <w:left w:val="nil"/>
              <w:right w:val="nil"/>
            </w:tcBorders>
          </w:tcPr>
          <w:p w:rsidR="009543DB" w:rsidRDefault="009543DB" w:rsidP="00F56817">
            <w:pPr>
              <w:pStyle w:val="Tabletextright"/>
              <w:keepNext/>
            </w:pPr>
            <w:r>
              <w:t>147.0</w:t>
            </w:r>
          </w:p>
        </w:tc>
      </w:tr>
      <w:tr w:rsidR="009543DB" w:rsidTr="009543DB">
        <w:tc>
          <w:tcPr>
            <w:tcW w:w="1243" w:type="dxa"/>
            <w:vMerge/>
            <w:tcBorders>
              <w:left w:val="nil"/>
              <w:right w:val="nil"/>
            </w:tcBorders>
          </w:tcPr>
          <w:p w:rsidR="009543DB" w:rsidRDefault="009543DB" w:rsidP="00F56817">
            <w:pPr>
              <w:pStyle w:val="Tabletextheading"/>
              <w:keepNext/>
            </w:pPr>
          </w:p>
        </w:tc>
        <w:tc>
          <w:tcPr>
            <w:tcW w:w="1984" w:type="dxa"/>
            <w:tcBorders>
              <w:left w:val="nil"/>
              <w:right w:val="nil"/>
            </w:tcBorders>
          </w:tcPr>
          <w:p w:rsidR="009543DB" w:rsidRDefault="009543DB" w:rsidP="00F56817">
            <w:pPr>
              <w:pStyle w:val="Tabletextheading"/>
              <w:keepNext/>
            </w:pPr>
            <w:r>
              <w:t>Total airport</w:t>
            </w:r>
          </w:p>
        </w:tc>
        <w:tc>
          <w:tcPr>
            <w:tcW w:w="982" w:type="dxa"/>
            <w:tcBorders>
              <w:left w:val="nil"/>
              <w:right w:val="nil"/>
            </w:tcBorders>
          </w:tcPr>
          <w:p w:rsidR="009543DB" w:rsidRDefault="009543DB" w:rsidP="00F56817">
            <w:pPr>
              <w:pStyle w:val="Tabletextheadingright"/>
              <w:keepNext/>
            </w:pPr>
            <w:r>
              <w:t>411.6</w:t>
            </w:r>
          </w:p>
        </w:tc>
        <w:tc>
          <w:tcPr>
            <w:tcW w:w="982" w:type="dxa"/>
            <w:tcBorders>
              <w:left w:val="nil"/>
              <w:right w:val="nil"/>
            </w:tcBorders>
          </w:tcPr>
          <w:p w:rsidR="009543DB" w:rsidRDefault="009543DB" w:rsidP="00F56817">
            <w:pPr>
              <w:pStyle w:val="Tabletextheadingright"/>
              <w:keepNext/>
            </w:pPr>
            <w:r>
              <w:t>429.0</w:t>
            </w:r>
          </w:p>
        </w:tc>
        <w:tc>
          <w:tcPr>
            <w:tcW w:w="982" w:type="dxa"/>
            <w:tcBorders>
              <w:left w:val="nil"/>
              <w:right w:val="nil"/>
            </w:tcBorders>
          </w:tcPr>
          <w:p w:rsidR="009543DB" w:rsidRDefault="009543DB" w:rsidP="00F56817">
            <w:pPr>
              <w:pStyle w:val="Tabletextheadingright"/>
              <w:keepNext/>
            </w:pPr>
            <w:r>
              <w:t>459.5</w:t>
            </w:r>
          </w:p>
        </w:tc>
        <w:tc>
          <w:tcPr>
            <w:tcW w:w="983" w:type="dxa"/>
            <w:tcBorders>
              <w:left w:val="nil"/>
              <w:right w:val="nil"/>
            </w:tcBorders>
          </w:tcPr>
          <w:p w:rsidR="009543DB" w:rsidRDefault="009543DB" w:rsidP="00F56817">
            <w:pPr>
              <w:pStyle w:val="Tabletextheadingright"/>
              <w:keepNext/>
            </w:pPr>
            <w:r>
              <w:t>520.3</w:t>
            </w:r>
          </w:p>
        </w:tc>
        <w:tc>
          <w:tcPr>
            <w:tcW w:w="982" w:type="dxa"/>
            <w:tcBorders>
              <w:left w:val="nil"/>
              <w:right w:val="nil"/>
            </w:tcBorders>
          </w:tcPr>
          <w:p w:rsidR="009543DB" w:rsidRDefault="009543DB" w:rsidP="00F56817">
            <w:pPr>
              <w:pStyle w:val="Tabletextheadingright"/>
              <w:keepNext/>
            </w:pPr>
            <w:r>
              <w:t>533.5</w:t>
            </w:r>
          </w:p>
        </w:tc>
        <w:tc>
          <w:tcPr>
            <w:tcW w:w="982" w:type="dxa"/>
            <w:tcBorders>
              <w:left w:val="nil"/>
              <w:right w:val="nil"/>
            </w:tcBorders>
          </w:tcPr>
          <w:p w:rsidR="009543DB" w:rsidRDefault="009543DB" w:rsidP="00F56817">
            <w:pPr>
              <w:pStyle w:val="Tabletextheadingright"/>
              <w:keepNext/>
            </w:pPr>
            <w:r>
              <w:t>566.9</w:t>
            </w:r>
          </w:p>
        </w:tc>
        <w:tc>
          <w:tcPr>
            <w:tcW w:w="982" w:type="dxa"/>
            <w:tcBorders>
              <w:left w:val="nil"/>
              <w:right w:val="nil"/>
            </w:tcBorders>
          </w:tcPr>
          <w:p w:rsidR="009543DB" w:rsidRDefault="009543DB" w:rsidP="00F56817">
            <w:pPr>
              <w:pStyle w:val="Tabletextheadingright"/>
              <w:keepNext/>
            </w:pPr>
            <w:r>
              <w:t>596.2</w:t>
            </w:r>
          </w:p>
        </w:tc>
        <w:tc>
          <w:tcPr>
            <w:tcW w:w="983" w:type="dxa"/>
            <w:tcBorders>
              <w:left w:val="nil"/>
              <w:right w:val="nil"/>
            </w:tcBorders>
          </w:tcPr>
          <w:p w:rsidR="009543DB" w:rsidRDefault="009543DB" w:rsidP="00F56817">
            <w:pPr>
              <w:pStyle w:val="Tabletextheadingright"/>
              <w:keepNext/>
            </w:pPr>
            <w:r>
              <w:t>612.5</w:t>
            </w:r>
          </w:p>
        </w:tc>
        <w:tc>
          <w:tcPr>
            <w:tcW w:w="982" w:type="dxa"/>
            <w:tcBorders>
              <w:left w:val="nil"/>
              <w:right w:val="nil"/>
            </w:tcBorders>
          </w:tcPr>
          <w:p w:rsidR="009543DB" w:rsidRDefault="009543DB" w:rsidP="00F56817">
            <w:pPr>
              <w:pStyle w:val="Tabletextheadingright"/>
              <w:keepNext/>
            </w:pPr>
            <w:r>
              <w:t>653.4</w:t>
            </w:r>
          </w:p>
        </w:tc>
        <w:tc>
          <w:tcPr>
            <w:tcW w:w="982" w:type="dxa"/>
            <w:tcBorders>
              <w:left w:val="nil"/>
              <w:right w:val="nil"/>
            </w:tcBorders>
          </w:tcPr>
          <w:p w:rsidR="009543DB" w:rsidRDefault="009543DB" w:rsidP="00F56817">
            <w:pPr>
              <w:pStyle w:val="Tabletextheadingright"/>
              <w:keepNext/>
            </w:pPr>
            <w:r>
              <w:t>706.2</w:t>
            </w:r>
          </w:p>
        </w:tc>
        <w:tc>
          <w:tcPr>
            <w:tcW w:w="983" w:type="dxa"/>
            <w:tcBorders>
              <w:left w:val="nil"/>
              <w:right w:val="nil"/>
            </w:tcBorders>
          </w:tcPr>
          <w:p w:rsidR="009543DB" w:rsidRDefault="009543DB" w:rsidP="00F56817">
            <w:pPr>
              <w:pStyle w:val="Tabletextheadingright"/>
              <w:keepNext/>
            </w:pPr>
            <w:r>
              <w:t>753.1</w:t>
            </w:r>
          </w:p>
        </w:tc>
      </w:tr>
      <w:tr w:rsidR="009543DB" w:rsidTr="009543DB">
        <w:tc>
          <w:tcPr>
            <w:tcW w:w="1243" w:type="dxa"/>
            <w:vMerge/>
            <w:tcBorders>
              <w:left w:val="nil"/>
              <w:right w:val="nil"/>
            </w:tcBorders>
          </w:tcPr>
          <w:p w:rsidR="009543DB" w:rsidRDefault="009543DB" w:rsidP="00F56817">
            <w:pPr>
              <w:pStyle w:val="Tabletextheading"/>
              <w:keepNext/>
            </w:pPr>
          </w:p>
        </w:tc>
        <w:tc>
          <w:tcPr>
            <w:tcW w:w="1984" w:type="dxa"/>
            <w:tcBorders>
              <w:left w:val="nil"/>
              <w:right w:val="nil"/>
            </w:tcBorders>
          </w:tcPr>
          <w:p w:rsidR="009543DB" w:rsidRDefault="009543DB" w:rsidP="00F56817">
            <w:pPr>
              <w:pStyle w:val="Tabletextleft"/>
              <w:keepNext/>
            </w:pPr>
            <w:r>
              <w:t>Car parking % of total</w:t>
            </w:r>
          </w:p>
        </w:tc>
        <w:tc>
          <w:tcPr>
            <w:tcW w:w="982" w:type="dxa"/>
            <w:tcBorders>
              <w:left w:val="nil"/>
              <w:right w:val="nil"/>
            </w:tcBorders>
          </w:tcPr>
          <w:p w:rsidR="009543DB" w:rsidRDefault="009543DB" w:rsidP="00F56817">
            <w:pPr>
              <w:pStyle w:val="Tabletextright"/>
              <w:keepNext/>
            </w:pPr>
            <w:r>
              <w:t>15.6</w:t>
            </w:r>
          </w:p>
        </w:tc>
        <w:tc>
          <w:tcPr>
            <w:tcW w:w="982" w:type="dxa"/>
            <w:tcBorders>
              <w:left w:val="nil"/>
              <w:right w:val="nil"/>
            </w:tcBorders>
          </w:tcPr>
          <w:p w:rsidR="009543DB" w:rsidRDefault="009543DB" w:rsidP="00F56817">
            <w:pPr>
              <w:pStyle w:val="Tabletextright"/>
              <w:keepNext/>
            </w:pPr>
            <w:r>
              <w:t>17.4</w:t>
            </w:r>
          </w:p>
        </w:tc>
        <w:tc>
          <w:tcPr>
            <w:tcW w:w="982" w:type="dxa"/>
            <w:tcBorders>
              <w:left w:val="nil"/>
              <w:right w:val="nil"/>
            </w:tcBorders>
          </w:tcPr>
          <w:p w:rsidR="009543DB" w:rsidRDefault="009543DB" w:rsidP="00F56817">
            <w:pPr>
              <w:pStyle w:val="Tabletextright"/>
              <w:keepNext/>
            </w:pPr>
            <w:r>
              <w:t>18.4</w:t>
            </w:r>
          </w:p>
        </w:tc>
        <w:tc>
          <w:tcPr>
            <w:tcW w:w="983" w:type="dxa"/>
            <w:tcBorders>
              <w:left w:val="nil"/>
              <w:right w:val="nil"/>
            </w:tcBorders>
          </w:tcPr>
          <w:p w:rsidR="009543DB" w:rsidRDefault="009543DB" w:rsidP="00F56817">
            <w:pPr>
              <w:pStyle w:val="Tabletextright"/>
              <w:keepNext/>
            </w:pPr>
            <w:r>
              <w:t>20.8</w:t>
            </w:r>
          </w:p>
        </w:tc>
        <w:tc>
          <w:tcPr>
            <w:tcW w:w="982" w:type="dxa"/>
            <w:tcBorders>
              <w:left w:val="nil"/>
              <w:right w:val="nil"/>
            </w:tcBorders>
          </w:tcPr>
          <w:p w:rsidR="009543DB" w:rsidRDefault="009543DB" w:rsidP="00F56817">
            <w:pPr>
              <w:pStyle w:val="Tabletextright"/>
              <w:keepNext/>
            </w:pPr>
            <w:r>
              <w:t>20.5</w:t>
            </w:r>
          </w:p>
        </w:tc>
        <w:tc>
          <w:tcPr>
            <w:tcW w:w="982" w:type="dxa"/>
            <w:tcBorders>
              <w:left w:val="nil"/>
              <w:right w:val="nil"/>
            </w:tcBorders>
          </w:tcPr>
          <w:p w:rsidR="009543DB" w:rsidRDefault="009543DB" w:rsidP="00F56817">
            <w:pPr>
              <w:pStyle w:val="Tabletextright"/>
              <w:keepNext/>
            </w:pPr>
            <w:r>
              <w:t>20.6</w:t>
            </w:r>
          </w:p>
        </w:tc>
        <w:tc>
          <w:tcPr>
            <w:tcW w:w="982" w:type="dxa"/>
            <w:tcBorders>
              <w:left w:val="nil"/>
              <w:right w:val="nil"/>
            </w:tcBorders>
          </w:tcPr>
          <w:p w:rsidR="009543DB" w:rsidRDefault="009543DB" w:rsidP="00F56817">
            <w:pPr>
              <w:pStyle w:val="Tabletextright"/>
              <w:keepNext/>
            </w:pPr>
            <w:r>
              <w:t>21.0</w:t>
            </w:r>
          </w:p>
        </w:tc>
        <w:tc>
          <w:tcPr>
            <w:tcW w:w="983" w:type="dxa"/>
            <w:tcBorders>
              <w:left w:val="nil"/>
              <w:right w:val="nil"/>
            </w:tcBorders>
          </w:tcPr>
          <w:p w:rsidR="009543DB" w:rsidRDefault="009543DB" w:rsidP="00F56817">
            <w:pPr>
              <w:pStyle w:val="Tabletextright"/>
              <w:keepNext/>
            </w:pPr>
            <w:r>
              <w:t>20.0</w:t>
            </w:r>
          </w:p>
        </w:tc>
        <w:tc>
          <w:tcPr>
            <w:tcW w:w="982" w:type="dxa"/>
            <w:tcBorders>
              <w:left w:val="nil"/>
              <w:right w:val="nil"/>
            </w:tcBorders>
          </w:tcPr>
          <w:p w:rsidR="009543DB" w:rsidRDefault="009543DB" w:rsidP="00F56817">
            <w:pPr>
              <w:pStyle w:val="Tabletextright"/>
              <w:keepNext/>
            </w:pPr>
            <w:r>
              <w:t>19.2</w:t>
            </w:r>
          </w:p>
        </w:tc>
        <w:tc>
          <w:tcPr>
            <w:tcW w:w="982" w:type="dxa"/>
            <w:tcBorders>
              <w:left w:val="nil"/>
              <w:right w:val="nil"/>
            </w:tcBorders>
          </w:tcPr>
          <w:p w:rsidR="009543DB" w:rsidRDefault="009543DB" w:rsidP="00F56817">
            <w:pPr>
              <w:pStyle w:val="Tabletextright"/>
              <w:keepNext/>
            </w:pPr>
            <w:r>
              <w:t>18.1</w:t>
            </w:r>
          </w:p>
        </w:tc>
        <w:tc>
          <w:tcPr>
            <w:tcW w:w="983" w:type="dxa"/>
            <w:tcBorders>
              <w:left w:val="nil"/>
              <w:right w:val="nil"/>
            </w:tcBorders>
          </w:tcPr>
          <w:p w:rsidR="009543DB" w:rsidRDefault="009543DB" w:rsidP="00F56817">
            <w:pPr>
              <w:pStyle w:val="Tabletextright"/>
              <w:keepNext/>
            </w:pPr>
            <w:r>
              <w:t>19.5</w:t>
            </w:r>
          </w:p>
        </w:tc>
      </w:tr>
      <w:tr w:rsidR="009543DB" w:rsidTr="009543DB">
        <w:tc>
          <w:tcPr>
            <w:tcW w:w="1243" w:type="dxa"/>
            <w:vMerge w:val="restart"/>
            <w:tcBorders>
              <w:left w:val="nil"/>
              <w:right w:val="nil"/>
            </w:tcBorders>
          </w:tcPr>
          <w:p w:rsidR="009543DB" w:rsidRDefault="009543DB" w:rsidP="00F56817">
            <w:pPr>
              <w:pStyle w:val="Tabletextheading"/>
              <w:keepNext/>
            </w:pPr>
            <w:r>
              <w:t>Operating expenses ($million)</w:t>
            </w:r>
          </w:p>
        </w:tc>
        <w:tc>
          <w:tcPr>
            <w:tcW w:w="1984" w:type="dxa"/>
            <w:tcBorders>
              <w:left w:val="nil"/>
              <w:right w:val="nil"/>
            </w:tcBorders>
          </w:tcPr>
          <w:p w:rsidR="009543DB" w:rsidRDefault="009543DB" w:rsidP="00F56817">
            <w:pPr>
              <w:pStyle w:val="Tabletextleft"/>
              <w:keepNext/>
            </w:pPr>
            <w:r>
              <w:t>Car parking</w:t>
            </w:r>
          </w:p>
        </w:tc>
        <w:tc>
          <w:tcPr>
            <w:tcW w:w="982" w:type="dxa"/>
            <w:tcBorders>
              <w:left w:val="nil"/>
              <w:right w:val="nil"/>
            </w:tcBorders>
          </w:tcPr>
          <w:p w:rsidR="009543DB" w:rsidRDefault="009543DB" w:rsidP="00F56817">
            <w:pPr>
              <w:pStyle w:val="Tabletextright"/>
              <w:keepNext/>
            </w:pPr>
            <w:r>
              <w:t>13.9</w:t>
            </w:r>
          </w:p>
        </w:tc>
        <w:tc>
          <w:tcPr>
            <w:tcW w:w="982" w:type="dxa"/>
            <w:tcBorders>
              <w:left w:val="nil"/>
              <w:right w:val="nil"/>
            </w:tcBorders>
          </w:tcPr>
          <w:p w:rsidR="009543DB" w:rsidRDefault="009543DB" w:rsidP="00F56817">
            <w:pPr>
              <w:pStyle w:val="Tabletextright"/>
              <w:keepNext/>
            </w:pPr>
            <w:r>
              <w:t>16.2</w:t>
            </w:r>
          </w:p>
        </w:tc>
        <w:tc>
          <w:tcPr>
            <w:tcW w:w="982" w:type="dxa"/>
            <w:tcBorders>
              <w:left w:val="nil"/>
              <w:right w:val="nil"/>
            </w:tcBorders>
          </w:tcPr>
          <w:p w:rsidR="009543DB" w:rsidRDefault="009543DB" w:rsidP="00F56817">
            <w:pPr>
              <w:pStyle w:val="Tabletextright"/>
              <w:keepNext/>
            </w:pPr>
            <w:r>
              <w:t>23.7</w:t>
            </w:r>
          </w:p>
        </w:tc>
        <w:tc>
          <w:tcPr>
            <w:tcW w:w="983" w:type="dxa"/>
            <w:tcBorders>
              <w:left w:val="nil"/>
              <w:right w:val="nil"/>
            </w:tcBorders>
          </w:tcPr>
          <w:p w:rsidR="009543DB" w:rsidRDefault="009543DB" w:rsidP="00F56817">
            <w:pPr>
              <w:pStyle w:val="Tabletextright"/>
              <w:keepNext/>
            </w:pPr>
            <w:r>
              <w:t>25.1</w:t>
            </w:r>
          </w:p>
        </w:tc>
        <w:tc>
          <w:tcPr>
            <w:tcW w:w="982" w:type="dxa"/>
            <w:tcBorders>
              <w:left w:val="nil"/>
              <w:right w:val="nil"/>
            </w:tcBorders>
          </w:tcPr>
          <w:p w:rsidR="009543DB" w:rsidRDefault="009543DB" w:rsidP="00F56817">
            <w:pPr>
              <w:pStyle w:val="Tabletextright"/>
              <w:keepNext/>
            </w:pPr>
            <w:r>
              <w:t>23.4</w:t>
            </w:r>
          </w:p>
        </w:tc>
        <w:tc>
          <w:tcPr>
            <w:tcW w:w="982" w:type="dxa"/>
            <w:tcBorders>
              <w:left w:val="nil"/>
              <w:right w:val="nil"/>
            </w:tcBorders>
          </w:tcPr>
          <w:p w:rsidR="009543DB" w:rsidRDefault="009543DB" w:rsidP="00F56817">
            <w:pPr>
              <w:pStyle w:val="Tabletextright"/>
              <w:keepNext/>
            </w:pPr>
            <w:r>
              <w:t>26.0</w:t>
            </w:r>
          </w:p>
        </w:tc>
        <w:tc>
          <w:tcPr>
            <w:tcW w:w="982" w:type="dxa"/>
            <w:tcBorders>
              <w:left w:val="nil"/>
              <w:right w:val="nil"/>
            </w:tcBorders>
          </w:tcPr>
          <w:p w:rsidR="009543DB" w:rsidRDefault="009543DB" w:rsidP="00F56817">
            <w:pPr>
              <w:pStyle w:val="Tabletextright"/>
              <w:keepNext/>
            </w:pPr>
            <w:r>
              <w:t>30.3</w:t>
            </w:r>
          </w:p>
        </w:tc>
        <w:tc>
          <w:tcPr>
            <w:tcW w:w="983" w:type="dxa"/>
            <w:tcBorders>
              <w:left w:val="nil"/>
              <w:right w:val="nil"/>
            </w:tcBorders>
          </w:tcPr>
          <w:p w:rsidR="009543DB" w:rsidRDefault="009543DB" w:rsidP="00F56817">
            <w:pPr>
              <w:pStyle w:val="Tabletextright"/>
              <w:keepNext/>
            </w:pPr>
            <w:r>
              <w:t>30.2</w:t>
            </w:r>
          </w:p>
        </w:tc>
        <w:tc>
          <w:tcPr>
            <w:tcW w:w="982" w:type="dxa"/>
            <w:tcBorders>
              <w:left w:val="nil"/>
              <w:right w:val="nil"/>
            </w:tcBorders>
          </w:tcPr>
          <w:p w:rsidR="009543DB" w:rsidRDefault="009543DB" w:rsidP="00F56817">
            <w:pPr>
              <w:pStyle w:val="Tabletextright"/>
              <w:keepNext/>
            </w:pPr>
            <w:r>
              <w:t>35.6</w:t>
            </w:r>
          </w:p>
        </w:tc>
        <w:tc>
          <w:tcPr>
            <w:tcW w:w="982" w:type="dxa"/>
            <w:tcBorders>
              <w:left w:val="nil"/>
              <w:right w:val="nil"/>
            </w:tcBorders>
          </w:tcPr>
          <w:p w:rsidR="009543DB" w:rsidRDefault="009543DB" w:rsidP="00F56817">
            <w:pPr>
              <w:pStyle w:val="Tabletextright"/>
              <w:keepNext/>
            </w:pPr>
            <w:r>
              <w:t>39.5</w:t>
            </w:r>
          </w:p>
        </w:tc>
        <w:tc>
          <w:tcPr>
            <w:tcW w:w="983" w:type="dxa"/>
            <w:tcBorders>
              <w:left w:val="nil"/>
              <w:right w:val="nil"/>
            </w:tcBorders>
          </w:tcPr>
          <w:p w:rsidR="009543DB" w:rsidRDefault="009543DB" w:rsidP="00F56817">
            <w:pPr>
              <w:pStyle w:val="Tabletextright"/>
              <w:keepNext/>
            </w:pPr>
            <w:r>
              <w:t>39.4</w:t>
            </w:r>
          </w:p>
        </w:tc>
      </w:tr>
      <w:tr w:rsidR="009543DB" w:rsidTr="009543DB">
        <w:tc>
          <w:tcPr>
            <w:tcW w:w="1243" w:type="dxa"/>
            <w:vMerge/>
            <w:tcBorders>
              <w:left w:val="nil"/>
              <w:right w:val="nil"/>
            </w:tcBorders>
          </w:tcPr>
          <w:p w:rsidR="009543DB" w:rsidRDefault="009543DB" w:rsidP="00F56817">
            <w:pPr>
              <w:pStyle w:val="Tabletextheading"/>
              <w:keepNext/>
            </w:pPr>
          </w:p>
        </w:tc>
        <w:tc>
          <w:tcPr>
            <w:tcW w:w="1984" w:type="dxa"/>
            <w:tcBorders>
              <w:left w:val="nil"/>
              <w:right w:val="nil"/>
            </w:tcBorders>
            <w:vAlign w:val="center"/>
          </w:tcPr>
          <w:p w:rsidR="009543DB" w:rsidRDefault="009543DB" w:rsidP="00F56817">
            <w:pPr>
              <w:pStyle w:val="Tabletextleft-centred"/>
              <w:keepNext/>
            </w:pPr>
            <w:r>
              <w:t>Total airport</w:t>
            </w:r>
          </w:p>
        </w:tc>
        <w:tc>
          <w:tcPr>
            <w:tcW w:w="982" w:type="dxa"/>
            <w:tcBorders>
              <w:left w:val="nil"/>
              <w:right w:val="nil"/>
            </w:tcBorders>
            <w:vAlign w:val="center"/>
          </w:tcPr>
          <w:p w:rsidR="009543DB" w:rsidRDefault="009543DB" w:rsidP="00F56817">
            <w:pPr>
              <w:pStyle w:val="Tabletextright-centred"/>
            </w:pPr>
            <w:r>
              <w:t>161.7</w:t>
            </w:r>
          </w:p>
        </w:tc>
        <w:tc>
          <w:tcPr>
            <w:tcW w:w="982" w:type="dxa"/>
            <w:tcBorders>
              <w:left w:val="nil"/>
              <w:right w:val="nil"/>
            </w:tcBorders>
            <w:vAlign w:val="center"/>
          </w:tcPr>
          <w:p w:rsidR="009543DB" w:rsidRDefault="009543DB" w:rsidP="00F56817">
            <w:pPr>
              <w:pStyle w:val="Tabletextright-centred"/>
            </w:pPr>
            <w:r>
              <w:t>173.1</w:t>
            </w:r>
          </w:p>
        </w:tc>
        <w:tc>
          <w:tcPr>
            <w:tcW w:w="982" w:type="dxa"/>
            <w:tcBorders>
              <w:left w:val="nil"/>
              <w:right w:val="nil"/>
            </w:tcBorders>
            <w:vAlign w:val="center"/>
          </w:tcPr>
          <w:p w:rsidR="009543DB" w:rsidRDefault="009543DB" w:rsidP="00F56817">
            <w:pPr>
              <w:pStyle w:val="Tabletextright-centred"/>
            </w:pPr>
            <w:r>
              <w:t>178.7</w:t>
            </w:r>
          </w:p>
        </w:tc>
        <w:tc>
          <w:tcPr>
            <w:tcW w:w="983" w:type="dxa"/>
            <w:tcBorders>
              <w:left w:val="nil"/>
              <w:right w:val="nil"/>
            </w:tcBorders>
            <w:vAlign w:val="center"/>
          </w:tcPr>
          <w:p w:rsidR="009543DB" w:rsidRDefault="009543DB" w:rsidP="00F56817">
            <w:pPr>
              <w:pStyle w:val="Tabletextright-centred"/>
            </w:pPr>
            <w:r>
              <w:t>177.5</w:t>
            </w:r>
          </w:p>
        </w:tc>
        <w:tc>
          <w:tcPr>
            <w:tcW w:w="982" w:type="dxa"/>
            <w:tcBorders>
              <w:left w:val="nil"/>
              <w:right w:val="nil"/>
            </w:tcBorders>
            <w:vAlign w:val="center"/>
          </w:tcPr>
          <w:p w:rsidR="009543DB" w:rsidRDefault="009543DB" w:rsidP="00F56817">
            <w:pPr>
              <w:pStyle w:val="Tabletextright-centred"/>
            </w:pPr>
            <w:r>
              <w:t>185.3</w:t>
            </w:r>
          </w:p>
        </w:tc>
        <w:tc>
          <w:tcPr>
            <w:tcW w:w="982" w:type="dxa"/>
            <w:tcBorders>
              <w:left w:val="nil"/>
              <w:right w:val="nil"/>
            </w:tcBorders>
            <w:vAlign w:val="center"/>
          </w:tcPr>
          <w:p w:rsidR="009543DB" w:rsidRDefault="009543DB" w:rsidP="00F56817">
            <w:pPr>
              <w:pStyle w:val="Tabletextright-centred"/>
            </w:pPr>
            <w:r>
              <w:t>197.8</w:t>
            </w:r>
          </w:p>
        </w:tc>
        <w:tc>
          <w:tcPr>
            <w:tcW w:w="982" w:type="dxa"/>
            <w:tcBorders>
              <w:left w:val="nil"/>
              <w:right w:val="nil"/>
            </w:tcBorders>
            <w:vAlign w:val="center"/>
          </w:tcPr>
          <w:p w:rsidR="009543DB" w:rsidRDefault="009543DB" w:rsidP="00F56817">
            <w:pPr>
              <w:pStyle w:val="Tabletextright-centred"/>
            </w:pPr>
            <w:r>
              <w:t>212.6</w:t>
            </w:r>
          </w:p>
        </w:tc>
        <w:tc>
          <w:tcPr>
            <w:tcW w:w="983" w:type="dxa"/>
            <w:tcBorders>
              <w:left w:val="nil"/>
              <w:right w:val="nil"/>
            </w:tcBorders>
            <w:vAlign w:val="center"/>
          </w:tcPr>
          <w:p w:rsidR="009543DB" w:rsidRDefault="009543DB" w:rsidP="00F56817">
            <w:pPr>
              <w:pStyle w:val="Tabletextright-centred"/>
            </w:pPr>
            <w:r>
              <w:t>234.3</w:t>
            </w:r>
          </w:p>
        </w:tc>
        <w:tc>
          <w:tcPr>
            <w:tcW w:w="982" w:type="dxa"/>
            <w:tcBorders>
              <w:left w:val="nil"/>
              <w:right w:val="nil"/>
            </w:tcBorders>
            <w:vAlign w:val="center"/>
          </w:tcPr>
          <w:p w:rsidR="009543DB" w:rsidRDefault="009543DB" w:rsidP="00F56817">
            <w:pPr>
              <w:pStyle w:val="Tabletextright-centred"/>
            </w:pPr>
            <w:r>
              <w:t>258.1</w:t>
            </w:r>
          </w:p>
        </w:tc>
        <w:tc>
          <w:tcPr>
            <w:tcW w:w="982" w:type="dxa"/>
            <w:tcBorders>
              <w:left w:val="nil"/>
              <w:right w:val="nil"/>
            </w:tcBorders>
            <w:vAlign w:val="center"/>
          </w:tcPr>
          <w:p w:rsidR="009543DB" w:rsidRDefault="009543DB" w:rsidP="00F56817">
            <w:pPr>
              <w:pStyle w:val="Tabletextright-centred"/>
            </w:pPr>
            <w:r>
              <w:t>264.9</w:t>
            </w:r>
          </w:p>
        </w:tc>
        <w:tc>
          <w:tcPr>
            <w:tcW w:w="983" w:type="dxa"/>
            <w:tcBorders>
              <w:left w:val="nil"/>
              <w:right w:val="nil"/>
            </w:tcBorders>
            <w:vAlign w:val="center"/>
          </w:tcPr>
          <w:p w:rsidR="009543DB" w:rsidRDefault="009543DB" w:rsidP="00F56817">
            <w:pPr>
              <w:pStyle w:val="Tabletextright-centred"/>
            </w:pPr>
            <w:r>
              <w:t>298.0</w:t>
            </w:r>
          </w:p>
        </w:tc>
      </w:tr>
      <w:tr w:rsidR="009543DB" w:rsidTr="009543DB">
        <w:tc>
          <w:tcPr>
            <w:tcW w:w="1243" w:type="dxa"/>
            <w:vMerge w:val="restart"/>
            <w:tcBorders>
              <w:left w:val="nil"/>
              <w:right w:val="nil"/>
            </w:tcBorders>
          </w:tcPr>
          <w:p w:rsidR="009543DB" w:rsidRDefault="009543DB" w:rsidP="00F56817">
            <w:pPr>
              <w:pStyle w:val="Tabletextheading"/>
              <w:keepNext/>
            </w:pPr>
            <w:r>
              <w:t>Aggregate margin ($million)</w:t>
            </w:r>
          </w:p>
        </w:tc>
        <w:tc>
          <w:tcPr>
            <w:tcW w:w="1984" w:type="dxa"/>
            <w:tcBorders>
              <w:left w:val="nil"/>
              <w:right w:val="nil"/>
            </w:tcBorders>
          </w:tcPr>
          <w:p w:rsidR="009543DB" w:rsidRDefault="009543DB" w:rsidP="00F56817">
            <w:pPr>
              <w:pStyle w:val="Tabletextleft"/>
              <w:keepNext/>
            </w:pPr>
            <w:r>
              <w:t>Car parking</w:t>
            </w:r>
          </w:p>
        </w:tc>
        <w:tc>
          <w:tcPr>
            <w:tcW w:w="982" w:type="dxa"/>
            <w:tcBorders>
              <w:left w:val="nil"/>
              <w:right w:val="nil"/>
            </w:tcBorders>
          </w:tcPr>
          <w:p w:rsidR="009543DB" w:rsidRDefault="009543DB" w:rsidP="00F56817">
            <w:pPr>
              <w:pStyle w:val="Tabletextright"/>
              <w:keepNext/>
            </w:pPr>
            <w:r>
              <w:t>50.4</w:t>
            </w:r>
          </w:p>
        </w:tc>
        <w:tc>
          <w:tcPr>
            <w:tcW w:w="982" w:type="dxa"/>
            <w:tcBorders>
              <w:left w:val="nil"/>
              <w:right w:val="nil"/>
            </w:tcBorders>
          </w:tcPr>
          <w:p w:rsidR="009543DB" w:rsidRDefault="009543DB" w:rsidP="00F56817">
            <w:pPr>
              <w:pStyle w:val="Tabletextright"/>
              <w:keepNext/>
            </w:pPr>
            <w:r>
              <w:t>58.6</w:t>
            </w:r>
          </w:p>
        </w:tc>
        <w:tc>
          <w:tcPr>
            <w:tcW w:w="982" w:type="dxa"/>
            <w:tcBorders>
              <w:left w:val="nil"/>
              <w:right w:val="nil"/>
            </w:tcBorders>
          </w:tcPr>
          <w:p w:rsidR="009543DB" w:rsidRDefault="009543DB" w:rsidP="00F56817">
            <w:pPr>
              <w:pStyle w:val="Tabletextright"/>
              <w:keepNext/>
            </w:pPr>
            <w:r>
              <w:t>60.7</w:t>
            </w:r>
          </w:p>
        </w:tc>
        <w:tc>
          <w:tcPr>
            <w:tcW w:w="983" w:type="dxa"/>
            <w:tcBorders>
              <w:left w:val="nil"/>
              <w:right w:val="nil"/>
            </w:tcBorders>
          </w:tcPr>
          <w:p w:rsidR="009543DB" w:rsidRDefault="009543DB" w:rsidP="00F56817">
            <w:pPr>
              <w:pStyle w:val="Tabletextright"/>
              <w:keepNext/>
            </w:pPr>
            <w:r>
              <w:t>83.2</w:t>
            </w:r>
          </w:p>
        </w:tc>
        <w:tc>
          <w:tcPr>
            <w:tcW w:w="982" w:type="dxa"/>
            <w:tcBorders>
              <w:left w:val="nil"/>
              <w:right w:val="nil"/>
            </w:tcBorders>
          </w:tcPr>
          <w:p w:rsidR="009543DB" w:rsidRDefault="009543DB" w:rsidP="00F56817">
            <w:pPr>
              <w:pStyle w:val="Tabletextright"/>
              <w:keepNext/>
            </w:pPr>
            <w:r>
              <w:t>85.9</w:t>
            </w:r>
          </w:p>
        </w:tc>
        <w:tc>
          <w:tcPr>
            <w:tcW w:w="982" w:type="dxa"/>
            <w:tcBorders>
              <w:left w:val="nil"/>
              <w:right w:val="nil"/>
            </w:tcBorders>
          </w:tcPr>
          <w:p w:rsidR="009543DB" w:rsidRDefault="009543DB" w:rsidP="00F56817">
            <w:pPr>
              <w:pStyle w:val="Tabletextright"/>
              <w:keepNext/>
            </w:pPr>
            <w:r>
              <w:t>91.1</w:t>
            </w:r>
          </w:p>
        </w:tc>
        <w:tc>
          <w:tcPr>
            <w:tcW w:w="982" w:type="dxa"/>
            <w:tcBorders>
              <w:left w:val="nil"/>
              <w:right w:val="nil"/>
            </w:tcBorders>
          </w:tcPr>
          <w:p w:rsidR="009543DB" w:rsidRDefault="009543DB" w:rsidP="00F56817">
            <w:pPr>
              <w:pStyle w:val="Tabletextright"/>
              <w:keepNext/>
            </w:pPr>
            <w:r>
              <w:t>95.0</w:t>
            </w:r>
          </w:p>
        </w:tc>
        <w:tc>
          <w:tcPr>
            <w:tcW w:w="983" w:type="dxa"/>
            <w:tcBorders>
              <w:left w:val="nil"/>
              <w:right w:val="nil"/>
            </w:tcBorders>
          </w:tcPr>
          <w:p w:rsidR="009543DB" w:rsidRDefault="009543DB" w:rsidP="00F56817">
            <w:pPr>
              <w:pStyle w:val="Tabletextright"/>
              <w:keepNext/>
            </w:pPr>
            <w:r>
              <w:t>92.3</w:t>
            </w:r>
          </w:p>
        </w:tc>
        <w:tc>
          <w:tcPr>
            <w:tcW w:w="982" w:type="dxa"/>
            <w:tcBorders>
              <w:left w:val="nil"/>
              <w:right w:val="nil"/>
            </w:tcBorders>
          </w:tcPr>
          <w:p w:rsidR="009543DB" w:rsidRDefault="009543DB" w:rsidP="00F56817">
            <w:pPr>
              <w:pStyle w:val="Tabletextright"/>
              <w:keepNext/>
            </w:pPr>
            <w:r>
              <w:t>89.8</w:t>
            </w:r>
          </w:p>
        </w:tc>
        <w:tc>
          <w:tcPr>
            <w:tcW w:w="982" w:type="dxa"/>
            <w:tcBorders>
              <w:left w:val="nil"/>
              <w:right w:val="nil"/>
            </w:tcBorders>
          </w:tcPr>
          <w:p w:rsidR="009543DB" w:rsidRDefault="009543DB" w:rsidP="00F56817">
            <w:pPr>
              <w:pStyle w:val="Tabletextright"/>
              <w:keepNext/>
            </w:pPr>
            <w:r>
              <w:t>88.5</w:t>
            </w:r>
          </w:p>
        </w:tc>
        <w:tc>
          <w:tcPr>
            <w:tcW w:w="983" w:type="dxa"/>
            <w:tcBorders>
              <w:left w:val="nil"/>
              <w:right w:val="nil"/>
            </w:tcBorders>
          </w:tcPr>
          <w:p w:rsidR="009543DB" w:rsidRDefault="009543DB" w:rsidP="00F56817">
            <w:pPr>
              <w:pStyle w:val="Tabletextright"/>
              <w:keepNext/>
            </w:pPr>
            <w:r>
              <w:t>107.6</w:t>
            </w:r>
          </w:p>
        </w:tc>
      </w:tr>
      <w:tr w:rsidR="009543DB" w:rsidTr="009543DB">
        <w:tc>
          <w:tcPr>
            <w:tcW w:w="1243" w:type="dxa"/>
            <w:vMerge/>
            <w:tcBorders>
              <w:left w:val="nil"/>
              <w:right w:val="nil"/>
            </w:tcBorders>
          </w:tcPr>
          <w:p w:rsidR="009543DB" w:rsidRDefault="009543DB" w:rsidP="00F56817">
            <w:pPr>
              <w:pStyle w:val="Tabletextheading"/>
              <w:keepNext/>
            </w:pPr>
          </w:p>
        </w:tc>
        <w:tc>
          <w:tcPr>
            <w:tcW w:w="1984" w:type="dxa"/>
            <w:tcBorders>
              <w:left w:val="nil"/>
              <w:right w:val="nil"/>
            </w:tcBorders>
            <w:vAlign w:val="center"/>
          </w:tcPr>
          <w:p w:rsidR="009543DB" w:rsidRDefault="009543DB" w:rsidP="00F56817">
            <w:pPr>
              <w:pStyle w:val="Tabletextleft-centred"/>
              <w:keepNext/>
            </w:pPr>
            <w:r>
              <w:t>Total airport</w:t>
            </w:r>
          </w:p>
        </w:tc>
        <w:tc>
          <w:tcPr>
            <w:tcW w:w="982" w:type="dxa"/>
            <w:tcBorders>
              <w:left w:val="nil"/>
              <w:right w:val="nil"/>
            </w:tcBorders>
            <w:vAlign w:val="center"/>
          </w:tcPr>
          <w:p w:rsidR="009543DB" w:rsidRDefault="009543DB" w:rsidP="00F56817">
            <w:pPr>
              <w:pStyle w:val="Tabletextright-centred"/>
            </w:pPr>
            <w:r>
              <w:t>249.9</w:t>
            </w:r>
          </w:p>
        </w:tc>
        <w:tc>
          <w:tcPr>
            <w:tcW w:w="982" w:type="dxa"/>
            <w:tcBorders>
              <w:left w:val="nil"/>
              <w:right w:val="nil"/>
            </w:tcBorders>
            <w:vAlign w:val="center"/>
          </w:tcPr>
          <w:p w:rsidR="009543DB" w:rsidRDefault="009543DB" w:rsidP="00F56817">
            <w:pPr>
              <w:pStyle w:val="Tabletextright-centred"/>
            </w:pPr>
            <w:r>
              <w:t>255.9</w:t>
            </w:r>
          </w:p>
        </w:tc>
        <w:tc>
          <w:tcPr>
            <w:tcW w:w="982" w:type="dxa"/>
            <w:tcBorders>
              <w:left w:val="nil"/>
              <w:right w:val="nil"/>
            </w:tcBorders>
            <w:vAlign w:val="center"/>
          </w:tcPr>
          <w:p w:rsidR="009543DB" w:rsidRDefault="009543DB" w:rsidP="00F56817">
            <w:pPr>
              <w:pStyle w:val="Tabletextright-centred"/>
            </w:pPr>
            <w:r>
              <w:t>280.8</w:t>
            </w:r>
          </w:p>
        </w:tc>
        <w:tc>
          <w:tcPr>
            <w:tcW w:w="983" w:type="dxa"/>
            <w:tcBorders>
              <w:left w:val="nil"/>
              <w:right w:val="nil"/>
            </w:tcBorders>
            <w:vAlign w:val="center"/>
          </w:tcPr>
          <w:p w:rsidR="009543DB" w:rsidRDefault="009543DB" w:rsidP="00F56817">
            <w:pPr>
              <w:pStyle w:val="Tabletextright-centred"/>
            </w:pPr>
            <w:r>
              <w:t>342.8</w:t>
            </w:r>
          </w:p>
        </w:tc>
        <w:tc>
          <w:tcPr>
            <w:tcW w:w="982" w:type="dxa"/>
            <w:tcBorders>
              <w:left w:val="nil"/>
              <w:right w:val="nil"/>
            </w:tcBorders>
            <w:vAlign w:val="center"/>
          </w:tcPr>
          <w:p w:rsidR="009543DB" w:rsidRDefault="009543DB" w:rsidP="00F56817">
            <w:pPr>
              <w:pStyle w:val="Tabletextright-centred"/>
            </w:pPr>
            <w:r>
              <w:t>348.3</w:t>
            </w:r>
          </w:p>
        </w:tc>
        <w:tc>
          <w:tcPr>
            <w:tcW w:w="982" w:type="dxa"/>
            <w:tcBorders>
              <w:left w:val="nil"/>
              <w:right w:val="nil"/>
            </w:tcBorders>
            <w:vAlign w:val="center"/>
          </w:tcPr>
          <w:p w:rsidR="009543DB" w:rsidRDefault="009543DB" w:rsidP="00F56817">
            <w:pPr>
              <w:pStyle w:val="Tabletextright-centred"/>
            </w:pPr>
            <w:r>
              <w:t>369.1</w:t>
            </w:r>
          </w:p>
        </w:tc>
        <w:tc>
          <w:tcPr>
            <w:tcW w:w="982" w:type="dxa"/>
            <w:tcBorders>
              <w:left w:val="nil"/>
              <w:right w:val="nil"/>
            </w:tcBorders>
            <w:vAlign w:val="center"/>
          </w:tcPr>
          <w:p w:rsidR="009543DB" w:rsidRDefault="009543DB" w:rsidP="00F56817">
            <w:pPr>
              <w:pStyle w:val="Tabletextright-centred"/>
            </w:pPr>
            <w:r>
              <w:t>383.6</w:t>
            </w:r>
          </w:p>
        </w:tc>
        <w:tc>
          <w:tcPr>
            <w:tcW w:w="983" w:type="dxa"/>
            <w:tcBorders>
              <w:left w:val="nil"/>
              <w:right w:val="nil"/>
            </w:tcBorders>
            <w:vAlign w:val="center"/>
          </w:tcPr>
          <w:p w:rsidR="009543DB" w:rsidRDefault="009543DB" w:rsidP="00F56817">
            <w:pPr>
              <w:pStyle w:val="Tabletextright-centred"/>
            </w:pPr>
            <w:r>
              <w:t>378.2</w:t>
            </w:r>
          </w:p>
        </w:tc>
        <w:tc>
          <w:tcPr>
            <w:tcW w:w="982" w:type="dxa"/>
            <w:tcBorders>
              <w:left w:val="nil"/>
              <w:right w:val="nil"/>
            </w:tcBorders>
            <w:vAlign w:val="center"/>
          </w:tcPr>
          <w:p w:rsidR="009543DB" w:rsidRDefault="009543DB" w:rsidP="00F56817">
            <w:pPr>
              <w:pStyle w:val="Tabletextright-centred"/>
            </w:pPr>
            <w:r>
              <w:t>395.4</w:t>
            </w:r>
          </w:p>
        </w:tc>
        <w:tc>
          <w:tcPr>
            <w:tcW w:w="982" w:type="dxa"/>
            <w:tcBorders>
              <w:left w:val="nil"/>
              <w:right w:val="nil"/>
            </w:tcBorders>
            <w:vAlign w:val="center"/>
          </w:tcPr>
          <w:p w:rsidR="009543DB" w:rsidRDefault="009543DB" w:rsidP="00F56817">
            <w:pPr>
              <w:pStyle w:val="Tabletextright-centred"/>
            </w:pPr>
            <w:r>
              <w:t>441.3</w:t>
            </w:r>
          </w:p>
        </w:tc>
        <w:tc>
          <w:tcPr>
            <w:tcW w:w="983" w:type="dxa"/>
            <w:tcBorders>
              <w:left w:val="nil"/>
              <w:right w:val="nil"/>
            </w:tcBorders>
            <w:vAlign w:val="center"/>
          </w:tcPr>
          <w:p w:rsidR="009543DB" w:rsidRDefault="009543DB" w:rsidP="00F56817">
            <w:pPr>
              <w:pStyle w:val="Tabletextright-centred"/>
            </w:pPr>
            <w:r>
              <w:t>455.1</w:t>
            </w:r>
          </w:p>
        </w:tc>
      </w:tr>
      <w:tr w:rsidR="009543DB" w:rsidTr="009543DB">
        <w:tc>
          <w:tcPr>
            <w:tcW w:w="1243" w:type="dxa"/>
            <w:vMerge w:val="restart"/>
            <w:tcBorders>
              <w:left w:val="nil"/>
              <w:right w:val="nil"/>
            </w:tcBorders>
          </w:tcPr>
          <w:p w:rsidR="009543DB" w:rsidRDefault="009543DB" w:rsidP="00F56817">
            <w:pPr>
              <w:pStyle w:val="Tabletextheading"/>
              <w:keepNext/>
            </w:pPr>
            <w:r>
              <w:t>Aggregate margin % of revenue</w:t>
            </w:r>
          </w:p>
        </w:tc>
        <w:tc>
          <w:tcPr>
            <w:tcW w:w="1984" w:type="dxa"/>
            <w:tcBorders>
              <w:left w:val="nil"/>
              <w:right w:val="nil"/>
            </w:tcBorders>
          </w:tcPr>
          <w:p w:rsidR="009543DB" w:rsidRDefault="009543DB" w:rsidP="00F56817">
            <w:pPr>
              <w:pStyle w:val="Tabletextleft"/>
              <w:keepNext/>
            </w:pPr>
            <w:r>
              <w:t>Car parking</w:t>
            </w:r>
          </w:p>
        </w:tc>
        <w:tc>
          <w:tcPr>
            <w:tcW w:w="982" w:type="dxa"/>
            <w:tcBorders>
              <w:left w:val="nil"/>
              <w:right w:val="nil"/>
            </w:tcBorders>
          </w:tcPr>
          <w:p w:rsidR="009543DB" w:rsidRDefault="009543DB" w:rsidP="00F56817">
            <w:pPr>
              <w:pStyle w:val="Tabletextright"/>
              <w:keepNext/>
            </w:pPr>
            <w:r>
              <w:t>78.3</w:t>
            </w:r>
          </w:p>
        </w:tc>
        <w:tc>
          <w:tcPr>
            <w:tcW w:w="982" w:type="dxa"/>
            <w:tcBorders>
              <w:left w:val="nil"/>
              <w:right w:val="nil"/>
            </w:tcBorders>
          </w:tcPr>
          <w:p w:rsidR="009543DB" w:rsidRDefault="009543DB" w:rsidP="00F56817">
            <w:pPr>
              <w:pStyle w:val="Tabletextright"/>
              <w:keepNext/>
            </w:pPr>
            <w:r>
              <w:t>78.3</w:t>
            </w:r>
          </w:p>
        </w:tc>
        <w:tc>
          <w:tcPr>
            <w:tcW w:w="982" w:type="dxa"/>
            <w:tcBorders>
              <w:left w:val="nil"/>
              <w:right w:val="nil"/>
            </w:tcBorders>
          </w:tcPr>
          <w:p w:rsidR="009543DB" w:rsidRDefault="009543DB" w:rsidP="00F56817">
            <w:pPr>
              <w:pStyle w:val="Tabletextright"/>
              <w:keepNext/>
            </w:pPr>
            <w:r>
              <w:t>72.0</w:t>
            </w:r>
          </w:p>
        </w:tc>
        <w:tc>
          <w:tcPr>
            <w:tcW w:w="983" w:type="dxa"/>
            <w:tcBorders>
              <w:left w:val="nil"/>
              <w:right w:val="nil"/>
            </w:tcBorders>
          </w:tcPr>
          <w:p w:rsidR="009543DB" w:rsidRDefault="009543DB" w:rsidP="00F56817">
            <w:pPr>
              <w:pStyle w:val="Tabletextright"/>
              <w:keepNext/>
            </w:pPr>
            <w:r>
              <w:t>76.8</w:t>
            </w:r>
          </w:p>
        </w:tc>
        <w:tc>
          <w:tcPr>
            <w:tcW w:w="982" w:type="dxa"/>
            <w:tcBorders>
              <w:left w:val="nil"/>
              <w:right w:val="nil"/>
            </w:tcBorders>
          </w:tcPr>
          <w:p w:rsidR="009543DB" w:rsidRDefault="009543DB" w:rsidP="00F56817">
            <w:pPr>
              <w:pStyle w:val="Tabletextright"/>
              <w:keepNext/>
            </w:pPr>
            <w:r>
              <w:t>78.6</w:t>
            </w:r>
          </w:p>
        </w:tc>
        <w:tc>
          <w:tcPr>
            <w:tcW w:w="982" w:type="dxa"/>
            <w:tcBorders>
              <w:left w:val="nil"/>
              <w:right w:val="nil"/>
            </w:tcBorders>
          </w:tcPr>
          <w:p w:rsidR="009543DB" w:rsidRDefault="009543DB" w:rsidP="00F56817">
            <w:pPr>
              <w:pStyle w:val="Tabletextright"/>
              <w:keepNext/>
            </w:pPr>
            <w:r>
              <w:t>77.8</w:t>
            </w:r>
          </w:p>
        </w:tc>
        <w:tc>
          <w:tcPr>
            <w:tcW w:w="982" w:type="dxa"/>
            <w:tcBorders>
              <w:left w:val="nil"/>
              <w:right w:val="nil"/>
            </w:tcBorders>
          </w:tcPr>
          <w:p w:rsidR="009543DB" w:rsidRDefault="009543DB" w:rsidP="00F56817">
            <w:pPr>
              <w:pStyle w:val="Tabletextright"/>
              <w:keepNext/>
            </w:pPr>
            <w:r>
              <w:t>75.8</w:t>
            </w:r>
          </w:p>
        </w:tc>
        <w:tc>
          <w:tcPr>
            <w:tcW w:w="983" w:type="dxa"/>
            <w:tcBorders>
              <w:left w:val="nil"/>
              <w:right w:val="nil"/>
            </w:tcBorders>
          </w:tcPr>
          <w:p w:rsidR="009543DB" w:rsidRDefault="009543DB" w:rsidP="00F56817">
            <w:pPr>
              <w:pStyle w:val="Tabletextright"/>
              <w:keepNext/>
            </w:pPr>
            <w:r>
              <w:t>75.3</w:t>
            </w:r>
          </w:p>
        </w:tc>
        <w:tc>
          <w:tcPr>
            <w:tcW w:w="982" w:type="dxa"/>
            <w:tcBorders>
              <w:left w:val="nil"/>
              <w:right w:val="nil"/>
            </w:tcBorders>
          </w:tcPr>
          <w:p w:rsidR="009543DB" w:rsidRDefault="009543DB" w:rsidP="00F56817">
            <w:pPr>
              <w:pStyle w:val="Tabletextright"/>
              <w:keepNext/>
            </w:pPr>
            <w:r>
              <w:t>71.6</w:t>
            </w:r>
          </w:p>
        </w:tc>
        <w:tc>
          <w:tcPr>
            <w:tcW w:w="982" w:type="dxa"/>
            <w:tcBorders>
              <w:left w:val="nil"/>
              <w:right w:val="nil"/>
            </w:tcBorders>
          </w:tcPr>
          <w:p w:rsidR="009543DB" w:rsidRDefault="009543DB" w:rsidP="00F56817">
            <w:pPr>
              <w:pStyle w:val="Tabletextright"/>
              <w:keepNext/>
            </w:pPr>
            <w:r>
              <w:t>69.1</w:t>
            </w:r>
          </w:p>
        </w:tc>
        <w:tc>
          <w:tcPr>
            <w:tcW w:w="983" w:type="dxa"/>
            <w:tcBorders>
              <w:left w:val="nil"/>
              <w:right w:val="nil"/>
            </w:tcBorders>
          </w:tcPr>
          <w:p w:rsidR="009543DB" w:rsidRDefault="009543DB" w:rsidP="00F56817">
            <w:pPr>
              <w:pStyle w:val="Tabletextright"/>
              <w:keepNext/>
            </w:pPr>
            <w:r>
              <w:t>73.2</w:t>
            </w:r>
          </w:p>
        </w:tc>
      </w:tr>
      <w:tr w:rsidR="009543DB" w:rsidTr="009543DB">
        <w:tc>
          <w:tcPr>
            <w:tcW w:w="1243" w:type="dxa"/>
            <w:vMerge/>
            <w:tcBorders>
              <w:left w:val="nil"/>
              <w:bottom w:val="double" w:sz="4" w:space="0" w:color="auto"/>
              <w:right w:val="nil"/>
            </w:tcBorders>
          </w:tcPr>
          <w:p w:rsidR="009543DB" w:rsidRDefault="009543DB" w:rsidP="00F56817">
            <w:pPr>
              <w:pStyle w:val="Tabletextheading"/>
              <w:keepNext/>
            </w:pPr>
          </w:p>
        </w:tc>
        <w:tc>
          <w:tcPr>
            <w:tcW w:w="1984" w:type="dxa"/>
            <w:tcBorders>
              <w:left w:val="nil"/>
              <w:bottom w:val="double" w:sz="4" w:space="0" w:color="auto"/>
              <w:right w:val="nil"/>
            </w:tcBorders>
            <w:vAlign w:val="center"/>
          </w:tcPr>
          <w:p w:rsidR="009543DB" w:rsidRDefault="009543DB" w:rsidP="00F56817">
            <w:pPr>
              <w:pStyle w:val="Tabletextleft-centred"/>
              <w:keepNext/>
            </w:pPr>
            <w:r>
              <w:t>Total airport</w:t>
            </w:r>
          </w:p>
        </w:tc>
        <w:tc>
          <w:tcPr>
            <w:tcW w:w="982" w:type="dxa"/>
            <w:tcBorders>
              <w:left w:val="nil"/>
              <w:bottom w:val="double" w:sz="4" w:space="0" w:color="auto"/>
              <w:right w:val="nil"/>
            </w:tcBorders>
            <w:vAlign w:val="center"/>
          </w:tcPr>
          <w:p w:rsidR="009543DB" w:rsidRDefault="009543DB" w:rsidP="00F56817">
            <w:pPr>
              <w:pStyle w:val="Tabletextright-centred"/>
            </w:pPr>
            <w:r>
              <w:t>60.7</w:t>
            </w:r>
          </w:p>
        </w:tc>
        <w:tc>
          <w:tcPr>
            <w:tcW w:w="982" w:type="dxa"/>
            <w:tcBorders>
              <w:left w:val="nil"/>
              <w:bottom w:val="double" w:sz="4" w:space="0" w:color="auto"/>
              <w:right w:val="nil"/>
            </w:tcBorders>
            <w:vAlign w:val="center"/>
          </w:tcPr>
          <w:p w:rsidR="009543DB" w:rsidRDefault="009543DB" w:rsidP="00F56817">
            <w:pPr>
              <w:pStyle w:val="Tabletextright-centred"/>
            </w:pPr>
            <w:r>
              <w:t>59.7</w:t>
            </w:r>
          </w:p>
        </w:tc>
        <w:tc>
          <w:tcPr>
            <w:tcW w:w="982" w:type="dxa"/>
            <w:tcBorders>
              <w:left w:val="nil"/>
              <w:bottom w:val="double" w:sz="4" w:space="0" w:color="auto"/>
              <w:right w:val="nil"/>
            </w:tcBorders>
            <w:vAlign w:val="center"/>
          </w:tcPr>
          <w:p w:rsidR="009543DB" w:rsidRDefault="009543DB" w:rsidP="00F56817">
            <w:pPr>
              <w:pStyle w:val="Tabletextright-centred"/>
            </w:pPr>
            <w:r>
              <w:t>61.1</w:t>
            </w:r>
          </w:p>
        </w:tc>
        <w:tc>
          <w:tcPr>
            <w:tcW w:w="983" w:type="dxa"/>
            <w:tcBorders>
              <w:left w:val="nil"/>
              <w:bottom w:val="double" w:sz="4" w:space="0" w:color="auto"/>
              <w:right w:val="nil"/>
            </w:tcBorders>
            <w:vAlign w:val="center"/>
          </w:tcPr>
          <w:p w:rsidR="009543DB" w:rsidRDefault="009543DB" w:rsidP="00F56817">
            <w:pPr>
              <w:pStyle w:val="Tabletextright-centred"/>
            </w:pPr>
            <w:r>
              <w:t>65.9</w:t>
            </w:r>
          </w:p>
        </w:tc>
        <w:tc>
          <w:tcPr>
            <w:tcW w:w="982" w:type="dxa"/>
            <w:tcBorders>
              <w:left w:val="nil"/>
              <w:bottom w:val="double" w:sz="4" w:space="0" w:color="auto"/>
              <w:right w:val="nil"/>
            </w:tcBorders>
            <w:vAlign w:val="center"/>
          </w:tcPr>
          <w:p w:rsidR="009543DB" w:rsidRDefault="009543DB" w:rsidP="00F56817">
            <w:pPr>
              <w:pStyle w:val="Tabletextright-centred"/>
            </w:pPr>
            <w:r>
              <w:t>65.3</w:t>
            </w:r>
          </w:p>
        </w:tc>
        <w:tc>
          <w:tcPr>
            <w:tcW w:w="982" w:type="dxa"/>
            <w:tcBorders>
              <w:left w:val="nil"/>
              <w:bottom w:val="double" w:sz="4" w:space="0" w:color="auto"/>
              <w:right w:val="nil"/>
            </w:tcBorders>
            <w:vAlign w:val="center"/>
          </w:tcPr>
          <w:p w:rsidR="009543DB" w:rsidRDefault="009543DB" w:rsidP="00F56817">
            <w:pPr>
              <w:pStyle w:val="Tabletextright-centred"/>
            </w:pPr>
            <w:r>
              <w:t>65.1</w:t>
            </w:r>
          </w:p>
        </w:tc>
        <w:tc>
          <w:tcPr>
            <w:tcW w:w="982" w:type="dxa"/>
            <w:tcBorders>
              <w:left w:val="nil"/>
              <w:bottom w:val="double" w:sz="4" w:space="0" w:color="auto"/>
              <w:right w:val="nil"/>
            </w:tcBorders>
            <w:vAlign w:val="center"/>
          </w:tcPr>
          <w:p w:rsidR="009543DB" w:rsidRDefault="009543DB" w:rsidP="00F56817">
            <w:pPr>
              <w:pStyle w:val="Tabletextright-centred"/>
            </w:pPr>
            <w:r>
              <w:t>64.3</w:t>
            </w:r>
          </w:p>
        </w:tc>
        <w:tc>
          <w:tcPr>
            <w:tcW w:w="983" w:type="dxa"/>
            <w:tcBorders>
              <w:left w:val="nil"/>
              <w:bottom w:val="double" w:sz="4" w:space="0" w:color="auto"/>
              <w:right w:val="nil"/>
            </w:tcBorders>
            <w:vAlign w:val="center"/>
          </w:tcPr>
          <w:p w:rsidR="009543DB" w:rsidRDefault="009543DB" w:rsidP="00F56817">
            <w:pPr>
              <w:pStyle w:val="Tabletextright-centred"/>
            </w:pPr>
            <w:r>
              <w:t>61.7</w:t>
            </w:r>
          </w:p>
        </w:tc>
        <w:tc>
          <w:tcPr>
            <w:tcW w:w="982" w:type="dxa"/>
            <w:tcBorders>
              <w:left w:val="nil"/>
              <w:bottom w:val="double" w:sz="4" w:space="0" w:color="auto"/>
              <w:right w:val="nil"/>
            </w:tcBorders>
            <w:vAlign w:val="center"/>
          </w:tcPr>
          <w:p w:rsidR="009543DB" w:rsidRDefault="009543DB" w:rsidP="00F56817">
            <w:pPr>
              <w:pStyle w:val="Tabletextright-centred"/>
            </w:pPr>
            <w:r>
              <w:t>60.5</w:t>
            </w:r>
          </w:p>
        </w:tc>
        <w:tc>
          <w:tcPr>
            <w:tcW w:w="982" w:type="dxa"/>
            <w:tcBorders>
              <w:left w:val="nil"/>
              <w:bottom w:val="double" w:sz="4" w:space="0" w:color="auto"/>
              <w:right w:val="nil"/>
            </w:tcBorders>
            <w:vAlign w:val="center"/>
          </w:tcPr>
          <w:p w:rsidR="009543DB" w:rsidRDefault="009543DB" w:rsidP="00F56817">
            <w:pPr>
              <w:pStyle w:val="Tabletextright-centred"/>
            </w:pPr>
            <w:r>
              <w:t>62.5</w:t>
            </w:r>
          </w:p>
        </w:tc>
        <w:tc>
          <w:tcPr>
            <w:tcW w:w="983" w:type="dxa"/>
            <w:tcBorders>
              <w:left w:val="nil"/>
              <w:bottom w:val="double" w:sz="4" w:space="0" w:color="auto"/>
              <w:right w:val="nil"/>
            </w:tcBorders>
            <w:vAlign w:val="center"/>
          </w:tcPr>
          <w:p w:rsidR="009543DB" w:rsidRDefault="009543DB" w:rsidP="00F56817">
            <w:pPr>
              <w:pStyle w:val="Tabletextright-centred"/>
            </w:pPr>
            <w:r>
              <w:t>60.4</w:t>
            </w:r>
          </w:p>
        </w:tc>
      </w:tr>
      <w:tr w:rsidR="009543DB" w:rsidTr="009543DB">
        <w:tc>
          <w:tcPr>
            <w:tcW w:w="3227" w:type="dxa"/>
            <w:gridSpan w:val="2"/>
            <w:tcBorders>
              <w:top w:val="double" w:sz="4" w:space="0" w:color="auto"/>
              <w:left w:val="nil"/>
              <w:bottom w:val="double" w:sz="4" w:space="0" w:color="auto"/>
              <w:right w:val="nil"/>
            </w:tcBorders>
          </w:tcPr>
          <w:p w:rsidR="009543DB" w:rsidRDefault="009543DB" w:rsidP="00F56817">
            <w:pPr>
              <w:pStyle w:val="Tabletextheading"/>
              <w:keepNext/>
            </w:pPr>
            <w:r>
              <w:t>Revenue per space ($)</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5 490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4 610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4 994</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5 444</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4 911</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5 224</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5 591</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5 590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5 618</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5 247</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6 331</w:t>
            </w:r>
          </w:p>
        </w:tc>
      </w:tr>
      <w:tr w:rsidR="009543DB" w:rsidTr="009543DB">
        <w:tc>
          <w:tcPr>
            <w:tcW w:w="3227" w:type="dxa"/>
            <w:gridSpan w:val="2"/>
            <w:tcBorders>
              <w:top w:val="double" w:sz="4" w:space="0" w:color="auto"/>
              <w:left w:val="nil"/>
              <w:bottom w:val="double" w:sz="4" w:space="0" w:color="auto"/>
              <w:right w:val="nil"/>
            </w:tcBorders>
          </w:tcPr>
          <w:p w:rsidR="009543DB" w:rsidRDefault="009543DB" w:rsidP="00F56817">
            <w:pPr>
              <w:pStyle w:val="Tabletextheading"/>
              <w:keepNext/>
            </w:pPr>
            <w:r>
              <w:t>Operating expenses per space ($)</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1 190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1 000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1 401</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1 262</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1 050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1 158</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1 352</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1 378</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1 595</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1 620</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1 698</w:t>
            </w:r>
          </w:p>
        </w:tc>
      </w:tr>
      <w:tr w:rsidR="009543DB" w:rsidTr="009543DB">
        <w:tc>
          <w:tcPr>
            <w:tcW w:w="3227" w:type="dxa"/>
            <w:gridSpan w:val="2"/>
            <w:tcBorders>
              <w:top w:val="double" w:sz="4" w:space="0" w:color="auto"/>
              <w:left w:val="nil"/>
              <w:bottom w:val="double" w:sz="4" w:space="0" w:color="auto"/>
              <w:right w:val="nil"/>
            </w:tcBorders>
          </w:tcPr>
          <w:p w:rsidR="009543DB" w:rsidRDefault="009543DB" w:rsidP="00F56817">
            <w:pPr>
              <w:pStyle w:val="Tabletextheading"/>
              <w:keepNext/>
            </w:pPr>
            <w:r>
              <w:t>Aggregate margin per space ($)</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4 300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3 610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3 593</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4 182</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3 860</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4 066</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4 239</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4 212</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4 023</w:t>
            </w:r>
          </w:p>
        </w:tc>
        <w:tc>
          <w:tcPr>
            <w:tcW w:w="982" w:type="dxa"/>
            <w:tcBorders>
              <w:top w:val="double" w:sz="4" w:space="0" w:color="auto"/>
              <w:left w:val="nil"/>
              <w:bottom w:val="double" w:sz="4" w:space="0" w:color="auto"/>
              <w:right w:val="nil"/>
            </w:tcBorders>
          </w:tcPr>
          <w:p w:rsidR="009543DB" w:rsidRDefault="009543DB" w:rsidP="00F56817">
            <w:pPr>
              <w:pStyle w:val="Tabletextright"/>
              <w:keepNext/>
            </w:pPr>
            <w:r>
              <w:t>3 626</w:t>
            </w:r>
          </w:p>
        </w:tc>
        <w:tc>
          <w:tcPr>
            <w:tcW w:w="983" w:type="dxa"/>
            <w:tcBorders>
              <w:top w:val="double" w:sz="4" w:space="0" w:color="auto"/>
              <w:left w:val="nil"/>
              <w:bottom w:val="double" w:sz="4" w:space="0" w:color="auto"/>
              <w:right w:val="nil"/>
            </w:tcBorders>
          </w:tcPr>
          <w:p w:rsidR="009543DB" w:rsidRDefault="009543DB" w:rsidP="00F56817">
            <w:pPr>
              <w:pStyle w:val="Tabletextright"/>
              <w:keepNext/>
            </w:pPr>
            <w:r>
              <w:t>4 633</w:t>
            </w:r>
          </w:p>
        </w:tc>
      </w:tr>
    </w:tbl>
    <w:p w:rsidR="009543DB" w:rsidRDefault="009543DB" w:rsidP="00F56817">
      <w:pPr>
        <w:pStyle w:val="Sourceandnotes"/>
      </w:pPr>
      <w:r>
        <w:t>Note:</w:t>
      </w:r>
      <w:r>
        <w:tab/>
        <w:t>Real values in 2014-15 dollars</w:t>
      </w:r>
    </w:p>
    <w:p w:rsidR="009543DB" w:rsidRDefault="009543DB" w:rsidP="00F56817">
      <w:pPr>
        <w:keepNext/>
        <w:sectPr w:rsidR="009543DB" w:rsidSect="009543DB">
          <w:headerReference w:type="even" r:id="rId117"/>
          <w:headerReference w:type="default" r:id="rId118"/>
          <w:footnotePr>
            <w:numStart w:val="93"/>
          </w:footnotePr>
          <w:pgSz w:w="16838" w:h="11906" w:orient="landscape"/>
          <w:pgMar w:top="1729" w:right="1440" w:bottom="1729" w:left="1582" w:header="709" w:footer="709" w:gutter="0"/>
          <w:cols w:space="708"/>
          <w:docGrid w:linePitch="360"/>
        </w:sectPr>
      </w:pPr>
    </w:p>
    <w:p w:rsidR="009543DB" w:rsidRDefault="009543DB" w:rsidP="00F56817">
      <w:pPr>
        <w:pStyle w:val="Numberedheading3"/>
      </w:pPr>
      <w:r>
        <w:lastRenderedPageBreak/>
        <w:t>Quality of car parking facilities</w:t>
      </w:r>
    </w:p>
    <w:p w:rsidR="009543DB" w:rsidRDefault="009543DB" w:rsidP="00F56817">
      <w:pPr>
        <w:keepNext/>
      </w:pPr>
      <w:r>
        <w:t>Chart 3.4.5 shows how passengers have viewed the quality of Melbourne Airport’s car parking facilities. Passengers’ ratings of the standard of facilities, and time taken to enter the car parking facilities were largely unchanged in 2014</w:t>
      </w:r>
      <w:r>
        <w:noBreakHyphen/>
        <w:t>15 and remained rated as ‘good’. However, passengers’ rating of the availability of car parking declined within the ‘good’ range in 2014</w:t>
      </w:r>
      <w:r>
        <w:noBreakHyphen/>
        <w:t>15. Melbourne Airport stated that the relocation of hire cars to within the short term car park and the construction around Terminal 4 resulted in reduced car park spaces in 2014</w:t>
      </w:r>
      <w:r>
        <w:noBreakHyphen/>
        <w:t xml:space="preserve">15. </w:t>
      </w:r>
    </w:p>
    <w:p w:rsidR="009543DB" w:rsidRDefault="009543DB" w:rsidP="00F56817">
      <w:pPr>
        <w:pStyle w:val="Numberedcharttitle"/>
      </w:pPr>
      <w:r>
        <w:t>Chart 3.4.5:</w:t>
      </w:r>
      <w:r>
        <w:tab/>
        <w:t>Melbourne Airport—passenger survey ratings of the quality of car parking facilities: 2004</w:t>
      </w:r>
      <w:r>
        <w:noBreakHyphen/>
        <w:t>05 to 2014</w:t>
      </w:r>
      <w:r>
        <w:noBreakHyphen/>
        <w:t>15</w:t>
      </w:r>
    </w:p>
    <w:p w:rsidR="009543DB" w:rsidRDefault="009543DB" w:rsidP="00F56817">
      <w:pPr>
        <w:keepNext/>
      </w:pPr>
      <w:r w:rsidRPr="00236393">
        <w:rPr>
          <w:noProof/>
          <w:lang w:eastAsia="en-AU"/>
        </w:rPr>
        <w:drawing>
          <wp:inline distT="0" distB="0" distL="0" distR="0" wp14:anchorId="22226676" wp14:editId="1CC18F4A">
            <wp:extent cx="5358810" cy="254118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64480" cy="2543870"/>
                    </a:xfrm>
                    <a:prstGeom prst="rect">
                      <a:avLst/>
                    </a:prstGeom>
                    <a:noFill/>
                    <a:ln>
                      <a:noFill/>
                    </a:ln>
                  </pic:spPr>
                </pic:pic>
              </a:graphicData>
            </a:graphic>
          </wp:inline>
        </w:drawing>
      </w:r>
    </w:p>
    <w:p w:rsidR="009543DB" w:rsidRDefault="009543DB" w:rsidP="00F56817">
      <w:pPr>
        <w:pStyle w:val="Sourceandnotes"/>
      </w:pPr>
      <w:r>
        <w:t>Source:</w:t>
      </w:r>
      <w:r>
        <w:tab/>
        <w:t>Passenger surveys</w:t>
      </w:r>
    </w:p>
    <w:p w:rsidR="009543DB" w:rsidRDefault="009543DB" w:rsidP="00F56817">
      <w:pPr>
        <w:pStyle w:val="Numberedheading3"/>
      </w:pPr>
      <w:r>
        <w:t>Other transport options</w:t>
      </w:r>
    </w:p>
    <w:p w:rsidR="009543DB" w:rsidRDefault="009543DB" w:rsidP="00F56817">
      <w:pPr>
        <w:keepNext/>
      </w:pPr>
      <w:r w:rsidRPr="005B6642">
        <w:t>In addition to car parking options, there are a number of alternative transport options to and from</w:t>
      </w:r>
      <w:r>
        <w:t xml:space="preserve"> Melbourne</w:t>
      </w:r>
      <w:r w:rsidRPr="005B6642">
        <w:t xml:space="preserve"> Airport, including buses, taxis, and private cars. </w:t>
      </w:r>
      <w:r>
        <w:t>Melbourne</w:t>
      </w:r>
      <w:r w:rsidRPr="005B6642">
        <w:t xml:space="preserve"> Airport imposes a landside access charge on some of these altern</w:t>
      </w:r>
      <w:r>
        <w:t>ative transport options. Table 3</w:t>
      </w:r>
      <w:r w:rsidRPr="005B6642">
        <w:t>.4.5 outlines the l</w:t>
      </w:r>
      <w:r>
        <w:t>andside access charges for 2014</w:t>
      </w:r>
      <w:r>
        <w:noBreakHyphen/>
      </w:r>
      <w:r w:rsidRPr="005B6642">
        <w:t>15, as well as the indexed a</w:t>
      </w:r>
      <w:r>
        <w:t>verage list prices between 2010</w:t>
      </w:r>
      <w:r>
        <w:noBreakHyphen/>
        <w:t>11 and 2014</w:t>
      </w:r>
      <w:r>
        <w:noBreakHyphen/>
        <w:t>15 in real terms.</w:t>
      </w:r>
    </w:p>
    <w:p w:rsidR="009543DB" w:rsidRDefault="009543DB" w:rsidP="00F56817">
      <w:pPr>
        <w:pStyle w:val="Numberedcharttitle"/>
      </w:pPr>
      <w:r>
        <w:t>Table 3.4.5:</w:t>
      </w:r>
      <w:r>
        <w:tab/>
        <w:t>Melbourne Airport—landside access charges in 2014</w:t>
      </w:r>
      <w:r>
        <w:noBreakHyphen/>
        <w:t>15 and indexed average access charges in real terms: 2010</w:t>
      </w:r>
      <w:r>
        <w:noBreakHyphen/>
        <w:t>11 to 2014</w:t>
      </w:r>
      <w:r>
        <w:noBreakHyphen/>
        <w:t>15</w:t>
      </w:r>
    </w:p>
    <w:tbl>
      <w:tblPr>
        <w:tblStyle w:val="TableGrid"/>
        <w:tblW w:w="0" w:type="auto"/>
        <w:tblLook w:val="04A0" w:firstRow="1" w:lastRow="0" w:firstColumn="1" w:lastColumn="0" w:noHBand="0" w:noVBand="1"/>
      </w:tblPr>
      <w:tblGrid>
        <w:gridCol w:w="2830"/>
        <w:gridCol w:w="1247"/>
        <w:gridCol w:w="917"/>
        <w:gridCol w:w="917"/>
        <w:gridCol w:w="918"/>
        <w:gridCol w:w="917"/>
        <w:gridCol w:w="918"/>
      </w:tblGrid>
      <w:tr w:rsidR="009543DB" w:rsidTr="009543DB">
        <w:trPr>
          <w:trHeight w:val="629"/>
        </w:trPr>
        <w:tc>
          <w:tcPr>
            <w:tcW w:w="2830" w:type="dxa"/>
            <w:tcBorders>
              <w:left w:val="nil"/>
              <w:bottom w:val="nil"/>
              <w:right w:val="nil"/>
            </w:tcBorders>
            <w:shd w:val="clear" w:color="auto" w:fill="DFE0DC"/>
          </w:tcPr>
          <w:p w:rsidR="009543DB" w:rsidRDefault="009543DB" w:rsidP="00F56817">
            <w:pPr>
              <w:pStyle w:val="Tabletextheading"/>
              <w:keepNext/>
            </w:pPr>
            <w:r>
              <w:t>Transport option</w:t>
            </w:r>
          </w:p>
        </w:tc>
        <w:tc>
          <w:tcPr>
            <w:tcW w:w="1247" w:type="dxa"/>
            <w:vMerge w:val="restart"/>
            <w:tcBorders>
              <w:left w:val="nil"/>
              <w:bottom w:val="single" w:sz="4" w:space="0" w:color="auto"/>
              <w:right w:val="single" w:sz="4" w:space="0" w:color="auto"/>
            </w:tcBorders>
            <w:shd w:val="clear" w:color="auto" w:fill="DFE0DC"/>
          </w:tcPr>
          <w:p w:rsidR="009543DB" w:rsidRDefault="009543DB" w:rsidP="00F56817">
            <w:pPr>
              <w:pStyle w:val="Tabletextheadingright"/>
              <w:keepNext/>
            </w:pPr>
            <w:r>
              <w:t>Average list prices</w:t>
            </w:r>
            <w:r>
              <w:br/>
              <w:t>($)</w:t>
            </w:r>
            <w:r>
              <w:br/>
              <w:t>2014-15</w:t>
            </w:r>
          </w:p>
        </w:tc>
        <w:tc>
          <w:tcPr>
            <w:tcW w:w="4587" w:type="dxa"/>
            <w:gridSpan w:val="5"/>
            <w:tcBorders>
              <w:left w:val="single" w:sz="4" w:space="0" w:color="auto"/>
              <w:bottom w:val="nil"/>
              <w:right w:val="nil"/>
            </w:tcBorders>
            <w:shd w:val="clear" w:color="auto" w:fill="DFE0DC"/>
          </w:tcPr>
          <w:p w:rsidR="009543DB" w:rsidRDefault="009543DB" w:rsidP="00F56817">
            <w:pPr>
              <w:pStyle w:val="Tabletextheadingcentre"/>
            </w:pPr>
            <w:r>
              <w:t>Indexed average list prices</w:t>
            </w:r>
            <w:r>
              <w:br/>
              <w:t>(2014-15 base year = 100)</w:t>
            </w:r>
          </w:p>
        </w:tc>
      </w:tr>
      <w:tr w:rsidR="009543DB" w:rsidTr="009543DB">
        <w:tc>
          <w:tcPr>
            <w:tcW w:w="2830" w:type="dxa"/>
            <w:tcBorders>
              <w:top w:val="nil"/>
              <w:left w:val="nil"/>
              <w:bottom w:val="single" w:sz="4" w:space="0" w:color="auto"/>
              <w:right w:val="nil"/>
            </w:tcBorders>
            <w:shd w:val="clear" w:color="auto" w:fill="DFE0DC"/>
          </w:tcPr>
          <w:p w:rsidR="009543DB" w:rsidRPr="0078295A" w:rsidRDefault="009543DB" w:rsidP="00F56817">
            <w:pPr>
              <w:pStyle w:val="Tabletextleft"/>
              <w:keepNext/>
            </w:pPr>
          </w:p>
        </w:tc>
        <w:tc>
          <w:tcPr>
            <w:tcW w:w="1247" w:type="dxa"/>
            <w:vMerge/>
            <w:tcBorders>
              <w:top w:val="nil"/>
              <w:left w:val="nil"/>
              <w:bottom w:val="single" w:sz="4" w:space="0" w:color="auto"/>
              <w:right w:val="single" w:sz="4" w:space="0" w:color="auto"/>
            </w:tcBorders>
            <w:shd w:val="clear" w:color="auto" w:fill="DFE0DC"/>
          </w:tcPr>
          <w:p w:rsidR="009543DB" w:rsidRDefault="009543DB" w:rsidP="00F56817">
            <w:pPr>
              <w:pStyle w:val="Tabletextleft"/>
              <w:keepNext/>
            </w:pPr>
          </w:p>
        </w:tc>
        <w:tc>
          <w:tcPr>
            <w:tcW w:w="917" w:type="dxa"/>
            <w:tcBorders>
              <w:top w:val="nil"/>
              <w:left w:val="single" w:sz="4" w:space="0" w:color="auto"/>
              <w:bottom w:val="single" w:sz="4" w:space="0" w:color="auto"/>
              <w:right w:val="nil"/>
            </w:tcBorders>
            <w:shd w:val="clear" w:color="auto" w:fill="DFE0DC"/>
          </w:tcPr>
          <w:p w:rsidR="009543DB" w:rsidRDefault="009543DB" w:rsidP="00F56817">
            <w:pPr>
              <w:pStyle w:val="Tabletextheadingright"/>
              <w:keepNext/>
            </w:pPr>
            <w:r>
              <w:t>2010-11</w:t>
            </w:r>
          </w:p>
        </w:tc>
        <w:tc>
          <w:tcPr>
            <w:tcW w:w="917" w:type="dxa"/>
            <w:tcBorders>
              <w:top w:val="nil"/>
              <w:left w:val="nil"/>
              <w:bottom w:val="single" w:sz="4" w:space="0" w:color="auto"/>
              <w:right w:val="nil"/>
            </w:tcBorders>
            <w:shd w:val="clear" w:color="auto" w:fill="DFE0DC"/>
          </w:tcPr>
          <w:p w:rsidR="009543DB" w:rsidRDefault="009543DB" w:rsidP="00F56817">
            <w:pPr>
              <w:pStyle w:val="Tabletextheadingright"/>
              <w:keepNext/>
            </w:pPr>
            <w:r>
              <w:t>2011-12</w:t>
            </w:r>
          </w:p>
        </w:tc>
        <w:tc>
          <w:tcPr>
            <w:tcW w:w="918" w:type="dxa"/>
            <w:tcBorders>
              <w:top w:val="nil"/>
              <w:left w:val="nil"/>
              <w:bottom w:val="single" w:sz="4" w:space="0" w:color="auto"/>
              <w:right w:val="nil"/>
            </w:tcBorders>
            <w:shd w:val="clear" w:color="auto" w:fill="DFE0DC"/>
          </w:tcPr>
          <w:p w:rsidR="009543DB" w:rsidRDefault="009543DB" w:rsidP="00F56817">
            <w:pPr>
              <w:pStyle w:val="Tabletextheadingright"/>
              <w:keepNext/>
            </w:pPr>
            <w:r>
              <w:t>2012-13</w:t>
            </w:r>
          </w:p>
        </w:tc>
        <w:tc>
          <w:tcPr>
            <w:tcW w:w="917" w:type="dxa"/>
            <w:tcBorders>
              <w:top w:val="nil"/>
              <w:left w:val="nil"/>
              <w:bottom w:val="single" w:sz="4" w:space="0" w:color="auto"/>
              <w:right w:val="nil"/>
            </w:tcBorders>
            <w:shd w:val="clear" w:color="auto" w:fill="DFE0DC"/>
          </w:tcPr>
          <w:p w:rsidR="009543DB" w:rsidRDefault="009543DB" w:rsidP="00F56817">
            <w:pPr>
              <w:pStyle w:val="Tabletextheadingright"/>
              <w:keepNext/>
            </w:pPr>
            <w:r>
              <w:t>2013-14</w:t>
            </w:r>
          </w:p>
        </w:tc>
        <w:tc>
          <w:tcPr>
            <w:tcW w:w="918" w:type="dxa"/>
            <w:tcBorders>
              <w:top w:val="nil"/>
              <w:left w:val="nil"/>
              <w:bottom w:val="single" w:sz="4" w:space="0" w:color="auto"/>
              <w:right w:val="nil"/>
            </w:tcBorders>
            <w:shd w:val="clear" w:color="auto" w:fill="DFE0DC"/>
          </w:tcPr>
          <w:p w:rsidR="009543DB" w:rsidRDefault="009543DB" w:rsidP="00F56817">
            <w:pPr>
              <w:pStyle w:val="Tabletextheadingright"/>
              <w:keepNext/>
            </w:pPr>
            <w:r>
              <w:t>2014-15</w:t>
            </w:r>
          </w:p>
        </w:tc>
      </w:tr>
      <w:tr w:rsidR="009543DB" w:rsidTr="009543DB">
        <w:tc>
          <w:tcPr>
            <w:tcW w:w="2830" w:type="dxa"/>
            <w:tcBorders>
              <w:left w:val="nil"/>
              <w:bottom w:val="single" w:sz="4" w:space="0" w:color="auto"/>
              <w:right w:val="nil"/>
            </w:tcBorders>
            <w:shd w:val="clear" w:color="auto" w:fill="auto"/>
          </w:tcPr>
          <w:p w:rsidR="009543DB" w:rsidRDefault="009543DB" w:rsidP="00F56817">
            <w:pPr>
              <w:pStyle w:val="Tabletextleft"/>
              <w:keepNext/>
            </w:pPr>
            <w:r>
              <w:t>Public bus</w:t>
            </w:r>
          </w:p>
        </w:tc>
        <w:tc>
          <w:tcPr>
            <w:tcW w:w="1247" w:type="dxa"/>
            <w:tcBorders>
              <w:left w:val="nil"/>
              <w:bottom w:val="single" w:sz="4" w:space="0" w:color="auto"/>
            </w:tcBorders>
            <w:shd w:val="clear" w:color="auto" w:fill="auto"/>
          </w:tcPr>
          <w:p w:rsidR="009543DB" w:rsidRDefault="009543DB" w:rsidP="00F56817">
            <w:pPr>
              <w:pStyle w:val="Tabletextright"/>
              <w:keepNext/>
            </w:pPr>
            <w:r>
              <w:t>Not available</w:t>
            </w:r>
          </w:p>
        </w:tc>
        <w:tc>
          <w:tcPr>
            <w:tcW w:w="917" w:type="dxa"/>
            <w:tcBorders>
              <w:bottom w:val="single" w:sz="4" w:space="0" w:color="auto"/>
              <w:right w:val="nil"/>
            </w:tcBorders>
            <w:shd w:val="clear" w:color="auto" w:fill="auto"/>
          </w:tcPr>
          <w:p w:rsidR="009543DB" w:rsidRDefault="009543DB" w:rsidP="00F56817">
            <w:pPr>
              <w:pStyle w:val="Tabletextright"/>
              <w:keepNext/>
            </w:pPr>
            <w:r>
              <w:t>NA</w:t>
            </w:r>
          </w:p>
        </w:tc>
        <w:tc>
          <w:tcPr>
            <w:tcW w:w="917" w:type="dxa"/>
            <w:tcBorders>
              <w:left w:val="nil"/>
              <w:bottom w:val="single" w:sz="4" w:space="0" w:color="auto"/>
              <w:right w:val="nil"/>
            </w:tcBorders>
            <w:shd w:val="clear" w:color="auto" w:fill="auto"/>
          </w:tcPr>
          <w:p w:rsidR="009543DB" w:rsidRDefault="009543DB" w:rsidP="00F56817">
            <w:pPr>
              <w:pStyle w:val="Tabletextright"/>
              <w:keepNext/>
            </w:pPr>
            <w:r>
              <w:t>NA</w:t>
            </w:r>
          </w:p>
        </w:tc>
        <w:tc>
          <w:tcPr>
            <w:tcW w:w="918" w:type="dxa"/>
            <w:tcBorders>
              <w:left w:val="nil"/>
              <w:bottom w:val="single" w:sz="4" w:space="0" w:color="auto"/>
              <w:right w:val="nil"/>
            </w:tcBorders>
            <w:shd w:val="clear" w:color="auto" w:fill="auto"/>
          </w:tcPr>
          <w:p w:rsidR="009543DB" w:rsidRDefault="009543DB" w:rsidP="00F56817">
            <w:pPr>
              <w:pStyle w:val="Tabletextright"/>
              <w:keepNext/>
            </w:pPr>
            <w:r>
              <w:t>NA</w:t>
            </w:r>
          </w:p>
        </w:tc>
        <w:tc>
          <w:tcPr>
            <w:tcW w:w="917" w:type="dxa"/>
            <w:tcBorders>
              <w:left w:val="nil"/>
              <w:bottom w:val="single" w:sz="4" w:space="0" w:color="auto"/>
              <w:right w:val="nil"/>
            </w:tcBorders>
            <w:shd w:val="clear" w:color="auto" w:fill="auto"/>
          </w:tcPr>
          <w:p w:rsidR="009543DB" w:rsidRDefault="009543DB" w:rsidP="00F56817">
            <w:pPr>
              <w:pStyle w:val="Tabletextright"/>
              <w:keepNext/>
            </w:pPr>
            <w:r>
              <w:t>NA</w:t>
            </w:r>
          </w:p>
        </w:tc>
        <w:tc>
          <w:tcPr>
            <w:tcW w:w="918" w:type="dxa"/>
            <w:tcBorders>
              <w:left w:val="nil"/>
              <w:bottom w:val="single" w:sz="4" w:space="0" w:color="auto"/>
              <w:right w:val="nil"/>
            </w:tcBorders>
            <w:shd w:val="clear" w:color="auto" w:fill="auto"/>
          </w:tcPr>
          <w:p w:rsidR="009543DB" w:rsidRDefault="009543DB" w:rsidP="00F56817">
            <w:pPr>
              <w:pStyle w:val="Tabletextright"/>
              <w:keepNext/>
            </w:pPr>
            <w:r>
              <w:t>NA</w:t>
            </w:r>
          </w:p>
        </w:tc>
      </w:tr>
      <w:tr w:rsidR="009543DB" w:rsidTr="009543DB">
        <w:tc>
          <w:tcPr>
            <w:tcW w:w="2830" w:type="dxa"/>
            <w:tcBorders>
              <w:top w:val="single" w:sz="4" w:space="0" w:color="auto"/>
              <w:left w:val="nil"/>
              <w:bottom w:val="single" w:sz="4" w:space="0" w:color="auto"/>
              <w:right w:val="nil"/>
            </w:tcBorders>
          </w:tcPr>
          <w:p w:rsidR="009543DB" w:rsidRDefault="009543DB" w:rsidP="00F56817">
            <w:pPr>
              <w:pStyle w:val="Tabletextleft"/>
              <w:keepNext/>
            </w:pPr>
            <w:r>
              <w:t>Private bus</w:t>
            </w:r>
          </w:p>
        </w:tc>
        <w:tc>
          <w:tcPr>
            <w:tcW w:w="1247" w:type="dxa"/>
            <w:tcBorders>
              <w:top w:val="single" w:sz="4" w:space="0" w:color="auto"/>
              <w:left w:val="nil"/>
              <w:bottom w:val="single" w:sz="4" w:space="0" w:color="auto"/>
            </w:tcBorders>
          </w:tcPr>
          <w:p w:rsidR="009543DB" w:rsidRDefault="009543DB" w:rsidP="00F56817">
            <w:pPr>
              <w:pStyle w:val="Tabletextright"/>
              <w:keepNext/>
            </w:pPr>
            <w:r>
              <w:t>Various</w:t>
            </w:r>
          </w:p>
        </w:tc>
        <w:tc>
          <w:tcPr>
            <w:tcW w:w="917" w:type="dxa"/>
            <w:tcBorders>
              <w:top w:val="single" w:sz="4" w:space="0" w:color="auto"/>
              <w:bottom w:val="single" w:sz="4" w:space="0" w:color="auto"/>
              <w:right w:val="nil"/>
            </w:tcBorders>
          </w:tcPr>
          <w:p w:rsidR="009543DB" w:rsidRDefault="009543DB" w:rsidP="00F56817">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NA</w:t>
            </w:r>
          </w:p>
        </w:tc>
      </w:tr>
      <w:tr w:rsidR="009543DB" w:rsidTr="009543DB">
        <w:tc>
          <w:tcPr>
            <w:tcW w:w="2830" w:type="dxa"/>
            <w:tcBorders>
              <w:top w:val="single" w:sz="4" w:space="0" w:color="auto"/>
              <w:left w:val="nil"/>
              <w:bottom w:val="single" w:sz="4" w:space="0" w:color="auto"/>
              <w:right w:val="nil"/>
            </w:tcBorders>
          </w:tcPr>
          <w:p w:rsidR="009543DB" w:rsidRDefault="009543DB" w:rsidP="00F56817">
            <w:pPr>
              <w:pStyle w:val="Tabletextleft"/>
              <w:keepNext/>
            </w:pPr>
            <w:r>
              <w:t>Off-airport car parking</w:t>
            </w:r>
          </w:p>
        </w:tc>
        <w:tc>
          <w:tcPr>
            <w:tcW w:w="1247" w:type="dxa"/>
            <w:tcBorders>
              <w:top w:val="single" w:sz="4" w:space="0" w:color="auto"/>
              <w:left w:val="nil"/>
              <w:bottom w:val="single" w:sz="4" w:space="0" w:color="auto"/>
            </w:tcBorders>
          </w:tcPr>
          <w:p w:rsidR="009543DB" w:rsidRDefault="009543DB" w:rsidP="00F56817">
            <w:pPr>
              <w:pStyle w:val="Tabletextright"/>
              <w:keepNext/>
            </w:pPr>
            <w:r>
              <w:t>Various</w:t>
            </w:r>
          </w:p>
        </w:tc>
        <w:tc>
          <w:tcPr>
            <w:tcW w:w="917" w:type="dxa"/>
            <w:tcBorders>
              <w:top w:val="single" w:sz="4" w:space="0" w:color="auto"/>
              <w:bottom w:val="single" w:sz="4" w:space="0" w:color="auto"/>
              <w:right w:val="nil"/>
            </w:tcBorders>
          </w:tcPr>
          <w:p w:rsidR="009543DB" w:rsidRDefault="009543DB" w:rsidP="00F56817">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NA</w:t>
            </w:r>
          </w:p>
        </w:tc>
      </w:tr>
      <w:tr w:rsidR="009543DB" w:rsidTr="009543DB">
        <w:tc>
          <w:tcPr>
            <w:tcW w:w="2830" w:type="dxa"/>
            <w:tcBorders>
              <w:top w:val="single" w:sz="4" w:space="0" w:color="auto"/>
              <w:left w:val="nil"/>
              <w:bottom w:val="single" w:sz="4" w:space="0" w:color="auto"/>
              <w:right w:val="nil"/>
            </w:tcBorders>
          </w:tcPr>
          <w:p w:rsidR="009543DB" w:rsidRDefault="009543DB" w:rsidP="00F56817">
            <w:pPr>
              <w:pStyle w:val="Tabletextleft"/>
              <w:keepNext/>
            </w:pPr>
            <w:r>
              <w:t>Taxis (per pick-up)</w:t>
            </w:r>
          </w:p>
        </w:tc>
        <w:tc>
          <w:tcPr>
            <w:tcW w:w="1247" w:type="dxa"/>
            <w:tcBorders>
              <w:top w:val="single" w:sz="4" w:space="0" w:color="auto"/>
              <w:left w:val="nil"/>
              <w:bottom w:val="single" w:sz="4" w:space="0" w:color="auto"/>
            </w:tcBorders>
          </w:tcPr>
          <w:p w:rsidR="009543DB" w:rsidRDefault="009543DB" w:rsidP="00F56817">
            <w:pPr>
              <w:pStyle w:val="Tabletextright"/>
              <w:keepNext/>
            </w:pPr>
            <w:r>
              <w:t>2.70</w:t>
            </w:r>
          </w:p>
        </w:tc>
        <w:tc>
          <w:tcPr>
            <w:tcW w:w="917" w:type="dxa"/>
            <w:tcBorders>
              <w:top w:val="single" w:sz="4" w:space="0" w:color="auto"/>
              <w:bottom w:val="single" w:sz="4" w:space="0" w:color="auto"/>
              <w:right w:val="nil"/>
            </w:tcBorders>
          </w:tcPr>
          <w:p w:rsidR="009543DB" w:rsidRDefault="009543DB" w:rsidP="00F56817">
            <w:pPr>
              <w:pStyle w:val="Tabletextright"/>
              <w:keepNext/>
            </w:pPr>
            <w:r>
              <w:t>53.4</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52.2</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51.1</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101.7</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100.0</w:t>
            </w:r>
          </w:p>
        </w:tc>
      </w:tr>
      <w:tr w:rsidR="009543DB" w:rsidTr="009543DB">
        <w:tc>
          <w:tcPr>
            <w:tcW w:w="2830" w:type="dxa"/>
            <w:tcBorders>
              <w:top w:val="single" w:sz="4" w:space="0" w:color="auto"/>
              <w:left w:val="nil"/>
              <w:bottom w:val="single" w:sz="4" w:space="0" w:color="auto"/>
              <w:right w:val="nil"/>
            </w:tcBorders>
          </w:tcPr>
          <w:p w:rsidR="009543DB" w:rsidRDefault="009543DB" w:rsidP="00F56817">
            <w:pPr>
              <w:pStyle w:val="Tabletextleft"/>
              <w:keepNext/>
            </w:pPr>
            <w:r>
              <w:t>Private car operators (per entry)</w:t>
            </w:r>
          </w:p>
        </w:tc>
        <w:tc>
          <w:tcPr>
            <w:tcW w:w="1247" w:type="dxa"/>
            <w:tcBorders>
              <w:top w:val="single" w:sz="4" w:space="0" w:color="auto"/>
              <w:left w:val="nil"/>
              <w:bottom w:val="single" w:sz="4" w:space="0" w:color="auto"/>
            </w:tcBorders>
          </w:tcPr>
          <w:p w:rsidR="009543DB" w:rsidRDefault="009543DB" w:rsidP="00F56817">
            <w:pPr>
              <w:pStyle w:val="Tabletextright"/>
              <w:keepNext/>
            </w:pPr>
            <w:r>
              <w:t>4.00</w:t>
            </w:r>
          </w:p>
        </w:tc>
        <w:tc>
          <w:tcPr>
            <w:tcW w:w="917" w:type="dxa"/>
            <w:tcBorders>
              <w:top w:val="single" w:sz="4" w:space="0" w:color="auto"/>
              <w:bottom w:val="single" w:sz="4" w:space="0" w:color="auto"/>
              <w:right w:val="nil"/>
            </w:tcBorders>
          </w:tcPr>
          <w:p w:rsidR="009543DB" w:rsidRDefault="009543DB" w:rsidP="00F56817">
            <w:pPr>
              <w:pStyle w:val="Tabletextright"/>
              <w:keepNext/>
            </w:pPr>
            <w:r>
              <w:t>82.0</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80.1</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104.5</w:t>
            </w:r>
          </w:p>
        </w:tc>
        <w:tc>
          <w:tcPr>
            <w:tcW w:w="917" w:type="dxa"/>
            <w:tcBorders>
              <w:top w:val="single" w:sz="4" w:space="0" w:color="auto"/>
              <w:left w:val="nil"/>
              <w:bottom w:val="single" w:sz="4" w:space="0" w:color="auto"/>
              <w:right w:val="nil"/>
            </w:tcBorders>
          </w:tcPr>
          <w:p w:rsidR="009543DB" w:rsidRDefault="009543DB" w:rsidP="00F56817">
            <w:pPr>
              <w:pStyle w:val="Tabletextright"/>
              <w:keepNext/>
            </w:pPr>
            <w:r>
              <w:t>101.7</w:t>
            </w:r>
          </w:p>
        </w:tc>
        <w:tc>
          <w:tcPr>
            <w:tcW w:w="918" w:type="dxa"/>
            <w:tcBorders>
              <w:top w:val="single" w:sz="4" w:space="0" w:color="auto"/>
              <w:left w:val="nil"/>
              <w:bottom w:val="single" w:sz="4" w:space="0" w:color="auto"/>
              <w:right w:val="nil"/>
            </w:tcBorders>
          </w:tcPr>
          <w:p w:rsidR="009543DB" w:rsidRDefault="009543DB" w:rsidP="00F56817">
            <w:pPr>
              <w:pStyle w:val="Tabletextright"/>
              <w:keepNext/>
            </w:pPr>
            <w:r>
              <w:t>100.0</w:t>
            </w:r>
          </w:p>
        </w:tc>
      </w:tr>
    </w:tbl>
    <w:p w:rsidR="009543DB" w:rsidRDefault="009543DB" w:rsidP="00F56817">
      <w:pPr>
        <w:pStyle w:val="Sourceandnotes"/>
      </w:pPr>
      <w:r>
        <w:t>Note:</w:t>
      </w:r>
      <w:r>
        <w:tab/>
        <w:t>Real prices in 2014-15 dollars</w:t>
      </w:r>
    </w:p>
    <w:p w:rsidR="009543DB" w:rsidRDefault="009543DB" w:rsidP="00F56817">
      <w:pPr>
        <w:pStyle w:val="Sourceandnotes"/>
        <w:ind w:left="720"/>
      </w:pPr>
      <w:r>
        <w:t xml:space="preserve">Melbourne Airport charges for public buses. No income was earned in 2014-15 or </w:t>
      </w:r>
      <w:proofErr w:type="gramStart"/>
      <w:r>
        <w:t>earlier years as the threshold to be charged has</w:t>
      </w:r>
      <w:proofErr w:type="gramEnd"/>
      <w:r>
        <w:t xml:space="preserve"> never been met. </w:t>
      </w:r>
    </w:p>
    <w:p w:rsidR="009543DB" w:rsidRDefault="009543DB" w:rsidP="00F56817">
      <w:pPr>
        <w:keepNext/>
      </w:pPr>
      <w:r>
        <w:lastRenderedPageBreak/>
        <w:t>Melbourne Airport provides 127 designated spaces for passenger pick</w:t>
      </w:r>
      <w:r>
        <w:noBreakHyphen/>
        <w:t>up and drop</w:t>
      </w:r>
      <w:r>
        <w:noBreakHyphen/>
        <w:t>off at its main terminal forecourt area (which services the Qantas domestic terminal, the international terminal and Terminal 3) and 20 spaces at Terminal 4.</w:t>
      </w:r>
    </w:p>
    <w:p w:rsidR="009543DB" w:rsidRPr="00AB519B" w:rsidRDefault="009543DB" w:rsidP="00F56817">
      <w:pPr>
        <w:keepNext/>
        <w:rPr>
          <w:i/>
        </w:rPr>
      </w:pPr>
      <w:r>
        <w:rPr>
          <w:i/>
        </w:rPr>
        <w:t>Private buses</w:t>
      </w:r>
      <w:r w:rsidRPr="00F97BA1">
        <w:rPr>
          <w:i/>
        </w:rPr>
        <w:t xml:space="preserve"> </w:t>
      </w:r>
      <w:r>
        <w:rPr>
          <w:i/>
        </w:rPr>
        <w:t>and off-airport car parking operators</w:t>
      </w:r>
    </w:p>
    <w:p w:rsidR="009543DB" w:rsidRDefault="009543DB" w:rsidP="00F56817">
      <w:pPr>
        <w:keepNext/>
      </w:pPr>
      <w:r>
        <w:t>Melbourne Airport imposes a range of charges to private buses and off</w:t>
      </w:r>
      <w:r>
        <w:noBreakHyphen/>
        <w:t xml:space="preserve">airport car parking operators, which are applied on the basis of different combinations of trip type, passenger numbers and for staff. </w:t>
      </w:r>
    </w:p>
    <w:p w:rsidR="009543DB" w:rsidRDefault="009543DB" w:rsidP="00F56817">
      <w:pPr>
        <w:keepNext/>
      </w:pPr>
      <w:r>
        <w:t xml:space="preserve">There are a number of private buses that operate to and from Melbourne Airport to areas throughout metropolitan Melbourne and across Victoria. </w:t>
      </w:r>
      <w:r>
        <w:rPr>
          <w:rStyle w:val="FootnoteReference"/>
        </w:rPr>
        <w:footnoteReference w:id="110"/>
      </w:r>
      <w:r>
        <w:t xml:space="preserve"> The SkyBus service also regularly operates between the CBD and Melbourne Airport for $18.00 per trip for adults.</w:t>
      </w:r>
      <w:r>
        <w:rPr>
          <w:rStyle w:val="FootnoteReference"/>
        </w:rPr>
        <w:footnoteReference w:id="111"/>
      </w:r>
      <w:r>
        <w:t xml:space="preserve"> </w:t>
      </w:r>
    </w:p>
    <w:p w:rsidR="009543DB" w:rsidRDefault="009543DB" w:rsidP="00F56817">
      <w:pPr>
        <w:keepNext/>
      </w:pPr>
      <w:r>
        <w:t xml:space="preserve">There are a number of off-airport car park operators that provide alternative car parking services to the Melbourne Airport’s car parks. Prices sampled by the </w:t>
      </w:r>
      <w:r w:rsidRPr="00A6447D">
        <w:t>ACCC ranged from $12</w:t>
      </w:r>
      <w:r>
        <w:t>.00</w:t>
      </w:r>
      <w:r w:rsidRPr="00A6447D">
        <w:t xml:space="preserve"> to $30</w:t>
      </w:r>
      <w:r>
        <w:t>.00</w:t>
      </w:r>
      <w:r w:rsidRPr="00A6447D">
        <w:t xml:space="preserve"> for one day parking and $29</w:t>
      </w:r>
      <w:r>
        <w:t>.00</w:t>
      </w:r>
      <w:r w:rsidRPr="00A6447D">
        <w:t xml:space="preserve"> to $52</w:t>
      </w:r>
      <w:r>
        <w:t>.00</w:t>
      </w:r>
      <w:r w:rsidRPr="00A6447D">
        <w:t xml:space="preserve"> for three</w:t>
      </w:r>
      <w:r>
        <w:t xml:space="preserve"> days parking.</w:t>
      </w:r>
      <w:r>
        <w:rPr>
          <w:rStyle w:val="FootnoteReference"/>
        </w:rPr>
        <w:footnoteReference w:id="112"/>
      </w:r>
      <w:r w:rsidRPr="00F97BA1">
        <w:t xml:space="preserve"> </w:t>
      </w:r>
    </w:p>
    <w:p w:rsidR="009543DB" w:rsidRDefault="009543DB" w:rsidP="00F56817">
      <w:pPr>
        <w:keepNext/>
      </w:pPr>
      <w:r>
        <w:t>In 2014</w:t>
      </w:r>
      <w:r>
        <w:noBreakHyphen/>
        <w:t>15, Melbourne Airport received around $8.4 million from private buses and off</w:t>
      </w:r>
      <w:r>
        <w:noBreakHyphen/>
        <w:t>airport car parking operators, which is an increase of 40.4 per cent in real terms. As the number of units provided declined by 8.5 per cent during the year, the revenue increase was driven by higher average charges paid by operators during 2014</w:t>
      </w:r>
      <w:r>
        <w:noBreakHyphen/>
        <w:t>15. Melbourne Airport noted that operators were informed of price increases for the next three years in advance.</w:t>
      </w:r>
    </w:p>
    <w:p w:rsidR="009543DB" w:rsidRPr="00AB519B" w:rsidRDefault="009543DB" w:rsidP="00F56817">
      <w:pPr>
        <w:keepNext/>
        <w:rPr>
          <w:i/>
        </w:rPr>
      </w:pPr>
      <w:r>
        <w:rPr>
          <w:i/>
        </w:rPr>
        <w:t>Taxis</w:t>
      </w:r>
    </w:p>
    <w:p w:rsidR="009543DB" w:rsidRDefault="009543DB" w:rsidP="00F56817">
      <w:pPr>
        <w:keepNext/>
      </w:pPr>
      <w:r>
        <w:t>Melbourne Airport increased its taxi access charge on 19 May 2014, from $1.32 to $2.70 per pick</w:t>
      </w:r>
      <w:r>
        <w:noBreakHyphen/>
        <w:t>up. Melbourne Airport earned around $5.3 million in revenue from taxi access charges in 2014</w:t>
      </w:r>
      <w:r>
        <w:noBreakHyphen/>
        <w:t>15, representing an increase of 85.5 per cent in real terms from the previous year.</w:t>
      </w:r>
    </w:p>
    <w:p w:rsidR="009543DB" w:rsidRDefault="009543DB" w:rsidP="00F56817">
      <w:pPr>
        <w:pStyle w:val="Standardheading"/>
      </w:pPr>
      <w:r>
        <w:t>Quality of landside access services and facilities provided by Melbourne Airport</w:t>
      </w:r>
    </w:p>
    <w:p w:rsidR="009543DB" w:rsidRDefault="009543DB" w:rsidP="00F56817">
      <w:pPr>
        <w:keepNext/>
      </w:pPr>
      <w:r>
        <w:t>Airport operators control access to airport land, including landside access areas. Further, the landside areas of monitored airports are bottleneck facilities essential in the supply of services to passengers and companies seeking access. Passengers, off</w:t>
      </w:r>
      <w:r>
        <w:noBreakHyphen/>
        <w:t>airport car parking operators, taxis, buses and private cars all require access to landside areas for the pick-up and drop</w:t>
      </w:r>
      <w:r>
        <w:noBreakHyphen/>
        <w:t xml:space="preserve">off of passengers. Airport operators have the incentive to restrict access and impede competition from alternatives to on-airport parking by imposing excessive charges or restrictive terms and conditions. </w:t>
      </w:r>
    </w:p>
    <w:p w:rsidR="009543DB" w:rsidRDefault="009543DB" w:rsidP="00F56817">
      <w:pPr>
        <w:keepNext/>
      </w:pPr>
      <w:r>
        <w:t>This section contains the quality of service results for Melbourne Airport’s landside areas gathered from both passengers and businesses seeking access. The ACCC has collected landside service ratings from passengers for a number of years. Since 2013</w:t>
      </w:r>
      <w:r>
        <w:noBreakHyphen/>
        <w:t>14, the ACCC has been collecting ratings on landside areas and facilities from companies requiring access, including taxis, buses, and off-airport parking operators.</w:t>
      </w:r>
    </w:p>
    <w:p w:rsidR="009543DB" w:rsidRDefault="009543DB" w:rsidP="00F56817">
      <w:pPr>
        <w:keepNext/>
        <w:rPr>
          <w:i/>
        </w:rPr>
      </w:pPr>
      <w:r>
        <w:rPr>
          <w:i/>
        </w:rPr>
        <w:t xml:space="preserve">Passenger ratings </w:t>
      </w:r>
    </w:p>
    <w:p w:rsidR="009543DB" w:rsidRPr="003F099B" w:rsidRDefault="009543DB" w:rsidP="00F56817">
      <w:pPr>
        <w:keepNext/>
      </w:pPr>
      <w:r>
        <w:t>Table 3</w:t>
      </w:r>
      <w:r w:rsidRPr="003F099B">
        <w:t xml:space="preserve">.4.6 </w:t>
      </w:r>
      <w:r>
        <w:t>shows</w:t>
      </w:r>
      <w:r w:rsidRPr="003F099B">
        <w:t xml:space="preserve"> that passenger ratings </w:t>
      </w:r>
      <w:r>
        <w:t>for Melbourne Airport’s landside services and facilities all increased within the ‘good’ range during 2014</w:t>
      </w:r>
      <w:r>
        <w:noBreakHyphen/>
        <w:t>15. Passenger ratings for each of these services and facilities have declined when compared with 2010</w:t>
      </w:r>
      <w:r>
        <w:noBreakHyphen/>
        <w:t>11.</w:t>
      </w:r>
    </w:p>
    <w:p w:rsidR="009543DB" w:rsidRDefault="009543DB" w:rsidP="00F56817">
      <w:pPr>
        <w:pStyle w:val="Numberedcharttitle"/>
      </w:pPr>
      <w:r w:rsidRPr="00AB519B">
        <w:lastRenderedPageBreak/>
        <w:t>Table 3.4.</w:t>
      </w:r>
      <w:r>
        <w:t>6:</w:t>
      </w:r>
      <w:r>
        <w:tab/>
        <w:t>Melbourne Airport—passenger ratings of quality of landside access services and facilities: 2014-15, 1-year change, and change since 2010-11</w:t>
      </w:r>
    </w:p>
    <w:tbl>
      <w:tblPr>
        <w:tblStyle w:val="TableGrid"/>
        <w:tblW w:w="0" w:type="auto"/>
        <w:tblLook w:val="04A0" w:firstRow="1" w:lastRow="0" w:firstColumn="1" w:lastColumn="0" w:noHBand="0" w:noVBand="1"/>
      </w:tblPr>
      <w:tblGrid>
        <w:gridCol w:w="1732"/>
        <w:gridCol w:w="3479"/>
        <w:gridCol w:w="1418"/>
        <w:gridCol w:w="1017"/>
        <w:gridCol w:w="1018"/>
      </w:tblGrid>
      <w:tr w:rsidR="009543DB" w:rsidTr="009543DB">
        <w:tc>
          <w:tcPr>
            <w:tcW w:w="1732" w:type="dxa"/>
            <w:tcBorders>
              <w:left w:val="nil"/>
              <w:bottom w:val="single" w:sz="4" w:space="0" w:color="auto"/>
              <w:right w:val="nil"/>
            </w:tcBorders>
            <w:shd w:val="clear" w:color="auto" w:fill="DFE0DC"/>
            <w:vAlign w:val="center"/>
          </w:tcPr>
          <w:p w:rsidR="009543DB" w:rsidRDefault="009543DB" w:rsidP="00F56817">
            <w:pPr>
              <w:pStyle w:val="Tabletextleft-centred"/>
              <w:keepNext/>
            </w:pPr>
            <w:r>
              <w:t>Terminal</w:t>
            </w:r>
          </w:p>
        </w:tc>
        <w:tc>
          <w:tcPr>
            <w:tcW w:w="3479" w:type="dxa"/>
            <w:tcBorders>
              <w:left w:val="nil"/>
              <w:bottom w:val="single" w:sz="4" w:space="0" w:color="auto"/>
              <w:right w:val="nil"/>
            </w:tcBorders>
            <w:shd w:val="clear" w:color="auto" w:fill="DFE0DC"/>
            <w:vAlign w:val="center"/>
          </w:tcPr>
          <w:p w:rsidR="009543DB" w:rsidRDefault="009543DB" w:rsidP="00F56817">
            <w:pPr>
              <w:pStyle w:val="Tabletextleft-centred"/>
              <w:keepNext/>
            </w:pPr>
            <w:r>
              <w:t>Indicator</w:t>
            </w:r>
          </w:p>
        </w:tc>
        <w:tc>
          <w:tcPr>
            <w:tcW w:w="1418" w:type="dxa"/>
            <w:tcBorders>
              <w:left w:val="nil"/>
              <w:bottom w:val="single" w:sz="4" w:space="0" w:color="auto"/>
              <w:right w:val="nil"/>
            </w:tcBorders>
            <w:shd w:val="clear" w:color="auto" w:fill="DFE0DC"/>
            <w:vAlign w:val="center"/>
          </w:tcPr>
          <w:p w:rsidR="009543DB" w:rsidRDefault="009543DB" w:rsidP="00F56817">
            <w:pPr>
              <w:pStyle w:val="Tabletextleft-centred"/>
              <w:keepNext/>
            </w:pPr>
            <w:r>
              <w:t>Rating category</w:t>
            </w:r>
            <w:r>
              <w:br/>
              <w:t>2014-15</w:t>
            </w:r>
          </w:p>
        </w:tc>
        <w:tc>
          <w:tcPr>
            <w:tcW w:w="1017" w:type="dxa"/>
            <w:tcBorders>
              <w:left w:val="nil"/>
              <w:bottom w:val="single" w:sz="4" w:space="0" w:color="auto"/>
              <w:right w:val="nil"/>
            </w:tcBorders>
            <w:shd w:val="clear" w:color="auto" w:fill="DFE0DC"/>
            <w:vAlign w:val="center"/>
          </w:tcPr>
          <w:p w:rsidR="009543DB" w:rsidRDefault="009543DB" w:rsidP="00F56817">
            <w:pPr>
              <w:pStyle w:val="Tabletextleft-centred"/>
              <w:keepNext/>
            </w:pPr>
            <w:r>
              <w:t>1-year change</w:t>
            </w:r>
          </w:p>
        </w:tc>
        <w:tc>
          <w:tcPr>
            <w:tcW w:w="1018" w:type="dxa"/>
            <w:tcBorders>
              <w:left w:val="nil"/>
              <w:bottom w:val="single" w:sz="4" w:space="0" w:color="auto"/>
              <w:right w:val="nil"/>
            </w:tcBorders>
            <w:shd w:val="clear" w:color="auto" w:fill="DFE0DC"/>
            <w:vAlign w:val="center"/>
          </w:tcPr>
          <w:p w:rsidR="009543DB" w:rsidRDefault="009543DB" w:rsidP="00F56817">
            <w:pPr>
              <w:pStyle w:val="Tabletextleft-centred"/>
              <w:keepNext/>
            </w:pPr>
            <w:r>
              <w:t>Change since 2010-11</w:t>
            </w:r>
          </w:p>
        </w:tc>
      </w:tr>
      <w:tr w:rsidR="009543DB" w:rsidTr="009543DB">
        <w:tc>
          <w:tcPr>
            <w:tcW w:w="1732" w:type="dxa"/>
            <w:vMerge w:val="restart"/>
            <w:tcBorders>
              <w:left w:val="nil"/>
              <w:right w:val="nil"/>
            </w:tcBorders>
          </w:tcPr>
          <w:p w:rsidR="009543DB" w:rsidRDefault="009543DB" w:rsidP="00F56817">
            <w:pPr>
              <w:pStyle w:val="Tabletextheading"/>
              <w:keepNext/>
            </w:pPr>
            <w:r>
              <w:t>International and Domestic</w:t>
            </w:r>
          </w:p>
        </w:tc>
        <w:tc>
          <w:tcPr>
            <w:tcW w:w="3479" w:type="dxa"/>
            <w:tcBorders>
              <w:left w:val="nil"/>
              <w:bottom w:val="nil"/>
              <w:right w:val="nil"/>
            </w:tcBorders>
          </w:tcPr>
          <w:p w:rsidR="009543DB" w:rsidRDefault="009543DB" w:rsidP="00F56817">
            <w:pPr>
              <w:pStyle w:val="Tabletextleft"/>
              <w:keepNext/>
            </w:pPr>
            <w:r>
              <w:t>Kerbside pick-up and drop-off facilities</w:t>
            </w:r>
          </w:p>
        </w:tc>
        <w:tc>
          <w:tcPr>
            <w:tcW w:w="1418" w:type="dxa"/>
            <w:tcBorders>
              <w:left w:val="nil"/>
              <w:bottom w:val="nil"/>
              <w:right w:val="nil"/>
            </w:tcBorders>
          </w:tcPr>
          <w:p w:rsidR="009543DB" w:rsidRDefault="009543DB" w:rsidP="00F56817">
            <w:pPr>
              <w:pStyle w:val="Tabletextleft"/>
              <w:keepNext/>
            </w:pPr>
            <w:r>
              <w:t>Good</w:t>
            </w:r>
          </w:p>
        </w:tc>
        <w:tc>
          <w:tcPr>
            <w:tcW w:w="1017" w:type="dxa"/>
            <w:tcBorders>
              <w:left w:val="nil"/>
              <w:bottom w:val="nil"/>
              <w:right w:val="nil"/>
            </w:tcBorders>
          </w:tcPr>
          <w:p w:rsidR="009543DB" w:rsidRDefault="009543DB" w:rsidP="00F56817">
            <w:pPr>
              <w:pStyle w:val="Tabletextleft"/>
              <w:keepNext/>
            </w:pPr>
            <w:r w:rsidRPr="00F617F8">
              <w:rPr>
                <w:rFonts w:eastAsia="Times New Roman" w:cs="Times New Roman"/>
                <w:color w:val="943634"/>
                <w:szCs w:val="24"/>
                <w:lang w:eastAsia="en-AU"/>
              </w:rPr>
              <w:t>▲</w:t>
            </w:r>
          </w:p>
        </w:tc>
        <w:tc>
          <w:tcPr>
            <w:tcW w:w="1018" w:type="dxa"/>
            <w:tcBorders>
              <w:left w:val="nil"/>
              <w:bottom w:val="nil"/>
              <w:right w:val="nil"/>
            </w:tcBorders>
          </w:tcPr>
          <w:p w:rsidR="009543DB" w:rsidRDefault="009543DB" w:rsidP="00F56817">
            <w:pPr>
              <w:pStyle w:val="Tabletextleft"/>
              <w:keepNext/>
            </w:pPr>
            <w:r>
              <w:rPr>
                <w:rFonts w:eastAsia="Times New Roman" w:cs="Times New Roman"/>
                <w:color w:val="F79646"/>
                <w:szCs w:val="24"/>
                <w:lang w:eastAsia="en-AU"/>
              </w:rPr>
              <w:t>▼</w:t>
            </w:r>
          </w:p>
        </w:tc>
      </w:tr>
      <w:tr w:rsidR="009543DB" w:rsidTr="009543DB">
        <w:tc>
          <w:tcPr>
            <w:tcW w:w="1732" w:type="dxa"/>
            <w:vMerge/>
            <w:tcBorders>
              <w:left w:val="nil"/>
              <w:right w:val="nil"/>
            </w:tcBorders>
          </w:tcPr>
          <w:p w:rsidR="009543DB" w:rsidRDefault="009543DB" w:rsidP="00F56817">
            <w:pPr>
              <w:pStyle w:val="Tabletextheading"/>
              <w:keepNext/>
            </w:pPr>
          </w:p>
        </w:tc>
        <w:tc>
          <w:tcPr>
            <w:tcW w:w="3479" w:type="dxa"/>
            <w:tcBorders>
              <w:top w:val="nil"/>
              <w:left w:val="nil"/>
              <w:bottom w:val="nil"/>
              <w:right w:val="nil"/>
            </w:tcBorders>
          </w:tcPr>
          <w:p w:rsidR="009543DB" w:rsidRDefault="009543DB" w:rsidP="00F56817">
            <w:pPr>
              <w:pStyle w:val="Tabletextleft"/>
              <w:keepNext/>
            </w:pPr>
            <w:r>
              <w:t>Taxi facilities waiting time</w:t>
            </w:r>
          </w:p>
        </w:tc>
        <w:tc>
          <w:tcPr>
            <w:tcW w:w="1418" w:type="dxa"/>
            <w:tcBorders>
              <w:top w:val="nil"/>
              <w:left w:val="nil"/>
              <w:bottom w:val="nil"/>
              <w:right w:val="nil"/>
            </w:tcBorders>
          </w:tcPr>
          <w:p w:rsidR="009543DB" w:rsidRDefault="009543DB" w:rsidP="00F56817">
            <w:pPr>
              <w:pStyle w:val="Tabletextleft"/>
              <w:keepNext/>
            </w:pPr>
            <w:r>
              <w:t>Good</w:t>
            </w:r>
          </w:p>
        </w:tc>
        <w:tc>
          <w:tcPr>
            <w:tcW w:w="1017" w:type="dxa"/>
            <w:tcBorders>
              <w:top w:val="nil"/>
              <w:left w:val="nil"/>
              <w:bottom w:val="nil"/>
              <w:right w:val="nil"/>
            </w:tcBorders>
          </w:tcPr>
          <w:p w:rsidR="009543DB" w:rsidRDefault="009543DB" w:rsidP="00F56817">
            <w:pPr>
              <w:pStyle w:val="Tabletextleft"/>
              <w:keepNext/>
            </w:pPr>
            <w:r w:rsidRPr="00F617F8">
              <w:rPr>
                <w:rFonts w:eastAsia="Times New Roman" w:cs="Times New Roman"/>
                <w:color w:val="943634"/>
                <w:szCs w:val="24"/>
                <w:lang w:eastAsia="en-AU"/>
              </w:rPr>
              <w:t>▲</w:t>
            </w:r>
          </w:p>
        </w:tc>
        <w:tc>
          <w:tcPr>
            <w:tcW w:w="1018" w:type="dxa"/>
            <w:tcBorders>
              <w:top w:val="nil"/>
              <w:left w:val="nil"/>
              <w:bottom w:val="nil"/>
              <w:right w:val="nil"/>
            </w:tcBorders>
          </w:tcPr>
          <w:p w:rsidR="009543DB" w:rsidRDefault="009543DB" w:rsidP="00F56817">
            <w:pPr>
              <w:pStyle w:val="Tabletextleft"/>
              <w:keepNext/>
            </w:pPr>
            <w:r>
              <w:rPr>
                <w:rFonts w:eastAsia="Times New Roman" w:cs="Times New Roman"/>
                <w:color w:val="F79646"/>
                <w:szCs w:val="24"/>
                <w:lang w:eastAsia="en-AU"/>
              </w:rPr>
              <w:t>▼</w:t>
            </w:r>
          </w:p>
        </w:tc>
      </w:tr>
      <w:tr w:rsidR="009543DB" w:rsidTr="009543DB">
        <w:tc>
          <w:tcPr>
            <w:tcW w:w="1732" w:type="dxa"/>
            <w:vMerge/>
            <w:tcBorders>
              <w:left w:val="nil"/>
              <w:right w:val="nil"/>
            </w:tcBorders>
          </w:tcPr>
          <w:p w:rsidR="009543DB" w:rsidRDefault="009543DB" w:rsidP="00F56817">
            <w:pPr>
              <w:pStyle w:val="Tabletextheading"/>
              <w:keepNext/>
            </w:pPr>
          </w:p>
        </w:tc>
        <w:tc>
          <w:tcPr>
            <w:tcW w:w="3479" w:type="dxa"/>
            <w:tcBorders>
              <w:top w:val="nil"/>
              <w:left w:val="nil"/>
              <w:bottom w:val="single" w:sz="4" w:space="0" w:color="auto"/>
              <w:right w:val="nil"/>
            </w:tcBorders>
          </w:tcPr>
          <w:p w:rsidR="009543DB" w:rsidRDefault="009543DB" w:rsidP="00F56817">
            <w:pPr>
              <w:pStyle w:val="Tabletextleft"/>
              <w:keepNext/>
            </w:pPr>
            <w:r>
              <w:t>Kerbside space congestion</w:t>
            </w:r>
          </w:p>
        </w:tc>
        <w:tc>
          <w:tcPr>
            <w:tcW w:w="1418" w:type="dxa"/>
            <w:tcBorders>
              <w:top w:val="nil"/>
              <w:left w:val="nil"/>
              <w:bottom w:val="single" w:sz="4" w:space="0" w:color="auto"/>
              <w:right w:val="nil"/>
            </w:tcBorders>
          </w:tcPr>
          <w:p w:rsidR="009543DB" w:rsidRDefault="009543DB" w:rsidP="00F56817">
            <w:pPr>
              <w:pStyle w:val="Tabletextleft"/>
              <w:keepNext/>
            </w:pPr>
            <w:r>
              <w:t>Good</w:t>
            </w:r>
          </w:p>
        </w:tc>
        <w:tc>
          <w:tcPr>
            <w:tcW w:w="1017" w:type="dxa"/>
            <w:tcBorders>
              <w:top w:val="nil"/>
              <w:left w:val="nil"/>
              <w:bottom w:val="single" w:sz="4" w:space="0" w:color="auto"/>
              <w:right w:val="nil"/>
            </w:tcBorders>
          </w:tcPr>
          <w:p w:rsidR="009543DB" w:rsidRDefault="009543DB" w:rsidP="00F56817">
            <w:pPr>
              <w:pStyle w:val="Tabletextleft"/>
              <w:keepNext/>
            </w:pPr>
            <w:r w:rsidRPr="00F617F8">
              <w:rPr>
                <w:rFonts w:eastAsia="Times New Roman" w:cs="Times New Roman"/>
                <w:color w:val="943634"/>
                <w:szCs w:val="24"/>
                <w:lang w:eastAsia="en-AU"/>
              </w:rPr>
              <w:t>▲</w:t>
            </w:r>
          </w:p>
        </w:tc>
        <w:tc>
          <w:tcPr>
            <w:tcW w:w="1018" w:type="dxa"/>
            <w:tcBorders>
              <w:top w:val="nil"/>
              <w:left w:val="nil"/>
              <w:bottom w:val="single" w:sz="4" w:space="0" w:color="auto"/>
              <w:right w:val="nil"/>
            </w:tcBorders>
          </w:tcPr>
          <w:p w:rsidR="009543DB" w:rsidRDefault="009543DB" w:rsidP="00F56817">
            <w:pPr>
              <w:pStyle w:val="Tabletextleft"/>
              <w:keepNext/>
            </w:pPr>
            <w:r>
              <w:rPr>
                <w:rFonts w:eastAsia="Times New Roman" w:cs="Times New Roman"/>
                <w:color w:val="F79646"/>
                <w:szCs w:val="24"/>
                <w:lang w:eastAsia="en-AU"/>
              </w:rPr>
              <w:t>▼</w:t>
            </w:r>
          </w:p>
        </w:tc>
      </w:tr>
    </w:tbl>
    <w:p w:rsidR="009543DB" w:rsidRDefault="009543DB" w:rsidP="00F56817">
      <w:pPr>
        <w:pStyle w:val="Sourceandnotes"/>
      </w:pPr>
      <w:r>
        <w:t>Note:</w:t>
      </w:r>
      <w:r>
        <w:tab/>
        <w:t>The rating categories are: very poor, poor, satisfactory, good, and excellent.</w:t>
      </w:r>
      <w:r>
        <w:br/>
        <w:t xml:space="preserve">For each indicator for the period specified: </w:t>
      </w:r>
      <w:r>
        <w:rPr>
          <w:rFonts w:eastAsia="Times New Roman" w:cs="Times New Roman"/>
          <w:color w:val="943634"/>
          <w:szCs w:val="24"/>
          <w:lang w:eastAsia="en-AU"/>
        </w:rPr>
        <w:t>▲</w:t>
      </w:r>
      <w:r>
        <w:rPr>
          <w:rFonts w:eastAsia="Times New Roman" w:cs="Times New Roman"/>
          <w:color w:val="943634"/>
          <w:sz w:val="18"/>
          <w:szCs w:val="24"/>
          <w:lang w:eastAsia="en-AU"/>
        </w:rPr>
        <w:t xml:space="preserve"> </w:t>
      </w:r>
      <w:r>
        <w:t>indicates an improvement;</w:t>
      </w:r>
      <w:r>
        <w:rPr>
          <w:rFonts w:eastAsia="Times New Roman" w:cs="Times New Roman"/>
          <w:color w:val="943634"/>
          <w:sz w:val="18"/>
          <w:szCs w:val="24"/>
          <w:lang w:eastAsia="en-AU"/>
        </w:rPr>
        <w:t xml:space="preserve"> </w:t>
      </w:r>
      <w:r>
        <w:rPr>
          <w:rFonts w:eastAsia="Times New Roman" w:cs="Times New Roman"/>
          <w:color w:val="F79646"/>
          <w:szCs w:val="24"/>
          <w:lang w:eastAsia="en-AU"/>
        </w:rPr>
        <w:t xml:space="preserve">▼ </w:t>
      </w:r>
      <w:r>
        <w:t>indicates a decline;</w:t>
      </w:r>
      <w:r>
        <w:rPr>
          <w:rFonts w:eastAsia="Times New Roman" w:cs="Times New Roman"/>
          <w:color w:val="F79646"/>
          <w:szCs w:val="24"/>
          <w:lang w:eastAsia="en-AU"/>
        </w:rPr>
        <w:t xml:space="preserve"> </w:t>
      </w:r>
      <w:r>
        <w:rPr>
          <w:rFonts w:cs="Arial"/>
          <w:color w:val="4BACC6"/>
        </w:rPr>
        <w:t>▬</w:t>
      </w:r>
      <w:r>
        <w:t xml:space="preserve"> indicates no change. *Rating changed by a category over the period.</w:t>
      </w:r>
    </w:p>
    <w:p w:rsidR="009543DB" w:rsidRPr="003F099B" w:rsidRDefault="009543DB" w:rsidP="00F56817">
      <w:pPr>
        <w:keepNext/>
        <w:rPr>
          <w:i/>
        </w:rPr>
      </w:pPr>
      <w:r w:rsidRPr="003F099B">
        <w:rPr>
          <w:i/>
        </w:rPr>
        <w:t>Landside operator</w:t>
      </w:r>
      <w:r>
        <w:rPr>
          <w:i/>
        </w:rPr>
        <w:t xml:space="preserve"> ratings  </w:t>
      </w:r>
    </w:p>
    <w:p w:rsidR="009543DB" w:rsidRDefault="009543DB" w:rsidP="00F56817">
      <w:pPr>
        <w:keepNext/>
      </w:pPr>
      <w:r>
        <w:t>In 2014</w:t>
      </w:r>
      <w:r>
        <w:noBreakHyphen/>
        <w:t>15, Melbourne Airport provided 127 designated spaces for passenger pick</w:t>
      </w:r>
      <w:r>
        <w:noBreakHyphen/>
        <w:t>up and drop</w:t>
      </w:r>
      <w:r>
        <w:noBreakHyphen/>
        <w:t>off for landside operators at its main terminal forecourt (which services the Qantas domestic terminal (T1), the international terminal (T2), and Terminal 3), and 20 spaces at Terminal 4. Landside operators include taxis, buses and off airport car parking operators.</w:t>
      </w:r>
    </w:p>
    <w:p w:rsidR="009543DB" w:rsidRDefault="009543DB" w:rsidP="00F56817">
      <w:pPr>
        <w:keepNext/>
      </w:pPr>
      <w:r>
        <w:t xml:space="preserve">The overall average rating from landside operator responses of Melbourne Airport’s landside services and facilities </w:t>
      </w:r>
      <w:r w:rsidRPr="00173248">
        <w:t>was ‘</w:t>
      </w:r>
      <w:r w:rsidRPr="006B740F">
        <w:t>poor</w:t>
      </w:r>
      <w:r w:rsidRPr="00173248">
        <w:t>’ in</w:t>
      </w:r>
      <w:r>
        <w:t xml:space="preserve"> 2014</w:t>
      </w:r>
      <w:r>
        <w:noBreakHyphen/>
        <w:t>15. The overall average rating is unchanged from 2013</w:t>
      </w:r>
      <w:r>
        <w:noBreakHyphen/>
        <w:t>14.</w:t>
      </w:r>
    </w:p>
    <w:p w:rsidR="009543DB" w:rsidRDefault="009543DB" w:rsidP="00F56817">
      <w:pPr>
        <w:keepNext/>
      </w:pPr>
      <w:r>
        <w:t>Commentary received from off</w:t>
      </w:r>
      <w:r>
        <w:noBreakHyphen/>
        <w:t>airport parking operators raised some similar issues to last year, such as the designated pick</w:t>
      </w:r>
      <w:r>
        <w:noBreakHyphen/>
        <w:t>up/drop</w:t>
      </w:r>
      <w:r>
        <w:noBreakHyphen/>
        <w:t>off location resulting in long walk distances through uncovered areas for passengers to and from terminals. Off</w:t>
      </w:r>
      <w:r>
        <w:noBreakHyphen/>
        <w:t>airport parking operators also noted that there remains a lack of adequate signage for their services, although they stated that Melbourne Airport has begun to look into this. They also raised issue with Melbourne Airport’s decision to erect signage in the waiting shelters used by off</w:t>
      </w:r>
      <w:r>
        <w:noBreakHyphen/>
        <w:t>airport parking operators that advertised for Melbourne Airport’s on</w:t>
      </w:r>
      <w:r>
        <w:noBreakHyphen/>
        <w:t>airport car parking.</w:t>
      </w:r>
    </w:p>
    <w:p w:rsidR="009543DB" w:rsidRDefault="009543DB" w:rsidP="00F56817">
      <w:pPr>
        <w:keepNext/>
      </w:pPr>
      <w:r>
        <w:t>Off</w:t>
      </w:r>
      <w:r>
        <w:noBreakHyphen/>
        <w:t>airport parking operators commented that Melbourne Airport’s management is generally dismissive of issues raised and that negotiations have not resulted in outcomes that are acceptable to any party other than the airport.</w:t>
      </w:r>
    </w:p>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Pr>
        <w:sectPr w:rsidR="009543DB" w:rsidSect="00D80779">
          <w:type w:val="continuous"/>
          <w:pgSz w:w="11906" w:h="16838"/>
          <w:pgMar w:top="1440" w:right="1729" w:bottom="1582" w:left="1729" w:header="709" w:footer="709" w:gutter="0"/>
          <w:cols w:space="708"/>
          <w:docGrid w:linePitch="360"/>
        </w:sectPr>
      </w:pPr>
    </w:p>
    <w:p w:rsidR="009543DB" w:rsidRPr="009543DB" w:rsidRDefault="00B50E4C" w:rsidP="00B50E4C">
      <w:pPr>
        <w:pStyle w:val="ListParagraph"/>
        <w:keepNext/>
        <w:pageBreakBefore/>
        <w:numPr>
          <w:ilvl w:val="0"/>
          <w:numId w:val="1"/>
        </w:numPr>
        <w:spacing w:after="480"/>
        <w:contextualSpacing w:val="0"/>
        <w:outlineLvl w:val="1"/>
        <w:rPr>
          <w:rFonts w:ascii="Lucida Bright" w:eastAsiaTheme="majorEastAsia" w:hAnsi="Lucida Bright" w:cstheme="majorBidi"/>
          <w:bCs/>
          <w:vanish/>
          <w:color w:val="4F2D7F"/>
          <w:sz w:val="52"/>
          <w:szCs w:val="28"/>
        </w:rPr>
      </w:pPr>
      <w:r>
        <w:rPr>
          <w:rFonts w:ascii="Lucida Bright" w:eastAsiaTheme="majorEastAsia" w:hAnsi="Lucida Bright" w:cstheme="majorBidi"/>
          <w:bCs/>
          <w:vanish/>
          <w:color w:val="4F2D7F"/>
          <w:sz w:val="52"/>
          <w:szCs w:val="28"/>
        </w:rPr>
        <w:lastRenderedPageBreak/>
        <w:t>Perth Airport</w:t>
      </w:r>
    </w:p>
    <w:p w:rsidR="00B50E4C" w:rsidRPr="00B50E4C" w:rsidRDefault="00B50E4C" w:rsidP="00B50E4C">
      <w:pPr>
        <w:keepNext/>
        <w:shd w:val="clear" w:color="auto" w:fill="DFE0DC"/>
        <w:spacing w:before="480" w:after="120"/>
        <w:outlineLvl w:val="2"/>
        <w:rPr>
          <w:rFonts w:ascii="Lucida Fax" w:eastAsiaTheme="majorEastAsia" w:hAnsi="Lucida Fax" w:cstheme="majorBidi"/>
          <w:bCs/>
          <w:color w:val="51626F"/>
          <w:sz w:val="28"/>
          <w:szCs w:val="28"/>
        </w:rPr>
      </w:pPr>
      <w:r w:rsidRPr="00B50E4C">
        <w:rPr>
          <w:rFonts w:ascii="Lucida Fax" w:eastAsiaTheme="majorEastAsia" w:hAnsi="Lucida Fax" w:cstheme="majorBidi"/>
          <w:bCs/>
          <w:color w:val="51626F"/>
          <w:sz w:val="28"/>
          <w:szCs w:val="28"/>
        </w:rPr>
        <w:t xml:space="preserve">Key points—2014-15 </w:t>
      </w:r>
    </w:p>
    <w:p w:rsidR="00B50E4C" w:rsidRPr="00B50E4C" w:rsidRDefault="00B50E4C" w:rsidP="00F26847">
      <w:pPr>
        <w:keepNext/>
        <w:numPr>
          <w:ilvl w:val="0"/>
          <w:numId w:val="17"/>
        </w:numPr>
        <w:shd w:val="clear" w:color="auto" w:fill="DFE0DC"/>
        <w:spacing w:before="120" w:after="120"/>
        <w:ind w:left="357" w:hanging="357"/>
      </w:pPr>
      <w:r w:rsidRPr="00B50E4C">
        <w:t>Passenger numbers at Perth Airport decreased by 1.0 per cent to 14.8 million passengers.</w:t>
      </w:r>
    </w:p>
    <w:p w:rsidR="00B50E4C" w:rsidRPr="00B50E4C" w:rsidRDefault="00B50E4C" w:rsidP="00F26847">
      <w:pPr>
        <w:keepNext/>
        <w:numPr>
          <w:ilvl w:val="0"/>
          <w:numId w:val="17"/>
        </w:numPr>
        <w:shd w:val="clear" w:color="auto" w:fill="DFE0DC"/>
        <w:spacing w:before="120" w:after="120"/>
        <w:ind w:left="357" w:hanging="357"/>
      </w:pPr>
      <w:r w:rsidRPr="00B50E4C">
        <w:t xml:space="preserve">Total aeronautical revenue decreased by 1.4 per cent in real terms to $186.6 million while aeronautical aggregate margin decreased 9.6 per cent in real terms to $75.0 million. This equated to a profit of 52.6 cents for each dollar of aeronautical revenue. </w:t>
      </w:r>
    </w:p>
    <w:p w:rsidR="00B50E4C" w:rsidRPr="00B50E4C" w:rsidRDefault="00B50E4C" w:rsidP="00F26847">
      <w:pPr>
        <w:keepNext/>
        <w:numPr>
          <w:ilvl w:val="0"/>
          <w:numId w:val="17"/>
        </w:numPr>
        <w:shd w:val="clear" w:color="auto" w:fill="DFE0DC"/>
        <w:spacing w:before="120" w:after="120"/>
        <w:ind w:left="357" w:hanging="357"/>
      </w:pPr>
      <w:r w:rsidRPr="00B50E4C">
        <w:t xml:space="preserve">Total aeronautical capital expenditure was $250.6 million representing the largest yearly spend since privatisation. </w:t>
      </w:r>
    </w:p>
    <w:p w:rsidR="00B50E4C" w:rsidRPr="00B50E4C" w:rsidRDefault="00B50E4C" w:rsidP="00F26847">
      <w:pPr>
        <w:keepNext/>
        <w:numPr>
          <w:ilvl w:val="0"/>
          <w:numId w:val="17"/>
        </w:numPr>
        <w:shd w:val="clear" w:color="auto" w:fill="DFE0DC"/>
        <w:spacing w:before="120" w:after="120"/>
        <w:ind w:left="357" w:hanging="357"/>
      </w:pPr>
      <w:r w:rsidRPr="00B50E4C">
        <w:t>The rate of return on tangible aeronautical non-current assets increased by 3.3 percentage points to 9.3 per cent.</w:t>
      </w:r>
    </w:p>
    <w:p w:rsidR="00B50E4C" w:rsidRPr="00B50E4C" w:rsidRDefault="00B50E4C" w:rsidP="00F26847">
      <w:pPr>
        <w:keepNext/>
        <w:numPr>
          <w:ilvl w:val="0"/>
          <w:numId w:val="17"/>
        </w:numPr>
        <w:shd w:val="clear" w:color="auto" w:fill="DFE0DC"/>
        <w:spacing w:before="120" w:after="120"/>
        <w:ind w:left="357" w:hanging="357"/>
      </w:pPr>
      <w:r w:rsidRPr="00B50E4C">
        <w:t>Perth Airport’s average overall quality of service rating increased within the ‘good’ category. Its result was the second highest of the four airports.</w:t>
      </w:r>
    </w:p>
    <w:p w:rsidR="00B50E4C" w:rsidRPr="00B50E4C" w:rsidRDefault="00B50E4C" w:rsidP="00F26847">
      <w:pPr>
        <w:keepNext/>
        <w:numPr>
          <w:ilvl w:val="0"/>
          <w:numId w:val="17"/>
        </w:numPr>
        <w:shd w:val="clear" w:color="auto" w:fill="DFE0DC"/>
        <w:spacing w:before="120" w:after="120"/>
        <w:ind w:left="357" w:hanging="357"/>
      </w:pPr>
      <w:r w:rsidRPr="00B50E4C">
        <w:t>Total car parking aggregate margin increased by 2.2 per cent in real terms to $91.5 million. The airport made a profit of 63.7 cents for each dollar in car parking revenue.</w:t>
      </w:r>
    </w:p>
    <w:p w:rsidR="009543DB" w:rsidRPr="005C3FFC" w:rsidRDefault="009543DB" w:rsidP="00114E05">
      <w:pPr>
        <w:pStyle w:val="Numberedheading2"/>
      </w:pPr>
      <w:r w:rsidRPr="005C3FFC">
        <w:t>Airport overview and major investments</w:t>
      </w:r>
    </w:p>
    <w:p w:rsidR="009543DB" w:rsidRDefault="009543DB" w:rsidP="00B50E4C">
      <w:pPr>
        <w:keepNext/>
      </w:pPr>
      <w:r w:rsidRPr="00A61D98">
        <w:t xml:space="preserve">This section looks at </w:t>
      </w:r>
      <w:r>
        <w:t xml:space="preserve">Perth </w:t>
      </w:r>
      <w:r w:rsidRPr="00A61D98">
        <w:t>Airport’s aeronautical activities including volume of passengers, tonnes landed and aircraft movements</w:t>
      </w:r>
      <w:r>
        <w:t xml:space="preserve"> (Section 4.1.1)</w:t>
      </w:r>
      <w:r w:rsidRPr="00A61D98">
        <w:t>. Other areas assessed include terminal configurations</w:t>
      </w:r>
      <w:r>
        <w:t xml:space="preserve"> and </w:t>
      </w:r>
      <w:r w:rsidRPr="00A61D98">
        <w:t>car parking facilities</w:t>
      </w:r>
      <w:r>
        <w:t xml:space="preserve"> (Section 4.1.2) </w:t>
      </w:r>
      <w:r w:rsidRPr="00A61D98">
        <w:t>and major investments</w:t>
      </w:r>
      <w:r>
        <w:t xml:space="preserve"> (Section 4.1.3)</w:t>
      </w:r>
      <w:r w:rsidRPr="00A61D98">
        <w:t>.</w:t>
      </w:r>
    </w:p>
    <w:p w:rsidR="009543DB" w:rsidRDefault="009543DB" w:rsidP="00B50E4C">
      <w:pPr>
        <w:pStyle w:val="Numberedheading3"/>
      </w:pPr>
      <w:r>
        <w:t>Activity</w:t>
      </w:r>
    </w:p>
    <w:p w:rsidR="009543DB" w:rsidRDefault="009543DB" w:rsidP="00B50E4C">
      <w:pPr>
        <w:keepNext/>
      </w:pPr>
      <w:r>
        <w:t>Chart 4.1.1 shows that total passenger volume decreased by 1.0 per cent at Perth Airport during 2014-15 to 14.8 million. This likely represents the end of a high growth period as a slowdown in the resources sector has reduced the number of flights by fly-in, fly-out workers.</w:t>
      </w:r>
    </w:p>
    <w:p w:rsidR="009543DB" w:rsidRDefault="009543DB" w:rsidP="00B50E4C">
      <w:pPr>
        <w:keepNext/>
      </w:pPr>
      <w:r>
        <w:t>Perth Airport has not experienced a drop in total passenger numbers since 2001-02 when numbers decreased by 8.1 per cent. Whereas international passenger numbers (including transit) grew by 1.9 per cent, the overall passenger decrease was driven by a 2.1 per cent fall in domestic passenger numbers (including general aviation and on-carriage).</w:t>
      </w:r>
    </w:p>
    <w:p w:rsidR="009543DB" w:rsidRDefault="009543DB" w:rsidP="00B50E4C">
      <w:pPr>
        <w:keepNext/>
      </w:pPr>
      <w:r>
        <w:t xml:space="preserve">Total tonnes landed and total aircraft movements both decreased by 2.4 and 5.6 per cent respectively. This is the first time that both total tonnes landed and total aircraft movements have both decreased in the same year.  </w:t>
      </w:r>
    </w:p>
    <w:p w:rsidR="009543DB" w:rsidRDefault="009543DB" w:rsidP="009543DB">
      <w:pPr>
        <w:keepNext/>
      </w:pPr>
    </w:p>
    <w:p w:rsidR="009543DB" w:rsidRDefault="009543DB" w:rsidP="009543DB">
      <w:pPr>
        <w:pStyle w:val="Numberedcharttitle"/>
      </w:pPr>
    </w:p>
    <w:p w:rsidR="009543DB" w:rsidRDefault="009543DB" w:rsidP="009543DB">
      <w:pPr>
        <w:pStyle w:val="Numberedcharttitle"/>
      </w:pPr>
    </w:p>
    <w:p w:rsidR="009543DB" w:rsidRDefault="009543DB" w:rsidP="009543DB">
      <w:pPr>
        <w:pStyle w:val="Numberedcharttitle"/>
      </w:pPr>
    </w:p>
    <w:p w:rsidR="009543DB" w:rsidRDefault="009543DB" w:rsidP="009543DB">
      <w:pPr>
        <w:pStyle w:val="Numberedcharttitle"/>
      </w:pPr>
    </w:p>
    <w:p w:rsidR="009543DB" w:rsidRDefault="009543DB" w:rsidP="009543DB">
      <w:pPr>
        <w:pStyle w:val="Numberedcharttitle"/>
      </w:pPr>
    </w:p>
    <w:p w:rsidR="009543DB" w:rsidRDefault="009543DB" w:rsidP="00F26847">
      <w:pPr>
        <w:pStyle w:val="Numberedcharttitle"/>
      </w:pPr>
      <w:r w:rsidRPr="003A2678">
        <w:lastRenderedPageBreak/>
        <w:t>Chart</w:t>
      </w:r>
      <w:r w:rsidRPr="005C3FFC">
        <w:t> </w:t>
      </w:r>
      <w:r>
        <w:t>4</w:t>
      </w:r>
      <w:r w:rsidRPr="005C3FFC">
        <w:t>.</w:t>
      </w:r>
      <w:r>
        <w:t>1</w:t>
      </w:r>
      <w:r w:rsidRPr="005C3FFC">
        <w:t>.1:</w:t>
      </w:r>
      <w:r w:rsidRPr="005C3FFC">
        <w:tab/>
      </w:r>
      <w:r>
        <w:t>Perth Airpor</w:t>
      </w:r>
      <w:r w:rsidRPr="005C3FFC">
        <w:t>t—volume of passengers, tonnes landed and aircraft movements: 200</w:t>
      </w:r>
      <w:r>
        <w:t>4</w:t>
      </w:r>
      <w:r w:rsidRPr="005C3FFC">
        <w:noBreakHyphen/>
        <w:t>0</w:t>
      </w:r>
      <w:r>
        <w:t>5</w:t>
      </w:r>
      <w:r w:rsidRPr="005C3FFC">
        <w:t xml:space="preserve"> to 201</w:t>
      </w:r>
      <w:r>
        <w:t>4</w:t>
      </w:r>
      <w:r w:rsidRPr="005C3FFC">
        <w:noBreakHyphen/>
        <w:t>1</w:t>
      </w:r>
      <w:r>
        <w:t>5</w:t>
      </w:r>
      <w:r>
        <w:rPr>
          <w:rStyle w:val="FootnoteReference"/>
        </w:rPr>
        <w:footnoteReference w:id="113"/>
      </w:r>
    </w:p>
    <w:p w:rsidR="009543DB" w:rsidRDefault="009543DB" w:rsidP="00F26847">
      <w:pPr>
        <w:keepNext/>
      </w:pPr>
      <w:r w:rsidRPr="00FD6A87">
        <w:rPr>
          <w:noProof/>
          <w:lang w:eastAsia="en-AU"/>
        </w:rPr>
        <w:drawing>
          <wp:inline distT="0" distB="0" distL="0" distR="0" wp14:anchorId="48A2DC3B" wp14:editId="2AE78ED0">
            <wp:extent cx="5367130" cy="3124862"/>
            <wp:effectExtent l="0" t="0" r="508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64480" cy="3123319"/>
                    </a:xfrm>
                    <a:prstGeom prst="rect">
                      <a:avLst/>
                    </a:prstGeom>
                    <a:noFill/>
                    <a:ln>
                      <a:noFill/>
                    </a:ln>
                  </pic:spPr>
                </pic:pic>
              </a:graphicData>
            </a:graphic>
          </wp:inline>
        </w:drawing>
      </w:r>
    </w:p>
    <w:p w:rsidR="009543DB" w:rsidRDefault="009543DB" w:rsidP="00F26847">
      <w:pPr>
        <w:pStyle w:val="Numberedheading3"/>
      </w:pPr>
      <w:r>
        <w:t>Terminal configurations and car parking facilities</w:t>
      </w:r>
    </w:p>
    <w:p w:rsidR="009543DB" w:rsidRDefault="009543DB" w:rsidP="00F26847">
      <w:pPr>
        <w:pStyle w:val="Numberedheading4"/>
        <w:keepNext/>
      </w:pPr>
      <w:r>
        <w:t>Terminal configurations</w:t>
      </w:r>
    </w:p>
    <w:p w:rsidR="009543DB" w:rsidRDefault="009543DB" w:rsidP="00F26847">
      <w:pPr>
        <w:keepNext/>
      </w:pPr>
      <w:r>
        <w:t xml:space="preserve">Perth Airport has one international terminal and three domestic terminals located within two distinct precincts. </w:t>
      </w:r>
    </w:p>
    <w:p w:rsidR="009543DB" w:rsidRDefault="009543DB" w:rsidP="00F26847">
      <w:pPr>
        <w:pStyle w:val="Listbullet1"/>
        <w:keepNext/>
        <w:numPr>
          <w:ilvl w:val="0"/>
          <w:numId w:val="18"/>
        </w:numPr>
      </w:pPr>
      <w:r>
        <w:t xml:space="preserve">The international terminal (T1) is a common-user terminal that is utilised by all airlines operating international services and is located in the Airport Central Precinct. </w:t>
      </w:r>
    </w:p>
    <w:p w:rsidR="009543DB" w:rsidRDefault="009543DB" w:rsidP="00F26847">
      <w:pPr>
        <w:pStyle w:val="Listbullet1"/>
        <w:keepNext/>
        <w:numPr>
          <w:ilvl w:val="0"/>
          <w:numId w:val="18"/>
        </w:numPr>
      </w:pPr>
      <w:r>
        <w:t>Terminal 2 (T2) is a common-user domestic terminal also located in the Airport Central Precinct. Airlines flying from T2 currently include Alliance Airlines, Tigerair and Virgin Australia and other regional operators. T2 opened in 2013 and was planned to meet primarily intrastate and the resource sectors’ travel demands.</w:t>
      </w:r>
      <w:r w:rsidRPr="00D96994">
        <w:rPr>
          <w:rStyle w:val="FootnoteReference"/>
        </w:rPr>
        <w:footnoteReference w:id="114"/>
      </w:r>
    </w:p>
    <w:p w:rsidR="009543DB" w:rsidRDefault="009543DB" w:rsidP="00F26847">
      <w:pPr>
        <w:pStyle w:val="Listbullet1"/>
        <w:keepNext/>
        <w:numPr>
          <w:ilvl w:val="0"/>
          <w:numId w:val="18"/>
        </w:numPr>
      </w:pPr>
      <w:r>
        <w:t xml:space="preserve">Terminal 3 (T3) is located in the Airport West Precinct and is a common-user terminal used by Virgin Australia and Jetstar. </w:t>
      </w:r>
    </w:p>
    <w:p w:rsidR="009543DB" w:rsidRDefault="009543DB" w:rsidP="00F26847">
      <w:pPr>
        <w:pStyle w:val="Listbullet1"/>
        <w:keepNext/>
        <w:numPr>
          <w:ilvl w:val="0"/>
          <w:numId w:val="18"/>
        </w:numPr>
      </w:pPr>
      <w:r>
        <w:t>Terminal 4 (T4) is adjacent to T3 and is also located in the Airport West Precinct. It is occupied and operated by Qantas under lease and therefore is not included within the scope of the ACCC’s monitoring results.</w:t>
      </w:r>
    </w:p>
    <w:p w:rsidR="009543DB" w:rsidRDefault="009543DB" w:rsidP="00F26847">
      <w:pPr>
        <w:pStyle w:val="Numberedheading4"/>
        <w:keepNext/>
      </w:pPr>
      <w:r>
        <w:t>Car parking facilities</w:t>
      </w:r>
    </w:p>
    <w:p w:rsidR="009543DB" w:rsidRDefault="009543DB" w:rsidP="00F26847">
      <w:pPr>
        <w:keepNext/>
      </w:pPr>
      <w:r>
        <w:t>As T1 and T2 are adjacent to each other, they are serviced by the same short and long term car parks. Similarly T3 and T4 in the Airport West Precinct are serviced by the same car parks.</w:t>
      </w:r>
    </w:p>
    <w:p w:rsidR="009543DB" w:rsidRDefault="009543DB" w:rsidP="00D80779">
      <w:pPr>
        <w:pStyle w:val="Listbullet1"/>
        <w:keepNext/>
        <w:numPr>
          <w:ilvl w:val="0"/>
          <w:numId w:val="0"/>
        </w:numPr>
      </w:pPr>
      <w:r>
        <w:t>T1 and T2 have short-term parking options in two locations. Long term parking options are in four locations adjacent to each other and there is also a park-and-wait short term car park.</w:t>
      </w:r>
    </w:p>
    <w:p w:rsidR="009543DB" w:rsidRDefault="009543DB" w:rsidP="00D80779">
      <w:pPr>
        <w:pStyle w:val="Listbullet1"/>
        <w:keepNext/>
        <w:numPr>
          <w:ilvl w:val="0"/>
          <w:numId w:val="0"/>
        </w:numPr>
      </w:pPr>
      <w:r>
        <w:lastRenderedPageBreak/>
        <w:t>T3 and T4 have a ‘Fast track’ business short term car park located in front of the terminals. This car park provides a premium, under cover car parking service. Behind this car park is the short-term car park. There is long-term car parking in four locations. T3 and T4 also have a park-and-wait short term car park.</w:t>
      </w:r>
    </w:p>
    <w:p w:rsidR="009543DB" w:rsidRDefault="009543DB" w:rsidP="009543DB">
      <w:pPr>
        <w:pStyle w:val="Numberedheading3"/>
      </w:pPr>
      <w:r>
        <w:t>Major airport investments</w:t>
      </w:r>
    </w:p>
    <w:p w:rsidR="009543DB" w:rsidRDefault="009543DB" w:rsidP="009543DB">
      <w:pPr>
        <w:keepNext/>
      </w:pPr>
      <w:r>
        <w:t xml:space="preserve">Table 4.1.1 provides a summary of major aeronautical investments that have </w:t>
      </w:r>
      <w:proofErr w:type="gramStart"/>
      <w:r>
        <w:t>either been</w:t>
      </w:r>
      <w:proofErr w:type="gramEnd"/>
      <w:r>
        <w:t xml:space="preserve"> completed, commenced or planned during 2014-15. Perth current Airport’s Master Plan was approved on 16 January 2015.</w:t>
      </w:r>
      <w:r>
        <w:rPr>
          <w:rStyle w:val="FootnoteReference"/>
        </w:rPr>
        <w:footnoteReference w:id="115"/>
      </w:r>
      <w:r>
        <w:t xml:space="preserve"> </w:t>
      </w:r>
    </w:p>
    <w:p w:rsidR="009543DB" w:rsidRDefault="009543DB" w:rsidP="009543DB">
      <w:pPr>
        <w:pStyle w:val="Numberedcharttitle"/>
      </w:pPr>
      <w:r w:rsidRPr="00FE72C4">
        <w:t xml:space="preserve">Table </w:t>
      </w:r>
      <w:r>
        <w:t>4</w:t>
      </w:r>
      <w:r w:rsidRPr="00FE72C4">
        <w:t>.1.1:</w:t>
      </w:r>
      <w:r w:rsidRPr="00FE72C4">
        <w:tab/>
      </w:r>
      <w:r>
        <w:t>Perth</w:t>
      </w:r>
      <w:r w:rsidRPr="00FE72C4">
        <w:t xml:space="preserve"> Airport—major investments in aeronautical services and facilities</w:t>
      </w:r>
    </w:p>
    <w:tbl>
      <w:tblPr>
        <w:tblStyle w:val="TableGrid"/>
        <w:tblW w:w="0" w:type="auto"/>
        <w:tblLayout w:type="fixed"/>
        <w:tblLook w:val="04A0" w:firstRow="1" w:lastRow="0" w:firstColumn="1" w:lastColumn="0" w:noHBand="0" w:noVBand="1"/>
      </w:tblPr>
      <w:tblGrid>
        <w:gridCol w:w="5070"/>
        <w:gridCol w:w="1185"/>
        <w:gridCol w:w="1185"/>
        <w:gridCol w:w="1186"/>
      </w:tblGrid>
      <w:tr w:rsidR="009543DB" w:rsidTr="009543DB">
        <w:tc>
          <w:tcPr>
            <w:tcW w:w="5070" w:type="dxa"/>
            <w:tcBorders>
              <w:left w:val="nil"/>
              <w:bottom w:val="single" w:sz="4" w:space="0" w:color="auto"/>
              <w:right w:val="nil"/>
            </w:tcBorders>
            <w:shd w:val="clear" w:color="auto" w:fill="DFE0DC"/>
          </w:tcPr>
          <w:p w:rsidR="009543DB" w:rsidRPr="00D24B44" w:rsidRDefault="009543DB" w:rsidP="009543DB">
            <w:pPr>
              <w:pStyle w:val="Tabletextheading"/>
              <w:keepNext/>
            </w:pPr>
            <w:r w:rsidRPr="00D24B44">
              <w:t>Description of investment</w:t>
            </w:r>
          </w:p>
        </w:tc>
        <w:tc>
          <w:tcPr>
            <w:tcW w:w="1185" w:type="dxa"/>
            <w:tcBorders>
              <w:left w:val="nil"/>
              <w:bottom w:val="single" w:sz="4" w:space="0" w:color="auto"/>
              <w:right w:val="nil"/>
            </w:tcBorders>
            <w:shd w:val="clear" w:color="auto" w:fill="DFE0DC"/>
          </w:tcPr>
          <w:p w:rsidR="009543DB" w:rsidRPr="00D24B44" w:rsidRDefault="009543DB" w:rsidP="009543DB">
            <w:pPr>
              <w:pStyle w:val="Tabletextheadingright"/>
              <w:keepNext/>
            </w:pPr>
            <w:r w:rsidRPr="00D24B44">
              <w:t>Value ($m)</w:t>
            </w:r>
          </w:p>
        </w:tc>
        <w:tc>
          <w:tcPr>
            <w:tcW w:w="1185" w:type="dxa"/>
            <w:tcBorders>
              <w:left w:val="nil"/>
              <w:bottom w:val="single" w:sz="4" w:space="0" w:color="auto"/>
              <w:right w:val="nil"/>
            </w:tcBorders>
            <w:shd w:val="clear" w:color="auto" w:fill="DFE0DC"/>
          </w:tcPr>
          <w:p w:rsidR="009543DB" w:rsidRPr="00D24B44" w:rsidRDefault="009543DB" w:rsidP="009543DB">
            <w:pPr>
              <w:pStyle w:val="Tabletextheadingright"/>
              <w:keepNext/>
            </w:pPr>
            <w:r w:rsidRPr="00D24B44">
              <w:t>Started</w:t>
            </w:r>
          </w:p>
        </w:tc>
        <w:tc>
          <w:tcPr>
            <w:tcW w:w="1186" w:type="dxa"/>
            <w:tcBorders>
              <w:left w:val="nil"/>
              <w:bottom w:val="single" w:sz="4" w:space="0" w:color="auto"/>
              <w:right w:val="nil"/>
            </w:tcBorders>
            <w:shd w:val="clear" w:color="auto" w:fill="DFE0DC"/>
          </w:tcPr>
          <w:p w:rsidR="009543DB" w:rsidRPr="00D24B44" w:rsidRDefault="009543DB" w:rsidP="009543DB">
            <w:pPr>
              <w:pStyle w:val="Tabletextheadingright"/>
              <w:keepNext/>
            </w:pPr>
            <w:r w:rsidRPr="00D24B44">
              <w:t>Completed</w:t>
            </w:r>
          </w:p>
        </w:tc>
      </w:tr>
      <w:tr w:rsidR="009543DB" w:rsidTr="009543DB">
        <w:tc>
          <w:tcPr>
            <w:tcW w:w="5070" w:type="dxa"/>
            <w:tcBorders>
              <w:left w:val="nil"/>
              <w:bottom w:val="nil"/>
              <w:right w:val="nil"/>
            </w:tcBorders>
          </w:tcPr>
          <w:p w:rsidR="009543DB" w:rsidRDefault="009543DB" w:rsidP="009543DB">
            <w:pPr>
              <w:pStyle w:val="Tabletextleft"/>
              <w:keepNext/>
            </w:pPr>
            <w:r>
              <w:t>T3 Phase 2 works</w:t>
            </w:r>
          </w:p>
        </w:tc>
        <w:tc>
          <w:tcPr>
            <w:tcW w:w="1185" w:type="dxa"/>
            <w:tcBorders>
              <w:left w:val="nil"/>
              <w:bottom w:val="nil"/>
              <w:right w:val="nil"/>
            </w:tcBorders>
          </w:tcPr>
          <w:p w:rsidR="009543DB" w:rsidRDefault="009543DB" w:rsidP="009543DB">
            <w:pPr>
              <w:pStyle w:val="Tabletextright"/>
              <w:keepNext/>
            </w:pPr>
            <w:r>
              <w:t>22.9</w:t>
            </w:r>
          </w:p>
        </w:tc>
        <w:tc>
          <w:tcPr>
            <w:tcW w:w="1185" w:type="dxa"/>
            <w:tcBorders>
              <w:left w:val="nil"/>
              <w:bottom w:val="nil"/>
              <w:right w:val="nil"/>
            </w:tcBorders>
          </w:tcPr>
          <w:p w:rsidR="009543DB" w:rsidRDefault="009543DB" w:rsidP="009543DB">
            <w:pPr>
              <w:pStyle w:val="Tabletextright2"/>
              <w:keepNext/>
            </w:pPr>
            <w:r>
              <w:t>Dec 2011</w:t>
            </w:r>
          </w:p>
        </w:tc>
        <w:tc>
          <w:tcPr>
            <w:tcW w:w="1186" w:type="dxa"/>
            <w:tcBorders>
              <w:left w:val="nil"/>
              <w:bottom w:val="nil"/>
              <w:right w:val="nil"/>
            </w:tcBorders>
          </w:tcPr>
          <w:p w:rsidR="009543DB" w:rsidRDefault="009543DB" w:rsidP="009543DB">
            <w:pPr>
              <w:pStyle w:val="Tabletextright2"/>
              <w:keepNext/>
            </w:pPr>
            <w:r>
              <w:t>Jun 2015</w:t>
            </w:r>
          </w:p>
        </w:tc>
      </w:tr>
      <w:tr w:rsidR="009543DB" w:rsidTr="009543DB">
        <w:tc>
          <w:tcPr>
            <w:tcW w:w="5070" w:type="dxa"/>
            <w:tcBorders>
              <w:top w:val="nil"/>
              <w:left w:val="nil"/>
              <w:bottom w:val="nil"/>
              <w:right w:val="nil"/>
            </w:tcBorders>
          </w:tcPr>
          <w:p w:rsidR="009543DB" w:rsidRDefault="009543DB" w:rsidP="009543DB">
            <w:pPr>
              <w:pStyle w:val="Tabletextleft"/>
              <w:keepNext/>
            </w:pPr>
            <w:r>
              <w:t>T1 Standoff and taxi line</w:t>
            </w:r>
          </w:p>
        </w:tc>
        <w:tc>
          <w:tcPr>
            <w:tcW w:w="1185" w:type="dxa"/>
            <w:tcBorders>
              <w:top w:val="nil"/>
              <w:left w:val="nil"/>
              <w:bottom w:val="nil"/>
              <w:right w:val="nil"/>
            </w:tcBorders>
          </w:tcPr>
          <w:p w:rsidR="009543DB" w:rsidRDefault="009543DB" w:rsidP="009543DB">
            <w:pPr>
              <w:pStyle w:val="Tabletextright"/>
              <w:keepNext/>
            </w:pPr>
            <w:r>
              <w:t>12.5</w:t>
            </w:r>
          </w:p>
        </w:tc>
        <w:tc>
          <w:tcPr>
            <w:tcW w:w="1185" w:type="dxa"/>
            <w:tcBorders>
              <w:top w:val="nil"/>
              <w:left w:val="nil"/>
              <w:bottom w:val="nil"/>
              <w:right w:val="nil"/>
            </w:tcBorders>
          </w:tcPr>
          <w:p w:rsidR="009543DB" w:rsidRDefault="009543DB" w:rsidP="009543DB">
            <w:pPr>
              <w:pStyle w:val="Tabletextright2"/>
              <w:keepNext/>
            </w:pPr>
            <w:r>
              <w:t>Sep 2011</w:t>
            </w:r>
          </w:p>
        </w:tc>
        <w:tc>
          <w:tcPr>
            <w:tcW w:w="1186" w:type="dxa"/>
            <w:tcBorders>
              <w:top w:val="nil"/>
              <w:left w:val="nil"/>
              <w:bottom w:val="nil"/>
              <w:right w:val="nil"/>
            </w:tcBorders>
          </w:tcPr>
          <w:p w:rsidR="009543DB" w:rsidRDefault="009543DB" w:rsidP="009543DB">
            <w:pPr>
              <w:pStyle w:val="Tabletextright2"/>
              <w:keepNext/>
            </w:pPr>
            <w:r>
              <w:t>April 2014</w:t>
            </w:r>
          </w:p>
        </w:tc>
      </w:tr>
      <w:tr w:rsidR="009543DB" w:rsidTr="009543DB">
        <w:tc>
          <w:tcPr>
            <w:tcW w:w="5070" w:type="dxa"/>
            <w:tcBorders>
              <w:top w:val="nil"/>
              <w:left w:val="nil"/>
              <w:bottom w:val="nil"/>
              <w:right w:val="nil"/>
            </w:tcBorders>
          </w:tcPr>
          <w:p w:rsidR="009543DB" w:rsidRDefault="009543DB" w:rsidP="009543DB">
            <w:pPr>
              <w:pStyle w:val="Tabletextleft"/>
              <w:keepNext/>
            </w:pPr>
            <w:r>
              <w:t>Taxiway C Extension</w:t>
            </w:r>
          </w:p>
        </w:tc>
        <w:tc>
          <w:tcPr>
            <w:tcW w:w="1185" w:type="dxa"/>
            <w:tcBorders>
              <w:top w:val="nil"/>
              <w:left w:val="nil"/>
              <w:bottom w:val="nil"/>
              <w:right w:val="nil"/>
            </w:tcBorders>
          </w:tcPr>
          <w:p w:rsidR="009543DB" w:rsidRDefault="009543DB" w:rsidP="009543DB">
            <w:pPr>
              <w:pStyle w:val="Tabletextright"/>
              <w:keepNext/>
            </w:pPr>
            <w:r>
              <w:t>9.5</w:t>
            </w:r>
          </w:p>
        </w:tc>
        <w:tc>
          <w:tcPr>
            <w:tcW w:w="1185" w:type="dxa"/>
            <w:tcBorders>
              <w:top w:val="nil"/>
              <w:left w:val="nil"/>
              <w:bottom w:val="nil"/>
              <w:right w:val="nil"/>
            </w:tcBorders>
          </w:tcPr>
          <w:p w:rsidR="009543DB" w:rsidRDefault="009543DB" w:rsidP="009543DB">
            <w:pPr>
              <w:pStyle w:val="Tabletextright2"/>
              <w:keepNext/>
            </w:pPr>
            <w:r>
              <w:t>Mar 2014</w:t>
            </w:r>
          </w:p>
        </w:tc>
        <w:tc>
          <w:tcPr>
            <w:tcW w:w="1186" w:type="dxa"/>
            <w:tcBorders>
              <w:top w:val="nil"/>
              <w:left w:val="nil"/>
              <w:bottom w:val="nil"/>
              <w:right w:val="nil"/>
            </w:tcBorders>
          </w:tcPr>
          <w:p w:rsidR="009543DB" w:rsidRDefault="009543DB" w:rsidP="009543DB">
            <w:pPr>
              <w:pStyle w:val="Tabletextright2"/>
              <w:keepNext/>
            </w:pPr>
            <w:r>
              <w:t>Jun 2015</w:t>
            </w:r>
          </w:p>
        </w:tc>
      </w:tr>
      <w:tr w:rsidR="009543DB" w:rsidRPr="00550DD6" w:rsidTr="009543DB">
        <w:tc>
          <w:tcPr>
            <w:tcW w:w="5070" w:type="dxa"/>
            <w:tcBorders>
              <w:left w:val="nil"/>
              <w:bottom w:val="nil"/>
              <w:right w:val="nil"/>
            </w:tcBorders>
          </w:tcPr>
          <w:p w:rsidR="009543DB" w:rsidRPr="00E24BA0" w:rsidRDefault="009543DB" w:rsidP="009543DB">
            <w:pPr>
              <w:pStyle w:val="Tabletextleft"/>
              <w:keepNext/>
            </w:pPr>
            <w:r w:rsidRPr="00E24BA0">
              <w:t>T1 international and domestic pier</w:t>
            </w:r>
          </w:p>
        </w:tc>
        <w:tc>
          <w:tcPr>
            <w:tcW w:w="1185" w:type="dxa"/>
            <w:tcBorders>
              <w:left w:val="nil"/>
              <w:bottom w:val="nil"/>
              <w:right w:val="nil"/>
            </w:tcBorders>
          </w:tcPr>
          <w:p w:rsidR="009543DB" w:rsidRPr="00E24BA0" w:rsidRDefault="009543DB" w:rsidP="009543DB">
            <w:pPr>
              <w:pStyle w:val="Tabletextright"/>
              <w:keepNext/>
            </w:pPr>
            <w:r w:rsidRPr="00E24BA0">
              <w:t>330.0</w:t>
            </w:r>
          </w:p>
        </w:tc>
        <w:tc>
          <w:tcPr>
            <w:tcW w:w="1185" w:type="dxa"/>
            <w:tcBorders>
              <w:left w:val="nil"/>
              <w:bottom w:val="nil"/>
              <w:right w:val="nil"/>
            </w:tcBorders>
          </w:tcPr>
          <w:p w:rsidR="009543DB" w:rsidRPr="00E24BA0" w:rsidRDefault="009543DB" w:rsidP="009543DB">
            <w:pPr>
              <w:pStyle w:val="Tabletextright2"/>
              <w:keepNext/>
            </w:pPr>
            <w:r w:rsidRPr="00E24BA0">
              <w:t>Aug 2011</w:t>
            </w:r>
          </w:p>
        </w:tc>
        <w:tc>
          <w:tcPr>
            <w:tcW w:w="1186" w:type="dxa"/>
            <w:tcBorders>
              <w:left w:val="nil"/>
              <w:bottom w:val="nil"/>
              <w:right w:val="nil"/>
            </w:tcBorders>
          </w:tcPr>
          <w:p w:rsidR="009543DB" w:rsidRPr="00A05EB2" w:rsidRDefault="009543DB" w:rsidP="009543DB">
            <w:pPr>
              <w:pStyle w:val="Tabletextright2"/>
              <w:keepNext/>
            </w:pPr>
            <w:r w:rsidRPr="00A05EB2">
              <w:t>Sep 2015</w:t>
            </w:r>
          </w:p>
        </w:tc>
      </w:tr>
      <w:tr w:rsidR="009543DB" w:rsidRPr="00665802" w:rsidTr="009543DB">
        <w:tc>
          <w:tcPr>
            <w:tcW w:w="5070" w:type="dxa"/>
            <w:tcBorders>
              <w:top w:val="nil"/>
              <w:left w:val="nil"/>
              <w:bottom w:val="nil"/>
              <w:right w:val="nil"/>
            </w:tcBorders>
          </w:tcPr>
          <w:p w:rsidR="009543DB" w:rsidRPr="00665802" w:rsidRDefault="009543DB" w:rsidP="009543DB">
            <w:pPr>
              <w:pStyle w:val="Tabletextleft"/>
              <w:keepNext/>
            </w:pPr>
            <w:r w:rsidRPr="00665802">
              <w:t>International arrivals expansion (T1)</w:t>
            </w:r>
          </w:p>
        </w:tc>
        <w:tc>
          <w:tcPr>
            <w:tcW w:w="1185" w:type="dxa"/>
            <w:tcBorders>
              <w:top w:val="nil"/>
              <w:left w:val="nil"/>
              <w:bottom w:val="nil"/>
              <w:right w:val="nil"/>
            </w:tcBorders>
          </w:tcPr>
          <w:p w:rsidR="009543DB" w:rsidRPr="00665802" w:rsidRDefault="009543DB" w:rsidP="009543DB">
            <w:pPr>
              <w:pStyle w:val="Tabletextright"/>
              <w:keepNext/>
            </w:pPr>
            <w:r w:rsidRPr="00665802">
              <w:t>80.0</w:t>
            </w:r>
          </w:p>
        </w:tc>
        <w:tc>
          <w:tcPr>
            <w:tcW w:w="1185" w:type="dxa"/>
            <w:tcBorders>
              <w:top w:val="nil"/>
              <w:left w:val="nil"/>
              <w:bottom w:val="nil"/>
              <w:right w:val="nil"/>
            </w:tcBorders>
          </w:tcPr>
          <w:p w:rsidR="009543DB" w:rsidRPr="00665802" w:rsidRDefault="009543DB" w:rsidP="009543DB">
            <w:pPr>
              <w:pStyle w:val="Tabletextright2"/>
              <w:keepNext/>
            </w:pPr>
            <w:r w:rsidRPr="00665802">
              <w:t>Feb 2010</w:t>
            </w:r>
          </w:p>
        </w:tc>
        <w:tc>
          <w:tcPr>
            <w:tcW w:w="1186" w:type="dxa"/>
            <w:tcBorders>
              <w:top w:val="nil"/>
              <w:left w:val="nil"/>
              <w:bottom w:val="nil"/>
              <w:right w:val="nil"/>
            </w:tcBorders>
          </w:tcPr>
          <w:p w:rsidR="009543DB" w:rsidRPr="00A05EB2" w:rsidRDefault="009543DB" w:rsidP="009543DB">
            <w:pPr>
              <w:pStyle w:val="Tabletextright2"/>
              <w:keepNext/>
            </w:pPr>
            <w:r>
              <w:t>Nov 2015</w:t>
            </w:r>
          </w:p>
        </w:tc>
      </w:tr>
      <w:tr w:rsidR="009543DB" w:rsidRPr="00665802" w:rsidTr="009543DB">
        <w:tc>
          <w:tcPr>
            <w:tcW w:w="5070" w:type="dxa"/>
            <w:tcBorders>
              <w:top w:val="nil"/>
              <w:left w:val="nil"/>
              <w:bottom w:val="single" w:sz="4" w:space="0" w:color="auto"/>
              <w:right w:val="nil"/>
            </w:tcBorders>
          </w:tcPr>
          <w:p w:rsidR="009543DB" w:rsidRPr="00665802" w:rsidRDefault="009543DB" w:rsidP="009543DB">
            <w:pPr>
              <w:pStyle w:val="Tabletextleft"/>
              <w:keepNext/>
            </w:pPr>
            <w:r w:rsidRPr="00665802">
              <w:t>International departures upgrade (T1)</w:t>
            </w:r>
          </w:p>
        </w:tc>
        <w:tc>
          <w:tcPr>
            <w:tcW w:w="1185" w:type="dxa"/>
            <w:tcBorders>
              <w:top w:val="nil"/>
              <w:left w:val="nil"/>
              <w:bottom w:val="single" w:sz="4" w:space="0" w:color="auto"/>
              <w:right w:val="nil"/>
            </w:tcBorders>
          </w:tcPr>
          <w:p w:rsidR="009543DB" w:rsidRPr="00665802" w:rsidRDefault="009543DB" w:rsidP="009543DB">
            <w:pPr>
              <w:pStyle w:val="Tabletextright"/>
              <w:keepNext/>
            </w:pPr>
            <w:r>
              <w:t>52.5</w:t>
            </w:r>
          </w:p>
        </w:tc>
        <w:tc>
          <w:tcPr>
            <w:tcW w:w="1185" w:type="dxa"/>
            <w:tcBorders>
              <w:top w:val="nil"/>
              <w:left w:val="nil"/>
              <w:bottom w:val="single" w:sz="4" w:space="0" w:color="auto"/>
              <w:right w:val="nil"/>
            </w:tcBorders>
          </w:tcPr>
          <w:p w:rsidR="009543DB" w:rsidRPr="00665802" w:rsidRDefault="009543DB" w:rsidP="009543DB">
            <w:pPr>
              <w:pStyle w:val="Tabletextright2"/>
              <w:keepNext/>
            </w:pPr>
            <w:r>
              <w:t>Jun</w:t>
            </w:r>
            <w:r w:rsidRPr="00665802">
              <w:t xml:space="preserve"> 201</w:t>
            </w:r>
            <w:r>
              <w:t>2</w:t>
            </w:r>
          </w:p>
        </w:tc>
        <w:tc>
          <w:tcPr>
            <w:tcW w:w="1186" w:type="dxa"/>
            <w:tcBorders>
              <w:top w:val="nil"/>
              <w:left w:val="nil"/>
              <w:bottom w:val="single" w:sz="4" w:space="0" w:color="auto"/>
              <w:right w:val="nil"/>
            </w:tcBorders>
          </w:tcPr>
          <w:p w:rsidR="009543DB" w:rsidRPr="00A05EB2" w:rsidRDefault="009543DB" w:rsidP="009543DB">
            <w:pPr>
              <w:pStyle w:val="Tabletextright2"/>
              <w:keepNext/>
            </w:pPr>
            <w:r w:rsidRPr="00A05EB2">
              <w:t>Dec 2015</w:t>
            </w:r>
          </w:p>
        </w:tc>
      </w:tr>
      <w:tr w:rsidR="009543DB" w:rsidTr="009543DB">
        <w:tc>
          <w:tcPr>
            <w:tcW w:w="5070" w:type="dxa"/>
            <w:tcBorders>
              <w:top w:val="nil"/>
              <w:left w:val="nil"/>
              <w:bottom w:val="nil"/>
              <w:right w:val="nil"/>
            </w:tcBorders>
          </w:tcPr>
          <w:p w:rsidR="009543DB" w:rsidRPr="00F07CEC" w:rsidRDefault="009543DB" w:rsidP="009543DB">
            <w:pPr>
              <w:pStyle w:val="Tabletextleft"/>
              <w:keepNext/>
            </w:pPr>
            <w:r>
              <w:t>Significant TI Terminal expansion project</w:t>
            </w:r>
          </w:p>
        </w:tc>
        <w:tc>
          <w:tcPr>
            <w:tcW w:w="1185" w:type="dxa"/>
            <w:tcBorders>
              <w:top w:val="nil"/>
              <w:left w:val="nil"/>
              <w:bottom w:val="nil"/>
              <w:right w:val="nil"/>
            </w:tcBorders>
          </w:tcPr>
          <w:p w:rsidR="009543DB" w:rsidRPr="00F07CEC" w:rsidRDefault="009543DB" w:rsidP="009543DB">
            <w:pPr>
              <w:pStyle w:val="Tabletextright"/>
              <w:keepNext/>
            </w:pPr>
            <w:r>
              <w:t>800.0</w:t>
            </w:r>
          </w:p>
        </w:tc>
        <w:tc>
          <w:tcPr>
            <w:tcW w:w="1185" w:type="dxa"/>
            <w:tcBorders>
              <w:top w:val="nil"/>
              <w:left w:val="nil"/>
              <w:bottom w:val="nil"/>
              <w:right w:val="nil"/>
            </w:tcBorders>
          </w:tcPr>
          <w:p w:rsidR="009543DB" w:rsidRPr="002A35D9" w:rsidRDefault="009543DB" w:rsidP="009543DB">
            <w:pPr>
              <w:pStyle w:val="Tabletextright2"/>
              <w:keepNext/>
            </w:pPr>
            <w:r w:rsidRPr="00A05EB2">
              <w:t>Jul 2015</w:t>
            </w:r>
          </w:p>
        </w:tc>
        <w:tc>
          <w:tcPr>
            <w:tcW w:w="1186" w:type="dxa"/>
            <w:tcBorders>
              <w:top w:val="nil"/>
              <w:left w:val="nil"/>
              <w:bottom w:val="nil"/>
              <w:right w:val="nil"/>
            </w:tcBorders>
          </w:tcPr>
          <w:p w:rsidR="009543DB" w:rsidRPr="002A35D9" w:rsidRDefault="009543DB" w:rsidP="009543DB">
            <w:pPr>
              <w:pStyle w:val="Tabletextright2"/>
              <w:keepNext/>
            </w:pPr>
            <w:r w:rsidRPr="002A35D9">
              <w:t>Jun 2021</w:t>
            </w:r>
          </w:p>
        </w:tc>
      </w:tr>
      <w:tr w:rsidR="009543DB" w:rsidTr="009543DB">
        <w:tc>
          <w:tcPr>
            <w:tcW w:w="5070" w:type="dxa"/>
            <w:tcBorders>
              <w:top w:val="nil"/>
              <w:left w:val="nil"/>
              <w:bottom w:val="nil"/>
              <w:right w:val="nil"/>
            </w:tcBorders>
            <w:shd w:val="clear" w:color="auto" w:fill="auto"/>
          </w:tcPr>
          <w:p w:rsidR="009543DB" w:rsidRPr="00F07CEC" w:rsidRDefault="009543DB" w:rsidP="009543DB">
            <w:pPr>
              <w:pStyle w:val="Tabletextleft"/>
              <w:keepNext/>
            </w:pPr>
            <w:r w:rsidRPr="00F07CEC">
              <w:t>New runway</w:t>
            </w:r>
          </w:p>
        </w:tc>
        <w:tc>
          <w:tcPr>
            <w:tcW w:w="1185" w:type="dxa"/>
            <w:tcBorders>
              <w:top w:val="nil"/>
              <w:left w:val="nil"/>
              <w:bottom w:val="nil"/>
              <w:right w:val="nil"/>
            </w:tcBorders>
          </w:tcPr>
          <w:p w:rsidR="009543DB" w:rsidRPr="00F07CEC" w:rsidRDefault="009543DB" w:rsidP="009543DB">
            <w:pPr>
              <w:pStyle w:val="Tabletextright"/>
              <w:keepNext/>
            </w:pPr>
            <w:r>
              <w:t>450</w:t>
            </w:r>
            <w:r w:rsidRPr="00F07CEC">
              <w:t>.0</w:t>
            </w:r>
          </w:p>
        </w:tc>
        <w:tc>
          <w:tcPr>
            <w:tcW w:w="1185" w:type="dxa"/>
            <w:tcBorders>
              <w:top w:val="nil"/>
              <w:left w:val="nil"/>
              <w:bottom w:val="nil"/>
              <w:right w:val="nil"/>
            </w:tcBorders>
          </w:tcPr>
          <w:p w:rsidR="009543DB" w:rsidRPr="002A35D9" w:rsidRDefault="009543DB" w:rsidP="009543DB">
            <w:pPr>
              <w:pStyle w:val="Tabletextright2"/>
              <w:keepNext/>
            </w:pPr>
            <w:r w:rsidRPr="00A05EB2">
              <w:t>Aug 2015</w:t>
            </w:r>
          </w:p>
        </w:tc>
        <w:tc>
          <w:tcPr>
            <w:tcW w:w="1186" w:type="dxa"/>
            <w:tcBorders>
              <w:top w:val="nil"/>
              <w:left w:val="nil"/>
              <w:bottom w:val="nil"/>
              <w:right w:val="nil"/>
            </w:tcBorders>
          </w:tcPr>
          <w:p w:rsidR="009543DB" w:rsidRPr="002A35D9" w:rsidRDefault="009543DB" w:rsidP="009543DB">
            <w:pPr>
              <w:pStyle w:val="Tabletextright2"/>
              <w:keepNext/>
            </w:pPr>
            <w:r w:rsidRPr="002A35D9">
              <w:t>Dec 2020</w:t>
            </w:r>
          </w:p>
        </w:tc>
      </w:tr>
      <w:tr w:rsidR="009543DB" w:rsidRPr="005D5560" w:rsidTr="009543DB">
        <w:tc>
          <w:tcPr>
            <w:tcW w:w="5070" w:type="dxa"/>
            <w:tcBorders>
              <w:top w:val="nil"/>
              <w:left w:val="nil"/>
              <w:right w:val="nil"/>
            </w:tcBorders>
            <w:shd w:val="clear" w:color="auto" w:fill="auto"/>
          </w:tcPr>
          <w:p w:rsidR="009543DB" w:rsidRPr="005D5560" w:rsidRDefault="009543DB" w:rsidP="009543DB">
            <w:pPr>
              <w:pStyle w:val="Tabletextleft"/>
              <w:keepNext/>
            </w:pPr>
            <w:r w:rsidRPr="005D5560">
              <w:t>Low visibility infrastructure upgrade</w:t>
            </w:r>
          </w:p>
        </w:tc>
        <w:tc>
          <w:tcPr>
            <w:tcW w:w="1185" w:type="dxa"/>
            <w:tcBorders>
              <w:top w:val="nil"/>
              <w:left w:val="nil"/>
              <w:right w:val="nil"/>
            </w:tcBorders>
          </w:tcPr>
          <w:p w:rsidR="009543DB" w:rsidRPr="005D5560" w:rsidRDefault="009543DB" w:rsidP="009543DB">
            <w:pPr>
              <w:pStyle w:val="Tabletextright"/>
              <w:keepNext/>
            </w:pPr>
            <w:r w:rsidRPr="005D5560">
              <w:t>36.0</w:t>
            </w:r>
          </w:p>
        </w:tc>
        <w:tc>
          <w:tcPr>
            <w:tcW w:w="1185" w:type="dxa"/>
            <w:tcBorders>
              <w:top w:val="nil"/>
              <w:left w:val="nil"/>
              <w:right w:val="nil"/>
            </w:tcBorders>
          </w:tcPr>
          <w:p w:rsidR="009543DB" w:rsidRPr="002A35D9" w:rsidRDefault="009543DB" w:rsidP="009543DB">
            <w:pPr>
              <w:pStyle w:val="Tabletextright2"/>
              <w:keepNext/>
            </w:pPr>
            <w:r w:rsidRPr="00A05EB2">
              <w:t>Jul 2015</w:t>
            </w:r>
          </w:p>
        </w:tc>
        <w:tc>
          <w:tcPr>
            <w:tcW w:w="1186" w:type="dxa"/>
            <w:tcBorders>
              <w:top w:val="nil"/>
              <w:left w:val="nil"/>
              <w:right w:val="nil"/>
            </w:tcBorders>
          </w:tcPr>
          <w:p w:rsidR="009543DB" w:rsidRPr="002A35D9" w:rsidRDefault="009543DB" w:rsidP="009543DB">
            <w:pPr>
              <w:pStyle w:val="Tabletextright2"/>
              <w:keepNext/>
            </w:pPr>
            <w:r w:rsidRPr="002A35D9">
              <w:t>Feb 2018</w:t>
            </w:r>
          </w:p>
        </w:tc>
      </w:tr>
    </w:tbl>
    <w:p w:rsidR="009543DB" w:rsidRDefault="009543DB" w:rsidP="009543DB">
      <w:pPr>
        <w:keepNext/>
        <w:spacing w:before="240" w:after="120"/>
      </w:pPr>
      <w:r>
        <w:t xml:space="preserve">The major aeronautical projects completed during 2014-15 include the expansion and refurbishment works in T3, which increased the departure lounge area and an upgrade of the baggage handling system. Significant airfield projects completed included additional stand-off bays adjacent to T1 and the construction of the ‘Taxiway Charlie’ extension.  </w:t>
      </w:r>
    </w:p>
    <w:p w:rsidR="009543DB" w:rsidRDefault="009543DB" w:rsidP="009543DB">
      <w:pPr>
        <w:keepNext/>
        <w:spacing w:before="120" w:after="120"/>
      </w:pPr>
      <w:r>
        <w:t xml:space="preserve">The most significant aeronautical project underway during 2014-15 was the T1 International and Domestic Pier project with a value of $330 million. The new T1 Domestic Pier opened during November 2015. Virgin Australia relocated to this new facility from the Airport West Precinct. </w:t>
      </w:r>
    </w:p>
    <w:p w:rsidR="009543DB" w:rsidRDefault="009543DB" w:rsidP="009543DB">
      <w:pPr>
        <w:keepNext/>
        <w:spacing w:before="120" w:after="120"/>
      </w:pPr>
      <w:r>
        <w:t xml:space="preserve">The major planned aeronautical project that Perth Airport are seeking to progress is their new International satellite pier that will be linked to the existing T1 via a link bridge. The other significant planned project is the new parallel runway. The design and approvals phase of the runway project are expected to be completed within two years. Subject to overall demand, the new runway will proceed with the construction phase.  </w:t>
      </w:r>
    </w:p>
    <w:p w:rsidR="009543DB" w:rsidRDefault="009543DB" w:rsidP="00F26847">
      <w:pPr>
        <w:keepNext/>
        <w:spacing w:before="120" w:after="120"/>
      </w:pPr>
      <w:r>
        <w:t>Table 4.1.2 shows that the m</w:t>
      </w:r>
      <w:r w:rsidRPr="00815254">
        <w:t xml:space="preserve">ajor </w:t>
      </w:r>
      <w:r>
        <w:t>car parking and landside investments completed during 2014</w:t>
      </w:r>
      <w:r>
        <w:noBreakHyphen/>
        <w:t xml:space="preserve">15 include Airport Drive which provides for a new access road. An additional 3000 parking bays were added to the T1/T2 long term car park during 2014-15. </w:t>
      </w:r>
    </w:p>
    <w:p w:rsidR="009543DB" w:rsidRDefault="009543DB" w:rsidP="009543DB">
      <w:pPr>
        <w:pStyle w:val="Numberedcharttitle"/>
      </w:pPr>
    </w:p>
    <w:p w:rsidR="009543DB" w:rsidRDefault="009543DB" w:rsidP="009543DB">
      <w:pPr>
        <w:pStyle w:val="Numberedcharttitle"/>
      </w:pPr>
    </w:p>
    <w:p w:rsidR="00164A1F" w:rsidRDefault="00164A1F" w:rsidP="009543DB">
      <w:pPr>
        <w:pStyle w:val="Numberedcharttitle"/>
      </w:pPr>
    </w:p>
    <w:p w:rsidR="00164A1F" w:rsidRDefault="00164A1F" w:rsidP="009543DB">
      <w:pPr>
        <w:pStyle w:val="Numberedcharttitle"/>
      </w:pPr>
    </w:p>
    <w:p w:rsidR="009543DB" w:rsidRDefault="009543DB" w:rsidP="009543DB">
      <w:pPr>
        <w:pStyle w:val="Numberedcharttitle"/>
      </w:pPr>
    </w:p>
    <w:p w:rsidR="009543DB" w:rsidRDefault="009543DB" w:rsidP="009543DB">
      <w:pPr>
        <w:pStyle w:val="Numberedcharttitle"/>
      </w:pPr>
      <w:r w:rsidRPr="00882869">
        <w:lastRenderedPageBreak/>
        <w:t xml:space="preserve">Table </w:t>
      </w:r>
      <w:r>
        <w:t>4</w:t>
      </w:r>
      <w:r w:rsidRPr="00882869">
        <w:t>.1.2:</w:t>
      </w:r>
      <w:r w:rsidRPr="00882869">
        <w:tab/>
      </w:r>
      <w:r>
        <w:t>Perth</w:t>
      </w:r>
      <w:r w:rsidRPr="00882869">
        <w:t xml:space="preserve"> Airport—major investments in car parking and landside access services</w:t>
      </w:r>
    </w:p>
    <w:tbl>
      <w:tblPr>
        <w:tblStyle w:val="TableGrid"/>
        <w:tblW w:w="0" w:type="auto"/>
        <w:tblLayout w:type="fixed"/>
        <w:tblLook w:val="04A0" w:firstRow="1" w:lastRow="0" w:firstColumn="1" w:lastColumn="0" w:noHBand="0" w:noVBand="1"/>
      </w:tblPr>
      <w:tblGrid>
        <w:gridCol w:w="5070"/>
        <w:gridCol w:w="1185"/>
        <w:gridCol w:w="1185"/>
        <w:gridCol w:w="1186"/>
      </w:tblGrid>
      <w:tr w:rsidR="009543DB" w:rsidTr="009543DB">
        <w:tc>
          <w:tcPr>
            <w:tcW w:w="5070" w:type="dxa"/>
            <w:tcBorders>
              <w:left w:val="nil"/>
              <w:bottom w:val="single" w:sz="4" w:space="0" w:color="auto"/>
              <w:right w:val="nil"/>
            </w:tcBorders>
            <w:shd w:val="clear" w:color="auto" w:fill="DFE0DC"/>
          </w:tcPr>
          <w:p w:rsidR="009543DB" w:rsidRPr="00D24B44" w:rsidRDefault="009543DB" w:rsidP="009543DB">
            <w:pPr>
              <w:pStyle w:val="Tabletextheading"/>
              <w:keepNext/>
            </w:pPr>
            <w:r w:rsidRPr="00D24B44">
              <w:t>Description of investment</w:t>
            </w:r>
          </w:p>
        </w:tc>
        <w:tc>
          <w:tcPr>
            <w:tcW w:w="1185" w:type="dxa"/>
            <w:tcBorders>
              <w:left w:val="nil"/>
              <w:bottom w:val="single" w:sz="4" w:space="0" w:color="auto"/>
              <w:right w:val="nil"/>
            </w:tcBorders>
            <w:shd w:val="clear" w:color="auto" w:fill="DFE0DC"/>
          </w:tcPr>
          <w:p w:rsidR="009543DB" w:rsidRPr="00D24B44" w:rsidRDefault="009543DB" w:rsidP="009543DB">
            <w:pPr>
              <w:pStyle w:val="Tabletextheadingright"/>
              <w:keepNext/>
            </w:pPr>
            <w:r w:rsidRPr="00D24B44">
              <w:t>Value ($m)</w:t>
            </w:r>
          </w:p>
        </w:tc>
        <w:tc>
          <w:tcPr>
            <w:tcW w:w="1185" w:type="dxa"/>
            <w:tcBorders>
              <w:left w:val="nil"/>
              <w:bottom w:val="single" w:sz="4" w:space="0" w:color="auto"/>
              <w:right w:val="nil"/>
            </w:tcBorders>
            <w:shd w:val="clear" w:color="auto" w:fill="DFE0DC"/>
          </w:tcPr>
          <w:p w:rsidR="009543DB" w:rsidRPr="00D24B44" w:rsidRDefault="009543DB" w:rsidP="009543DB">
            <w:pPr>
              <w:pStyle w:val="Tabletextheadingright"/>
              <w:keepNext/>
            </w:pPr>
            <w:r w:rsidRPr="00D24B44">
              <w:t>Started</w:t>
            </w:r>
          </w:p>
        </w:tc>
        <w:tc>
          <w:tcPr>
            <w:tcW w:w="1186" w:type="dxa"/>
            <w:tcBorders>
              <w:left w:val="nil"/>
              <w:bottom w:val="single" w:sz="4" w:space="0" w:color="auto"/>
              <w:right w:val="nil"/>
            </w:tcBorders>
            <w:shd w:val="clear" w:color="auto" w:fill="DFE0DC"/>
          </w:tcPr>
          <w:p w:rsidR="009543DB" w:rsidRPr="00D24B44" w:rsidRDefault="009543DB" w:rsidP="009543DB">
            <w:pPr>
              <w:pStyle w:val="Tabletextheadingright"/>
              <w:keepNext/>
            </w:pPr>
            <w:r w:rsidRPr="00D24B44">
              <w:t>Completed</w:t>
            </w:r>
          </w:p>
        </w:tc>
      </w:tr>
      <w:tr w:rsidR="009543DB" w:rsidRPr="002614BD" w:rsidTr="009543DB">
        <w:tc>
          <w:tcPr>
            <w:tcW w:w="5070" w:type="dxa"/>
            <w:tcBorders>
              <w:left w:val="nil"/>
              <w:bottom w:val="nil"/>
              <w:right w:val="nil"/>
            </w:tcBorders>
          </w:tcPr>
          <w:p w:rsidR="009543DB" w:rsidRPr="002614BD" w:rsidRDefault="009543DB" w:rsidP="009543DB">
            <w:pPr>
              <w:pStyle w:val="Tabletextleft"/>
              <w:keepNext/>
            </w:pPr>
            <w:r w:rsidRPr="002614BD">
              <w:t>Airport Drive Development</w:t>
            </w:r>
          </w:p>
        </w:tc>
        <w:tc>
          <w:tcPr>
            <w:tcW w:w="1185" w:type="dxa"/>
            <w:tcBorders>
              <w:left w:val="nil"/>
              <w:bottom w:val="nil"/>
              <w:right w:val="nil"/>
            </w:tcBorders>
          </w:tcPr>
          <w:p w:rsidR="009543DB" w:rsidRPr="002614BD" w:rsidRDefault="009543DB" w:rsidP="009543DB">
            <w:pPr>
              <w:pStyle w:val="Tabletextright"/>
              <w:keepNext/>
            </w:pPr>
            <w:r w:rsidRPr="002614BD">
              <w:t>22.6</w:t>
            </w:r>
          </w:p>
        </w:tc>
        <w:tc>
          <w:tcPr>
            <w:tcW w:w="1185" w:type="dxa"/>
            <w:tcBorders>
              <w:left w:val="nil"/>
              <w:bottom w:val="nil"/>
              <w:right w:val="nil"/>
            </w:tcBorders>
          </w:tcPr>
          <w:p w:rsidR="009543DB" w:rsidRPr="002614BD" w:rsidRDefault="009543DB" w:rsidP="009543DB">
            <w:pPr>
              <w:pStyle w:val="Tabletextright2"/>
              <w:keepNext/>
            </w:pPr>
            <w:r w:rsidRPr="002614BD">
              <w:t>Nov 2012</w:t>
            </w:r>
          </w:p>
        </w:tc>
        <w:tc>
          <w:tcPr>
            <w:tcW w:w="1186" w:type="dxa"/>
            <w:tcBorders>
              <w:left w:val="nil"/>
              <w:bottom w:val="nil"/>
              <w:right w:val="nil"/>
            </w:tcBorders>
          </w:tcPr>
          <w:p w:rsidR="009543DB" w:rsidRPr="002614BD" w:rsidRDefault="009543DB" w:rsidP="009543DB">
            <w:pPr>
              <w:pStyle w:val="Tabletextright2"/>
              <w:keepNext/>
            </w:pPr>
            <w:r w:rsidRPr="002614BD">
              <w:t>Jun 2015</w:t>
            </w:r>
          </w:p>
        </w:tc>
      </w:tr>
      <w:tr w:rsidR="009543DB" w:rsidRPr="002614BD" w:rsidTr="009543DB">
        <w:tc>
          <w:tcPr>
            <w:tcW w:w="5070" w:type="dxa"/>
            <w:tcBorders>
              <w:top w:val="nil"/>
              <w:left w:val="nil"/>
              <w:bottom w:val="nil"/>
              <w:right w:val="nil"/>
            </w:tcBorders>
          </w:tcPr>
          <w:p w:rsidR="009543DB" w:rsidRPr="002614BD" w:rsidRDefault="009543DB" w:rsidP="009543DB">
            <w:pPr>
              <w:pStyle w:val="Tabletextleft"/>
              <w:keepNext/>
            </w:pPr>
            <w:r w:rsidRPr="002614BD">
              <w:t>T1/T2 Additional Park and Ride Expansion</w:t>
            </w:r>
          </w:p>
        </w:tc>
        <w:tc>
          <w:tcPr>
            <w:tcW w:w="1185" w:type="dxa"/>
            <w:tcBorders>
              <w:top w:val="nil"/>
              <w:left w:val="nil"/>
              <w:bottom w:val="nil"/>
              <w:right w:val="nil"/>
            </w:tcBorders>
          </w:tcPr>
          <w:p w:rsidR="009543DB" w:rsidRPr="002614BD" w:rsidRDefault="009543DB" w:rsidP="009543DB">
            <w:pPr>
              <w:pStyle w:val="Tabletextright"/>
              <w:keepNext/>
            </w:pPr>
            <w:r w:rsidRPr="002614BD">
              <w:t>19.0</w:t>
            </w:r>
          </w:p>
        </w:tc>
        <w:tc>
          <w:tcPr>
            <w:tcW w:w="1185" w:type="dxa"/>
            <w:tcBorders>
              <w:top w:val="nil"/>
              <w:left w:val="nil"/>
              <w:bottom w:val="nil"/>
              <w:right w:val="nil"/>
            </w:tcBorders>
          </w:tcPr>
          <w:p w:rsidR="009543DB" w:rsidRPr="002614BD" w:rsidRDefault="009543DB" w:rsidP="009543DB">
            <w:pPr>
              <w:pStyle w:val="Tabletextright2"/>
              <w:keepNext/>
            </w:pPr>
            <w:r w:rsidRPr="002614BD">
              <w:t>Jun 2013</w:t>
            </w:r>
          </w:p>
        </w:tc>
        <w:tc>
          <w:tcPr>
            <w:tcW w:w="1186" w:type="dxa"/>
            <w:tcBorders>
              <w:top w:val="nil"/>
              <w:left w:val="nil"/>
              <w:bottom w:val="nil"/>
              <w:right w:val="nil"/>
            </w:tcBorders>
          </w:tcPr>
          <w:p w:rsidR="009543DB" w:rsidRPr="006033C2" w:rsidRDefault="009543DB" w:rsidP="009543DB">
            <w:pPr>
              <w:pStyle w:val="Tabletextright2"/>
              <w:keepNext/>
            </w:pPr>
            <w:r w:rsidRPr="006033C2">
              <w:t>Oct 2015</w:t>
            </w:r>
          </w:p>
        </w:tc>
      </w:tr>
      <w:tr w:rsidR="009543DB" w:rsidRPr="002614BD" w:rsidTr="009543DB">
        <w:tc>
          <w:tcPr>
            <w:tcW w:w="5070" w:type="dxa"/>
            <w:tcBorders>
              <w:left w:val="nil"/>
              <w:bottom w:val="nil"/>
              <w:right w:val="nil"/>
            </w:tcBorders>
          </w:tcPr>
          <w:p w:rsidR="009543DB" w:rsidRPr="00CC6A5A" w:rsidRDefault="009543DB" w:rsidP="009543DB">
            <w:pPr>
              <w:pStyle w:val="Tabletextleft"/>
              <w:keepNext/>
            </w:pPr>
            <w:r w:rsidRPr="00CC6A5A">
              <w:t>T1 Car park expansion – Stage 1</w:t>
            </w:r>
          </w:p>
        </w:tc>
        <w:tc>
          <w:tcPr>
            <w:tcW w:w="1185" w:type="dxa"/>
            <w:tcBorders>
              <w:left w:val="nil"/>
              <w:bottom w:val="nil"/>
              <w:right w:val="nil"/>
            </w:tcBorders>
          </w:tcPr>
          <w:p w:rsidR="009543DB" w:rsidRPr="002614BD" w:rsidRDefault="009543DB" w:rsidP="009543DB">
            <w:pPr>
              <w:pStyle w:val="Tabletextright"/>
              <w:keepNext/>
            </w:pPr>
            <w:r w:rsidRPr="002614BD">
              <w:t>12.7</w:t>
            </w:r>
          </w:p>
        </w:tc>
        <w:tc>
          <w:tcPr>
            <w:tcW w:w="1185" w:type="dxa"/>
            <w:tcBorders>
              <w:left w:val="nil"/>
              <w:bottom w:val="nil"/>
              <w:right w:val="nil"/>
            </w:tcBorders>
          </w:tcPr>
          <w:p w:rsidR="009543DB" w:rsidRPr="002614BD" w:rsidRDefault="009543DB" w:rsidP="009543DB">
            <w:pPr>
              <w:pStyle w:val="Tabletextright2"/>
              <w:keepNext/>
            </w:pPr>
            <w:r w:rsidRPr="002614BD">
              <w:t>Feb 2014</w:t>
            </w:r>
          </w:p>
        </w:tc>
        <w:tc>
          <w:tcPr>
            <w:tcW w:w="1186" w:type="dxa"/>
            <w:tcBorders>
              <w:left w:val="nil"/>
              <w:bottom w:val="nil"/>
              <w:right w:val="nil"/>
            </w:tcBorders>
          </w:tcPr>
          <w:p w:rsidR="009543DB" w:rsidRPr="006033C2" w:rsidRDefault="009543DB" w:rsidP="009543DB">
            <w:pPr>
              <w:pStyle w:val="Tabletextright2"/>
              <w:keepNext/>
            </w:pPr>
            <w:r w:rsidRPr="006033C2">
              <w:t>Oct 2015</w:t>
            </w:r>
          </w:p>
        </w:tc>
      </w:tr>
      <w:tr w:rsidR="009543DB" w:rsidRPr="002614BD" w:rsidTr="009543DB">
        <w:tc>
          <w:tcPr>
            <w:tcW w:w="5070" w:type="dxa"/>
            <w:tcBorders>
              <w:top w:val="nil"/>
              <w:left w:val="nil"/>
              <w:bottom w:val="nil"/>
              <w:right w:val="nil"/>
            </w:tcBorders>
          </w:tcPr>
          <w:p w:rsidR="009543DB" w:rsidRPr="00CC6A5A" w:rsidRDefault="009543DB" w:rsidP="009543DB">
            <w:pPr>
              <w:pStyle w:val="Tabletextleft"/>
              <w:keepNext/>
            </w:pPr>
            <w:r w:rsidRPr="00CC6A5A">
              <w:t xml:space="preserve">Gateway WA Roads Contribution </w:t>
            </w:r>
          </w:p>
        </w:tc>
        <w:tc>
          <w:tcPr>
            <w:tcW w:w="1185" w:type="dxa"/>
            <w:tcBorders>
              <w:top w:val="nil"/>
              <w:left w:val="nil"/>
              <w:bottom w:val="nil"/>
              <w:right w:val="nil"/>
            </w:tcBorders>
          </w:tcPr>
          <w:p w:rsidR="009543DB" w:rsidRPr="002614BD" w:rsidRDefault="009543DB" w:rsidP="009543DB">
            <w:pPr>
              <w:pStyle w:val="Tabletextright"/>
              <w:keepNext/>
            </w:pPr>
            <w:r w:rsidRPr="002614BD">
              <w:t>10.0</w:t>
            </w:r>
          </w:p>
        </w:tc>
        <w:tc>
          <w:tcPr>
            <w:tcW w:w="1185" w:type="dxa"/>
            <w:tcBorders>
              <w:top w:val="nil"/>
              <w:left w:val="nil"/>
              <w:bottom w:val="nil"/>
              <w:right w:val="nil"/>
            </w:tcBorders>
          </w:tcPr>
          <w:p w:rsidR="009543DB" w:rsidRPr="006033C2" w:rsidRDefault="009543DB" w:rsidP="009543DB">
            <w:pPr>
              <w:pStyle w:val="Tabletextright2"/>
              <w:keepNext/>
            </w:pPr>
            <w:r w:rsidRPr="006033C2">
              <w:t>Aug 2014</w:t>
            </w:r>
          </w:p>
        </w:tc>
        <w:tc>
          <w:tcPr>
            <w:tcW w:w="1186" w:type="dxa"/>
            <w:tcBorders>
              <w:top w:val="nil"/>
              <w:left w:val="nil"/>
              <w:bottom w:val="nil"/>
              <w:right w:val="nil"/>
            </w:tcBorders>
          </w:tcPr>
          <w:p w:rsidR="009543DB" w:rsidRPr="006033C2" w:rsidRDefault="009543DB" w:rsidP="009543DB">
            <w:pPr>
              <w:pStyle w:val="Tabletextright2"/>
              <w:keepNext/>
            </w:pPr>
            <w:r w:rsidRPr="006033C2">
              <w:t>Sep 2015</w:t>
            </w:r>
          </w:p>
        </w:tc>
      </w:tr>
      <w:tr w:rsidR="009543DB" w:rsidTr="009543DB">
        <w:tc>
          <w:tcPr>
            <w:tcW w:w="5070" w:type="dxa"/>
            <w:tcBorders>
              <w:top w:val="nil"/>
              <w:left w:val="nil"/>
              <w:bottom w:val="nil"/>
              <w:right w:val="nil"/>
            </w:tcBorders>
          </w:tcPr>
          <w:p w:rsidR="009543DB" w:rsidRPr="00CC6A5A" w:rsidRDefault="009543DB" w:rsidP="009543DB">
            <w:pPr>
              <w:pStyle w:val="Tabletextleft"/>
              <w:keepNext/>
            </w:pPr>
            <w:r w:rsidRPr="00CC6A5A">
              <w:t>Airport West access road upgrade</w:t>
            </w:r>
          </w:p>
        </w:tc>
        <w:tc>
          <w:tcPr>
            <w:tcW w:w="1185" w:type="dxa"/>
            <w:tcBorders>
              <w:top w:val="nil"/>
              <w:left w:val="nil"/>
              <w:bottom w:val="nil"/>
              <w:right w:val="nil"/>
            </w:tcBorders>
          </w:tcPr>
          <w:p w:rsidR="009543DB" w:rsidRPr="002614BD" w:rsidRDefault="009543DB" w:rsidP="009543DB">
            <w:pPr>
              <w:pStyle w:val="Tabletextright"/>
              <w:keepNext/>
            </w:pPr>
            <w:r w:rsidRPr="002614BD">
              <w:t>5.8</w:t>
            </w:r>
          </w:p>
        </w:tc>
        <w:tc>
          <w:tcPr>
            <w:tcW w:w="1185" w:type="dxa"/>
            <w:tcBorders>
              <w:top w:val="nil"/>
              <w:left w:val="nil"/>
              <w:bottom w:val="nil"/>
              <w:right w:val="nil"/>
            </w:tcBorders>
          </w:tcPr>
          <w:p w:rsidR="009543DB" w:rsidRPr="006033C2" w:rsidRDefault="009543DB" w:rsidP="009543DB">
            <w:pPr>
              <w:pStyle w:val="Tabletextright2"/>
              <w:keepNext/>
            </w:pPr>
            <w:r w:rsidRPr="006033C2">
              <w:t>Oct 2015</w:t>
            </w:r>
          </w:p>
        </w:tc>
        <w:tc>
          <w:tcPr>
            <w:tcW w:w="1186" w:type="dxa"/>
            <w:tcBorders>
              <w:top w:val="nil"/>
              <w:left w:val="nil"/>
              <w:bottom w:val="nil"/>
              <w:right w:val="nil"/>
            </w:tcBorders>
          </w:tcPr>
          <w:p w:rsidR="009543DB" w:rsidRPr="006033C2" w:rsidRDefault="009543DB" w:rsidP="009543DB">
            <w:pPr>
              <w:pStyle w:val="Tabletextright2"/>
              <w:keepNext/>
            </w:pPr>
            <w:r w:rsidRPr="006033C2">
              <w:t>Jun 2016</w:t>
            </w:r>
          </w:p>
        </w:tc>
      </w:tr>
      <w:tr w:rsidR="009543DB" w:rsidRPr="00F04673" w:rsidTr="009543DB">
        <w:tc>
          <w:tcPr>
            <w:tcW w:w="5070" w:type="dxa"/>
            <w:tcBorders>
              <w:left w:val="nil"/>
              <w:bottom w:val="nil"/>
              <w:right w:val="nil"/>
            </w:tcBorders>
          </w:tcPr>
          <w:p w:rsidR="009543DB" w:rsidRPr="00E84151" w:rsidRDefault="009543DB" w:rsidP="009543DB">
            <w:pPr>
              <w:pStyle w:val="Tabletextleft"/>
              <w:keepNext/>
            </w:pPr>
            <w:r w:rsidRPr="00E84151">
              <w:t>Multi deck car park pod 1</w:t>
            </w:r>
          </w:p>
        </w:tc>
        <w:tc>
          <w:tcPr>
            <w:tcW w:w="1185" w:type="dxa"/>
            <w:tcBorders>
              <w:left w:val="nil"/>
              <w:bottom w:val="nil"/>
              <w:right w:val="nil"/>
            </w:tcBorders>
          </w:tcPr>
          <w:p w:rsidR="009543DB" w:rsidRPr="00E84151" w:rsidRDefault="009543DB" w:rsidP="009543DB">
            <w:pPr>
              <w:pStyle w:val="Tabletextright"/>
              <w:keepNext/>
            </w:pPr>
            <w:r w:rsidRPr="00E84151">
              <w:t>92.0</w:t>
            </w:r>
          </w:p>
        </w:tc>
        <w:tc>
          <w:tcPr>
            <w:tcW w:w="1185" w:type="dxa"/>
            <w:tcBorders>
              <w:left w:val="nil"/>
              <w:bottom w:val="nil"/>
              <w:right w:val="nil"/>
            </w:tcBorders>
          </w:tcPr>
          <w:p w:rsidR="009543DB" w:rsidRPr="006033C2" w:rsidRDefault="009543DB" w:rsidP="009543DB">
            <w:pPr>
              <w:pStyle w:val="Tabletextright2"/>
              <w:keepNext/>
            </w:pPr>
            <w:r w:rsidRPr="006033C2">
              <w:t>Feb 2016</w:t>
            </w:r>
          </w:p>
        </w:tc>
        <w:tc>
          <w:tcPr>
            <w:tcW w:w="1186" w:type="dxa"/>
            <w:tcBorders>
              <w:left w:val="nil"/>
              <w:bottom w:val="nil"/>
              <w:right w:val="nil"/>
            </w:tcBorders>
          </w:tcPr>
          <w:p w:rsidR="009543DB" w:rsidRPr="006033C2" w:rsidRDefault="009543DB" w:rsidP="009543DB">
            <w:pPr>
              <w:pStyle w:val="Tabletextright2"/>
              <w:keepNext/>
            </w:pPr>
            <w:r w:rsidRPr="006033C2">
              <w:t>Jun 2018</w:t>
            </w:r>
          </w:p>
        </w:tc>
      </w:tr>
      <w:tr w:rsidR="009543DB" w:rsidRPr="00F04673" w:rsidTr="009543DB">
        <w:tc>
          <w:tcPr>
            <w:tcW w:w="5070" w:type="dxa"/>
            <w:tcBorders>
              <w:top w:val="nil"/>
              <w:left w:val="nil"/>
              <w:bottom w:val="single" w:sz="4" w:space="0" w:color="auto"/>
              <w:right w:val="nil"/>
            </w:tcBorders>
          </w:tcPr>
          <w:p w:rsidR="009543DB" w:rsidRPr="00E84151" w:rsidRDefault="009543DB" w:rsidP="009543DB">
            <w:pPr>
              <w:pStyle w:val="Tabletextleft"/>
              <w:keepNext/>
            </w:pPr>
            <w:r w:rsidRPr="00E84151">
              <w:t>T1/T2 Long term car park expansion</w:t>
            </w:r>
          </w:p>
        </w:tc>
        <w:tc>
          <w:tcPr>
            <w:tcW w:w="1185" w:type="dxa"/>
            <w:tcBorders>
              <w:top w:val="nil"/>
              <w:left w:val="nil"/>
              <w:bottom w:val="single" w:sz="4" w:space="0" w:color="auto"/>
              <w:right w:val="nil"/>
            </w:tcBorders>
          </w:tcPr>
          <w:p w:rsidR="009543DB" w:rsidRPr="00E84151" w:rsidRDefault="009543DB" w:rsidP="009543DB">
            <w:pPr>
              <w:pStyle w:val="Tabletextright"/>
              <w:keepNext/>
            </w:pPr>
            <w:r w:rsidRPr="00E84151">
              <w:t>6.7</w:t>
            </w:r>
          </w:p>
        </w:tc>
        <w:tc>
          <w:tcPr>
            <w:tcW w:w="1185" w:type="dxa"/>
            <w:tcBorders>
              <w:top w:val="nil"/>
              <w:left w:val="nil"/>
              <w:bottom w:val="single" w:sz="4" w:space="0" w:color="auto"/>
              <w:right w:val="nil"/>
            </w:tcBorders>
          </w:tcPr>
          <w:p w:rsidR="009543DB" w:rsidRPr="006033C2" w:rsidRDefault="009543DB" w:rsidP="009543DB">
            <w:pPr>
              <w:pStyle w:val="Tabletextright2"/>
              <w:keepNext/>
            </w:pPr>
            <w:r w:rsidRPr="006033C2">
              <w:t>Jul 2016</w:t>
            </w:r>
          </w:p>
        </w:tc>
        <w:tc>
          <w:tcPr>
            <w:tcW w:w="1186" w:type="dxa"/>
            <w:tcBorders>
              <w:top w:val="nil"/>
              <w:left w:val="nil"/>
              <w:bottom w:val="single" w:sz="4" w:space="0" w:color="auto"/>
              <w:right w:val="nil"/>
            </w:tcBorders>
          </w:tcPr>
          <w:p w:rsidR="009543DB" w:rsidRPr="006033C2" w:rsidRDefault="009543DB" w:rsidP="009543DB">
            <w:pPr>
              <w:pStyle w:val="Tabletextright2"/>
              <w:keepNext/>
            </w:pPr>
            <w:r w:rsidRPr="006033C2">
              <w:t>Mar 2017</w:t>
            </w:r>
          </w:p>
        </w:tc>
      </w:tr>
    </w:tbl>
    <w:p w:rsidR="009543DB" w:rsidRDefault="009543DB" w:rsidP="009543DB">
      <w:pPr>
        <w:pStyle w:val="Listbullet1"/>
        <w:keepNext/>
      </w:pPr>
      <w:r>
        <w:t>Significant projects commenced include further expansions to both the long and short term car parks and work associated with the Perth Airport and Freight Access project (referred to as Gateway WA).</w:t>
      </w:r>
    </w:p>
    <w:p w:rsidR="009543DB" w:rsidRPr="00FE72C4" w:rsidRDefault="009543DB" w:rsidP="009543DB">
      <w:pPr>
        <w:pStyle w:val="Listbullet1"/>
        <w:keepNext/>
      </w:pPr>
      <w:r>
        <w:t xml:space="preserve">Planning has commenced for the first multi-storey car park to be located in the Airport Central precinct and it is expected to have around 2500 bays. Perth Airport is also in discussions with the Public Transport Authority of WA to enable the construction of an underground rail line to the airport.   </w:t>
      </w:r>
    </w:p>
    <w:p w:rsidR="009543DB" w:rsidRDefault="009543DB" w:rsidP="00114E05">
      <w:pPr>
        <w:pStyle w:val="Numberedheading2"/>
      </w:pPr>
      <w:r>
        <w:t>Aeronautical price monitoring and financial performance results</w:t>
      </w:r>
    </w:p>
    <w:p w:rsidR="009543DB" w:rsidRDefault="009543DB" w:rsidP="009543DB">
      <w:pPr>
        <w:keepNext/>
      </w:pPr>
      <w:r w:rsidRPr="00815176">
        <w:t xml:space="preserve">This section presents </w:t>
      </w:r>
      <w:r>
        <w:t xml:space="preserve">Perth </w:t>
      </w:r>
      <w:r w:rsidRPr="00815176">
        <w:t>Airport’s aeronautical price monitoring and financial reporting results. These results are categorised into prices (</w:t>
      </w:r>
      <w:r>
        <w:t>S</w:t>
      </w:r>
      <w:r w:rsidRPr="00815176">
        <w:t xml:space="preserve">ection </w:t>
      </w:r>
      <w:r>
        <w:t>4</w:t>
      </w:r>
      <w:r w:rsidRPr="00815176">
        <w:t>.2.1), revenu</w:t>
      </w:r>
      <w:r>
        <w:t>es, costs and profits (Section 4.2.2), and assets (Section 4</w:t>
      </w:r>
      <w:r w:rsidRPr="00815176">
        <w:t>.2.3), includ</w:t>
      </w:r>
      <w:r>
        <w:t>ing capital additions (Section 4</w:t>
      </w:r>
      <w:r w:rsidRPr="00815176">
        <w:t xml:space="preserve">.2.4) and rate of return </w:t>
      </w:r>
      <w:r>
        <w:t>on tangible non</w:t>
      </w:r>
      <w:r>
        <w:noBreakHyphen/>
        <w:t xml:space="preserve">current assets </w:t>
      </w:r>
      <w:r w:rsidRPr="00815176">
        <w:t>(</w:t>
      </w:r>
      <w:r>
        <w:t>S</w:t>
      </w:r>
      <w:r w:rsidRPr="00815176">
        <w:t xml:space="preserve">ection </w:t>
      </w:r>
      <w:r>
        <w:t>4</w:t>
      </w:r>
      <w:r w:rsidRPr="00815176">
        <w:t>.2.5)</w:t>
      </w:r>
      <w:r>
        <w:t>.</w:t>
      </w:r>
    </w:p>
    <w:p w:rsidR="009543DB" w:rsidRDefault="009543DB" w:rsidP="009543DB">
      <w:pPr>
        <w:pStyle w:val="Numberedheading3"/>
      </w:pPr>
      <w:r>
        <w:t>Prices</w:t>
      </w:r>
    </w:p>
    <w:p w:rsidR="009543DB" w:rsidRDefault="009543DB" w:rsidP="009543DB">
      <w:pPr>
        <w:keepNext/>
      </w:pPr>
      <w:r>
        <w:t>Table 4.2.1 presents the average aeronautical charges at Perth Airport during 2014-15. Further, it provides an indexed average list price for each charge in real terms between 2010-11 and 2014-15. Commercial agreements mean that airlines may pay less than the list prices.</w:t>
      </w:r>
    </w:p>
    <w:p w:rsidR="009543DB" w:rsidRDefault="009543DB" w:rsidP="009543DB">
      <w:pPr>
        <w:pStyle w:val="Numberedcharttitle"/>
      </w:pPr>
      <w:r>
        <w:t>Table 4.2.1:</w:t>
      </w:r>
      <w:r>
        <w:tab/>
        <w:t>Perth Airport—schedule of average aeronautical charges in 2014</w:t>
      </w:r>
      <w:r>
        <w:noBreakHyphen/>
        <w:t>15 and indexed average list prices (including GST) in real terms from 2010</w:t>
      </w:r>
      <w:r>
        <w:noBreakHyphen/>
        <w:t>11 to 2014</w:t>
      </w:r>
      <w:r>
        <w:noBreakHyphen/>
        <w:t>15</w:t>
      </w:r>
    </w:p>
    <w:tbl>
      <w:tblPr>
        <w:tblStyle w:val="LightList-Accent1"/>
        <w:tblW w:w="9073" w:type="dxa"/>
        <w:tblBorders>
          <w:top w:val="single" w:sz="4" w:space="0" w:color="51626F"/>
          <w:left w:val="none" w:sz="0" w:space="0" w:color="auto"/>
          <w:bottom w:val="single" w:sz="4" w:space="0" w:color="51626F"/>
          <w:right w:val="none" w:sz="0" w:space="0" w:color="auto"/>
          <w:insideH w:val="single" w:sz="4" w:space="0" w:color="51626F"/>
        </w:tblBorders>
        <w:tblLayout w:type="fixed"/>
        <w:tblLook w:val="04A0" w:firstRow="1" w:lastRow="0" w:firstColumn="1" w:lastColumn="0" w:noHBand="0" w:noVBand="1"/>
      </w:tblPr>
      <w:tblGrid>
        <w:gridCol w:w="2978"/>
        <w:gridCol w:w="1134"/>
        <w:gridCol w:w="992"/>
        <w:gridCol w:w="992"/>
        <w:gridCol w:w="992"/>
        <w:gridCol w:w="992"/>
        <w:gridCol w:w="993"/>
      </w:tblGrid>
      <w:tr w:rsidR="009543DB" w:rsidRPr="00DD60EB" w:rsidTr="009543DB">
        <w:trPr>
          <w:cnfStyle w:val="100000000000" w:firstRow="1" w:lastRow="0" w:firstColumn="0" w:lastColumn="0" w:oddVBand="0" w:evenVBand="0" w:oddHBand="0" w:evenHBand="0" w:firstRowFirstColumn="0" w:firstRowLastColumn="0" w:lastRowFirstColumn="0" w:lastRowLastColumn="0"/>
          <w:trHeight w:val="656"/>
          <w:tblHead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bottom w:val="nil"/>
            </w:tcBorders>
            <w:shd w:val="clear" w:color="auto" w:fill="DFE0DC"/>
          </w:tcPr>
          <w:p w:rsidR="009543DB" w:rsidRPr="00DD60EB" w:rsidRDefault="009543DB" w:rsidP="009543DB">
            <w:pPr>
              <w:spacing w:before="40" w:after="40"/>
              <w:rPr>
                <w:b w:val="0"/>
                <w:bCs w:val="0"/>
                <w:color w:val="auto"/>
                <w:sz w:val="18"/>
              </w:rPr>
            </w:pPr>
          </w:p>
        </w:tc>
        <w:tc>
          <w:tcPr>
            <w:tcW w:w="1134" w:type="dxa"/>
            <w:vMerge w:val="restart"/>
            <w:tcBorders>
              <w:top w:val="single" w:sz="4" w:space="0" w:color="000000" w:themeColor="text1"/>
              <w:bottom w:val="single" w:sz="4" w:space="0" w:color="000000" w:themeColor="text1"/>
              <w:right w:val="single" w:sz="4" w:space="0" w:color="000000" w:themeColor="text1"/>
            </w:tcBorders>
            <w:shd w:val="clear" w:color="auto" w:fill="DFE0DC"/>
          </w:tcPr>
          <w:p w:rsidR="009543DB" w:rsidRPr="00DD60EB" w:rsidRDefault="009543DB" w:rsidP="009543DB">
            <w:pPr>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DD60EB">
              <w:rPr>
                <w:color w:val="000000" w:themeColor="text1"/>
                <w:sz w:val="18"/>
              </w:rPr>
              <w:t>Average charge per unit</w:t>
            </w:r>
            <w:r w:rsidRPr="00DD60EB">
              <w:rPr>
                <w:color w:val="000000" w:themeColor="text1"/>
                <w:sz w:val="18"/>
              </w:rPr>
              <w:br/>
              <w:t>($)</w:t>
            </w:r>
          </w:p>
        </w:tc>
        <w:tc>
          <w:tcPr>
            <w:tcW w:w="4961" w:type="dxa"/>
            <w:gridSpan w:val="5"/>
            <w:tcBorders>
              <w:top w:val="single" w:sz="4" w:space="0" w:color="000000" w:themeColor="text1"/>
              <w:left w:val="single" w:sz="4" w:space="0" w:color="000000" w:themeColor="text1"/>
              <w:bottom w:val="nil"/>
            </w:tcBorders>
            <w:shd w:val="clear" w:color="auto" w:fill="DFE0DC"/>
          </w:tcPr>
          <w:p w:rsidR="009543DB" w:rsidRPr="00DD60EB" w:rsidRDefault="009543DB" w:rsidP="009543DB">
            <w:pPr>
              <w:keepNext/>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DD60EB">
              <w:rPr>
                <w:color w:val="000000" w:themeColor="text1"/>
                <w:sz w:val="18"/>
              </w:rPr>
              <w:t>Indexed average list prices</w:t>
            </w:r>
            <w:r w:rsidRPr="00DD60EB">
              <w:rPr>
                <w:color w:val="000000" w:themeColor="text1"/>
                <w:sz w:val="18"/>
              </w:rPr>
              <w:br/>
              <w:t>(201</w:t>
            </w:r>
            <w:r>
              <w:rPr>
                <w:color w:val="000000" w:themeColor="text1"/>
                <w:sz w:val="18"/>
              </w:rPr>
              <w:t>4</w:t>
            </w:r>
            <w:r w:rsidRPr="00DD60EB">
              <w:rPr>
                <w:color w:val="000000" w:themeColor="text1"/>
                <w:sz w:val="18"/>
              </w:rPr>
              <w:t>-1</w:t>
            </w:r>
            <w:r>
              <w:rPr>
                <w:color w:val="000000" w:themeColor="text1"/>
                <w:sz w:val="18"/>
              </w:rPr>
              <w:t>5</w:t>
            </w:r>
            <w:r w:rsidRPr="00DD60EB">
              <w:rPr>
                <w:color w:val="000000" w:themeColor="text1"/>
                <w:sz w:val="18"/>
              </w:rPr>
              <w:t xml:space="preserve"> base year = 100)</w:t>
            </w:r>
          </w:p>
        </w:tc>
      </w:tr>
      <w:tr w:rsidR="009543DB" w:rsidRPr="00DD60EB" w:rsidTr="009543DB">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2978" w:type="dxa"/>
            <w:tcBorders>
              <w:top w:val="nil"/>
              <w:bottom w:val="single" w:sz="4" w:space="0" w:color="auto"/>
            </w:tcBorders>
            <w:shd w:val="clear" w:color="auto" w:fill="DFE0DC"/>
          </w:tcPr>
          <w:p w:rsidR="009543DB" w:rsidRPr="00DD60EB" w:rsidRDefault="009543DB" w:rsidP="009543DB">
            <w:pPr>
              <w:spacing w:before="40" w:after="40"/>
              <w:rPr>
                <w:b w:val="0"/>
                <w:bCs w:val="0"/>
                <w:color w:val="auto"/>
                <w:sz w:val="18"/>
              </w:rPr>
            </w:pPr>
          </w:p>
        </w:tc>
        <w:tc>
          <w:tcPr>
            <w:tcW w:w="1134" w:type="dxa"/>
            <w:vMerge/>
            <w:tcBorders>
              <w:top w:val="nil"/>
              <w:bottom w:val="single" w:sz="4" w:space="0" w:color="auto"/>
              <w:right w:val="single" w:sz="4" w:space="0" w:color="000000" w:themeColor="text1"/>
            </w:tcBorders>
          </w:tcPr>
          <w:p w:rsidR="009543DB" w:rsidRPr="00DD60EB" w:rsidRDefault="009543DB" w:rsidP="009543DB">
            <w:pPr>
              <w:spacing w:before="40" w:after="40"/>
              <w:jc w:val="right"/>
              <w:cnfStyle w:val="100000000000" w:firstRow="1" w:lastRow="0" w:firstColumn="0" w:lastColumn="0" w:oddVBand="0" w:evenVBand="0" w:oddHBand="0" w:evenHBand="0" w:firstRowFirstColumn="0" w:firstRowLastColumn="0" w:lastRowFirstColumn="0" w:lastRowLastColumn="0"/>
              <w:rPr>
                <w:color w:val="000000" w:themeColor="text1"/>
                <w:sz w:val="18"/>
              </w:rPr>
            </w:pPr>
          </w:p>
        </w:tc>
        <w:tc>
          <w:tcPr>
            <w:tcW w:w="992" w:type="dxa"/>
            <w:tcBorders>
              <w:top w:val="nil"/>
              <w:left w:val="single" w:sz="4" w:space="0" w:color="000000" w:themeColor="text1"/>
              <w:bottom w:val="single" w:sz="4" w:space="0" w:color="000000" w:themeColor="text1"/>
            </w:tcBorders>
            <w:shd w:val="clear" w:color="auto" w:fill="DFE0DC"/>
          </w:tcPr>
          <w:p w:rsidR="009543DB" w:rsidRPr="009B2BC0" w:rsidRDefault="009543DB" w:rsidP="009543DB">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FA377B">
              <w:t>2010-11</w:t>
            </w:r>
          </w:p>
        </w:tc>
        <w:tc>
          <w:tcPr>
            <w:tcW w:w="992" w:type="dxa"/>
            <w:tcBorders>
              <w:top w:val="nil"/>
              <w:bottom w:val="single" w:sz="4" w:space="0" w:color="000000" w:themeColor="text1"/>
            </w:tcBorders>
            <w:shd w:val="clear" w:color="auto" w:fill="DFE0DC"/>
          </w:tcPr>
          <w:p w:rsidR="009543DB" w:rsidRPr="009B2BC0" w:rsidRDefault="009543DB" w:rsidP="009543DB">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FA377B">
              <w:t>2011-12</w:t>
            </w:r>
          </w:p>
        </w:tc>
        <w:tc>
          <w:tcPr>
            <w:tcW w:w="992" w:type="dxa"/>
            <w:tcBorders>
              <w:top w:val="nil"/>
              <w:bottom w:val="single" w:sz="4" w:space="0" w:color="000000" w:themeColor="text1"/>
            </w:tcBorders>
            <w:shd w:val="clear" w:color="auto" w:fill="DFE0DC"/>
          </w:tcPr>
          <w:p w:rsidR="009543DB" w:rsidRPr="009B2BC0" w:rsidRDefault="009543DB" w:rsidP="009543DB">
            <w:pPr>
              <w:pStyle w:val="Tabletextheadingcentre"/>
              <w:cnfStyle w:val="100000000000" w:firstRow="1" w:lastRow="0" w:firstColumn="0" w:lastColumn="0" w:oddVBand="0" w:evenVBand="0" w:oddHBand="0" w:evenHBand="0" w:firstRowFirstColumn="0" w:firstRowLastColumn="0" w:lastRowFirstColumn="0" w:lastRowLastColumn="0"/>
              <w:rPr>
                <w:b/>
                <w:bCs w:val="0"/>
              </w:rPr>
            </w:pPr>
            <w:r w:rsidRPr="00FA377B">
              <w:t>2012-13</w:t>
            </w:r>
          </w:p>
        </w:tc>
        <w:tc>
          <w:tcPr>
            <w:tcW w:w="992" w:type="dxa"/>
            <w:tcBorders>
              <w:top w:val="nil"/>
              <w:bottom w:val="single" w:sz="4" w:space="0" w:color="000000" w:themeColor="text1"/>
            </w:tcBorders>
            <w:shd w:val="clear" w:color="auto" w:fill="DFE0DC"/>
          </w:tcPr>
          <w:p w:rsidR="009543DB" w:rsidRPr="009B2BC0" w:rsidRDefault="009543DB" w:rsidP="009543DB">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FA377B">
              <w:t>2013-14</w:t>
            </w:r>
          </w:p>
        </w:tc>
        <w:tc>
          <w:tcPr>
            <w:tcW w:w="993" w:type="dxa"/>
            <w:tcBorders>
              <w:top w:val="nil"/>
              <w:bottom w:val="single" w:sz="4" w:space="0" w:color="000000" w:themeColor="text1"/>
            </w:tcBorders>
            <w:shd w:val="clear" w:color="auto" w:fill="DFE0DC"/>
          </w:tcPr>
          <w:p w:rsidR="009543DB" w:rsidRPr="009B2BC0" w:rsidRDefault="009543DB" w:rsidP="009543DB">
            <w:pPr>
              <w:pStyle w:val="Tabletextheadingright"/>
              <w:cnfStyle w:val="100000000000" w:firstRow="1" w:lastRow="0" w:firstColumn="0" w:lastColumn="0" w:oddVBand="0" w:evenVBand="0" w:oddHBand="0" w:evenHBand="0" w:firstRowFirstColumn="0" w:firstRowLastColumn="0" w:lastRowFirstColumn="0" w:lastRowLastColumn="0"/>
              <w:rPr>
                <w:b/>
                <w:bCs w:val="0"/>
              </w:rPr>
            </w:pPr>
            <w:r w:rsidRPr="00FA377B">
              <w:t>2014-15</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rPr>
                <w:sz w:val="18"/>
              </w:rPr>
            </w:pPr>
            <w:r w:rsidRPr="00DD60EB">
              <w:rPr>
                <w:sz w:val="18"/>
              </w:rPr>
              <w:t>Aircraft-related services and facilities</w:t>
            </w:r>
          </w:p>
        </w:tc>
        <w:tc>
          <w:tcPr>
            <w:tcW w:w="1134" w:type="dxa"/>
            <w:tcBorders>
              <w:top w:val="single" w:sz="4" w:space="0" w:color="auto"/>
              <w:left w:val="nil"/>
              <w:bottom w:val="single" w:sz="4" w:space="0" w:color="auto"/>
              <w:right w:val="single" w:sz="4" w:space="0" w:color="000000" w:themeColor="text1"/>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000000" w:themeColor="text1"/>
              <w:left w:val="single" w:sz="4" w:space="0" w:color="000000" w:themeColor="text1"/>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000000" w:themeColor="text1"/>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000000" w:themeColor="text1"/>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000000" w:themeColor="text1"/>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3" w:type="dxa"/>
            <w:tcBorders>
              <w:top w:val="single" w:sz="4" w:space="0" w:color="000000" w:themeColor="text1"/>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lang w:eastAsia="en-AU"/>
              </w:rPr>
            </w:pPr>
            <w:r w:rsidRPr="00DD60EB">
              <w:rPr>
                <w:b w:val="0"/>
                <w:sz w:val="18"/>
              </w:rPr>
              <w:t>Basic</w:t>
            </w:r>
            <w:r w:rsidRPr="00DD60EB">
              <w:rPr>
                <w:sz w:val="18"/>
              </w:rPr>
              <w:t xml:space="preserve"> </w:t>
            </w:r>
            <w:r w:rsidRPr="00DD60EB">
              <w:rPr>
                <w:b w:val="0"/>
                <w:sz w:val="18"/>
              </w:rPr>
              <w:t>landing</w:t>
            </w:r>
            <w:r w:rsidRPr="00DD60EB">
              <w:rPr>
                <w:sz w:val="18"/>
              </w:rPr>
              <w:t xml:space="preserve"> </w:t>
            </w:r>
            <w:r w:rsidRPr="00DD60EB">
              <w:rPr>
                <w:b w:val="0"/>
                <w:sz w:val="18"/>
              </w:rPr>
              <w:t>charge</w:t>
            </w:r>
          </w:p>
        </w:tc>
        <w:tc>
          <w:tcPr>
            <w:tcW w:w="1134" w:type="dxa"/>
            <w:tcBorders>
              <w:top w:val="single" w:sz="4" w:space="0" w:color="auto"/>
              <w:left w:val="nil"/>
              <w:bottom w:val="single" w:sz="4" w:space="0" w:color="auto"/>
              <w:right w:val="single" w:sz="4" w:space="0" w:color="000000" w:themeColor="text1"/>
            </w:tcBorders>
          </w:tcPr>
          <w:p w:rsidR="009543DB" w:rsidRPr="00DD60EB" w:rsidRDefault="009543DB" w:rsidP="009543DB">
            <w:pPr>
              <w:spacing w:before="40" w:after="40"/>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single" w:sz="4" w:space="0" w:color="000000" w:themeColor="text1"/>
              <w:bottom w:val="single" w:sz="4" w:space="0" w:color="auto"/>
              <w:right w:val="nil"/>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993" w:type="dxa"/>
            <w:tcBorders>
              <w:top w:val="single" w:sz="4" w:space="0" w:color="auto"/>
              <w:left w:val="nil"/>
              <w:bottom w:val="single" w:sz="4" w:space="0" w:color="auto"/>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t xml:space="preserve">International RPT </w:t>
            </w:r>
            <w:r w:rsidRPr="00DD60EB">
              <w:rPr>
                <w:b w:val="0"/>
                <w:sz w:val="18"/>
              </w:rPr>
              <w:br/>
              <w:t>(per passenger)</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t>4.07</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A05EB2">
              <w:t>114.9</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DE6163">
              <w:t>105.4</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05267">
              <w:t>96.3</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99.2</w:t>
            </w:r>
          </w:p>
        </w:tc>
        <w:tc>
          <w:tcPr>
            <w:tcW w:w="993" w:type="dxa"/>
            <w:tcBorders>
              <w:top w:val="single" w:sz="4" w:space="0" w:color="auto"/>
              <w:left w:val="nil"/>
              <w:bottom w:val="single" w:sz="4" w:space="0" w:color="auto"/>
              <w:right w:val="nil"/>
            </w:tcBorders>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100.0</w:t>
            </w: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t>Domestic and regional RPT (per passenger)</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4.07</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A05EB2">
              <w:t>114.9</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DE6163">
              <w:t>105.4</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05267">
              <w:t>96.3</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99.2</w:t>
            </w:r>
          </w:p>
        </w:tc>
        <w:tc>
          <w:tcPr>
            <w:tcW w:w="993" w:type="dxa"/>
            <w:tcBorders>
              <w:top w:val="single" w:sz="4" w:space="0" w:color="auto"/>
              <w:left w:val="nil"/>
              <w:bottom w:val="single" w:sz="4" w:space="0" w:color="auto"/>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t xml:space="preserve">Fixed wing (GA, freight and other) </w:t>
            </w:r>
            <w:r w:rsidRPr="00DD60EB">
              <w:rPr>
                <w:b w:val="0"/>
                <w:sz w:val="18"/>
              </w:rPr>
              <w:br/>
              <w:t>(per tonne MTOW)</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t>8.37</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A05EB2">
              <w:t>113.8</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DE6163">
              <w:t>116.8</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05267">
              <w:t>99.4</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98.8</w:t>
            </w:r>
          </w:p>
        </w:tc>
        <w:tc>
          <w:tcPr>
            <w:tcW w:w="993" w:type="dxa"/>
            <w:tcBorders>
              <w:top w:val="single" w:sz="4" w:space="0" w:color="auto"/>
              <w:left w:val="nil"/>
              <w:bottom w:val="single" w:sz="4" w:space="0" w:color="auto"/>
              <w:right w:val="nil"/>
            </w:tcBorders>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100.0</w:t>
            </w: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lastRenderedPageBreak/>
              <w:t xml:space="preserve">Rotary wing </w:t>
            </w:r>
            <w:r w:rsidRPr="00DD60EB">
              <w:rPr>
                <w:b w:val="0"/>
                <w:sz w:val="18"/>
              </w:rPr>
              <w:br/>
              <w:t>(per tonne MTOW)</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4.18</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A05EB2">
              <w:t>113.8</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DE6163">
              <w:t>116.8</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05267">
              <w:t>99.4</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98.8</w:t>
            </w:r>
          </w:p>
        </w:tc>
        <w:tc>
          <w:tcPr>
            <w:tcW w:w="993" w:type="dxa"/>
            <w:tcBorders>
              <w:top w:val="single" w:sz="4" w:space="0" w:color="auto"/>
              <w:left w:val="nil"/>
              <w:bottom w:val="single" w:sz="4" w:space="0" w:color="auto"/>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lang w:eastAsia="en-AU"/>
              </w:rPr>
            </w:pPr>
            <w:r w:rsidRPr="00DD60EB">
              <w:rPr>
                <w:b w:val="0"/>
                <w:sz w:val="18"/>
              </w:rPr>
              <w:t>Minimum landing charge</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single" w:sz="4" w:space="0" w:color="000000" w:themeColor="text1"/>
              <w:bottom w:val="single" w:sz="4" w:space="0" w:color="auto"/>
              <w:right w:val="nil"/>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auto"/>
              <w:left w:val="nil"/>
              <w:bottom w:val="single" w:sz="4" w:space="0" w:color="auto"/>
              <w:right w:val="nil"/>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p>
        </w:tc>
        <w:tc>
          <w:tcPr>
            <w:tcW w:w="993" w:type="dxa"/>
            <w:tcBorders>
              <w:top w:val="single" w:sz="4" w:space="0" w:color="auto"/>
              <w:left w:val="nil"/>
              <w:bottom w:val="single" w:sz="4" w:space="0" w:color="auto"/>
              <w:right w:val="nil"/>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t>Fixed wing</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38.93</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A05EB2">
              <w:t>111.7</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DE6163">
              <w:t>114.6</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05267">
              <w:t>99.4</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98.8</w:t>
            </w:r>
          </w:p>
        </w:tc>
        <w:tc>
          <w:tcPr>
            <w:tcW w:w="993" w:type="dxa"/>
            <w:tcBorders>
              <w:top w:val="single" w:sz="4" w:space="0" w:color="auto"/>
              <w:left w:val="nil"/>
              <w:bottom w:val="single" w:sz="4" w:space="0" w:color="auto"/>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t>Rotary wing</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t>19.47</w:t>
            </w:r>
          </w:p>
        </w:tc>
        <w:tc>
          <w:tcPr>
            <w:tcW w:w="992" w:type="dxa"/>
            <w:tcBorders>
              <w:top w:val="single" w:sz="4" w:space="0" w:color="auto"/>
              <w:left w:val="single" w:sz="4" w:space="0" w:color="000000" w:themeColor="text1"/>
              <w:bottom w:val="single" w:sz="4" w:space="0" w:color="auto"/>
              <w:right w:val="nil"/>
            </w:tcBorders>
            <w:vAlign w:val="bottom"/>
          </w:tcPr>
          <w:p w:rsidR="009543DB" w:rsidRPr="002A35D9"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A05EB2">
              <w:t>111.7</w:t>
            </w:r>
          </w:p>
        </w:tc>
        <w:tc>
          <w:tcPr>
            <w:tcW w:w="992" w:type="dxa"/>
            <w:tcBorders>
              <w:top w:val="single" w:sz="4" w:space="0" w:color="auto"/>
              <w:left w:val="nil"/>
              <w:bottom w:val="single" w:sz="4" w:space="0" w:color="auto"/>
              <w:right w:val="nil"/>
            </w:tcBorders>
            <w:vAlign w:val="bottom"/>
          </w:tcPr>
          <w:p w:rsidR="009543DB" w:rsidRPr="00324726"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DE6163">
              <w:t>114.5</w:t>
            </w:r>
          </w:p>
        </w:tc>
        <w:tc>
          <w:tcPr>
            <w:tcW w:w="992" w:type="dxa"/>
            <w:tcBorders>
              <w:top w:val="single" w:sz="4" w:space="0" w:color="auto"/>
              <w:left w:val="nil"/>
              <w:bottom w:val="single" w:sz="4" w:space="0" w:color="auto"/>
              <w:right w:val="nil"/>
            </w:tcBorders>
            <w:vAlign w:val="bottom"/>
          </w:tcPr>
          <w:p w:rsidR="009543DB" w:rsidRPr="00CD5DB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05267">
              <w:t>99.4</w:t>
            </w:r>
          </w:p>
        </w:tc>
        <w:tc>
          <w:tcPr>
            <w:tcW w:w="992" w:type="dxa"/>
            <w:tcBorders>
              <w:top w:val="single" w:sz="4" w:space="0" w:color="auto"/>
              <w:left w:val="nil"/>
              <w:bottom w:val="single" w:sz="4" w:space="0" w:color="auto"/>
              <w:right w:val="nil"/>
            </w:tcBorders>
            <w:vAlign w:val="bottom"/>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98.8</w:t>
            </w:r>
          </w:p>
        </w:tc>
        <w:tc>
          <w:tcPr>
            <w:tcW w:w="993" w:type="dxa"/>
            <w:tcBorders>
              <w:top w:val="single" w:sz="4" w:space="0" w:color="auto"/>
              <w:left w:val="nil"/>
              <w:bottom w:val="single" w:sz="4" w:space="0" w:color="auto"/>
              <w:right w:val="nil"/>
            </w:tcBorders>
            <w:vAlign w:val="bottom"/>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100.0</w:t>
            </w: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lang w:eastAsia="en-AU"/>
              </w:rPr>
            </w:pPr>
            <w:r w:rsidRPr="00DD60EB">
              <w:rPr>
                <w:b w:val="0"/>
                <w:sz w:val="18"/>
              </w:rPr>
              <w:t>Basic aircraft parking charge (GA)</w:t>
            </w:r>
            <w:r w:rsidRPr="00DD60EB">
              <w:rPr>
                <w:b w:val="0"/>
                <w:sz w:val="18"/>
              </w:rPr>
              <w:br/>
              <w:t>(per aircraft per day)</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34.81</w:t>
            </w:r>
          </w:p>
        </w:tc>
        <w:tc>
          <w:tcPr>
            <w:tcW w:w="992" w:type="dxa"/>
            <w:tcBorders>
              <w:top w:val="single" w:sz="4" w:space="0" w:color="auto"/>
              <w:left w:val="single" w:sz="4" w:space="0" w:color="000000" w:themeColor="text1"/>
              <w:bottom w:val="single" w:sz="4" w:space="0" w:color="auto"/>
              <w:right w:val="nil"/>
            </w:tcBorders>
            <w:vAlign w:val="bottom"/>
          </w:tcPr>
          <w:p w:rsidR="009543DB" w:rsidRPr="002A35D9"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A05EB2">
              <w:t>108.5</w:t>
            </w:r>
          </w:p>
        </w:tc>
        <w:tc>
          <w:tcPr>
            <w:tcW w:w="992" w:type="dxa"/>
            <w:tcBorders>
              <w:top w:val="single" w:sz="4" w:space="0" w:color="auto"/>
              <w:left w:val="nil"/>
              <w:bottom w:val="single" w:sz="4" w:space="0" w:color="auto"/>
              <w:right w:val="nil"/>
            </w:tcBorders>
            <w:vAlign w:val="bottom"/>
          </w:tcPr>
          <w:p w:rsidR="009543DB" w:rsidRPr="00324726"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DE6163">
              <w:t>111.3</w:t>
            </w:r>
          </w:p>
        </w:tc>
        <w:tc>
          <w:tcPr>
            <w:tcW w:w="992" w:type="dxa"/>
            <w:tcBorders>
              <w:top w:val="single" w:sz="4" w:space="0" w:color="auto"/>
              <w:left w:val="nil"/>
              <w:bottom w:val="single" w:sz="4" w:space="0" w:color="auto"/>
              <w:right w:val="nil"/>
            </w:tcBorders>
            <w:vAlign w:val="bottom"/>
          </w:tcPr>
          <w:p w:rsidR="009543DB" w:rsidRPr="00CD5DB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05267">
              <w:t>99.4</w:t>
            </w:r>
          </w:p>
        </w:tc>
        <w:tc>
          <w:tcPr>
            <w:tcW w:w="992" w:type="dxa"/>
            <w:tcBorders>
              <w:top w:val="single" w:sz="4" w:space="0" w:color="auto"/>
              <w:left w:val="nil"/>
              <w:bottom w:val="single" w:sz="4" w:space="0" w:color="auto"/>
              <w:right w:val="nil"/>
            </w:tcBorders>
            <w:vAlign w:val="bottom"/>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98.8</w:t>
            </w:r>
          </w:p>
        </w:tc>
        <w:tc>
          <w:tcPr>
            <w:tcW w:w="993" w:type="dxa"/>
            <w:tcBorders>
              <w:top w:val="single" w:sz="4" w:space="0" w:color="auto"/>
              <w:left w:val="nil"/>
              <w:bottom w:val="single" w:sz="4" w:space="0" w:color="auto"/>
            </w:tcBorders>
            <w:vAlign w:val="bottom"/>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lang w:eastAsia="en-AU"/>
              </w:rPr>
            </w:pPr>
            <w:r w:rsidRPr="00DD60EB">
              <w:rPr>
                <w:b w:val="0"/>
                <w:sz w:val="18"/>
              </w:rPr>
              <w:t>Aircraft storage charge</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t>9.46</w:t>
            </w:r>
          </w:p>
        </w:tc>
        <w:tc>
          <w:tcPr>
            <w:tcW w:w="992" w:type="dxa"/>
            <w:tcBorders>
              <w:top w:val="single" w:sz="4" w:space="0" w:color="auto"/>
              <w:left w:val="single" w:sz="4" w:space="0" w:color="000000" w:themeColor="text1"/>
              <w:bottom w:val="single" w:sz="4" w:space="0" w:color="auto"/>
              <w:right w:val="nil"/>
            </w:tcBorders>
            <w:vAlign w:val="bottom"/>
          </w:tcPr>
          <w:p w:rsidR="009543DB" w:rsidRPr="002A35D9"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A05EB2">
              <w:t>100.7</w:t>
            </w:r>
          </w:p>
        </w:tc>
        <w:tc>
          <w:tcPr>
            <w:tcW w:w="992" w:type="dxa"/>
            <w:tcBorders>
              <w:top w:val="single" w:sz="4" w:space="0" w:color="auto"/>
              <w:left w:val="nil"/>
              <w:bottom w:val="single" w:sz="4" w:space="0" w:color="auto"/>
              <w:right w:val="nil"/>
            </w:tcBorders>
            <w:vAlign w:val="bottom"/>
          </w:tcPr>
          <w:p w:rsidR="009543DB" w:rsidRPr="00324726"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DE6163">
              <w:t>103.3</w:t>
            </w:r>
          </w:p>
        </w:tc>
        <w:tc>
          <w:tcPr>
            <w:tcW w:w="992" w:type="dxa"/>
            <w:tcBorders>
              <w:top w:val="single" w:sz="4" w:space="0" w:color="auto"/>
              <w:left w:val="nil"/>
              <w:bottom w:val="single" w:sz="4" w:space="0" w:color="auto"/>
              <w:right w:val="nil"/>
            </w:tcBorders>
            <w:vAlign w:val="bottom"/>
          </w:tcPr>
          <w:p w:rsidR="009543DB" w:rsidRPr="00CD5DB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05267">
              <w:t>99.4</w:t>
            </w:r>
          </w:p>
        </w:tc>
        <w:tc>
          <w:tcPr>
            <w:tcW w:w="992" w:type="dxa"/>
            <w:tcBorders>
              <w:top w:val="single" w:sz="4" w:space="0" w:color="auto"/>
              <w:left w:val="nil"/>
              <w:bottom w:val="single" w:sz="4" w:space="0" w:color="auto"/>
              <w:right w:val="nil"/>
            </w:tcBorders>
            <w:vAlign w:val="bottom"/>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98.8</w:t>
            </w:r>
          </w:p>
        </w:tc>
        <w:tc>
          <w:tcPr>
            <w:tcW w:w="993" w:type="dxa"/>
            <w:tcBorders>
              <w:top w:val="single" w:sz="4" w:space="0" w:color="auto"/>
              <w:left w:val="nil"/>
              <w:bottom w:val="single" w:sz="4" w:space="0" w:color="auto"/>
              <w:right w:val="nil"/>
            </w:tcBorders>
            <w:vAlign w:val="bottom"/>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100.0</w:t>
            </w: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rPr>
                <w:color w:val="000000" w:themeColor="text1"/>
                <w:sz w:val="18"/>
              </w:rPr>
            </w:pPr>
            <w:r w:rsidRPr="00DD60EB">
              <w:rPr>
                <w:b w:val="0"/>
                <w:color w:val="000000" w:themeColor="text1"/>
                <w:sz w:val="18"/>
              </w:rPr>
              <w:t>Peak period minimum movement charge</w:t>
            </w:r>
            <w:r w:rsidRPr="00DD60EB">
              <w:rPr>
                <w:b w:val="0"/>
                <w:color w:val="000000" w:themeColor="text1"/>
                <w:sz w:val="18"/>
                <w:vertAlign w:val="superscript"/>
              </w:rPr>
              <w:t>(</w:t>
            </w:r>
            <w:r w:rsidRPr="00DD60EB">
              <w:rPr>
                <w:color w:val="000000" w:themeColor="text1"/>
                <w:sz w:val="18"/>
                <w:vertAlign w:val="superscript"/>
              </w:rPr>
              <w:t>a</w:t>
            </w:r>
            <w:r w:rsidRPr="00DD60EB">
              <w:rPr>
                <w:b w:val="0"/>
                <w:color w:val="000000" w:themeColor="text1"/>
                <w:sz w:val="18"/>
                <w:vertAlign w:val="superscript"/>
              </w:rPr>
              <w:t>)</w:t>
            </w:r>
          </w:p>
        </w:tc>
        <w:tc>
          <w:tcPr>
            <w:tcW w:w="1134" w:type="dxa"/>
            <w:tcBorders>
              <w:top w:val="single" w:sz="4" w:space="0" w:color="auto"/>
              <w:left w:val="nil"/>
              <w:bottom w:val="single" w:sz="4" w:space="0" w:color="auto"/>
              <w:right w:val="single" w:sz="4" w:space="0" w:color="000000" w:themeColor="text1"/>
            </w:tcBorders>
          </w:tcPr>
          <w:p w:rsidR="009543DB" w:rsidRPr="00811E25"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811E25">
              <w:t>216.32</w:t>
            </w:r>
          </w:p>
        </w:tc>
        <w:tc>
          <w:tcPr>
            <w:tcW w:w="992" w:type="dxa"/>
            <w:tcBorders>
              <w:top w:val="single" w:sz="4" w:space="0" w:color="auto"/>
              <w:left w:val="single" w:sz="4" w:space="0" w:color="000000" w:themeColor="text1"/>
              <w:bottom w:val="single" w:sz="4" w:space="0" w:color="auto"/>
              <w:right w:val="nil"/>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single" w:sz="4" w:space="0" w:color="auto"/>
              <w:left w:val="nil"/>
              <w:bottom w:val="single" w:sz="4" w:space="0" w:color="auto"/>
              <w:right w:val="nil"/>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NA</w:t>
            </w:r>
          </w:p>
        </w:tc>
        <w:tc>
          <w:tcPr>
            <w:tcW w:w="992" w:type="dxa"/>
            <w:tcBorders>
              <w:top w:val="single" w:sz="4" w:space="0" w:color="auto"/>
              <w:left w:val="nil"/>
              <w:bottom w:val="single" w:sz="4" w:space="0" w:color="auto"/>
              <w:right w:val="nil"/>
            </w:tcBorders>
            <w:vAlign w:val="bottom"/>
          </w:tcPr>
          <w:p w:rsidR="009543DB" w:rsidRPr="009B2BC0" w:rsidRDefault="009543DB" w:rsidP="009543D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6"/>
                <w:lang w:eastAsia="en-AU"/>
              </w:rPr>
            </w:pPr>
            <w:r w:rsidRPr="009B2BC0">
              <w:rPr>
                <w:rFonts w:eastAsia="Times New Roman" w:cs="Times New Roman"/>
                <w:color w:val="000000" w:themeColor="text1"/>
                <w:sz w:val="18"/>
                <w:szCs w:val="16"/>
                <w:lang w:eastAsia="en-AU"/>
              </w:rPr>
              <w:t>99.4</w:t>
            </w:r>
          </w:p>
        </w:tc>
        <w:tc>
          <w:tcPr>
            <w:tcW w:w="992" w:type="dxa"/>
            <w:tcBorders>
              <w:top w:val="single" w:sz="4" w:space="0" w:color="auto"/>
              <w:left w:val="nil"/>
              <w:bottom w:val="single" w:sz="4" w:space="0" w:color="auto"/>
              <w:right w:val="nil"/>
            </w:tcBorders>
            <w:vAlign w:val="bottom"/>
          </w:tcPr>
          <w:p w:rsidR="009543DB" w:rsidRPr="009B2BC0" w:rsidRDefault="009543DB" w:rsidP="009543D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6"/>
                <w:lang w:eastAsia="en-AU"/>
              </w:rPr>
            </w:pPr>
            <w:r w:rsidRPr="009B2BC0">
              <w:rPr>
                <w:rFonts w:eastAsia="Times New Roman" w:cs="Times New Roman"/>
                <w:color w:val="000000" w:themeColor="text1"/>
                <w:sz w:val="18"/>
                <w:szCs w:val="16"/>
                <w:lang w:eastAsia="en-AU"/>
              </w:rPr>
              <w:t>98.8</w:t>
            </w:r>
          </w:p>
        </w:tc>
        <w:tc>
          <w:tcPr>
            <w:tcW w:w="993" w:type="dxa"/>
            <w:tcBorders>
              <w:top w:val="single" w:sz="4" w:space="0" w:color="auto"/>
              <w:left w:val="nil"/>
              <w:bottom w:val="single" w:sz="4" w:space="0" w:color="auto"/>
              <w:right w:val="nil"/>
            </w:tcBorders>
            <w:vAlign w:val="bottom"/>
          </w:tcPr>
          <w:p w:rsidR="009543DB" w:rsidRPr="009B2BC0" w:rsidRDefault="009543DB" w:rsidP="009543D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6"/>
                <w:lang w:eastAsia="en-AU"/>
              </w:rPr>
            </w:pPr>
            <w:r w:rsidRPr="009B2BC0">
              <w:rPr>
                <w:rFonts w:eastAsia="Times New Roman" w:cs="Times New Roman"/>
                <w:color w:val="000000" w:themeColor="text1"/>
                <w:sz w:val="18"/>
                <w:szCs w:val="16"/>
                <w:lang w:eastAsia="en-AU"/>
              </w:rPr>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rPr>
                <w:sz w:val="18"/>
              </w:rPr>
            </w:pPr>
            <w:r w:rsidRPr="00DD60EB">
              <w:rPr>
                <w:sz w:val="18"/>
              </w:rPr>
              <w:t>Passenger-related services and facilities</w:t>
            </w:r>
          </w:p>
        </w:tc>
        <w:tc>
          <w:tcPr>
            <w:tcW w:w="1134" w:type="dxa"/>
            <w:tcBorders>
              <w:top w:val="single" w:sz="4" w:space="0" w:color="auto"/>
              <w:left w:val="nil"/>
              <w:bottom w:val="single" w:sz="4" w:space="0" w:color="auto"/>
              <w:right w:val="single" w:sz="4" w:space="0" w:color="000000" w:themeColor="text1"/>
            </w:tcBorders>
            <w:shd w:val="clear" w:color="auto" w:fill="DFE0DC"/>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single" w:sz="4" w:space="0" w:color="000000" w:themeColor="text1"/>
              <w:bottom w:val="single" w:sz="4" w:space="0" w:color="auto"/>
              <w:right w:val="nil"/>
            </w:tcBorders>
            <w:shd w:val="clear" w:color="auto" w:fill="DFE0DC"/>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93"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vertAlign w:val="superscript"/>
                <w:lang w:eastAsia="en-AU"/>
              </w:rPr>
            </w:pPr>
            <w:r w:rsidRPr="00DD60EB">
              <w:rPr>
                <w:b w:val="0"/>
                <w:sz w:val="18"/>
              </w:rPr>
              <w:t>International terminal charge</w:t>
            </w:r>
            <w:r w:rsidRPr="00DD60EB">
              <w:rPr>
                <w:b w:val="0"/>
                <w:sz w:val="18"/>
              </w:rPr>
              <w:br/>
              <w:t>(per passenger)</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10.89</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A05EB2">
              <w:t>82.8</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DE6163">
              <w:t>98.0</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05267">
              <w:t>106.0</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109.9</w:t>
            </w:r>
          </w:p>
        </w:tc>
        <w:tc>
          <w:tcPr>
            <w:tcW w:w="993" w:type="dxa"/>
            <w:tcBorders>
              <w:top w:val="single" w:sz="4" w:space="0" w:color="auto"/>
              <w:left w:val="nil"/>
              <w:bottom w:val="single" w:sz="4" w:space="0" w:color="auto"/>
              <w:right w:val="nil"/>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vertAlign w:val="superscript"/>
                <w:lang w:eastAsia="en-AU"/>
              </w:rPr>
            </w:pPr>
            <w:r w:rsidRPr="00DD60EB">
              <w:rPr>
                <w:b w:val="0"/>
                <w:sz w:val="18"/>
              </w:rPr>
              <w:t>CUTE usage charge</w:t>
            </w:r>
            <w:r w:rsidRPr="00DD60EB">
              <w:rPr>
                <w:b w:val="0"/>
                <w:sz w:val="18"/>
              </w:rPr>
              <w:br/>
              <w:t>(per departing international passenger)</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t>0.61</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A05EB2">
              <w:t>120.2</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DE6163">
              <w:t>117.5</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05267">
              <w:t>104.5</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101.7</w:t>
            </w:r>
          </w:p>
        </w:tc>
        <w:tc>
          <w:tcPr>
            <w:tcW w:w="993" w:type="dxa"/>
            <w:tcBorders>
              <w:top w:val="single" w:sz="4" w:space="0" w:color="auto"/>
              <w:left w:val="nil"/>
              <w:bottom w:val="single" w:sz="4" w:space="0" w:color="auto"/>
              <w:right w:val="nil"/>
            </w:tcBorders>
          </w:tcPr>
          <w:p w:rsidR="009543DB" w:rsidRPr="009B2BC0" w:rsidRDefault="009543DB" w:rsidP="009543DB">
            <w:pPr>
              <w:pStyle w:val="Tabletextright"/>
              <w:cnfStyle w:val="000000100000" w:firstRow="0" w:lastRow="0" w:firstColumn="0" w:lastColumn="0" w:oddVBand="0" w:evenVBand="0" w:oddHBand="1" w:evenHBand="0" w:firstRowFirstColumn="0" w:firstRowLastColumn="0" w:lastRowFirstColumn="0" w:lastRowLastColumn="0"/>
            </w:pPr>
            <w:r w:rsidRPr="009B2BC0">
              <w:t>100.0</w:t>
            </w: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vertAlign w:val="superscript"/>
                <w:lang w:eastAsia="en-AU"/>
              </w:rPr>
            </w:pPr>
            <w:r w:rsidRPr="00DD60EB">
              <w:rPr>
                <w:b w:val="0"/>
                <w:sz w:val="18"/>
              </w:rPr>
              <w:t xml:space="preserve">Domestic terminal charge </w:t>
            </w:r>
            <w:r w:rsidRPr="00DD60EB">
              <w:rPr>
                <w:b w:val="0"/>
                <w:sz w:val="18"/>
              </w:rPr>
              <w:br/>
              <w:t>(per passenger)</w:t>
            </w:r>
          </w:p>
        </w:tc>
        <w:tc>
          <w:tcPr>
            <w:tcW w:w="1134" w:type="dxa"/>
            <w:tcBorders>
              <w:top w:val="single" w:sz="4" w:space="0" w:color="auto"/>
              <w:left w:val="nil"/>
              <w:bottom w:val="single" w:sz="4" w:space="0" w:color="auto"/>
              <w:right w:val="single" w:sz="4" w:space="0" w:color="000000" w:themeColor="text1"/>
            </w:tcBorders>
          </w:tcPr>
          <w:p w:rsidR="009543DB" w:rsidRPr="00C90BAE"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t>15.48</w:t>
            </w:r>
          </w:p>
        </w:tc>
        <w:tc>
          <w:tcPr>
            <w:tcW w:w="992" w:type="dxa"/>
            <w:tcBorders>
              <w:top w:val="single" w:sz="4" w:space="0" w:color="auto"/>
              <w:left w:val="single" w:sz="4" w:space="0" w:color="000000" w:themeColor="text1"/>
              <w:bottom w:val="single" w:sz="4" w:space="0" w:color="auto"/>
              <w:right w:val="nil"/>
            </w:tcBorders>
          </w:tcPr>
          <w:p w:rsidR="009543DB" w:rsidRPr="002A35D9"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A05EB2">
              <w:t>31.2</w:t>
            </w:r>
          </w:p>
        </w:tc>
        <w:tc>
          <w:tcPr>
            <w:tcW w:w="992" w:type="dxa"/>
            <w:tcBorders>
              <w:top w:val="single" w:sz="4" w:space="0" w:color="auto"/>
              <w:left w:val="nil"/>
              <w:bottom w:val="single" w:sz="4" w:space="0" w:color="auto"/>
              <w:right w:val="nil"/>
            </w:tcBorders>
          </w:tcPr>
          <w:p w:rsidR="009543DB" w:rsidRPr="00324726"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DE6163">
              <w:t>51.8</w:t>
            </w:r>
          </w:p>
        </w:tc>
        <w:tc>
          <w:tcPr>
            <w:tcW w:w="992" w:type="dxa"/>
            <w:tcBorders>
              <w:top w:val="single" w:sz="4" w:space="0" w:color="auto"/>
              <w:left w:val="nil"/>
              <w:bottom w:val="single" w:sz="4" w:space="0" w:color="auto"/>
              <w:right w:val="nil"/>
            </w:tcBorders>
          </w:tcPr>
          <w:p w:rsidR="009543DB" w:rsidRPr="00CD5DB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05267">
              <w:t>98.9</w:t>
            </w:r>
          </w:p>
        </w:tc>
        <w:tc>
          <w:tcPr>
            <w:tcW w:w="992" w:type="dxa"/>
            <w:tcBorders>
              <w:top w:val="single" w:sz="4" w:space="0" w:color="auto"/>
              <w:left w:val="nil"/>
              <w:bottom w:val="single" w:sz="4" w:space="0" w:color="auto"/>
              <w:right w:val="nil"/>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101.3</w:t>
            </w:r>
          </w:p>
        </w:tc>
        <w:tc>
          <w:tcPr>
            <w:tcW w:w="993" w:type="dxa"/>
            <w:tcBorders>
              <w:top w:val="single" w:sz="4" w:space="0" w:color="auto"/>
              <w:left w:val="nil"/>
              <w:bottom w:val="single" w:sz="4" w:space="0" w:color="auto"/>
              <w:right w:val="nil"/>
            </w:tcBorders>
          </w:tcPr>
          <w:p w:rsidR="009543DB" w:rsidRPr="009B2BC0" w:rsidRDefault="009543DB" w:rsidP="009543DB">
            <w:pPr>
              <w:pStyle w:val="Tabletextright"/>
              <w:cnfStyle w:val="000000000000" w:firstRow="0" w:lastRow="0" w:firstColumn="0" w:lastColumn="0" w:oddVBand="0" w:evenVBand="0" w:oddHBand="0" w:evenHBand="0" w:firstRowFirstColumn="0" w:firstRowLastColumn="0" w:lastRowFirstColumn="0" w:lastRowLastColumn="0"/>
            </w:pPr>
            <w:r w:rsidRPr="009B2BC0">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rPr>
                <w:sz w:val="18"/>
              </w:rPr>
            </w:pPr>
            <w:r w:rsidRPr="00DD60EB">
              <w:rPr>
                <w:sz w:val="18"/>
              </w:rPr>
              <w:t>Government mandated security costs</w:t>
            </w:r>
          </w:p>
        </w:tc>
        <w:tc>
          <w:tcPr>
            <w:tcW w:w="1134" w:type="dxa"/>
            <w:tcBorders>
              <w:top w:val="single" w:sz="4" w:space="0" w:color="auto"/>
              <w:left w:val="nil"/>
              <w:bottom w:val="single" w:sz="4" w:space="0" w:color="auto"/>
              <w:right w:val="single" w:sz="4" w:space="0" w:color="000000" w:themeColor="text1"/>
            </w:tcBorders>
            <w:shd w:val="clear" w:color="auto" w:fill="DFE0DC"/>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single" w:sz="4" w:space="0" w:color="000000" w:themeColor="text1"/>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c>
          <w:tcPr>
            <w:tcW w:w="993" w:type="dxa"/>
            <w:tcBorders>
              <w:top w:val="single" w:sz="4" w:space="0" w:color="auto"/>
              <w:left w:val="nil"/>
              <w:bottom w:val="single" w:sz="4" w:space="0" w:color="auto"/>
              <w:right w:val="nil"/>
            </w:tcBorders>
            <w:shd w:val="clear" w:color="auto" w:fill="DFE0DC"/>
          </w:tcPr>
          <w:p w:rsidR="009543DB" w:rsidRPr="00DD60EB" w:rsidRDefault="009543DB" w:rsidP="009543DB">
            <w:pPr>
              <w:spacing w:before="40" w:after="40"/>
              <w:cnfStyle w:val="000000100000" w:firstRow="0" w:lastRow="0" w:firstColumn="0" w:lastColumn="0" w:oddVBand="0" w:evenVBand="0" w:oddHBand="1" w:evenHBand="0" w:firstRowFirstColumn="0" w:firstRowLastColumn="0" w:lastRowFirstColumn="0" w:lastRowLastColumn="0"/>
              <w:rPr>
                <w:sz w:val="18"/>
              </w:rPr>
            </w:pP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vertAlign w:val="superscript"/>
                <w:lang w:eastAsia="en-AU"/>
              </w:rPr>
            </w:pPr>
            <w:r w:rsidRPr="00DD60EB">
              <w:rPr>
                <w:b w:val="0"/>
                <w:sz w:val="18"/>
              </w:rPr>
              <w:t>Counter terrorism first response</w:t>
            </w:r>
          </w:p>
        </w:tc>
        <w:tc>
          <w:tcPr>
            <w:tcW w:w="1134" w:type="dxa"/>
            <w:tcBorders>
              <w:top w:val="single" w:sz="4" w:space="0" w:color="auto"/>
              <w:left w:val="nil"/>
              <w:bottom w:val="single" w:sz="4" w:space="0" w:color="auto"/>
              <w:right w:val="single" w:sz="4" w:space="0" w:color="000000" w:themeColor="text1"/>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single" w:sz="4" w:space="0" w:color="000000" w:themeColor="text1"/>
              <w:bottom w:val="single" w:sz="4" w:space="0" w:color="auto"/>
              <w:right w:val="nil"/>
            </w:tcBorders>
          </w:tcPr>
          <w:p w:rsidR="009543DB" w:rsidRPr="00DD60EB" w:rsidRDefault="009543DB" w:rsidP="009543DB">
            <w:pPr>
              <w:spacing w:before="40" w:after="40"/>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tcPr>
          <w:p w:rsidR="009543DB" w:rsidRPr="00DD60EB" w:rsidRDefault="009543DB" w:rsidP="009543DB">
            <w:pPr>
              <w:spacing w:before="40" w:after="40"/>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tcPr>
          <w:p w:rsidR="009543DB" w:rsidRPr="00DD60EB" w:rsidRDefault="009543DB" w:rsidP="009543DB">
            <w:pPr>
              <w:spacing w:before="40" w:after="40"/>
              <w:cnfStyle w:val="000000000000" w:firstRow="0" w:lastRow="0" w:firstColumn="0" w:lastColumn="0" w:oddVBand="0" w:evenVBand="0" w:oddHBand="0" w:evenHBand="0" w:firstRowFirstColumn="0" w:firstRowLastColumn="0" w:lastRowFirstColumn="0" w:lastRowLastColumn="0"/>
              <w:rPr>
                <w:sz w:val="18"/>
              </w:rPr>
            </w:pPr>
          </w:p>
        </w:tc>
        <w:tc>
          <w:tcPr>
            <w:tcW w:w="992" w:type="dxa"/>
            <w:tcBorders>
              <w:top w:val="single" w:sz="4" w:space="0" w:color="auto"/>
              <w:left w:val="nil"/>
              <w:bottom w:val="single" w:sz="4" w:space="0" w:color="auto"/>
              <w:right w:val="nil"/>
            </w:tcBorders>
          </w:tcPr>
          <w:p w:rsidR="009543DB" w:rsidRPr="00DD60EB" w:rsidRDefault="009543DB" w:rsidP="009543DB">
            <w:pPr>
              <w:spacing w:before="40" w:after="40"/>
              <w:cnfStyle w:val="000000000000" w:firstRow="0" w:lastRow="0" w:firstColumn="0" w:lastColumn="0" w:oddVBand="0" w:evenVBand="0" w:oddHBand="0" w:evenHBand="0" w:firstRowFirstColumn="0" w:firstRowLastColumn="0" w:lastRowFirstColumn="0" w:lastRowLastColumn="0"/>
              <w:rPr>
                <w:sz w:val="18"/>
              </w:rPr>
            </w:pPr>
          </w:p>
        </w:tc>
        <w:tc>
          <w:tcPr>
            <w:tcW w:w="993" w:type="dxa"/>
            <w:tcBorders>
              <w:top w:val="single" w:sz="4" w:space="0" w:color="auto"/>
              <w:left w:val="nil"/>
              <w:bottom w:val="single" w:sz="4" w:space="0" w:color="auto"/>
            </w:tcBorders>
          </w:tcPr>
          <w:p w:rsidR="009543DB" w:rsidRPr="00DD60EB" w:rsidRDefault="009543DB" w:rsidP="009543DB">
            <w:pPr>
              <w:spacing w:before="40" w:after="40"/>
              <w:cnfStyle w:val="000000000000" w:firstRow="0" w:lastRow="0" w:firstColumn="0" w:lastColumn="0" w:oddVBand="0" w:evenVBand="0" w:oddHBand="0" w:evenHBand="0" w:firstRowFirstColumn="0" w:firstRowLastColumn="0" w:lastRowFirstColumn="0" w:lastRowLastColumn="0"/>
              <w:rPr>
                <w:sz w:val="18"/>
              </w:rPr>
            </w:pP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t>RPT services (per passenger)</w:t>
            </w:r>
          </w:p>
        </w:tc>
        <w:tc>
          <w:tcPr>
            <w:tcW w:w="1134" w:type="dxa"/>
            <w:tcBorders>
              <w:top w:val="single" w:sz="4" w:space="0" w:color="auto"/>
              <w:left w:val="nil"/>
              <w:bottom w:val="single" w:sz="4" w:space="0" w:color="auto"/>
              <w:right w:val="single" w:sz="4" w:space="0" w:color="000000" w:themeColor="text1"/>
            </w:tcBorders>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0.98</w:t>
            </w:r>
          </w:p>
        </w:tc>
        <w:tc>
          <w:tcPr>
            <w:tcW w:w="992" w:type="dxa"/>
            <w:tcBorders>
              <w:top w:val="single" w:sz="4" w:space="0" w:color="auto"/>
              <w:left w:val="single" w:sz="4" w:space="0" w:color="000000" w:themeColor="text1"/>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105.6</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133.4</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116.9</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94.3</w:t>
            </w:r>
          </w:p>
        </w:tc>
        <w:tc>
          <w:tcPr>
            <w:tcW w:w="993"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100.0</w:t>
            </w: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ind w:left="720"/>
              <w:rPr>
                <w:rFonts w:eastAsia="Times New Roman" w:cs="Times New Roman"/>
                <w:b w:val="0"/>
                <w:bCs w:val="0"/>
                <w:color w:val="000000" w:themeColor="text1"/>
                <w:sz w:val="18"/>
                <w:szCs w:val="20"/>
                <w:lang w:eastAsia="en-AU"/>
              </w:rPr>
            </w:pPr>
            <w:r w:rsidRPr="00DD60EB">
              <w:rPr>
                <w:b w:val="0"/>
                <w:sz w:val="18"/>
              </w:rPr>
              <w:t>Freight and other</w:t>
            </w:r>
            <w:r w:rsidRPr="00DD60EB">
              <w:rPr>
                <w:b w:val="0"/>
                <w:sz w:val="18"/>
              </w:rPr>
              <w:br/>
              <w:t xml:space="preserve">(aircraft &gt; 20 tonne) </w:t>
            </w:r>
            <w:r w:rsidRPr="00DD60EB">
              <w:rPr>
                <w:b w:val="0"/>
                <w:sz w:val="18"/>
              </w:rPr>
              <w:br/>
              <w:t>(per tonne MTOW)</w:t>
            </w:r>
          </w:p>
        </w:tc>
        <w:tc>
          <w:tcPr>
            <w:tcW w:w="1134" w:type="dxa"/>
            <w:tcBorders>
              <w:top w:val="single" w:sz="4" w:space="0" w:color="auto"/>
              <w:left w:val="nil"/>
              <w:bottom w:val="single" w:sz="4" w:space="0" w:color="auto"/>
              <w:right w:val="single" w:sz="4" w:space="0" w:color="000000" w:themeColor="text1"/>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Pr>
                <w:rFonts w:eastAsia="Times New Roman" w:cs="Times New Roman"/>
                <w:color w:val="000000" w:themeColor="text1"/>
                <w:sz w:val="18"/>
                <w:szCs w:val="20"/>
                <w:lang w:eastAsia="en-AU"/>
              </w:rPr>
              <w:t>0.92</w:t>
            </w:r>
          </w:p>
        </w:tc>
        <w:tc>
          <w:tcPr>
            <w:tcW w:w="992" w:type="dxa"/>
            <w:tcBorders>
              <w:top w:val="single" w:sz="4" w:space="0" w:color="auto"/>
              <w:left w:val="single" w:sz="4" w:space="0" w:color="000000" w:themeColor="text1"/>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104.2</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131.5</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117.0</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94.3</w:t>
            </w:r>
          </w:p>
        </w:tc>
        <w:tc>
          <w:tcPr>
            <w:tcW w:w="993" w:type="dxa"/>
            <w:tcBorders>
              <w:top w:val="single" w:sz="4" w:space="0" w:color="auto"/>
              <w:left w:val="nil"/>
              <w:bottom w:val="single" w:sz="4" w:space="0" w:color="auto"/>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100.0</w:t>
            </w:r>
          </w:p>
        </w:tc>
      </w:tr>
      <w:tr w:rsidR="009543DB" w:rsidRPr="00DD60EB" w:rsidTr="00954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left w:val="nil"/>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vertAlign w:val="superscript"/>
                <w:lang w:eastAsia="en-AU"/>
              </w:rPr>
            </w:pPr>
            <w:r w:rsidRPr="00DD60EB">
              <w:rPr>
                <w:b w:val="0"/>
                <w:sz w:val="18"/>
              </w:rPr>
              <w:t>International passenger and checked bag screening</w:t>
            </w:r>
            <w:r w:rsidRPr="00DD60EB">
              <w:rPr>
                <w:b w:val="0"/>
                <w:sz w:val="18"/>
              </w:rPr>
              <w:br/>
              <w:t>(per passenger)</w:t>
            </w:r>
          </w:p>
        </w:tc>
        <w:tc>
          <w:tcPr>
            <w:tcW w:w="1134" w:type="dxa"/>
            <w:tcBorders>
              <w:top w:val="single" w:sz="4" w:space="0" w:color="auto"/>
              <w:left w:val="nil"/>
              <w:bottom w:val="single" w:sz="4" w:space="0" w:color="auto"/>
              <w:right w:val="single" w:sz="4" w:space="0" w:color="000000" w:themeColor="text1"/>
            </w:tcBorders>
          </w:tcPr>
          <w:p w:rsidR="009543DB" w:rsidRPr="00DD60EB"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n-AU"/>
              </w:rPr>
            </w:pPr>
            <w:r>
              <w:rPr>
                <w:rFonts w:eastAsia="Times New Roman" w:cs="Times New Roman"/>
                <w:color w:val="000000" w:themeColor="text1"/>
                <w:sz w:val="18"/>
                <w:szCs w:val="20"/>
                <w:lang w:eastAsia="en-AU"/>
              </w:rPr>
              <w:t>5.71</w:t>
            </w:r>
          </w:p>
        </w:tc>
        <w:tc>
          <w:tcPr>
            <w:tcW w:w="992" w:type="dxa"/>
            <w:tcBorders>
              <w:top w:val="single" w:sz="4" w:space="0" w:color="auto"/>
              <w:left w:val="single" w:sz="4" w:space="0" w:color="000000" w:themeColor="text1"/>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109.3</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106.7</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97.8</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93.7</w:t>
            </w:r>
          </w:p>
        </w:tc>
        <w:tc>
          <w:tcPr>
            <w:tcW w:w="993"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9B2BC0">
              <w:rPr>
                <w:sz w:val="18"/>
              </w:rPr>
              <w:t>100.0</w:t>
            </w:r>
          </w:p>
        </w:tc>
      </w:tr>
      <w:tr w:rsidR="009543DB" w:rsidRPr="00DD60EB" w:rsidTr="009543DB">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right w:val="nil"/>
            </w:tcBorders>
          </w:tcPr>
          <w:p w:rsidR="009543DB" w:rsidRPr="00DD60EB" w:rsidRDefault="009543DB" w:rsidP="009543DB">
            <w:pPr>
              <w:spacing w:before="40" w:after="40"/>
              <w:rPr>
                <w:rFonts w:eastAsia="Times New Roman" w:cs="Times New Roman"/>
                <w:b w:val="0"/>
                <w:bCs w:val="0"/>
                <w:color w:val="000000" w:themeColor="text1"/>
                <w:sz w:val="18"/>
                <w:szCs w:val="20"/>
                <w:vertAlign w:val="superscript"/>
                <w:lang w:eastAsia="en-AU"/>
              </w:rPr>
            </w:pPr>
            <w:r w:rsidRPr="00DD60EB">
              <w:rPr>
                <w:b w:val="0"/>
                <w:sz w:val="18"/>
              </w:rPr>
              <w:t>T3 common-user domestic terminal passenger and checked bag screening (per passenger)</w:t>
            </w:r>
          </w:p>
        </w:tc>
        <w:tc>
          <w:tcPr>
            <w:tcW w:w="1134" w:type="dxa"/>
            <w:tcBorders>
              <w:top w:val="single" w:sz="4" w:space="0" w:color="auto"/>
              <w:left w:val="nil"/>
              <w:bottom w:val="single" w:sz="4" w:space="0" w:color="auto"/>
              <w:right w:val="single" w:sz="4" w:space="0" w:color="000000" w:themeColor="text1"/>
            </w:tcBorders>
          </w:tcPr>
          <w:p w:rsidR="009543DB" w:rsidRPr="00DD60EB"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Pr>
                <w:rFonts w:eastAsia="Times New Roman" w:cs="Times New Roman"/>
                <w:color w:val="000000" w:themeColor="text1"/>
                <w:sz w:val="18"/>
                <w:szCs w:val="20"/>
                <w:lang w:eastAsia="en-AU"/>
              </w:rPr>
              <w:t>5.40</w:t>
            </w:r>
          </w:p>
        </w:tc>
        <w:tc>
          <w:tcPr>
            <w:tcW w:w="992" w:type="dxa"/>
            <w:tcBorders>
              <w:top w:val="single" w:sz="4" w:space="0" w:color="auto"/>
              <w:left w:val="single" w:sz="4" w:space="0" w:color="000000" w:themeColor="text1"/>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78.6</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54.6</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54.5</w:t>
            </w:r>
          </w:p>
        </w:tc>
        <w:tc>
          <w:tcPr>
            <w:tcW w:w="992" w:type="dxa"/>
            <w:tcBorders>
              <w:top w:val="single" w:sz="4" w:space="0" w:color="auto"/>
              <w:left w:val="nil"/>
              <w:bottom w:val="single" w:sz="4" w:space="0" w:color="auto"/>
              <w:right w:val="nil"/>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51.5</w:t>
            </w:r>
          </w:p>
        </w:tc>
        <w:tc>
          <w:tcPr>
            <w:tcW w:w="993" w:type="dxa"/>
            <w:tcBorders>
              <w:top w:val="single" w:sz="4" w:space="0" w:color="auto"/>
              <w:left w:val="nil"/>
              <w:bottom w:val="single" w:sz="4" w:space="0" w:color="auto"/>
            </w:tcBorders>
          </w:tcPr>
          <w:p w:rsidR="009543DB" w:rsidRPr="009B2BC0" w:rsidRDefault="009543DB" w:rsidP="009543DB">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9B2BC0">
              <w:rPr>
                <w:sz w:val="18"/>
              </w:rPr>
              <w:t>100.0</w:t>
            </w:r>
          </w:p>
        </w:tc>
      </w:tr>
    </w:tbl>
    <w:p w:rsidR="009543DB" w:rsidRPr="003870E2" w:rsidRDefault="009543DB" w:rsidP="009543DB">
      <w:pPr>
        <w:pStyle w:val="Sourceandnotes"/>
        <w:ind w:left="720" w:hanging="720"/>
      </w:pPr>
      <w:r>
        <w:t>Note:</w:t>
      </w:r>
      <w:r>
        <w:tab/>
      </w:r>
      <w:r w:rsidRPr="003870E2">
        <w:t>Where a list price changed during the financial year, the average of that charge has been reported in the table.</w:t>
      </w:r>
    </w:p>
    <w:p w:rsidR="009543DB" w:rsidRPr="003870E2" w:rsidRDefault="009543DB" w:rsidP="009543DB">
      <w:pPr>
        <w:pStyle w:val="Sourceandnotes"/>
        <w:ind w:left="720"/>
      </w:pPr>
      <w:r w:rsidRPr="003870E2">
        <w:t>From 2011</w:t>
      </w:r>
      <w:r>
        <w:t>-</w:t>
      </w:r>
      <w:r w:rsidRPr="003870E2">
        <w:t>12, the domestic terminal charge has also incorporated a domestic aerobridge charge (which was previously charged separately).</w:t>
      </w:r>
    </w:p>
    <w:p w:rsidR="009543DB" w:rsidRPr="0011230E" w:rsidRDefault="009543DB" w:rsidP="009543DB">
      <w:pPr>
        <w:pStyle w:val="Sourceandnotes"/>
        <w:ind w:firstLine="720"/>
      </w:pPr>
      <w:r w:rsidRPr="0011230E">
        <w:t>(a) Peak period minimum charges apply to both arrival and departure movements.</w:t>
      </w:r>
    </w:p>
    <w:p w:rsidR="009543DB" w:rsidRPr="00E6103F" w:rsidRDefault="009543DB" w:rsidP="009543DB">
      <w:pPr>
        <w:spacing w:before="120" w:after="120"/>
      </w:pPr>
      <w:r>
        <w:t xml:space="preserve">All charges apart from the international and domestic terminal charges and the CUTE usage charge the international terminal charge increased in </w:t>
      </w:r>
      <w:proofErr w:type="gramStart"/>
      <w:r>
        <w:t>real  terms</w:t>
      </w:r>
      <w:proofErr w:type="gramEnd"/>
      <w:r>
        <w:t xml:space="preserve"> during 2014-15. </w:t>
      </w:r>
    </w:p>
    <w:p w:rsidR="009543DB" w:rsidRPr="00E6103F" w:rsidRDefault="009543DB" w:rsidP="009543DB">
      <w:pPr>
        <w:spacing w:before="120" w:after="120"/>
      </w:pPr>
      <w:r>
        <w:t xml:space="preserve">The largest increases over the past 12 months were related to government related security processes. The T3 passenger and checked bag screening charge increased by 94.4 per cent in real terms to $5.40 per passenger. </w:t>
      </w:r>
    </w:p>
    <w:p w:rsidR="009543DB" w:rsidRDefault="009543DB" w:rsidP="009543DB">
      <w:pPr>
        <w:spacing w:before="120" w:after="120"/>
      </w:pPr>
      <w:r>
        <w:t>Charges relating to aircraft landing per passenger have decreased in real terms over the past five years while the terminal charges have generally increased. The most significant increase was a tripling of the domestic passenger charge. Apart from T3 common user domestic terminal screening charges, all other</w:t>
      </w:r>
      <w:r w:rsidRPr="00E6103F">
        <w:t xml:space="preserve"> government</w:t>
      </w:r>
      <w:r w:rsidRPr="00E6103F">
        <w:noBreakHyphen/>
        <w:t>mandated security charges fell in real terms</w:t>
      </w:r>
      <w:r>
        <w:t xml:space="preserve"> over the past five years</w:t>
      </w:r>
      <w:r w:rsidRPr="00E6103F">
        <w:t xml:space="preserve">. </w:t>
      </w:r>
    </w:p>
    <w:p w:rsidR="009543DB" w:rsidRDefault="009543DB" w:rsidP="009543DB">
      <w:pPr>
        <w:pStyle w:val="Numberedheading3"/>
      </w:pPr>
      <w:r>
        <w:lastRenderedPageBreak/>
        <w:t>Revenues, costs and profits for aeronautical and total airport services</w:t>
      </w:r>
    </w:p>
    <w:p w:rsidR="009543DB" w:rsidRPr="0024186B" w:rsidRDefault="009543DB" w:rsidP="009543DB">
      <w:r w:rsidRPr="00DE37DF">
        <w:t xml:space="preserve">Table 4.2.2 presents the revenues, operating expenses and </w:t>
      </w:r>
      <w:r>
        <w:t>aggregate</w:t>
      </w:r>
      <w:r w:rsidRPr="00DE37DF">
        <w:t xml:space="preserve"> margins for aeronautical services, government mandated security services and the total airport in real terms from 200</w:t>
      </w:r>
      <w:r>
        <w:t>4</w:t>
      </w:r>
      <w:r>
        <w:noBreakHyphen/>
      </w:r>
      <w:r w:rsidRPr="00DE37DF">
        <w:t>0</w:t>
      </w:r>
      <w:r>
        <w:t>5</w:t>
      </w:r>
      <w:r w:rsidRPr="00DE37DF">
        <w:t xml:space="preserve"> to 201</w:t>
      </w:r>
      <w:r>
        <w:t>4-15</w:t>
      </w:r>
      <w:r w:rsidRPr="00DE37DF">
        <w:t>.</w:t>
      </w:r>
      <w:r>
        <w:t xml:space="preserve"> </w:t>
      </w:r>
    </w:p>
    <w:p w:rsidR="009543DB" w:rsidRPr="0024186B" w:rsidRDefault="009543DB" w:rsidP="009543DB">
      <w:pPr>
        <w:spacing w:before="120" w:after="120"/>
      </w:pPr>
      <w:r>
        <w:t>During 2014-15, total a</w:t>
      </w:r>
      <w:r w:rsidRPr="0024186B">
        <w:t xml:space="preserve">eronautical revenue </w:t>
      </w:r>
      <w:r>
        <w:t>decreased by 1.4 per cent in real terms to $186.6 million. This is the first decrease in aeronautical revenue in real terms since 2001-02 and Perth Airport was the only airport to report a decrease during 2014-15. S</w:t>
      </w:r>
      <w:r w:rsidRPr="0024186B">
        <w:t>ince 200</w:t>
      </w:r>
      <w:r>
        <w:t>4</w:t>
      </w:r>
      <w:r w:rsidRPr="0024186B">
        <w:t>-0</w:t>
      </w:r>
      <w:r>
        <w:t>5</w:t>
      </w:r>
      <w:r w:rsidRPr="0024186B">
        <w:t>, aeronautical revenue has increased by an average of 1</w:t>
      </w:r>
      <w:r>
        <w:t>0.9</w:t>
      </w:r>
      <w:r w:rsidRPr="0024186B">
        <w:t xml:space="preserve"> per cent per year in real terms</w:t>
      </w:r>
      <w:r>
        <w:t xml:space="preserve"> which is the largest of all monitored airports</w:t>
      </w:r>
      <w:r w:rsidRPr="0024186B">
        <w:t>.</w:t>
      </w:r>
      <w:r>
        <w:t xml:space="preserve"> </w:t>
      </w:r>
      <w:r w:rsidRPr="0024186B">
        <w:t xml:space="preserve">Total airport revenue </w:t>
      </w:r>
      <w:r>
        <w:t>increased by 10.6 per cent in real terms during 2014</w:t>
      </w:r>
      <w:r>
        <w:noBreakHyphen/>
        <w:t>15.</w:t>
      </w:r>
    </w:p>
    <w:p w:rsidR="009543DB" w:rsidRPr="0024186B" w:rsidRDefault="009543DB" w:rsidP="009543DB">
      <w:pPr>
        <w:tabs>
          <w:tab w:val="left" w:pos="1134"/>
        </w:tabs>
        <w:spacing w:before="120" w:after="120"/>
      </w:pPr>
      <w:proofErr w:type="gramStart"/>
      <w:r>
        <w:t>While a</w:t>
      </w:r>
      <w:r w:rsidRPr="0024186B">
        <w:t xml:space="preserve">eronautical </w:t>
      </w:r>
      <w:r>
        <w:t>income decreased during 2014-15, total aeronautical operating expenses increased by 5.0 per cent in real terms to $111.7 million.</w:t>
      </w:r>
      <w:proofErr w:type="gramEnd"/>
      <w:r>
        <w:t xml:space="preserve"> This increase in aeronautical expense was driven by depreciation (15.1 per cent) and services and utilities (4.7 per cent). The largest percentage increase occurred for consultants’ expenses which increased by 26.4 per cent in real terms.</w:t>
      </w:r>
    </w:p>
    <w:p w:rsidR="009543DB" w:rsidRDefault="009543DB" w:rsidP="009543DB">
      <w:pPr>
        <w:spacing w:before="120" w:after="120"/>
      </w:pPr>
      <w:r>
        <w:t>Perth Airport was the only monitored airport to report a decrease</w:t>
      </w:r>
      <w:r w:rsidRPr="0024186B">
        <w:t xml:space="preserve"> </w:t>
      </w:r>
      <w:r>
        <w:t>in a</w:t>
      </w:r>
      <w:r w:rsidRPr="0024186B">
        <w:t xml:space="preserve">eronautical </w:t>
      </w:r>
      <w:r>
        <w:t>aggregate</w:t>
      </w:r>
      <w:r w:rsidRPr="0024186B">
        <w:t xml:space="preserve"> margin </w:t>
      </w:r>
      <w:r>
        <w:t>(down 9.6</w:t>
      </w:r>
      <w:r w:rsidRPr="0024186B">
        <w:t xml:space="preserve"> per cent in real terms to $</w:t>
      </w:r>
      <w:r>
        <w:t>75.0</w:t>
      </w:r>
      <w:r w:rsidRPr="0024186B">
        <w:t xml:space="preserve"> million</w:t>
      </w:r>
      <w:r>
        <w:t>).</w:t>
      </w:r>
      <w:r w:rsidRPr="0024186B">
        <w:t xml:space="preserve"> </w:t>
      </w:r>
      <w:r>
        <w:t>Over the period from 2004-05 to 2014-15, a</w:t>
      </w:r>
      <w:r w:rsidRPr="0024186B">
        <w:t xml:space="preserve">eronautical </w:t>
      </w:r>
      <w:r>
        <w:t>aggregate</w:t>
      </w:r>
      <w:r w:rsidRPr="0024186B">
        <w:t xml:space="preserve"> margin has increased by an average of 1</w:t>
      </w:r>
      <w:r>
        <w:t>2.0</w:t>
      </w:r>
      <w:r w:rsidRPr="0024186B">
        <w:t> per cent per year in real terms.</w:t>
      </w:r>
      <w:r>
        <w:t xml:space="preserve"> The airport earned a profit of 52.6 cents for each dollar of aeronautical revenue in 2014-15.</w:t>
      </w:r>
    </w:p>
    <w:p w:rsidR="009543DB" w:rsidRDefault="009543DB" w:rsidP="009543DB">
      <w:pPr>
        <w:sectPr w:rsidR="009543DB" w:rsidSect="00D80779">
          <w:headerReference w:type="even" r:id="rId121"/>
          <w:headerReference w:type="default" r:id="rId122"/>
          <w:footerReference w:type="even" r:id="rId123"/>
          <w:footerReference w:type="default" r:id="rId124"/>
          <w:type w:val="continuous"/>
          <w:pgSz w:w="11906" w:h="16838"/>
          <w:pgMar w:top="1440" w:right="1729" w:bottom="1582" w:left="1729" w:header="709" w:footer="709" w:gutter="0"/>
          <w:pgNumType w:start="105"/>
          <w:cols w:space="708"/>
          <w:docGrid w:linePitch="360"/>
        </w:sectPr>
      </w:pPr>
    </w:p>
    <w:p w:rsidR="009543DB" w:rsidRDefault="009543DB" w:rsidP="009543DB">
      <w:pPr>
        <w:pStyle w:val="Numberedcharttitle"/>
      </w:pPr>
      <w:r>
        <w:lastRenderedPageBreak/>
        <w:t>Table 4.2.2:</w:t>
      </w:r>
      <w:r>
        <w:tab/>
        <w:t>Perth Airport—revenues, operating expenses and aggregate</w:t>
      </w:r>
    </w:p>
    <w:p w:rsidR="009543DB" w:rsidRDefault="009543DB" w:rsidP="009543DB">
      <w:pPr>
        <w:pStyle w:val="Numberedcharttitle"/>
      </w:pPr>
      <w:r>
        <w:t xml:space="preserve"> </w:t>
      </w:r>
      <w:proofErr w:type="gramStart"/>
      <w:r>
        <w:t>margins</w:t>
      </w:r>
      <w:proofErr w:type="gramEnd"/>
      <w:r>
        <w:t xml:space="preserve"> for aeronautical services, government</w:t>
      </w:r>
      <w:r>
        <w:noBreakHyphen/>
        <w:t>mandated security services, and total airport services in real terms: 2004</w:t>
      </w:r>
      <w:r>
        <w:noBreakHyphen/>
        <w:t>05 to 2014</w:t>
      </w:r>
      <w:r>
        <w:noBreakHyphen/>
        <w:t>15</w:t>
      </w:r>
    </w:p>
    <w:tbl>
      <w:tblPr>
        <w:tblStyle w:val="TableGrid"/>
        <w:tblW w:w="0" w:type="auto"/>
        <w:tblLook w:val="04A0" w:firstRow="1" w:lastRow="0" w:firstColumn="1" w:lastColumn="0" w:noHBand="0" w:noVBand="1"/>
      </w:tblPr>
      <w:tblGrid>
        <w:gridCol w:w="1526"/>
        <w:gridCol w:w="1843"/>
        <w:gridCol w:w="840"/>
        <w:gridCol w:w="982"/>
        <w:gridCol w:w="982"/>
        <w:gridCol w:w="983"/>
        <w:gridCol w:w="982"/>
        <w:gridCol w:w="982"/>
        <w:gridCol w:w="982"/>
        <w:gridCol w:w="983"/>
        <w:gridCol w:w="982"/>
        <w:gridCol w:w="982"/>
        <w:gridCol w:w="983"/>
      </w:tblGrid>
      <w:tr w:rsidR="009543DB" w:rsidTr="009543DB">
        <w:tc>
          <w:tcPr>
            <w:tcW w:w="1526" w:type="dxa"/>
            <w:tcBorders>
              <w:left w:val="nil"/>
              <w:bottom w:val="single" w:sz="4" w:space="0" w:color="auto"/>
              <w:right w:val="nil"/>
            </w:tcBorders>
            <w:shd w:val="clear" w:color="auto" w:fill="DFE0DC"/>
          </w:tcPr>
          <w:p w:rsidR="009543DB" w:rsidRDefault="009543DB" w:rsidP="009543DB">
            <w:pPr>
              <w:pStyle w:val="Tabletextleft"/>
            </w:pPr>
          </w:p>
        </w:tc>
        <w:tc>
          <w:tcPr>
            <w:tcW w:w="1843" w:type="dxa"/>
            <w:tcBorders>
              <w:left w:val="nil"/>
              <w:right w:val="nil"/>
            </w:tcBorders>
            <w:shd w:val="clear" w:color="auto" w:fill="DFE0DC"/>
          </w:tcPr>
          <w:p w:rsidR="009543DB" w:rsidRDefault="009543DB" w:rsidP="009543DB">
            <w:pPr>
              <w:pStyle w:val="Tabletextleft"/>
            </w:pPr>
          </w:p>
        </w:tc>
        <w:tc>
          <w:tcPr>
            <w:tcW w:w="840" w:type="dxa"/>
            <w:tcBorders>
              <w:left w:val="nil"/>
              <w:bottom w:val="single" w:sz="4" w:space="0" w:color="auto"/>
              <w:right w:val="nil"/>
            </w:tcBorders>
            <w:shd w:val="clear" w:color="auto" w:fill="DFE0DC"/>
          </w:tcPr>
          <w:p w:rsidR="009543DB" w:rsidRDefault="009543DB" w:rsidP="009543DB">
            <w:pPr>
              <w:pStyle w:val="Tabletextheadingright"/>
            </w:pPr>
            <w:r>
              <w:t>2004-05</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2005-06</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2006-07</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2007-08</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2008-09</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2009-10</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2010-11</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2011-12</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2012-13</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2013-14</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1526" w:type="dxa"/>
            <w:vMerge w:val="restart"/>
            <w:tcBorders>
              <w:left w:val="nil"/>
              <w:right w:val="nil"/>
            </w:tcBorders>
            <w:vAlign w:val="center"/>
          </w:tcPr>
          <w:p w:rsidR="009543DB" w:rsidRPr="00434D61" w:rsidRDefault="009543DB" w:rsidP="009543DB">
            <w:pPr>
              <w:pStyle w:val="Tabletextleft-centred"/>
            </w:pPr>
            <w:r w:rsidRPr="00434D61">
              <w:t>Revenue ($million)</w:t>
            </w:r>
          </w:p>
        </w:tc>
        <w:tc>
          <w:tcPr>
            <w:tcW w:w="1843" w:type="dxa"/>
            <w:tcBorders>
              <w:left w:val="nil"/>
              <w:right w:val="nil"/>
            </w:tcBorders>
          </w:tcPr>
          <w:p w:rsidR="009543DB" w:rsidRDefault="009543DB" w:rsidP="009543DB">
            <w:pPr>
              <w:pStyle w:val="Tabletextleft"/>
            </w:pPr>
            <w:r>
              <w:t>Total aeronautical</w:t>
            </w:r>
          </w:p>
        </w:tc>
        <w:tc>
          <w:tcPr>
            <w:tcW w:w="840" w:type="dxa"/>
            <w:tcBorders>
              <w:left w:val="nil"/>
              <w:right w:val="nil"/>
            </w:tcBorders>
            <w:vAlign w:val="bottom"/>
          </w:tcPr>
          <w:p w:rsidR="009543DB" w:rsidRPr="00DE37DF" w:rsidRDefault="009543DB" w:rsidP="009543DB">
            <w:pPr>
              <w:pStyle w:val="Tabletextleft"/>
              <w:jc w:val="right"/>
            </w:pPr>
            <w:r w:rsidRPr="00DE37DF">
              <w:t>66.6</w:t>
            </w:r>
          </w:p>
        </w:tc>
        <w:tc>
          <w:tcPr>
            <w:tcW w:w="982" w:type="dxa"/>
            <w:tcBorders>
              <w:left w:val="nil"/>
              <w:right w:val="nil"/>
            </w:tcBorders>
            <w:vAlign w:val="bottom"/>
          </w:tcPr>
          <w:p w:rsidR="009543DB" w:rsidRPr="00DE37DF" w:rsidRDefault="009543DB" w:rsidP="009543DB">
            <w:pPr>
              <w:pStyle w:val="Tabletextleft"/>
              <w:jc w:val="right"/>
            </w:pPr>
            <w:r w:rsidRPr="00DE37DF">
              <w:t>72.7</w:t>
            </w:r>
          </w:p>
        </w:tc>
        <w:tc>
          <w:tcPr>
            <w:tcW w:w="982" w:type="dxa"/>
            <w:tcBorders>
              <w:left w:val="nil"/>
              <w:right w:val="nil"/>
            </w:tcBorders>
            <w:vAlign w:val="bottom"/>
          </w:tcPr>
          <w:p w:rsidR="009543DB" w:rsidRPr="00DE37DF" w:rsidRDefault="009543DB" w:rsidP="009543DB">
            <w:pPr>
              <w:pStyle w:val="Tabletextleft"/>
              <w:jc w:val="right"/>
            </w:pPr>
            <w:r w:rsidRPr="00DE37DF">
              <w:t>80.9</w:t>
            </w:r>
          </w:p>
        </w:tc>
        <w:tc>
          <w:tcPr>
            <w:tcW w:w="983" w:type="dxa"/>
            <w:tcBorders>
              <w:left w:val="nil"/>
              <w:right w:val="nil"/>
            </w:tcBorders>
            <w:vAlign w:val="bottom"/>
          </w:tcPr>
          <w:p w:rsidR="009543DB" w:rsidRPr="00DE37DF" w:rsidRDefault="009543DB" w:rsidP="009543DB">
            <w:pPr>
              <w:pStyle w:val="Tabletextleft"/>
              <w:jc w:val="right"/>
            </w:pPr>
            <w:r w:rsidRPr="00DE37DF">
              <w:t>88.6</w:t>
            </w:r>
          </w:p>
        </w:tc>
        <w:tc>
          <w:tcPr>
            <w:tcW w:w="982" w:type="dxa"/>
            <w:tcBorders>
              <w:left w:val="nil"/>
              <w:right w:val="nil"/>
            </w:tcBorders>
            <w:vAlign w:val="bottom"/>
          </w:tcPr>
          <w:p w:rsidR="009543DB" w:rsidRPr="00DE37DF" w:rsidRDefault="009543DB" w:rsidP="009543DB">
            <w:pPr>
              <w:pStyle w:val="Tabletextleft"/>
              <w:jc w:val="right"/>
            </w:pPr>
            <w:r w:rsidRPr="00DE37DF">
              <w:t>92.7</w:t>
            </w:r>
          </w:p>
        </w:tc>
        <w:tc>
          <w:tcPr>
            <w:tcW w:w="982" w:type="dxa"/>
            <w:tcBorders>
              <w:left w:val="nil"/>
              <w:right w:val="nil"/>
            </w:tcBorders>
            <w:vAlign w:val="bottom"/>
          </w:tcPr>
          <w:p w:rsidR="009543DB" w:rsidRPr="00DE37DF" w:rsidRDefault="009543DB" w:rsidP="009543DB">
            <w:pPr>
              <w:pStyle w:val="Tabletextleft"/>
              <w:jc w:val="right"/>
            </w:pPr>
            <w:r w:rsidRPr="00DE37DF">
              <w:t>99.1</w:t>
            </w:r>
          </w:p>
        </w:tc>
        <w:tc>
          <w:tcPr>
            <w:tcW w:w="982" w:type="dxa"/>
            <w:tcBorders>
              <w:left w:val="nil"/>
              <w:right w:val="nil"/>
            </w:tcBorders>
            <w:vAlign w:val="bottom"/>
          </w:tcPr>
          <w:p w:rsidR="009543DB" w:rsidRPr="00DE37DF" w:rsidRDefault="009543DB" w:rsidP="009543DB">
            <w:pPr>
              <w:pStyle w:val="Tabletextleft"/>
              <w:jc w:val="right"/>
            </w:pPr>
            <w:r w:rsidRPr="00DE37DF">
              <w:t>112.7</w:t>
            </w:r>
          </w:p>
        </w:tc>
        <w:tc>
          <w:tcPr>
            <w:tcW w:w="983" w:type="dxa"/>
            <w:tcBorders>
              <w:left w:val="nil"/>
              <w:right w:val="nil"/>
            </w:tcBorders>
            <w:vAlign w:val="bottom"/>
          </w:tcPr>
          <w:p w:rsidR="009543DB" w:rsidRPr="00DE37DF" w:rsidRDefault="009543DB" w:rsidP="009543DB">
            <w:pPr>
              <w:pStyle w:val="Tabletextleft"/>
              <w:jc w:val="right"/>
            </w:pPr>
            <w:r w:rsidRPr="00DE37DF">
              <w:t>126.1</w:t>
            </w:r>
          </w:p>
        </w:tc>
        <w:tc>
          <w:tcPr>
            <w:tcW w:w="982" w:type="dxa"/>
            <w:tcBorders>
              <w:left w:val="nil"/>
              <w:right w:val="nil"/>
            </w:tcBorders>
            <w:vAlign w:val="bottom"/>
          </w:tcPr>
          <w:p w:rsidR="009543DB" w:rsidRPr="00DE37DF" w:rsidRDefault="009543DB" w:rsidP="009543DB">
            <w:pPr>
              <w:pStyle w:val="Tabletextleft"/>
              <w:jc w:val="right"/>
            </w:pPr>
            <w:r w:rsidRPr="00DE37DF">
              <w:t>167.6</w:t>
            </w:r>
          </w:p>
        </w:tc>
        <w:tc>
          <w:tcPr>
            <w:tcW w:w="982" w:type="dxa"/>
            <w:tcBorders>
              <w:left w:val="nil"/>
              <w:right w:val="nil"/>
            </w:tcBorders>
            <w:vAlign w:val="bottom"/>
          </w:tcPr>
          <w:p w:rsidR="009543DB" w:rsidRPr="00DE37DF" w:rsidRDefault="009543DB" w:rsidP="009543DB">
            <w:pPr>
              <w:pStyle w:val="Tabletextleft"/>
              <w:jc w:val="right"/>
            </w:pPr>
            <w:r w:rsidRPr="00DE37DF">
              <w:t>189.2</w:t>
            </w:r>
          </w:p>
        </w:tc>
        <w:tc>
          <w:tcPr>
            <w:tcW w:w="983" w:type="dxa"/>
            <w:tcBorders>
              <w:left w:val="nil"/>
              <w:right w:val="nil"/>
            </w:tcBorders>
            <w:vAlign w:val="bottom"/>
          </w:tcPr>
          <w:p w:rsidR="009543DB" w:rsidRPr="00DE37DF" w:rsidRDefault="009543DB" w:rsidP="009543DB">
            <w:pPr>
              <w:pStyle w:val="Tabletextleft"/>
              <w:jc w:val="right"/>
            </w:pPr>
            <w:r w:rsidRPr="00DE37DF">
              <w:t>186.6</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left"/>
            </w:pPr>
            <w:r>
              <w:t>Security services</w:t>
            </w:r>
          </w:p>
        </w:tc>
        <w:tc>
          <w:tcPr>
            <w:tcW w:w="840" w:type="dxa"/>
            <w:tcBorders>
              <w:left w:val="nil"/>
              <w:right w:val="nil"/>
            </w:tcBorders>
            <w:vAlign w:val="bottom"/>
          </w:tcPr>
          <w:p w:rsidR="009543DB" w:rsidRPr="00DE37DF" w:rsidRDefault="009543DB" w:rsidP="009543DB">
            <w:pPr>
              <w:pStyle w:val="Tabletextleft"/>
              <w:jc w:val="right"/>
            </w:pPr>
            <w:r w:rsidRPr="00DE37DF">
              <w:t>10.6</w:t>
            </w:r>
          </w:p>
        </w:tc>
        <w:tc>
          <w:tcPr>
            <w:tcW w:w="982" w:type="dxa"/>
            <w:tcBorders>
              <w:left w:val="nil"/>
              <w:right w:val="nil"/>
            </w:tcBorders>
            <w:vAlign w:val="bottom"/>
          </w:tcPr>
          <w:p w:rsidR="009543DB" w:rsidRPr="00DE37DF" w:rsidRDefault="009543DB" w:rsidP="009543DB">
            <w:pPr>
              <w:pStyle w:val="Tabletextleft"/>
              <w:jc w:val="right"/>
            </w:pPr>
            <w:r w:rsidRPr="00DE37DF">
              <w:t>12.5</w:t>
            </w:r>
          </w:p>
        </w:tc>
        <w:tc>
          <w:tcPr>
            <w:tcW w:w="982" w:type="dxa"/>
            <w:tcBorders>
              <w:left w:val="nil"/>
              <w:right w:val="nil"/>
            </w:tcBorders>
            <w:vAlign w:val="bottom"/>
          </w:tcPr>
          <w:p w:rsidR="009543DB" w:rsidRPr="00DE37DF" w:rsidRDefault="009543DB" w:rsidP="009543DB">
            <w:pPr>
              <w:pStyle w:val="Tabletextleft"/>
              <w:jc w:val="right"/>
            </w:pPr>
            <w:r w:rsidRPr="00DE37DF">
              <w:t>13.8</w:t>
            </w:r>
          </w:p>
        </w:tc>
        <w:tc>
          <w:tcPr>
            <w:tcW w:w="983" w:type="dxa"/>
            <w:tcBorders>
              <w:left w:val="nil"/>
              <w:right w:val="nil"/>
            </w:tcBorders>
            <w:vAlign w:val="bottom"/>
          </w:tcPr>
          <w:p w:rsidR="009543DB" w:rsidRPr="00DE37DF" w:rsidRDefault="009543DB" w:rsidP="009543DB">
            <w:pPr>
              <w:pStyle w:val="Tabletextleft"/>
              <w:jc w:val="right"/>
            </w:pPr>
            <w:r w:rsidRPr="00DE37DF">
              <w:t>14.5</w:t>
            </w:r>
          </w:p>
        </w:tc>
        <w:tc>
          <w:tcPr>
            <w:tcW w:w="982" w:type="dxa"/>
            <w:tcBorders>
              <w:left w:val="nil"/>
              <w:right w:val="nil"/>
            </w:tcBorders>
            <w:vAlign w:val="bottom"/>
          </w:tcPr>
          <w:p w:rsidR="009543DB" w:rsidRPr="00DE37DF" w:rsidRDefault="009543DB" w:rsidP="009543DB">
            <w:pPr>
              <w:pStyle w:val="Tabletextleft"/>
              <w:jc w:val="right"/>
            </w:pPr>
            <w:r w:rsidRPr="00DE37DF">
              <w:t>15.7</w:t>
            </w:r>
          </w:p>
        </w:tc>
        <w:tc>
          <w:tcPr>
            <w:tcW w:w="982" w:type="dxa"/>
            <w:tcBorders>
              <w:left w:val="nil"/>
              <w:right w:val="nil"/>
            </w:tcBorders>
            <w:vAlign w:val="bottom"/>
          </w:tcPr>
          <w:p w:rsidR="009543DB" w:rsidRPr="00DE37DF" w:rsidRDefault="009543DB" w:rsidP="009543DB">
            <w:pPr>
              <w:pStyle w:val="Tabletextleft"/>
              <w:jc w:val="right"/>
            </w:pPr>
            <w:r w:rsidRPr="00DE37DF">
              <w:t>16.7</w:t>
            </w:r>
          </w:p>
        </w:tc>
        <w:tc>
          <w:tcPr>
            <w:tcW w:w="982" w:type="dxa"/>
            <w:tcBorders>
              <w:left w:val="nil"/>
              <w:right w:val="nil"/>
            </w:tcBorders>
            <w:vAlign w:val="bottom"/>
          </w:tcPr>
          <w:p w:rsidR="009543DB" w:rsidRPr="00DE37DF" w:rsidRDefault="009543DB" w:rsidP="009543DB">
            <w:pPr>
              <w:pStyle w:val="Tabletextleft"/>
              <w:jc w:val="right"/>
            </w:pPr>
            <w:r w:rsidRPr="00DE37DF">
              <w:t>20.6</w:t>
            </w:r>
          </w:p>
        </w:tc>
        <w:tc>
          <w:tcPr>
            <w:tcW w:w="983" w:type="dxa"/>
            <w:tcBorders>
              <w:left w:val="nil"/>
              <w:right w:val="nil"/>
            </w:tcBorders>
            <w:vAlign w:val="bottom"/>
          </w:tcPr>
          <w:p w:rsidR="009543DB" w:rsidRPr="00DE37DF" w:rsidRDefault="009543DB" w:rsidP="009543DB">
            <w:pPr>
              <w:pStyle w:val="Tabletextleft"/>
              <w:jc w:val="right"/>
            </w:pPr>
            <w:r w:rsidRPr="00DE37DF">
              <w:t>20.6</w:t>
            </w:r>
          </w:p>
        </w:tc>
        <w:tc>
          <w:tcPr>
            <w:tcW w:w="982" w:type="dxa"/>
            <w:tcBorders>
              <w:left w:val="nil"/>
              <w:right w:val="nil"/>
            </w:tcBorders>
            <w:vAlign w:val="bottom"/>
          </w:tcPr>
          <w:p w:rsidR="009543DB" w:rsidRPr="00DE37DF" w:rsidRDefault="009543DB" w:rsidP="009543DB">
            <w:pPr>
              <w:pStyle w:val="Tabletextleft"/>
              <w:jc w:val="right"/>
            </w:pPr>
            <w:r w:rsidRPr="00DE37DF">
              <w:t>23.2</w:t>
            </w:r>
          </w:p>
        </w:tc>
        <w:tc>
          <w:tcPr>
            <w:tcW w:w="982" w:type="dxa"/>
            <w:tcBorders>
              <w:left w:val="nil"/>
              <w:right w:val="nil"/>
            </w:tcBorders>
            <w:vAlign w:val="bottom"/>
          </w:tcPr>
          <w:p w:rsidR="009543DB" w:rsidRPr="00DE37DF" w:rsidRDefault="009543DB" w:rsidP="009543DB">
            <w:pPr>
              <w:pStyle w:val="Tabletextleft"/>
              <w:jc w:val="right"/>
            </w:pPr>
            <w:r w:rsidRPr="00DE37DF">
              <w:t>25.7</w:t>
            </w:r>
          </w:p>
        </w:tc>
        <w:tc>
          <w:tcPr>
            <w:tcW w:w="983" w:type="dxa"/>
            <w:tcBorders>
              <w:left w:val="nil"/>
              <w:right w:val="nil"/>
            </w:tcBorders>
            <w:vAlign w:val="bottom"/>
          </w:tcPr>
          <w:p w:rsidR="009543DB" w:rsidRPr="00DE37DF" w:rsidRDefault="009543DB" w:rsidP="009543DB">
            <w:pPr>
              <w:pStyle w:val="Tabletextleft"/>
              <w:jc w:val="right"/>
            </w:pPr>
            <w:r w:rsidRPr="00DE37DF">
              <w:t>27.1</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left"/>
            </w:pPr>
            <w:r>
              <w:t>Security % of total aeronautical</w:t>
            </w:r>
          </w:p>
        </w:tc>
        <w:tc>
          <w:tcPr>
            <w:tcW w:w="840" w:type="dxa"/>
            <w:tcBorders>
              <w:left w:val="nil"/>
              <w:right w:val="nil"/>
            </w:tcBorders>
            <w:vAlign w:val="bottom"/>
          </w:tcPr>
          <w:p w:rsidR="009543DB" w:rsidRPr="00DE37DF" w:rsidRDefault="009543DB" w:rsidP="009543DB">
            <w:pPr>
              <w:pStyle w:val="Tabletextleft"/>
              <w:jc w:val="right"/>
            </w:pPr>
            <w:r w:rsidRPr="00DE37DF">
              <w:t>15.9</w:t>
            </w:r>
          </w:p>
        </w:tc>
        <w:tc>
          <w:tcPr>
            <w:tcW w:w="982" w:type="dxa"/>
            <w:tcBorders>
              <w:left w:val="nil"/>
              <w:right w:val="nil"/>
            </w:tcBorders>
            <w:vAlign w:val="bottom"/>
          </w:tcPr>
          <w:p w:rsidR="009543DB" w:rsidRPr="00DE37DF" w:rsidRDefault="009543DB" w:rsidP="009543DB">
            <w:pPr>
              <w:pStyle w:val="Tabletextleft"/>
              <w:jc w:val="right"/>
            </w:pPr>
            <w:r w:rsidRPr="00DE37DF">
              <w:t>17.2</w:t>
            </w:r>
          </w:p>
        </w:tc>
        <w:tc>
          <w:tcPr>
            <w:tcW w:w="982" w:type="dxa"/>
            <w:tcBorders>
              <w:left w:val="nil"/>
              <w:right w:val="nil"/>
            </w:tcBorders>
            <w:vAlign w:val="bottom"/>
          </w:tcPr>
          <w:p w:rsidR="009543DB" w:rsidRPr="00DE37DF" w:rsidRDefault="009543DB" w:rsidP="009543DB">
            <w:pPr>
              <w:pStyle w:val="Tabletextleft"/>
              <w:jc w:val="right"/>
            </w:pPr>
            <w:r w:rsidRPr="00DE37DF">
              <w:t>17.0</w:t>
            </w:r>
          </w:p>
        </w:tc>
        <w:tc>
          <w:tcPr>
            <w:tcW w:w="983" w:type="dxa"/>
            <w:tcBorders>
              <w:left w:val="nil"/>
              <w:right w:val="nil"/>
            </w:tcBorders>
            <w:vAlign w:val="bottom"/>
          </w:tcPr>
          <w:p w:rsidR="009543DB" w:rsidRPr="00DE37DF" w:rsidRDefault="009543DB" w:rsidP="009543DB">
            <w:pPr>
              <w:pStyle w:val="Tabletextleft"/>
              <w:jc w:val="right"/>
            </w:pPr>
            <w:r w:rsidRPr="00DE37DF">
              <w:t>16.4</w:t>
            </w:r>
          </w:p>
        </w:tc>
        <w:tc>
          <w:tcPr>
            <w:tcW w:w="982" w:type="dxa"/>
            <w:tcBorders>
              <w:left w:val="nil"/>
              <w:right w:val="nil"/>
            </w:tcBorders>
            <w:vAlign w:val="bottom"/>
          </w:tcPr>
          <w:p w:rsidR="009543DB" w:rsidRPr="00DE37DF" w:rsidRDefault="009543DB" w:rsidP="009543DB">
            <w:pPr>
              <w:pStyle w:val="Tabletextleft"/>
              <w:jc w:val="right"/>
            </w:pPr>
            <w:r w:rsidRPr="00DE37DF">
              <w:t>17.0</w:t>
            </w:r>
          </w:p>
        </w:tc>
        <w:tc>
          <w:tcPr>
            <w:tcW w:w="982" w:type="dxa"/>
            <w:tcBorders>
              <w:left w:val="nil"/>
              <w:right w:val="nil"/>
            </w:tcBorders>
            <w:vAlign w:val="bottom"/>
          </w:tcPr>
          <w:p w:rsidR="009543DB" w:rsidRPr="00DE37DF" w:rsidRDefault="009543DB" w:rsidP="009543DB">
            <w:pPr>
              <w:pStyle w:val="Tabletextleft"/>
              <w:jc w:val="right"/>
            </w:pPr>
            <w:r w:rsidRPr="00DE37DF">
              <w:t>16.9</w:t>
            </w:r>
          </w:p>
        </w:tc>
        <w:tc>
          <w:tcPr>
            <w:tcW w:w="982" w:type="dxa"/>
            <w:tcBorders>
              <w:left w:val="nil"/>
              <w:right w:val="nil"/>
            </w:tcBorders>
            <w:vAlign w:val="bottom"/>
          </w:tcPr>
          <w:p w:rsidR="009543DB" w:rsidRPr="00DE37DF" w:rsidRDefault="009543DB" w:rsidP="009543DB">
            <w:pPr>
              <w:pStyle w:val="Tabletextleft"/>
              <w:jc w:val="right"/>
            </w:pPr>
            <w:r w:rsidRPr="00DE37DF">
              <w:t>18.3</w:t>
            </w:r>
          </w:p>
        </w:tc>
        <w:tc>
          <w:tcPr>
            <w:tcW w:w="983" w:type="dxa"/>
            <w:tcBorders>
              <w:left w:val="nil"/>
              <w:right w:val="nil"/>
            </w:tcBorders>
            <w:vAlign w:val="bottom"/>
          </w:tcPr>
          <w:p w:rsidR="009543DB" w:rsidRPr="00DE37DF" w:rsidRDefault="009543DB" w:rsidP="009543DB">
            <w:pPr>
              <w:pStyle w:val="Tabletextleft"/>
              <w:jc w:val="right"/>
            </w:pPr>
            <w:r w:rsidRPr="00DE37DF">
              <w:t>16.3</w:t>
            </w:r>
          </w:p>
        </w:tc>
        <w:tc>
          <w:tcPr>
            <w:tcW w:w="982" w:type="dxa"/>
            <w:tcBorders>
              <w:left w:val="nil"/>
              <w:right w:val="nil"/>
            </w:tcBorders>
            <w:vAlign w:val="bottom"/>
          </w:tcPr>
          <w:p w:rsidR="009543DB" w:rsidRPr="00DE37DF" w:rsidRDefault="009543DB" w:rsidP="009543DB">
            <w:pPr>
              <w:pStyle w:val="Tabletextleft"/>
              <w:jc w:val="right"/>
            </w:pPr>
            <w:r w:rsidRPr="00DE37DF">
              <w:t>13.8</w:t>
            </w:r>
          </w:p>
        </w:tc>
        <w:tc>
          <w:tcPr>
            <w:tcW w:w="982" w:type="dxa"/>
            <w:tcBorders>
              <w:left w:val="nil"/>
              <w:right w:val="nil"/>
            </w:tcBorders>
            <w:vAlign w:val="bottom"/>
          </w:tcPr>
          <w:p w:rsidR="009543DB" w:rsidRPr="00DE37DF" w:rsidRDefault="009543DB" w:rsidP="009543DB">
            <w:pPr>
              <w:pStyle w:val="Tabletextleft"/>
              <w:jc w:val="right"/>
            </w:pPr>
            <w:r w:rsidRPr="00DE37DF">
              <w:t>13.6</w:t>
            </w:r>
          </w:p>
        </w:tc>
        <w:tc>
          <w:tcPr>
            <w:tcW w:w="983" w:type="dxa"/>
            <w:tcBorders>
              <w:left w:val="nil"/>
              <w:right w:val="nil"/>
            </w:tcBorders>
            <w:vAlign w:val="bottom"/>
          </w:tcPr>
          <w:p w:rsidR="009543DB" w:rsidRPr="00DE37DF" w:rsidRDefault="009543DB" w:rsidP="009543DB">
            <w:pPr>
              <w:pStyle w:val="Tabletextleft"/>
              <w:jc w:val="right"/>
            </w:pPr>
            <w:r w:rsidRPr="00DE37DF">
              <w:t>14.5</w:t>
            </w:r>
          </w:p>
        </w:tc>
      </w:tr>
      <w:tr w:rsidR="009543DB" w:rsidRPr="00FA377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heading"/>
            </w:pPr>
            <w:r>
              <w:t>Total airport</w:t>
            </w:r>
          </w:p>
        </w:tc>
        <w:tc>
          <w:tcPr>
            <w:tcW w:w="840" w:type="dxa"/>
            <w:tcBorders>
              <w:left w:val="nil"/>
              <w:right w:val="nil"/>
            </w:tcBorders>
            <w:vAlign w:val="bottom"/>
          </w:tcPr>
          <w:p w:rsidR="009543DB" w:rsidRPr="009B2BC0" w:rsidRDefault="009543DB" w:rsidP="009543DB">
            <w:pPr>
              <w:pStyle w:val="Tabletextleft"/>
              <w:jc w:val="right"/>
              <w:rPr>
                <w:b/>
              </w:rPr>
            </w:pPr>
            <w:r w:rsidRPr="009B2BC0">
              <w:rPr>
                <w:b/>
              </w:rPr>
              <w:t>184.0</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218.8</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294.9</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245.0</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196.0</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279.1</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323.7</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771.3</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687.8</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388.3</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429.3</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left"/>
            </w:pPr>
            <w:r>
              <w:t>Aeronautical % of total airport</w:t>
            </w:r>
          </w:p>
        </w:tc>
        <w:tc>
          <w:tcPr>
            <w:tcW w:w="840" w:type="dxa"/>
            <w:tcBorders>
              <w:left w:val="nil"/>
              <w:right w:val="nil"/>
            </w:tcBorders>
            <w:vAlign w:val="bottom"/>
          </w:tcPr>
          <w:p w:rsidR="009543DB" w:rsidRPr="00DE37DF" w:rsidRDefault="009543DB" w:rsidP="009543DB">
            <w:pPr>
              <w:pStyle w:val="Tabletextleft"/>
              <w:jc w:val="right"/>
            </w:pPr>
            <w:r w:rsidRPr="00DE37DF">
              <w:t>36.2</w:t>
            </w:r>
          </w:p>
        </w:tc>
        <w:tc>
          <w:tcPr>
            <w:tcW w:w="982" w:type="dxa"/>
            <w:tcBorders>
              <w:left w:val="nil"/>
              <w:right w:val="nil"/>
            </w:tcBorders>
            <w:vAlign w:val="bottom"/>
          </w:tcPr>
          <w:p w:rsidR="009543DB" w:rsidRPr="00DE37DF" w:rsidRDefault="009543DB" w:rsidP="009543DB">
            <w:pPr>
              <w:pStyle w:val="Tabletextleft"/>
              <w:jc w:val="right"/>
            </w:pPr>
            <w:r w:rsidRPr="00DE37DF">
              <w:t>33.2</w:t>
            </w:r>
          </w:p>
        </w:tc>
        <w:tc>
          <w:tcPr>
            <w:tcW w:w="982" w:type="dxa"/>
            <w:tcBorders>
              <w:left w:val="nil"/>
              <w:right w:val="nil"/>
            </w:tcBorders>
            <w:vAlign w:val="bottom"/>
          </w:tcPr>
          <w:p w:rsidR="009543DB" w:rsidRPr="00DE37DF" w:rsidRDefault="009543DB" w:rsidP="009543DB">
            <w:pPr>
              <w:pStyle w:val="Tabletextleft"/>
              <w:jc w:val="right"/>
            </w:pPr>
            <w:r w:rsidRPr="00DE37DF">
              <w:t>27.4</w:t>
            </w:r>
          </w:p>
        </w:tc>
        <w:tc>
          <w:tcPr>
            <w:tcW w:w="983" w:type="dxa"/>
            <w:tcBorders>
              <w:left w:val="nil"/>
              <w:right w:val="nil"/>
            </w:tcBorders>
            <w:vAlign w:val="bottom"/>
          </w:tcPr>
          <w:p w:rsidR="009543DB" w:rsidRPr="00DE37DF" w:rsidRDefault="009543DB" w:rsidP="009543DB">
            <w:pPr>
              <w:pStyle w:val="Tabletextleft"/>
              <w:jc w:val="right"/>
            </w:pPr>
            <w:r w:rsidRPr="00DE37DF">
              <w:t>36.2</w:t>
            </w:r>
          </w:p>
        </w:tc>
        <w:tc>
          <w:tcPr>
            <w:tcW w:w="982" w:type="dxa"/>
            <w:tcBorders>
              <w:left w:val="nil"/>
              <w:right w:val="nil"/>
            </w:tcBorders>
            <w:vAlign w:val="bottom"/>
          </w:tcPr>
          <w:p w:rsidR="009543DB" w:rsidRPr="00DE37DF" w:rsidRDefault="009543DB" w:rsidP="009543DB">
            <w:pPr>
              <w:pStyle w:val="Tabletextleft"/>
              <w:jc w:val="right"/>
            </w:pPr>
            <w:r w:rsidRPr="00DE37DF">
              <w:t>47.3</w:t>
            </w:r>
          </w:p>
        </w:tc>
        <w:tc>
          <w:tcPr>
            <w:tcW w:w="982" w:type="dxa"/>
            <w:tcBorders>
              <w:left w:val="nil"/>
              <w:right w:val="nil"/>
            </w:tcBorders>
            <w:vAlign w:val="bottom"/>
          </w:tcPr>
          <w:p w:rsidR="009543DB" w:rsidRPr="00DE37DF" w:rsidRDefault="009543DB" w:rsidP="009543DB">
            <w:pPr>
              <w:pStyle w:val="Tabletextleft"/>
              <w:jc w:val="right"/>
            </w:pPr>
            <w:r w:rsidRPr="00DE37DF">
              <w:t>35.5</w:t>
            </w:r>
          </w:p>
        </w:tc>
        <w:tc>
          <w:tcPr>
            <w:tcW w:w="982" w:type="dxa"/>
            <w:tcBorders>
              <w:left w:val="nil"/>
              <w:right w:val="nil"/>
            </w:tcBorders>
            <w:vAlign w:val="bottom"/>
          </w:tcPr>
          <w:p w:rsidR="009543DB" w:rsidRPr="00DE37DF" w:rsidRDefault="009543DB" w:rsidP="009543DB">
            <w:pPr>
              <w:pStyle w:val="Tabletextleft"/>
              <w:jc w:val="right"/>
            </w:pPr>
            <w:r w:rsidRPr="00DE37DF">
              <w:t>34.8</w:t>
            </w:r>
          </w:p>
        </w:tc>
        <w:tc>
          <w:tcPr>
            <w:tcW w:w="983" w:type="dxa"/>
            <w:tcBorders>
              <w:left w:val="nil"/>
              <w:right w:val="nil"/>
            </w:tcBorders>
            <w:vAlign w:val="bottom"/>
          </w:tcPr>
          <w:p w:rsidR="009543DB" w:rsidRPr="00DE37DF" w:rsidRDefault="009543DB" w:rsidP="009543DB">
            <w:pPr>
              <w:pStyle w:val="Tabletextleft"/>
              <w:jc w:val="right"/>
            </w:pPr>
            <w:r w:rsidRPr="00DE37DF">
              <w:t>16.4</w:t>
            </w:r>
          </w:p>
        </w:tc>
        <w:tc>
          <w:tcPr>
            <w:tcW w:w="982" w:type="dxa"/>
            <w:tcBorders>
              <w:left w:val="nil"/>
              <w:right w:val="nil"/>
            </w:tcBorders>
            <w:vAlign w:val="bottom"/>
          </w:tcPr>
          <w:p w:rsidR="009543DB" w:rsidRPr="00DE37DF" w:rsidRDefault="009543DB" w:rsidP="009543DB">
            <w:pPr>
              <w:pStyle w:val="Tabletextleft"/>
              <w:jc w:val="right"/>
            </w:pPr>
            <w:r w:rsidRPr="00DE37DF">
              <w:t>24.4</w:t>
            </w:r>
          </w:p>
        </w:tc>
        <w:tc>
          <w:tcPr>
            <w:tcW w:w="982" w:type="dxa"/>
            <w:tcBorders>
              <w:left w:val="nil"/>
              <w:right w:val="nil"/>
            </w:tcBorders>
            <w:vAlign w:val="bottom"/>
          </w:tcPr>
          <w:p w:rsidR="009543DB" w:rsidRPr="00DE37DF" w:rsidRDefault="009543DB" w:rsidP="009543DB">
            <w:pPr>
              <w:pStyle w:val="Tabletextleft"/>
              <w:jc w:val="right"/>
            </w:pPr>
            <w:r w:rsidRPr="00DE37DF">
              <w:t>48.7</w:t>
            </w:r>
          </w:p>
        </w:tc>
        <w:tc>
          <w:tcPr>
            <w:tcW w:w="983" w:type="dxa"/>
            <w:tcBorders>
              <w:left w:val="nil"/>
              <w:right w:val="nil"/>
            </w:tcBorders>
            <w:vAlign w:val="bottom"/>
          </w:tcPr>
          <w:p w:rsidR="009543DB" w:rsidRPr="00DE37DF" w:rsidRDefault="009543DB" w:rsidP="009543DB">
            <w:pPr>
              <w:pStyle w:val="Tabletextleft"/>
              <w:jc w:val="right"/>
            </w:pPr>
            <w:r w:rsidRPr="00DE37DF">
              <w:t>43.5</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Operating expenses ($million)</w:t>
            </w:r>
          </w:p>
        </w:tc>
        <w:tc>
          <w:tcPr>
            <w:tcW w:w="1843" w:type="dxa"/>
            <w:tcBorders>
              <w:left w:val="nil"/>
              <w:right w:val="nil"/>
            </w:tcBorders>
          </w:tcPr>
          <w:p w:rsidR="009543DB" w:rsidRDefault="009543DB" w:rsidP="009543DB">
            <w:pPr>
              <w:pStyle w:val="Tabletextleft"/>
            </w:pPr>
            <w:r>
              <w:t>Total aeronautical</w:t>
            </w:r>
          </w:p>
        </w:tc>
        <w:tc>
          <w:tcPr>
            <w:tcW w:w="840" w:type="dxa"/>
            <w:tcBorders>
              <w:left w:val="nil"/>
              <w:right w:val="nil"/>
            </w:tcBorders>
            <w:vAlign w:val="bottom"/>
          </w:tcPr>
          <w:p w:rsidR="009543DB" w:rsidRPr="00DE37DF" w:rsidRDefault="009543DB" w:rsidP="009543DB">
            <w:pPr>
              <w:pStyle w:val="Tabletextleft"/>
              <w:jc w:val="right"/>
            </w:pPr>
            <w:r w:rsidRPr="00DE37DF">
              <w:t>42.3</w:t>
            </w:r>
          </w:p>
        </w:tc>
        <w:tc>
          <w:tcPr>
            <w:tcW w:w="982" w:type="dxa"/>
            <w:tcBorders>
              <w:left w:val="nil"/>
              <w:right w:val="nil"/>
            </w:tcBorders>
            <w:vAlign w:val="bottom"/>
          </w:tcPr>
          <w:p w:rsidR="009543DB" w:rsidRPr="00DE37DF" w:rsidRDefault="009543DB" w:rsidP="009543DB">
            <w:pPr>
              <w:pStyle w:val="Tabletextleft"/>
              <w:jc w:val="right"/>
            </w:pPr>
            <w:r w:rsidRPr="00DE37DF">
              <w:t>46.6</w:t>
            </w:r>
          </w:p>
        </w:tc>
        <w:tc>
          <w:tcPr>
            <w:tcW w:w="982" w:type="dxa"/>
            <w:tcBorders>
              <w:left w:val="nil"/>
              <w:right w:val="nil"/>
            </w:tcBorders>
            <w:vAlign w:val="bottom"/>
          </w:tcPr>
          <w:p w:rsidR="009543DB" w:rsidRPr="00DE37DF" w:rsidRDefault="009543DB" w:rsidP="009543DB">
            <w:pPr>
              <w:pStyle w:val="Tabletextleft"/>
              <w:jc w:val="right"/>
            </w:pPr>
            <w:r w:rsidRPr="00DE37DF">
              <w:t>51.0</w:t>
            </w:r>
          </w:p>
        </w:tc>
        <w:tc>
          <w:tcPr>
            <w:tcW w:w="983" w:type="dxa"/>
            <w:tcBorders>
              <w:left w:val="nil"/>
              <w:right w:val="nil"/>
            </w:tcBorders>
            <w:vAlign w:val="bottom"/>
          </w:tcPr>
          <w:p w:rsidR="009543DB" w:rsidRPr="00DE37DF" w:rsidRDefault="009543DB" w:rsidP="009543DB">
            <w:pPr>
              <w:pStyle w:val="Tabletextleft"/>
              <w:jc w:val="right"/>
            </w:pPr>
            <w:r w:rsidRPr="00DE37DF">
              <w:t>45.3</w:t>
            </w:r>
          </w:p>
        </w:tc>
        <w:tc>
          <w:tcPr>
            <w:tcW w:w="982" w:type="dxa"/>
            <w:tcBorders>
              <w:left w:val="nil"/>
              <w:right w:val="nil"/>
            </w:tcBorders>
            <w:vAlign w:val="bottom"/>
          </w:tcPr>
          <w:p w:rsidR="009543DB" w:rsidRPr="00DE37DF" w:rsidRDefault="009543DB" w:rsidP="009543DB">
            <w:pPr>
              <w:pStyle w:val="Tabletextleft"/>
              <w:jc w:val="right"/>
            </w:pPr>
            <w:r w:rsidRPr="00DE37DF">
              <w:t>55.1</w:t>
            </w:r>
          </w:p>
        </w:tc>
        <w:tc>
          <w:tcPr>
            <w:tcW w:w="982" w:type="dxa"/>
            <w:tcBorders>
              <w:left w:val="nil"/>
              <w:right w:val="nil"/>
            </w:tcBorders>
            <w:vAlign w:val="bottom"/>
          </w:tcPr>
          <w:p w:rsidR="009543DB" w:rsidRPr="00DE37DF" w:rsidRDefault="009543DB" w:rsidP="009543DB">
            <w:pPr>
              <w:pStyle w:val="Tabletextleft"/>
              <w:jc w:val="right"/>
            </w:pPr>
            <w:r w:rsidRPr="00DE37DF">
              <w:t>60.3</w:t>
            </w:r>
          </w:p>
        </w:tc>
        <w:tc>
          <w:tcPr>
            <w:tcW w:w="982" w:type="dxa"/>
            <w:tcBorders>
              <w:left w:val="nil"/>
              <w:right w:val="nil"/>
            </w:tcBorders>
            <w:vAlign w:val="bottom"/>
          </w:tcPr>
          <w:p w:rsidR="009543DB" w:rsidRPr="00DE37DF" w:rsidRDefault="009543DB" w:rsidP="009543DB">
            <w:pPr>
              <w:pStyle w:val="Tabletextleft"/>
              <w:jc w:val="right"/>
            </w:pPr>
            <w:r w:rsidRPr="00DE37DF">
              <w:t>68.1</w:t>
            </w:r>
          </w:p>
        </w:tc>
        <w:tc>
          <w:tcPr>
            <w:tcW w:w="983" w:type="dxa"/>
            <w:tcBorders>
              <w:left w:val="nil"/>
              <w:right w:val="nil"/>
            </w:tcBorders>
            <w:vAlign w:val="bottom"/>
          </w:tcPr>
          <w:p w:rsidR="009543DB" w:rsidRPr="00DE37DF" w:rsidRDefault="009543DB" w:rsidP="009543DB">
            <w:pPr>
              <w:pStyle w:val="Tabletextleft"/>
              <w:jc w:val="right"/>
            </w:pPr>
            <w:r w:rsidRPr="00DE37DF">
              <w:t>81.7</w:t>
            </w:r>
          </w:p>
        </w:tc>
        <w:tc>
          <w:tcPr>
            <w:tcW w:w="982" w:type="dxa"/>
            <w:tcBorders>
              <w:left w:val="nil"/>
              <w:right w:val="nil"/>
            </w:tcBorders>
            <w:vAlign w:val="bottom"/>
          </w:tcPr>
          <w:p w:rsidR="009543DB" w:rsidRPr="00DE37DF" w:rsidRDefault="009543DB" w:rsidP="009543DB">
            <w:pPr>
              <w:pStyle w:val="Tabletextleft"/>
              <w:jc w:val="right"/>
            </w:pPr>
            <w:r w:rsidRPr="00DE37DF">
              <w:t>96.6</w:t>
            </w:r>
          </w:p>
        </w:tc>
        <w:tc>
          <w:tcPr>
            <w:tcW w:w="982" w:type="dxa"/>
            <w:tcBorders>
              <w:left w:val="nil"/>
              <w:right w:val="nil"/>
            </w:tcBorders>
            <w:vAlign w:val="bottom"/>
          </w:tcPr>
          <w:p w:rsidR="009543DB" w:rsidRPr="00DE37DF" w:rsidRDefault="009543DB" w:rsidP="009543DB">
            <w:pPr>
              <w:pStyle w:val="Tabletextleft"/>
              <w:jc w:val="right"/>
            </w:pPr>
            <w:r w:rsidRPr="00DE37DF">
              <w:t>106.3</w:t>
            </w:r>
          </w:p>
        </w:tc>
        <w:tc>
          <w:tcPr>
            <w:tcW w:w="983" w:type="dxa"/>
            <w:tcBorders>
              <w:left w:val="nil"/>
              <w:right w:val="nil"/>
            </w:tcBorders>
            <w:vAlign w:val="bottom"/>
          </w:tcPr>
          <w:p w:rsidR="009543DB" w:rsidRPr="00DE37DF" w:rsidRDefault="009543DB" w:rsidP="009543DB">
            <w:pPr>
              <w:pStyle w:val="Tabletextleft"/>
              <w:jc w:val="right"/>
            </w:pPr>
            <w:r w:rsidRPr="00DE37DF">
              <w:t>111.7</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left"/>
            </w:pPr>
            <w:r>
              <w:t>Security services</w:t>
            </w:r>
          </w:p>
        </w:tc>
        <w:tc>
          <w:tcPr>
            <w:tcW w:w="840" w:type="dxa"/>
            <w:tcBorders>
              <w:left w:val="nil"/>
              <w:right w:val="nil"/>
            </w:tcBorders>
            <w:vAlign w:val="bottom"/>
          </w:tcPr>
          <w:p w:rsidR="009543DB" w:rsidRPr="00DE37DF" w:rsidRDefault="009543DB" w:rsidP="009543DB">
            <w:pPr>
              <w:pStyle w:val="Tabletextleft"/>
              <w:jc w:val="right"/>
            </w:pPr>
            <w:r w:rsidRPr="00DE37DF">
              <w:t>11.2</w:t>
            </w:r>
          </w:p>
        </w:tc>
        <w:tc>
          <w:tcPr>
            <w:tcW w:w="982" w:type="dxa"/>
            <w:tcBorders>
              <w:left w:val="nil"/>
              <w:right w:val="nil"/>
            </w:tcBorders>
            <w:vAlign w:val="bottom"/>
          </w:tcPr>
          <w:p w:rsidR="009543DB" w:rsidRPr="00DE37DF" w:rsidRDefault="009543DB" w:rsidP="009543DB">
            <w:pPr>
              <w:pStyle w:val="Tabletextleft"/>
              <w:jc w:val="right"/>
            </w:pPr>
            <w:r w:rsidRPr="00DE37DF">
              <w:t>12.0</w:t>
            </w:r>
          </w:p>
        </w:tc>
        <w:tc>
          <w:tcPr>
            <w:tcW w:w="982" w:type="dxa"/>
            <w:tcBorders>
              <w:left w:val="nil"/>
              <w:right w:val="nil"/>
            </w:tcBorders>
            <w:vAlign w:val="bottom"/>
          </w:tcPr>
          <w:p w:rsidR="009543DB" w:rsidRPr="00DE37DF" w:rsidRDefault="009543DB" w:rsidP="009543DB">
            <w:pPr>
              <w:pStyle w:val="Tabletextleft"/>
              <w:jc w:val="right"/>
            </w:pPr>
            <w:r w:rsidRPr="00DE37DF">
              <w:t>11.6</w:t>
            </w:r>
          </w:p>
        </w:tc>
        <w:tc>
          <w:tcPr>
            <w:tcW w:w="983" w:type="dxa"/>
            <w:tcBorders>
              <w:left w:val="nil"/>
              <w:right w:val="nil"/>
            </w:tcBorders>
            <w:vAlign w:val="bottom"/>
          </w:tcPr>
          <w:p w:rsidR="009543DB" w:rsidRPr="00DE37DF" w:rsidRDefault="009543DB" w:rsidP="009543DB">
            <w:pPr>
              <w:pStyle w:val="Tabletextleft"/>
              <w:jc w:val="right"/>
            </w:pPr>
            <w:r w:rsidRPr="00DE37DF">
              <w:t>14.5</w:t>
            </w:r>
          </w:p>
        </w:tc>
        <w:tc>
          <w:tcPr>
            <w:tcW w:w="982" w:type="dxa"/>
            <w:tcBorders>
              <w:left w:val="nil"/>
              <w:right w:val="nil"/>
            </w:tcBorders>
            <w:vAlign w:val="bottom"/>
          </w:tcPr>
          <w:p w:rsidR="009543DB" w:rsidRPr="00DE37DF" w:rsidRDefault="009543DB" w:rsidP="009543DB">
            <w:pPr>
              <w:pStyle w:val="Tabletextleft"/>
              <w:jc w:val="right"/>
            </w:pPr>
            <w:r w:rsidRPr="00DE37DF">
              <w:t>15.8</w:t>
            </w:r>
          </w:p>
        </w:tc>
        <w:tc>
          <w:tcPr>
            <w:tcW w:w="982" w:type="dxa"/>
            <w:tcBorders>
              <w:left w:val="nil"/>
              <w:right w:val="nil"/>
            </w:tcBorders>
            <w:vAlign w:val="bottom"/>
          </w:tcPr>
          <w:p w:rsidR="009543DB" w:rsidRPr="00DE37DF" w:rsidRDefault="009543DB" w:rsidP="009543DB">
            <w:pPr>
              <w:pStyle w:val="Tabletextleft"/>
              <w:jc w:val="right"/>
            </w:pPr>
            <w:r w:rsidRPr="00DE37DF">
              <w:t>15.8</w:t>
            </w:r>
          </w:p>
        </w:tc>
        <w:tc>
          <w:tcPr>
            <w:tcW w:w="982" w:type="dxa"/>
            <w:tcBorders>
              <w:left w:val="nil"/>
              <w:right w:val="nil"/>
            </w:tcBorders>
            <w:vAlign w:val="bottom"/>
          </w:tcPr>
          <w:p w:rsidR="009543DB" w:rsidRPr="00DE37DF" w:rsidRDefault="009543DB" w:rsidP="009543DB">
            <w:pPr>
              <w:pStyle w:val="Tabletextleft"/>
              <w:jc w:val="right"/>
            </w:pPr>
            <w:r w:rsidRPr="00DE37DF">
              <w:t>20.0</w:t>
            </w:r>
          </w:p>
        </w:tc>
        <w:tc>
          <w:tcPr>
            <w:tcW w:w="983" w:type="dxa"/>
            <w:tcBorders>
              <w:left w:val="nil"/>
              <w:right w:val="nil"/>
            </w:tcBorders>
            <w:vAlign w:val="bottom"/>
          </w:tcPr>
          <w:p w:rsidR="009543DB" w:rsidRPr="00DE37DF" w:rsidRDefault="009543DB" w:rsidP="009543DB">
            <w:pPr>
              <w:pStyle w:val="Tabletextleft"/>
              <w:jc w:val="right"/>
            </w:pPr>
            <w:r w:rsidRPr="00DE37DF">
              <w:t>21.5</w:t>
            </w:r>
          </w:p>
        </w:tc>
        <w:tc>
          <w:tcPr>
            <w:tcW w:w="982" w:type="dxa"/>
            <w:tcBorders>
              <w:left w:val="nil"/>
              <w:right w:val="nil"/>
            </w:tcBorders>
            <w:vAlign w:val="bottom"/>
          </w:tcPr>
          <w:p w:rsidR="009543DB" w:rsidRPr="00DE37DF" w:rsidRDefault="009543DB" w:rsidP="009543DB">
            <w:pPr>
              <w:pStyle w:val="Tabletextleft"/>
              <w:jc w:val="right"/>
            </w:pPr>
            <w:r w:rsidRPr="00DE37DF">
              <w:t>24.3</w:t>
            </w:r>
          </w:p>
        </w:tc>
        <w:tc>
          <w:tcPr>
            <w:tcW w:w="982" w:type="dxa"/>
            <w:tcBorders>
              <w:left w:val="nil"/>
              <w:right w:val="nil"/>
            </w:tcBorders>
            <w:vAlign w:val="bottom"/>
          </w:tcPr>
          <w:p w:rsidR="009543DB" w:rsidRPr="00DE37DF" w:rsidRDefault="009543DB" w:rsidP="009543DB">
            <w:pPr>
              <w:pStyle w:val="Tabletextleft"/>
              <w:jc w:val="right"/>
            </w:pPr>
            <w:r w:rsidRPr="00DE37DF">
              <w:t>28.8</w:t>
            </w:r>
          </w:p>
        </w:tc>
        <w:tc>
          <w:tcPr>
            <w:tcW w:w="983" w:type="dxa"/>
            <w:tcBorders>
              <w:left w:val="nil"/>
              <w:right w:val="nil"/>
            </w:tcBorders>
            <w:vAlign w:val="bottom"/>
          </w:tcPr>
          <w:p w:rsidR="009543DB" w:rsidRPr="00DE37DF" w:rsidRDefault="009543DB" w:rsidP="009543DB">
            <w:pPr>
              <w:pStyle w:val="Tabletextleft"/>
              <w:jc w:val="right"/>
            </w:pPr>
            <w:r w:rsidRPr="00DE37DF">
              <w:t>30.2</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heading"/>
            </w:pPr>
            <w:r>
              <w:t>Total airport</w:t>
            </w:r>
          </w:p>
        </w:tc>
        <w:tc>
          <w:tcPr>
            <w:tcW w:w="840" w:type="dxa"/>
            <w:tcBorders>
              <w:left w:val="nil"/>
              <w:right w:val="nil"/>
            </w:tcBorders>
            <w:vAlign w:val="bottom"/>
          </w:tcPr>
          <w:p w:rsidR="009543DB" w:rsidRPr="009B2BC0" w:rsidRDefault="009543DB" w:rsidP="009543DB">
            <w:pPr>
              <w:pStyle w:val="Tabletextleft"/>
              <w:jc w:val="right"/>
              <w:rPr>
                <w:b/>
              </w:rPr>
            </w:pPr>
            <w:r w:rsidRPr="009B2BC0">
              <w:rPr>
                <w:b/>
              </w:rPr>
              <w:t>97.2</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88.1</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102.1</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80.9</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107.8</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118.7</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134.9</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155.7</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181.9</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194.1</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203.6</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Aggregate margin ($million)</w:t>
            </w:r>
          </w:p>
        </w:tc>
        <w:tc>
          <w:tcPr>
            <w:tcW w:w="1843" w:type="dxa"/>
            <w:tcBorders>
              <w:left w:val="nil"/>
              <w:right w:val="nil"/>
            </w:tcBorders>
          </w:tcPr>
          <w:p w:rsidR="009543DB" w:rsidRDefault="009543DB" w:rsidP="009543DB">
            <w:pPr>
              <w:pStyle w:val="Tabletextleft"/>
            </w:pPr>
            <w:r>
              <w:t>Total aeronautical</w:t>
            </w:r>
          </w:p>
        </w:tc>
        <w:tc>
          <w:tcPr>
            <w:tcW w:w="840" w:type="dxa"/>
            <w:tcBorders>
              <w:left w:val="nil"/>
              <w:right w:val="nil"/>
            </w:tcBorders>
            <w:vAlign w:val="bottom"/>
          </w:tcPr>
          <w:p w:rsidR="009543DB" w:rsidRPr="00DE37DF" w:rsidRDefault="009543DB" w:rsidP="009543DB">
            <w:pPr>
              <w:pStyle w:val="Tabletextleft"/>
              <w:jc w:val="right"/>
            </w:pPr>
            <w:r w:rsidRPr="00DE37DF">
              <w:t>24.2</w:t>
            </w:r>
          </w:p>
        </w:tc>
        <w:tc>
          <w:tcPr>
            <w:tcW w:w="982" w:type="dxa"/>
            <w:tcBorders>
              <w:left w:val="nil"/>
              <w:right w:val="nil"/>
            </w:tcBorders>
            <w:vAlign w:val="bottom"/>
          </w:tcPr>
          <w:p w:rsidR="009543DB" w:rsidRPr="00DE37DF" w:rsidRDefault="009543DB" w:rsidP="009543DB">
            <w:pPr>
              <w:pStyle w:val="Tabletextleft"/>
              <w:jc w:val="right"/>
            </w:pPr>
            <w:r w:rsidRPr="00DE37DF">
              <w:t>26.1</w:t>
            </w:r>
          </w:p>
        </w:tc>
        <w:tc>
          <w:tcPr>
            <w:tcW w:w="982" w:type="dxa"/>
            <w:tcBorders>
              <w:left w:val="nil"/>
              <w:right w:val="nil"/>
            </w:tcBorders>
            <w:vAlign w:val="bottom"/>
          </w:tcPr>
          <w:p w:rsidR="009543DB" w:rsidRPr="00DE37DF" w:rsidRDefault="009543DB" w:rsidP="009543DB">
            <w:pPr>
              <w:pStyle w:val="Tabletextleft"/>
              <w:jc w:val="right"/>
            </w:pPr>
            <w:r w:rsidRPr="00DE37DF">
              <w:t>29.9</w:t>
            </w:r>
          </w:p>
        </w:tc>
        <w:tc>
          <w:tcPr>
            <w:tcW w:w="983" w:type="dxa"/>
            <w:tcBorders>
              <w:left w:val="nil"/>
              <w:right w:val="nil"/>
            </w:tcBorders>
            <w:vAlign w:val="bottom"/>
          </w:tcPr>
          <w:p w:rsidR="009543DB" w:rsidRPr="00DE37DF" w:rsidRDefault="009543DB" w:rsidP="009543DB">
            <w:pPr>
              <w:pStyle w:val="Tabletextleft"/>
              <w:jc w:val="right"/>
            </w:pPr>
            <w:r w:rsidRPr="00DE37DF">
              <w:t>43.3</w:t>
            </w:r>
          </w:p>
        </w:tc>
        <w:tc>
          <w:tcPr>
            <w:tcW w:w="982" w:type="dxa"/>
            <w:tcBorders>
              <w:left w:val="nil"/>
              <w:right w:val="nil"/>
            </w:tcBorders>
            <w:vAlign w:val="bottom"/>
          </w:tcPr>
          <w:p w:rsidR="009543DB" w:rsidRPr="00DE37DF" w:rsidRDefault="009543DB" w:rsidP="009543DB">
            <w:pPr>
              <w:pStyle w:val="Tabletextleft"/>
              <w:jc w:val="right"/>
            </w:pPr>
            <w:r w:rsidRPr="00DE37DF">
              <w:t>37.6</w:t>
            </w:r>
          </w:p>
        </w:tc>
        <w:tc>
          <w:tcPr>
            <w:tcW w:w="982" w:type="dxa"/>
            <w:tcBorders>
              <w:left w:val="nil"/>
              <w:right w:val="nil"/>
            </w:tcBorders>
            <w:vAlign w:val="bottom"/>
          </w:tcPr>
          <w:p w:rsidR="009543DB" w:rsidRPr="00DE37DF" w:rsidRDefault="009543DB" w:rsidP="009543DB">
            <w:pPr>
              <w:pStyle w:val="Tabletextleft"/>
              <w:jc w:val="right"/>
            </w:pPr>
            <w:r w:rsidRPr="00DE37DF">
              <w:t>38.9</w:t>
            </w:r>
          </w:p>
        </w:tc>
        <w:tc>
          <w:tcPr>
            <w:tcW w:w="982" w:type="dxa"/>
            <w:tcBorders>
              <w:left w:val="nil"/>
              <w:right w:val="nil"/>
            </w:tcBorders>
            <w:vAlign w:val="bottom"/>
          </w:tcPr>
          <w:p w:rsidR="009543DB" w:rsidRPr="00DE37DF" w:rsidRDefault="009543DB" w:rsidP="009543DB">
            <w:pPr>
              <w:pStyle w:val="Tabletextleft"/>
              <w:jc w:val="right"/>
            </w:pPr>
            <w:r w:rsidRPr="00DE37DF">
              <w:t>44.6</w:t>
            </w:r>
          </w:p>
        </w:tc>
        <w:tc>
          <w:tcPr>
            <w:tcW w:w="983" w:type="dxa"/>
            <w:tcBorders>
              <w:left w:val="nil"/>
              <w:right w:val="nil"/>
            </w:tcBorders>
            <w:vAlign w:val="bottom"/>
          </w:tcPr>
          <w:p w:rsidR="009543DB" w:rsidRPr="00DE37DF" w:rsidRDefault="009543DB" w:rsidP="009543DB">
            <w:pPr>
              <w:pStyle w:val="Tabletextleft"/>
              <w:jc w:val="right"/>
            </w:pPr>
            <w:r w:rsidRPr="00DE37DF">
              <w:t>44.4</w:t>
            </w:r>
          </w:p>
        </w:tc>
        <w:tc>
          <w:tcPr>
            <w:tcW w:w="982" w:type="dxa"/>
            <w:tcBorders>
              <w:left w:val="nil"/>
              <w:right w:val="nil"/>
            </w:tcBorders>
            <w:vAlign w:val="bottom"/>
          </w:tcPr>
          <w:p w:rsidR="009543DB" w:rsidRPr="00DE37DF" w:rsidRDefault="009543DB" w:rsidP="009543DB">
            <w:pPr>
              <w:pStyle w:val="Tabletextleft"/>
              <w:jc w:val="right"/>
            </w:pPr>
            <w:r w:rsidRPr="00DE37DF">
              <w:t>71.0</w:t>
            </w:r>
          </w:p>
        </w:tc>
        <w:tc>
          <w:tcPr>
            <w:tcW w:w="982" w:type="dxa"/>
            <w:tcBorders>
              <w:left w:val="nil"/>
              <w:right w:val="nil"/>
            </w:tcBorders>
            <w:vAlign w:val="bottom"/>
          </w:tcPr>
          <w:p w:rsidR="009543DB" w:rsidRPr="00DE37DF" w:rsidRDefault="009543DB" w:rsidP="009543DB">
            <w:pPr>
              <w:pStyle w:val="Tabletextleft"/>
              <w:jc w:val="right"/>
            </w:pPr>
            <w:r w:rsidRPr="00DE37DF">
              <w:t>82.9</w:t>
            </w:r>
          </w:p>
        </w:tc>
        <w:tc>
          <w:tcPr>
            <w:tcW w:w="983" w:type="dxa"/>
            <w:tcBorders>
              <w:left w:val="nil"/>
              <w:right w:val="nil"/>
            </w:tcBorders>
            <w:vAlign w:val="bottom"/>
          </w:tcPr>
          <w:p w:rsidR="009543DB" w:rsidRPr="00DE37DF" w:rsidRDefault="009543DB" w:rsidP="009543DB">
            <w:pPr>
              <w:pStyle w:val="Tabletextleft"/>
              <w:jc w:val="right"/>
            </w:pPr>
            <w:r w:rsidRPr="00DE37DF">
              <w:t>75.0</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left"/>
            </w:pPr>
            <w:r>
              <w:t>Security services</w:t>
            </w:r>
          </w:p>
        </w:tc>
        <w:tc>
          <w:tcPr>
            <w:tcW w:w="840" w:type="dxa"/>
            <w:tcBorders>
              <w:left w:val="nil"/>
              <w:right w:val="nil"/>
            </w:tcBorders>
            <w:vAlign w:val="bottom"/>
          </w:tcPr>
          <w:p w:rsidR="009543DB" w:rsidRPr="00DE37DF" w:rsidRDefault="009543DB" w:rsidP="009543DB">
            <w:pPr>
              <w:pStyle w:val="Tabletextleft"/>
              <w:jc w:val="right"/>
            </w:pPr>
            <w:r>
              <w:t>(</w:t>
            </w:r>
            <w:r w:rsidRPr="00DE37DF">
              <w:t>0.6</w:t>
            </w:r>
            <w:r>
              <w:t>)</w:t>
            </w:r>
          </w:p>
        </w:tc>
        <w:tc>
          <w:tcPr>
            <w:tcW w:w="982" w:type="dxa"/>
            <w:tcBorders>
              <w:left w:val="nil"/>
              <w:right w:val="nil"/>
            </w:tcBorders>
            <w:vAlign w:val="bottom"/>
          </w:tcPr>
          <w:p w:rsidR="009543DB" w:rsidRPr="00DE37DF" w:rsidRDefault="009543DB" w:rsidP="009543DB">
            <w:pPr>
              <w:pStyle w:val="Tabletextleft"/>
              <w:jc w:val="right"/>
            </w:pPr>
            <w:r w:rsidRPr="00DE37DF">
              <w:t>0.5</w:t>
            </w:r>
          </w:p>
        </w:tc>
        <w:tc>
          <w:tcPr>
            <w:tcW w:w="982" w:type="dxa"/>
            <w:tcBorders>
              <w:left w:val="nil"/>
              <w:right w:val="nil"/>
            </w:tcBorders>
            <w:vAlign w:val="bottom"/>
          </w:tcPr>
          <w:p w:rsidR="009543DB" w:rsidRPr="00DE37DF" w:rsidRDefault="009543DB" w:rsidP="009543DB">
            <w:pPr>
              <w:pStyle w:val="Tabletextleft"/>
              <w:jc w:val="right"/>
            </w:pPr>
            <w:r w:rsidRPr="00DE37DF">
              <w:t>2.2</w:t>
            </w:r>
          </w:p>
        </w:tc>
        <w:tc>
          <w:tcPr>
            <w:tcW w:w="983" w:type="dxa"/>
            <w:tcBorders>
              <w:left w:val="nil"/>
              <w:right w:val="nil"/>
            </w:tcBorders>
            <w:vAlign w:val="bottom"/>
          </w:tcPr>
          <w:p w:rsidR="009543DB" w:rsidRPr="00DE37DF" w:rsidRDefault="009543DB" w:rsidP="009543DB">
            <w:pPr>
              <w:pStyle w:val="Tabletextleft"/>
              <w:jc w:val="right"/>
            </w:pPr>
            <w:r w:rsidRPr="00DE37DF">
              <w:t>0.0</w:t>
            </w:r>
          </w:p>
        </w:tc>
        <w:tc>
          <w:tcPr>
            <w:tcW w:w="982" w:type="dxa"/>
            <w:tcBorders>
              <w:left w:val="nil"/>
              <w:right w:val="nil"/>
            </w:tcBorders>
            <w:vAlign w:val="bottom"/>
          </w:tcPr>
          <w:p w:rsidR="009543DB" w:rsidRPr="00DE37DF" w:rsidRDefault="009543DB" w:rsidP="009543DB">
            <w:pPr>
              <w:pStyle w:val="Tabletextleft"/>
              <w:jc w:val="right"/>
            </w:pPr>
            <w:r w:rsidRPr="00DE37DF">
              <w:t>0.0</w:t>
            </w:r>
          </w:p>
        </w:tc>
        <w:tc>
          <w:tcPr>
            <w:tcW w:w="982" w:type="dxa"/>
            <w:tcBorders>
              <w:left w:val="nil"/>
              <w:right w:val="nil"/>
            </w:tcBorders>
            <w:vAlign w:val="bottom"/>
          </w:tcPr>
          <w:p w:rsidR="009543DB" w:rsidRPr="00DE37DF" w:rsidRDefault="009543DB" w:rsidP="009543DB">
            <w:pPr>
              <w:pStyle w:val="Tabletextleft"/>
              <w:jc w:val="right"/>
            </w:pPr>
            <w:r w:rsidRPr="00DE37DF">
              <w:t>1.0</w:t>
            </w:r>
          </w:p>
        </w:tc>
        <w:tc>
          <w:tcPr>
            <w:tcW w:w="982" w:type="dxa"/>
            <w:tcBorders>
              <w:left w:val="nil"/>
              <w:right w:val="nil"/>
            </w:tcBorders>
            <w:vAlign w:val="bottom"/>
          </w:tcPr>
          <w:p w:rsidR="009543DB" w:rsidRPr="00DE37DF" w:rsidRDefault="009543DB" w:rsidP="009543DB">
            <w:pPr>
              <w:pStyle w:val="Tabletextleft"/>
              <w:jc w:val="right"/>
            </w:pPr>
            <w:r w:rsidRPr="00DE37DF">
              <w:t>0.6</w:t>
            </w:r>
          </w:p>
        </w:tc>
        <w:tc>
          <w:tcPr>
            <w:tcW w:w="983" w:type="dxa"/>
            <w:tcBorders>
              <w:left w:val="nil"/>
              <w:right w:val="nil"/>
            </w:tcBorders>
            <w:vAlign w:val="bottom"/>
          </w:tcPr>
          <w:p w:rsidR="009543DB" w:rsidRPr="00DE37DF" w:rsidRDefault="009543DB" w:rsidP="009543DB">
            <w:pPr>
              <w:pStyle w:val="Tabletextleft"/>
              <w:jc w:val="right"/>
            </w:pPr>
            <w:r>
              <w:t>(</w:t>
            </w:r>
            <w:r w:rsidRPr="00DE37DF">
              <w:t>0.9</w:t>
            </w:r>
            <w:r>
              <w:t>)</w:t>
            </w:r>
          </w:p>
        </w:tc>
        <w:tc>
          <w:tcPr>
            <w:tcW w:w="982" w:type="dxa"/>
            <w:tcBorders>
              <w:left w:val="nil"/>
              <w:right w:val="nil"/>
            </w:tcBorders>
            <w:vAlign w:val="bottom"/>
          </w:tcPr>
          <w:p w:rsidR="009543DB" w:rsidRPr="00DE37DF" w:rsidRDefault="009543DB" w:rsidP="009543DB">
            <w:pPr>
              <w:pStyle w:val="Tabletextleft"/>
              <w:jc w:val="right"/>
            </w:pPr>
            <w:r>
              <w:t>(</w:t>
            </w:r>
            <w:r w:rsidRPr="00DE37DF">
              <w:t>1.1</w:t>
            </w:r>
            <w:r>
              <w:t>)</w:t>
            </w:r>
          </w:p>
        </w:tc>
        <w:tc>
          <w:tcPr>
            <w:tcW w:w="982" w:type="dxa"/>
            <w:tcBorders>
              <w:left w:val="nil"/>
              <w:right w:val="nil"/>
            </w:tcBorders>
            <w:vAlign w:val="bottom"/>
          </w:tcPr>
          <w:p w:rsidR="009543DB" w:rsidRPr="00DE37DF" w:rsidRDefault="009543DB" w:rsidP="009543DB">
            <w:pPr>
              <w:pStyle w:val="Tabletextleft"/>
              <w:jc w:val="right"/>
            </w:pPr>
            <w:r>
              <w:t>(</w:t>
            </w:r>
            <w:r w:rsidRPr="00DE37DF">
              <w:t>3.0</w:t>
            </w:r>
            <w:r>
              <w:t>)</w:t>
            </w:r>
          </w:p>
        </w:tc>
        <w:tc>
          <w:tcPr>
            <w:tcW w:w="983" w:type="dxa"/>
            <w:tcBorders>
              <w:left w:val="nil"/>
              <w:right w:val="nil"/>
            </w:tcBorders>
            <w:vAlign w:val="bottom"/>
          </w:tcPr>
          <w:p w:rsidR="009543DB" w:rsidRPr="00DE37DF" w:rsidRDefault="009543DB" w:rsidP="009543DB">
            <w:pPr>
              <w:pStyle w:val="Tabletextleft"/>
              <w:jc w:val="right"/>
            </w:pPr>
            <w:r>
              <w:t>(</w:t>
            </w:r>
            <w:r w:rsidRPr="00DE37DF">
              <w:t>3.0</w:t>
            </w:r>
            <w:r>
              <w:t>)</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heading"/>
            </w:pPr>
            <w:r>
              <w:t>Total airport</w:t>
            </w:r>
          </w:p>
        </w:tc>
        <w:tc>
          <w:tcPr>
            <w:tcW w:w="840" w:type="dxa"/>
            <w:tcBorders>
              <w:left w:val="nil"/>
              <w:right w:val="nil"/>
            </w:tcBorders>
            <w:vAlign w:val="bottom"/>
          </w:tcPr>
          <w:p w:rsidR="009543DB" w:rsidRPr="009B2BC0" w:rsidRDefault="009543DB" w:rsidP="009543DB">
            <w:pPr>
              <w:pStyle w:val="Tabletextleft"/>
              <w:jc w:val="right"/>
              <w:rPr>
                <w:b/>
              </w:rPr>
            </w:pPr>
            <w:r w:rsidRPr="009B2BC0">
              <w:rPr>
                <w:b/>
              </w:rPr>
              <w:t>86.8</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130.7</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192.9</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164.1</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88.2</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160.5</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188.8</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615.6</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505.9</w:t>
            </w:r>
          </w:p>
        </w:tc>
        <w:tc>
          <w:tcPr>
            <w:tcW w:w="982" w:type="dxa"/>
            <w:tcBorders>
              <w:left w:val="nil"/>
              <w:right w:val="nil"/>
            </w:tcBorders>
            <w:vAlign w:val="bottom"/>
          </w:tcPr>
          <w:p w:rsidR="009543DB" w:rsidRPr="009B2BC0" w:rsidRDefault="009543DB" w:rsidP="009543DB">
            <w:pPr>
              <w:pStyle w:val="Tabletextleft"/>
              <w:jc w:val="right"/>
              <w:rPr>
                <w:b/>
              </w:rPr>
            </w:pPr>
            <w:r w:rsidRPr="009B2BC0">
              <w:rPr>
                <w:b/>
              </w:rPr>
              <w:t>194.1</w:t>
            </w:r>
          </w:p>
        </w:tc>
        <w:tc>
          <w:tcPr>
            <w:tcW w:w="983" w:type="dxa"/>
            <w:tcBorders>
              <w:left w:val="nil"/>
              <w:right w:val="nil"/>
            </w:tcBorders>
            <w:vAlign w:val="bottom"/>
          </w:tcPr>
          <w:p w:rsidR="009543DB" w:rsidRPr="009B2BC0" w:rsidRDefault="009543DB" w:rsidP="009543DB">
            <w:pPr>
              <w:pStyle w:val="Tabletextleft"/>
              <w:jc w:val="right"/>
              <w:rPr>
                <w:b/>
              </w:rPr>
            </w:pPr>
            <w:r w:rsidRPr="009B2BC0">
              <w:rPr>
                <w:b/>
              </w:rPr>
              <w:t>225.8</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 xml:space="preserve">Aggregate </w:t>
            </w:r>
            <w:r w:rsidRPr="00434D61">
              <w:t>margin</w:t>
            </w:r>
            <w:r>
              <w:t xml:space="preserve"> % of total revenue</w:t>
            </w:r>
          </w:p>
        </w:tc>
        <w:tc>
          <w:tcPr>
            <w:tcW w:w="1843" w:type="dxa"/>
            <w:tcBorders>
              <w:left w:val="nil"/>
              <w:right w:val="nil"/>
            </w:tcBorders>
          </w:tcPr>
          <w:p w:rsidR="009543DB" w:rsidRDefault="009543DB" w:rsidP="009543DB">
            <w:pPr>
              <w:pStyle w:val="Tabletextleft"/>
            </w:pPr>
            <w:r>
              <w:t>Aeronautical</w:t>
            </w:r>
          </w:p>
        </w:tc>
        <w:tc>
          <w:tcPr>
            <w:tcW w:w="840" w:type="dxa"/>
            <w:tcBorders>
              <w:left w:val="nil"/>
              <w:right w:val="nil"/>
            </w:tcBorders>
            <w:vAlign w:val="bottom"/>
          </w:tcPr>
          <w:p w:rsidR="009543DB" w:rsidRPr="00DE37DF" w:rsidRDefault="009543DB" w:rsidP="009543DB">
            <w:pPr>
              <w:pStyle w:val="Tabletextleft"/>
              <w:jc w:val="right"/>
            </w:pPr>
            <w:r w:rsidRPr="00DE37DF">
              <w:t>36.4</w:t>
            </w:r>
          </w:p>
        </w:tc>
        <w:tc>
          <w:tcPr>
            <w:tcW w:w="982" w:type="dxa"/>
            <w:tcBorders>
              <w:left w:val="nil"/>
              <w:right w:val="nil"/>
            </w:tcBorders>
            <w:vAlign w:val="bottom"/>
          </w:tcPr>
          <w:p w:rsidR="009543DB" w:rsidRPr="00DE37DF" w:rsidRDefault="009543DB" w:rsidP="009543DB">
            <w:pPr>
              <w:pStyle w:val="Tabletextleft"/>
              <w:jc w:val="right"/>
            </w:pPr>
            <w:r w:rsidRPr="00DE37DF">
              <w:t>35.9</w:t>
            </w:r>
          </w:p>
        </w:tc>
        <w:tc>
          <w:tcPr>
            <w:tcW w:w="982" w:type="dxa"/>
            <w:tcBorders>
              <w:left w:val="nil"/>
              <w:right w:val="nil"/>
            </w:tcBorders>
            <w:vAlign w:val="bottom"/>
          </w:tcPr>
          <w:p w:rsidR="009543DB" w:rsidRPr="00DE37DF" w:rsidRDefault="009543DB" w:rsidP="009543DB">
            <w:pPr>
              <w:pStyle w:val="Tabletextleft"/>
              <w:jc w:val="right"/>
            </w:pPr>
            <w:r w:rsidRPr="00DE37DF">
              <w:t>37.0</w:t>
            </w:r>
          </w:p>
        </w:tc>
        <w:tc>
          <w:tcPr>
            <w:tcW w:w="983" w:type="dxa"/>
            <w:tcBorders>
              <w:left w:val="nil"/>
              <w:right w:val="nil"/>
            </w:tcBorders>
            <w:vAlign w:val="bottom"/>
          </w:tcPr>
          <w:p w:rsidR="009543DB" w:rsidRPr="00DE37DF" w:rsidRDefault="009543DB" w:rsidP="009543DB">
            <w:pPr>
              <w:pStyle w:val="Tabletextleft"/>
              <w:jc w:val="right"/>
            </w:pPr>
            <w:r w:rsidRPr="00DE37DF">
              <w:t>48.9</w:t>
            </w:r>
          </w:p>
        </w:tc>
        <w:tc>
          <w:tcPr>
            <w:tcW w:w="982" w:type="dxa"/>
            <w:tcBorders>
              <w:left w:val="nil"/>
              <w:right w:val="nil"/>
            </w:tcBorders>
            <w:vAlign w:val="bottom"/>
          </w:tcPr>
          <w:p w:rsidR="009543DB" w:rsidRPr="00DE37DF" w:rsidRDefault="009543DB" w:rsidP="009543DB">
            <w:pPr>
              <w:pStyle w:val="Tabletextleft"/>
              <w:jc w:val="right"/>
            </w:pPr>
            <w:r w:rsidRPr="00DE37DF">
              <w:t>40.6</w:t>
            </w:r>
          </w:p>
        </w:tc>
        <w:tc>
          <w:tcPr>
            <w:tcW w:w="982" w:type="dxa"/>
            <w:tcBorders>
              <w:left w:val="nil"/>
              <w:right w:val="nil"/>
            </w:tcBorders>
            <w:vAlign w:val="bottom"/>
          </w:tcPr>
          <w:p w:rsidR="009543DB" w:rsidRPr="00DE37DF" w:rsidRDefault="009543DB" w:rsidP="009543DB">
            <w:pPr>
              <w:pStyle w:val="Tabletextleft"/>
              <w:jc w:val="right"/>
            </w:pPr>
            <w:r w:rsidRPr="00DE37DF">
              <w:t>39.2</w:t>
            </w:r>
          </w:p>
        </w:tc>
        <w:tc>
          <w:tcPr>
            <w:tcW w:w="982" w:type="dxa"/>
            <w:tcBorders>
              <w:left w:val="nil"/>
              <w:right w:val="nil"/>
            </w:tcBorders>
            <w:vAlign w:val="bottom"/>
          </w:tcPr>
          <w:p w:rsidR="009543DB" w:rsidRPr="00DE37DF" w:rsidRDefault="009543DB" w:rsidP="009543DB">
            <w:pPr>
              <w:pStyle w:val="Tabletextleft"/>
              <w:jc w:val="right"/>
            </w:pPr>
            <w:r w:rsidRPr="00DE37DF">
              <w:t>39.6</w:t>
            </w:r>
          </w:p>
        </w:tc>
        <w:tc>
          <w:tcPr>
            <w:tcW w:w="983" w:type="dxa"/>
            <w:tcBorders>
              <w:left w:val="nil"/>
              <w:right w:val="nil"/>
            </w:tcBorders>
            <w:vAlign w:val="bottom"/>
          </w:tcPr>
          <w:p w:rsidR="009543DB" w:rsidRPr="00DE37DF" w:rsidRDefault="009543DB" w:rsidP="009543DB">
            <w:pPr>
              <w:pStyle w:val="Tabletextleft"/>
              <w:jc w:val="right"/>
            </w:pPr>
            <w:r w:rsidRPr="00DE37DF">
              <w:t>35.2</w:t>
            </w:r>
          </w:p>
        </w:tc>
        <w:tc>
          <w:tcPr>
            <w:tcW w:w="982" w:type="dxa"/>
            <w:tcBorders>
              <w:left w:val="nil"/>
              <w:right w:val="nil"/>
            </w:tcBorders>
            <w:vAlign w:val="bottom"/>
          </w:tcPr>
          <w:p w:rsidR="009543DB" w:rsidRPr="00DE37DF" w:rsidRDefault="009543DB" w:rsidP="009543DB">
            <w:pPr>
              <w:pStyle w:val="Tabletextleft"/>
              <w:jc w:val="right"/>
            </w:pPr>
            <w:r w:rsidRPr="00DE37DF">
              <w:t>42.3</w:t>
            </w:r>
          </w:p>
        </w:tc>
        <w:tc>
          <w:tcPr>
            <w:tcW w:w="982" w:type="dxa"/>
            <w:tcBorders>
              <w:left w:val="nil"/>
              <w:right w:val="nil"/>
            </w:tcBorders>
            <w:vAlign w:val="bottom"/>
          </w:tcPr>
          <w:p w:rsidR="009543DB" w:rsidRPr="00DE37DF" w:rsidRDefault="009543DB" w:rsidP="009543DB">
            <w:pPr>
              <w:pStyle w:val="Tabletextleft"/>
              <w:jc w:val="right"/>
            </w:pPr>
            <w:r w:rsidRPr="00DE37DF">
              <w:t>43.8</w:t>
            </w:r>
          </w:p>
        </w:tc>
        <w:tc>
          <w:tcPr>
            <w:tcW w:w="983" w:type="dxa"/>
            <w:tcBorders>
              <w:left w:val="nil"/>
              <w:right w:val="nil"/>
            </w:tcBorders>
            <w:vAlign w:val="bottom"/>
          </w:tcPr>
          <w:p w:rsidR="009543DB" w:rsidRPr="00DE37DF" w:rsidRDefault="009543DB" w:rsidP="009543DB">
            <w:pPr>
              <w:pStyle w:val="Tabletextleft"/>
              <w:jc w:val="right"/>
            </w:pPr>
            <w:r w:rsidRPr="00DE37DF">
              <w:t>40.2</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vAlign w:val="center"/>
          </w:tcPr>
          <w:p w:rsidR="009543DB" w:rsidRPr="00434D61" w:rsidRDefault="009543DB" w:rsidP="009543DB">
            <w:pPr>
              <w:pStyle w:val="Tabletextleft-centred"/>
            </w:pPr>
            <w:r w:rsidRPr="00434D61">
              <w:t>Total airport</w:t>
            </w:r>
          </w:p>
        </w:tc>
        <w:tc>
          <w:tcPr>
            <w:tcW w:w="840" w:type="dxa"/>
            <w:tcBorders>
              <w:left w:val="nil"/>
              <w:right w:val="nil"/>
            </w:tcBorders>
            <w:vAlign w:val="center"/>
          </w:tcPr>
          <w:p w:rsidR="009543DB" w:rsidRPr="009B2BC0" w:rsidRDefault="009543DB" w:rsidP="009543DB">
            <w:pPr>
              <w:pStyle w:val="Tabletextleft"/>
              <w:jc w:val="right"/>
              <w:rPr>
                <w:b/>
              </w:rPr>
            </w:pPr>
            <w:r w:rsidRPr="009B2BC0">
              <w:rPr>
                <w:b/>
              </w:rPr>
              <w:t>47.2</w:t>
            </w:r>
          </w:p>
        </w:tc>
        <w:tc>
          <w:tcPr>
            <w:tcW w:w="982" w:type="dxa"/>
            <w:tcBorders>
              <w:left w:val="nil"/>
              <w:right w:val="nil"/>
            </w:tcBorders>
            <w:vAlign w:val="center"/>
          </w:tcPr>
          <w:p w:rsidR="009543DB" w:rsidRPr="009B2BC0" w:rsidRDefault="009543DB" w:rsidP="009543DB">
            <w:pPr>
              <w:pStyle w:val="Tabletextleft"/>
              <w:jc w:val="right"/>
              <w:rPr>
                <w:b/>
              </w:rPr>
            </w:pPr>
            <w:r w:rsidRPr="009B2BC0">
              <w:rPr>
                <w:b/>
              </w:rPr>
              <w:t>59.7</w:t>
            </w:r>
          </w:p>
        </w:tc>
        <w:tc>
          <w:tcPr>
            <w:tcW w:w="982" w:type="dxa"/>
            <w:tcBorders>
              <w:left w:val="nil"/>
              <w:right w:val="nil"/>
            </w:tcBorders>
            <w:vAlign w:val="center"/>
          </w:tcPr>
          <w:p w:rsidR="009543DB" w:rsidRPr="009B2BC0" w:rsidRDefault="009543DB" w:rsidP="009543DB">
            <w:pPr>
              <w:pStyle w:val="Tabletextleft"/>
              <w:jc w:val="right"/>
              <w:rPr>
                <w:b/>
              </w:rPr>
            </w:pPr>
            <w:r w:rsidRPr="009B2BC0">
              <w:rPr>
                <w:b/>
              </w:rPr>
              <w:t>65.4</w:t>
            </w:r>
          </w:p>
        </w:tc>
        <w:tc>
          <w:tcPr>
            <w:tcW w:w="983" w:type="dxa"/>
            <w:tcBorders>
              <w:left w:val="nil"/>
              <w:right w:val="nil"/>
            </w:tcBorders>
            <w:vAlign w:val="center"/>
          </w:tcPr>
          <w:p w:rsidR="009543DB" w:rsidRPr="009B2BC0" w:rsidRDefault="009543DB" w:rsidP="009543DB">
            <w:pPr>
              <w:pStyle w:val="Tabletextleft"/>
              <w:jc w:val="right"/>
              <w:rPr>
                <w:b/>
              </w:rPr>
            </w:pPr>
            <w:r w:rsidRPr="009B2BC0">
              <w:rPr>
                <w:b/>
              </w:rPr>
              <w:t>67.0</w:t>
            </w:r>
          </w:p>
        </w:tc>
        <w:tc>
          <w:tcPr>
            <w:tcW w:w="982" w:type="dxa"/>
            <w:tcBorders>
              <w:left w:val="nil"/>
              <w:right w:val="nil"/>
            </w:tcBorders>
            <w:vAlign w:val="center"/>
          </w:tcPr>
          <w:p w:rsidR="009543DB" w:rsidRPr="009B2BC0" w:rsidRDefault="009543DB" w:rsidP="009543DB">
            <w:pPr>
              <w:pStyle w:val="Tabletextleft"/>
              <w:jc w:val="right"/>
              <w:rPr>
                <w:b/>
              </w:rPr>
            </w:pPr>
            <w:r w:rsidRPr="009B2BC0">
              <w:rPr>
                <w:b/>
              </w:rPr>
              <w:t>45.0</w:t>
            </w:r>
          </w:p>
        </w:tc>
        <w:tc>
          <w:tcPr>
            <w:tcW w:w="982" w:type="dxa"/>
            <w:tcBorders>
              <w:left w:val="nil"/>
              <w:right w:val="nil"/>
            </w:tcBorders>
            <w:vAlign w:val="center"/>
          </w:tcPr>
          <w:p w:rsidR="009543DB" w:rsidRPr="009B2BC0" w:rsidRDefault="009543DB" w:rsidP="009543DB">
            <w:pPr>
              <w:pStyle w:val="Tabletextleft"/>
              <w:jc w:val="right"/>
              <w:rPr>
                <w:b/>
              </w:rPr>
            </w:pPr>
            <w:r w:rsidRPr="009B2BC0">
              <w:rPr>
                <w:b/>
              </w:rPr>
              <w:t>57.5</w:t>
            </w:r>
          </w:p>
        </w:tc>
        <w:tc>
          <w:tcPr>
            <w:tcW w:w="982" w:type="dxa"/>
            <w:tcBorders>
              <w:left w:val="nil"/>
              <w:right w:val="nil"/>
            </w:tcBorders>
            <w:vAlign w:val="center"/>
          </w:tcPr>
          <w:p w:rsidR="009543DB" w:rsidRPr="009B2BC0" w:rsidRDefault="009543DB" w:rsidP="009543DB">
            <w:pPr>
              <w:pStyle w:val="Tabletextleft"/>
              <w:jc w:val="right"/>
              <w:rPr>
                <w:b/>
              </w:rPr>
            </w:pPr>
            <w:r w:rsidRPr="009B2BC0">
              <w:rPr>
                <w:b/>
              </w:rPr>
              <w:t>58.3</w:t>
            </w:r>
          </w:p>
        </w:tc>
        <w:tc>
          <w:tcPr>
            <w:tcW w:w="983" w:type="dxa"/>
            <w:tcBorders>
              <w:left w:val="nil"/>
              <w:right w:val="nil"/>
            </w:tcBorders>
            <w:vAlign w:val="center"/>
          </w:tcPr>
          <w:p w:rsidR="009543DB" w:rsidRPr="009B2BC0" w:rsidRDefault="009543DB" w:rsidP="009543DB">
            <w:pPr>
              <w:pStyle w:val="Tabletextleft"/>
              <w:jc w:val="right"/>
              <w:rPr>
                <w:b/>
              </w:rPr>
            </w:pPr>
            <w:r w:rsidRPr="009B2BC0">
              <w:rPr>
                <w:b/>
              </w:rPr>
              <w:t>79.8</w:t>
            </w:r>
          </w:p>
        </w:tc>
        <w:tc>
          <w:tcPr>
            <w:tcW w:w="982" w:type="dxa"/>
            <w:tcBorders>
              <w:left w:val="nil"/>
              <w:right w:val="nil"/>
            </w:tcBorders>
            <w:vAlign w:val="center"/>
          </w:tcPr>
          <w:p w:rsidR="009543DB" w:rsidRPr="009B2BC0" w:rsidRDefault="009543DB" w:rsidP="009543DB">
            <w:pPr>
              <w:pStyle w:val="Tabletextleft"/>
              <w:jc w:val="right"/>
              <w:rPr>
                <w:b/>
              </w:rPr>
            </w:pPr>
            <w:r w:rsidRPr="009B2BC0">
              <w:rPr>
                <w:b/>
              </w:rPr>
              <w:t>73.5</w:t>
            </w:r>
          </w:p>
        </w:tc>
        <w:tc>
          <w:tcPr>
            <w:tcW w:w="982" w:type="dxa"/>
            <w:tcBorders>
              <w:left w:val="nil"/>
              <w:right w:val="nil"/>
            </w:tcBorders>
            <w:vAlign w:val="center"/>
          </w:tcPr>
          <w:p w:rsidR="009543DB" w:rsidRPr="009B2BC0" w:rsidRDefault="009543DB" w:rsidP="009543DB">
            <w:pPr>
              <w:pStyle w:val="Tabletextleft"/>
              <w:jc w:val="right"/>
              <w:rPr>
                <w:b/>
              </w:rPr>
            </w:pPr>
            <w:r w:rsidRPr="009B2BC0">
              <w:rPr>
                <w:b/>
              </w:rPr>
              <w:t>50.0</w:t>
            </w:r>
          </w:p>
        </w:tc>
        <w:tc>
          <w:tcPr>
            <w:tcW w:w="983" w:type="dxa"/>
            <w:tcBorders>
              <w:left w:val="nil"/>
              <w:right w:val="nil"/>
            </w:tcBorders>
            <w:vAlign w:val="center"/>
          </w:tcPr>
          <w:p w:rsidR="009543DB" w:rsidRPr="009B2BC0" w:rsidRDefault="009543DB" w:rsidP="009543DB">
            <w:pPr>
              <w:pStyle w:val="Tabletextleft"/>
              <w:jc w:val="right"/>
              <w:rPr>
                <w:b/>
              </w:rPr>
            </w:pPr>
            <w:r w:rsidRPr="009B2BC0">
              <w:rPr>
                <w:b/>
              </w:rPr>
              <w:t>52.6</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Revenue per passenger ($)</w:t>
            </w:r>
          </w:p>
        </w:tc>
        <w:tc>
          <w:tcPr>
            <w:tcW w:w="1843" w:type="dxa"/>
            <w:tcBorders>
              <w:left w:val="nil"/>
              <w:right w:val="nil"/>
            </w:tcBorders>
          </w:tcPr>
          <w:p w:rsidR="009543DB" w:rsidRDefault="009543DB" w:rsidP="009543DB">
            <w:pPr>
              <w:pStyle w:val="Tabletextleft"/>
            </w:pPr>
            <w:r>
              <w:t>Total aeronautical</w:t>
            </w:r>
          </w:p>
        </w:tc>
        <w:tc>
          <w:tcPr>
            <w:tcW w:w="840" w:type="dxa"/>
            <w:tcBorders>
              <w:left w:val="nil"/>
              <w:right w:val="nil"/>
            </w:tcBorders>
            <w:vAlign w:val="bottom"/>
          </w:tcPr>
          <w:p w:rsidR="009543DB" w:rsidRPr="00DE37DF" w:rsidRDefault="009543DB" w:rsidP="009543DB">
            <w:pPr>
              <w:pStyle w:val="Tabletextleft"/>
              <w:jc w:val="right"/>
            </w:pPr>
            <w:r w:rsidRPr="00DE37DF">
              <w:t>10.00</w:t>
            </w:r>
          </w:p>
        </w:tc>
        <w:tc>
          <w:tcPr>
            <w:tcW w:w="982" w:type="dxa"/>
            <w:tcBorders>
              <w:left w:val="nil"/>
              <w:right w:val="nil"/>
            </w:tcBorders>
            <w:vAlign w:val="bottom"/>
          </w:tcPr>
          <w:p w:rsidR="009543DB" w:rsidRPr="00DE37DF" w:rsidRDefault="009543DB" w:rsidP="009543DB">
            <w:pPr>
              <w:pStyle w:val="Tabletextleft"/>
              <w:jc w:val="right"/>
            </w:pPr>
            <w:r w:rsidRPr="00DE37DF">
              <w:t>10.18</w:t>
            </w:r>
          </w:p>
        </w:tc>
        <w:tc>
          <w:tcPr>
            <w:tcW w:w="982" w:type="dxa"/>
            <w:tcBorders>
              <w:left w:val="nil"/>
              <w:right w:val="nil"/>
            </w:tcBorders>
            <w:vAlign w:val="bottom"/>
          </w:tcPr>
          <w:p w:rsidR="009543DB" w:rsidRPr="00DE37DF" w:rsidRDefault="009543DB" w:rsidP="009543DB">
            <w:pPr>
              <w:pStyle w:val="Tabletextleft"/>
              <w:jc w:val="right"/>
            </w:pPr>
            <w:r w:rsidRPr="00DE37DF">
              <w:t>9.99</w:t>
            </w:r>
          </w:p>
        </w:tc>
        <w:tc>
          <w:tcPr>
            <w:tcW w:w="983" w:type="dxa"/>
            <w:tcBorders>
              <w:left w:val="nil"/>
              <w:right w:val="nil"/>
            </w:tcBorders>
            <w:vAlign w:val="bottom"/>
          </w:tcPr>
          <w:p w:rsidR="009543DB" w:rsidRPr="00DE37DF" w:rsidRDefault="009543DB" w:rsidP="009543DB">
            <w:pPr>
              <w:pStyle w:val="Tabletextleft"/>
              <w:jc w:val="right"/>
            </w:pPr>
            <w:r w:rsidRPr="00DE37DF">
              <w:t>9.65</w:t>
            </w:r>
          </w:p>
        </w:tc>
        <w:tc>
          <w:tcPr>
            <w:tcW w:w="982" w:type="dxa"/>
            <w:tcBorders>
              <w:left w:val="nil"/>
              <w:right w:val="nil"/>
            </w:tcBorders>
            <w:vAlign w:val="bottom"/>
          </w:tcPr>
          <w:p w:rsidR="009543DB" w:rsidRPr="00DE37DF" w:rsidRDefault="009543DB" w:rsidP="009543DB">
            <w:pPr>
              <w:pStyle w:val="Tabletextleft"/>
              <w:jc w:val="right"/>
            </w:pPr>
            <w:r w:rsidRPr="00DE37DF">
              <w:t>9.52</w:t>
            </w:r>
          </w:p>
        </w:tc>
        <w:tc>
          <w:tcPr>
            <w:tcW w:w="982" w:type="dxa"/>
            <w:tcBorders>
              <w:left w:val="nil"/>
              <w:right w:val="nil"/>
            </w:tcBorders>
            <w:vAlign w:val="bottom"/>
          </w:tcPr>
          <w:p w:rsidR="009543DB" w:rsidRPr="00DE37DF" w:rsidRDefault="009543DB" w:rsidP="009543DB">
            <w:pPr>
              <w:pStyle w:val="Tabletextleft"/>
              <w:jc w:val="right"/>
            </w:pPr>
            <w:r w:rsidRPr="00DE37DF">
              <w:t>9.47</w:t>
            </w:r>
          </w:p>
        </w:tc>
        <w:tc>
          <w:tcPr>
            <w:tcW w:w="982" w:type="dxa"/>
            <w:tcBorders>
              <w:left w:val="nil"/>
              <w:right w:val="nil"/>
            </w:tcBorders>
            <w:vAlign w:val="bottom"/>
          </w:tcPr>
          <w:p w:rsidR="009543DB" w:rsidRPr="00DE37DF" w:rsidRDefault="009543DB" w:rsidP="009543DB">
            <w:pPr>
              <w:pStyle w:val="Tabletextleft"/>
              <w:jc w:val="right"/>
            </w:pPr>
            <w:r w:rsidRPr="00DE37DF">
              <w:t>9.84</w:t>
            </w:r>
          </w:p>
        </w:tc>
        <w:tc>
          <w:tcPr>
            <w:tcW w:w="983" w:type="dxa"/>
            <w:tcBorders>
              <w:left w:val="nil"/>
              <w:right w:val="nil"/>
            </w:tcBorders>
            <w:vAlign w:val="bottom"/>
          </w:tcPr>
          <w:p w:rsidR="009543DB" w:rsidRPr="00DE37DF" w:rsidRDefault="009543DB" w:rsidP="009543DB">
            <w:pPr>
              <w:pStyle w:val="Tabletextleft"/>
              <w:jc w:val="right"/>
            </w:pPr>
            <w:r w:rsidRPr="00DE37DF">
              <w:t>9.47</w:t>
            </w:r>
          </w:p>
        </w:tc>
        <w:tc>
          <w:tcPr>
            <w:tcW w:w="982" w:type="dxa"/>
            <w:tcBorders>
              <w:left w:val="nil"/>
              <w:right w:val="nil"/>
            </w:tcBorders>
            <w:vAlign w:val="bottom"/>
          </w:tcPr>
          <w:p w:rsidR="009543DB" w:rsidRPr="00DE37DF" w:rsidRDefault="009543DB" w:rsidP="009543DB">
            <w:pPr>
              <w:pStyle w:val="Tabletextleft"/>
              <w:jc w:val="right"/>
            </w:pPr>
            <w:r w:rsidRPr="00DE37DF">
              <w:t>11.41</w:t>
            </w:r>
          </w:p>
        </w:tc>
        <w:tc>
          <w:tcPr>
            <w:tcW w:w="982" w:type="dxa"/>
            <w:tcBorders>
              <w:left w:val="nil"/>
              <w:right w:val="nil"/>
            </w:tcBorders>
            <w:vAlign w:val="bottom"/>
          </w:tcPr>
          <w:p w:rsidR="009543DB" w:rsidRPr="00DE37DF" w:rsidRDefault="009543DB" w:rsidP="009543DB">
            <w:pPr>
              <w:pStyle w:val="Tabletextleft"/>
              <w:jc w:val="right"/>
            </w:pPr>
            <w:r w:rsidRPr="00DE37DF">
              <w:t>12.69</w:t>
            </w:r>
          </w:p>
        </w:tc>
        <w:tc>
          <w:tcPr>
            <w:tcW w:w="983" w:type="dxa"/>
            <w:tcBorders>
              <w:left w:val="nil"/>
              <w:right w:val="nil"/>
            </w:tcBorders>
            <w:vAlign w:val="bottom"/>
          </w:tcPr>
          <w:p w:rsidR="009543DB" w:rsidRPr="00DE37DF" w:rsidRDefault="009543DB" w:rsidP="009543DB">
            <w:pPr>
              <w:pStyle w:val="Tabletextleft"/>
              <w:jc w:val="right"/>
            </w:pPr>
            <w:r w:rsidRPr="00DE37DF">
              <w:t>12.64</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tcPr>
          <w:p w:rsidR="009543DB" w:rsidRDefault="009543DB" w:rsidP="009543DB">
            <w:pPr>
              <w:pStyle w:val="Tabletextleft"/>
            </w:pPr>
            <w:r>
              <w:t>Security services</w:t>
            </w:r>
          </w:p>
        </w:tc>
        <w:tc>
          <w:tcPr>
            <w:tcW w:w="840" w:type="dxa"/>
            <w:tcBorders>
              <w:left w:val="nil"/>
              <w:right w:val="nil"/>
            </w:tcBorders>
            <w:vAlign w:val="bottom"/>
          </w:tcPr>
          <w:p w:rsidR="009543DB" w:rsidRPr="00DE37DF" w:rsidRDefault="009543DB" w:rsidP="009543DB">
            <w:pPr>
              <w:pStyle w:val="Tabletextleft"/>
              <w:jc w:val="right"/>
            </w:pPr>
            <w:r w:rsidRPr="00DE37DF">
              <w:t>1.59</w:t>
            </w:r>
          </w:p>
        </w:tc>
        <w:tc>
          <w:tcPr>
            <w:tcW w:w="982" w:type="dxa"/>
            <w:tcBorders>
              <w:left w:val="nil"/>
              <w:right w:val="nil"/>
            </w:tcBorders>
            <w:vAlign w:val="bottom"/>
          </w:tcPr>
          <w:p w:rsidR="009543DB" w:rsidRPr="00DE37DF" w:rsidRDefault="009543DB" w:rsidP="009543DB">
            <w:pPr>
              <w:pStyle w:val="Tabletextleft"/>
              <w:jc w:val="right"/>
            </w:pPr>
            <w:r w:rsidRPr="00DE37DF">
              <w:t>1.75</w:t>
            </w:r>
          </w:p>
        </w:tc>
        <w:tc>
          <w:tcPr>
            <w:tcW w:w="982" w:type="dxa"/>
            <w:tcBorders>
              <w:left w:val="nil"/>
              <w:right w:val="nil"/>
            </w:tcBorders>
            <w:vAlign w:val="bottom"/>
          </w:tcPr>
          <w:p w:rsidR="009543DB" w:rsidRPr="00DE37DF" w:rsidRDefault="009543DB" w:rsidP="009543DB">
            <w:pPr>
              <w:pStyle w:val="Tabletextleft"/>
              <w:jc w:val="right"/>
            </w:pPr>
            <w:r w:rsidRPr="00DE37DF">
              <w:t>1.70</w:t>
            </w:r>
          </w:p>
        </w:tc>
        <w:tc>
          <w:tcPr>
            <w:tcW w:w="983" w:type="dxa"/>
            <w:tcBorders>
              <w:left w:val="nil"/>
              <w:right w:val="nil"/>
            </w:tcBorders>
            <w:vAlign w:val="bottom"/>
          </w:tcPr>
          <w:p w:rsidR="009543DB" w:rsidRPr="00DE37DF" w:rsidRDefault="009543DB" w:rsidP="009543DB">
            <w:pPr>
              <w:pStyle w:val="Tabletextleft"/>
              <w:jc w:val="right"/>
            </w:pPr>
            <w:r w:rsidRPr="00DE37DF">
              <w:t>1.58</w:t>
            </w:r>
          </w:p>
        </w:tc>
        <w:tc>
          <w:tcPr>
            <w:tcW w:w="982" w:type="dxa"/>
            <w:tcBorders>
              <w:left w:val="nil"/>
              <w:right w:val="nil"/>
            </w:tcBorders>
            <w:vAlign w:val="bottom"/>
          </w:tcPr>
          <w:p w:rsidR="009543DB" w:rsidRPr="00DE37DF" w:rsidRDefault="009543DB" w:rsidP="009543DB">
            <w:pPr>
              <w:pStyle w:val="Tabletextleft"/>
              <w:jc w:val="right"/>
            </w:pPr>
            <w:r w:rsidRPr="00DE37DF">
              <w:t>1.62</w:t>
            </w:r>
          </w:p>
        </w:tc>
        <w:tc>
          <w:tcPr>
            <w:tcW w:w="982" w:type="dxa"/>
            <w:tcBorders>
              <w:left w:val="nil"/>
              <w:right w:val="nil"/>
            </w:tcBorders>
            <w:vAlign w:val="bottom"/>
          </w:tcPr>
          <w:p w:rsidR="009543DB" w:rsidRPr="00DE37DF" w:rsidRDefault="009543DB" w:rsidP="009543DB">
            <w:pPr>
              <w:pStyle w:val="Tabletextleft"/>
              <w:jc w:val="right"/>
            </w:pPr>
            <w:r w:rsidRPr="00DE37DF">
              <w:t>1.60</w:t>
            </w:r>
          </w:p>
        </w:tc>
        <w:tc>
          <w:tcPr>
            <w:tcW w:w="982" w:type="dxa"/>
            <w:tcBorders>
              <w:left w:val="nil"/>
              <w:right w:val="nil"/>
            </w:tcBorders>
            <w:vAlign w:val="bottom"/>
          </w:tcPr>
          <w:p w:rsidR="009543DB" w:rsidRPr="00DE37DF" w:rsidRDefault="009543DB" w:rsidP="009543DB">
            <w:pPr>
              <w:pStyle w:val="Tabletextleft"/>
              <w:jc w:val="right"/>
            </w:pPr>
            <w:r w:rsidRPr="00DE37DF">
              <w:t>1.80</w:t>
            </w:r>
          </w:p>
        </w:tc>
        <w:tc>
          <w:tcPr>
            <w:tcW w:w="983" w:type="dxa"/>
            <w:tcBorders>
              <w:left w:val="nil"/>
              <w:right w:val="nil"/>
            </w:tcBorders>
            <w:vAlign w:val="bottom"/>
          </w:tcPr>
          <w:p w:rsidR="009543DB" w:rsidRPr="00DE37DF" w:rsidRDefault="009543DB" w:rsidP="009543DB">
            <w:pPr>
              <w:pStyle w:val="Tabletextleft"/>
              <w:jc w:val="right"/>
            </w:pPr>
            <w:r w:rsidRPr="00DE37DF">
              <w:t>1.55</w:t>
            </w:r>
          </w:p>
        </w:tc>
        <w:tc>
          <w:tcPr>
            <w:tcW w:w="982" w:type="dxa"/>
            <w:tcBorders>
              <w:left w:val="nil"/>
              <w:right w:val="nil"/>
            </w:tcBorders>
            <w:vAlign w:val="bottom"/>
          </w:tcPr>
          <w:p w:rsidR="009543DB" w:rsidRPr="00DE37DF" w:rsidRDefault="009543DB" w:rsidP="009543DB">
            <w:pPr>
              <w:pStyle w:val="Tabletextleft"/>
              <w:jc w:val="right"/>
            </w:pPr>
            <w:r w:rsidRPr="00DE37DF">
              <w:t>1.58</w:t>
            </w:r>
          </w:p>
        </w:tc>
        <w:tc>
          <w:tcPr>
            <w:tcW w:w="982" w:type="dxa"/>
            <w:tcBorders>
              <w:left w:val="nil"/>
              <w:right w:val="nil"/>
            </w:tcBorders>
            <w:vAlign w:val="bottom"/>
          </w:tcPr>
          <w:p w:rsidR="009543DB" w:rsidRPr="00DE37DF" w:rsidRDefault="009543DB" w:rsidP="009543DB">
            <w:pPr>
              <w:pStyle w:val="Tabletextleft"/>
              <w:jc w:val="right"/>
            </w:pPr>
            <w:r w:rsidRPr="00DE37DF">
              <w:t>1.73</w:t>
            </w:r>
          </w:p>
        </w:tc>
        <w:tc>
          <w:tcPr>
            <w:tcW w:w="983" w:type="dxa"/>
            <w:tcBorders>
              <w:left w:val="nil"/>
              <w:right w:val="nil"/>
            </w:tcBorders>
            <w:vAlign w:val="bottom"/>
          </w:tcPr>
          <w:p w:rsidR="009543DB" w:rsidRPr="00DE37DF" w:rsidRDefault="009543DB" w:rsidP="009543DB">
            <w:pPr>
              <w:pStyle w:val="Tabletextleft"/>
              <w:jc w:val="right"/>
            </w:pPr>
            <w:r w:rsidRPr="00DE37DF">
              <w:t>1.84</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Operating expenses per passenger ($)</w:t>
            </w:r>
          </w:p>
        </w:tc>
        <w:tc>
          <w:tcPr>
            <w:tcW w:w="1843" w:type="dxa"/>
            <w:tcBorders>
              <w:left w:val="nil"/>
              <w:right w:val="nil"/>
            </w:tcBorders>
          </w:tcPr>
          <w:p w:rsidR="009543DB" w:rsidRDefault="009543DB" w:rsidP="009543DB">
            <w:pPr>
              <w:pStyle w:val="Tabletextleft"/>
            </w:pPr>
            <w:r>
              <w:t>Total aeronautical</w:t>
            </w:r>
          </w:p>
        </w:tc>
        <w:tc>
          <w:tcPr>
            <w:tcW w:w="840" w:type="dxa"/>
            <w:tcBorders>
              <w:left w:val="nil"/>
              <w:right w:val="nil"/>
            </w:tcBorders>
            <w:vAlign w:val="bottom"/>
          </w:tcPr>
          <w:p w:rsidR="009543DB" w:rsidRPr="00DE37DF" w:rsidRDefault="009543DB" w:rsidP="009543DB">
            <w:pPr>
              <w:pStyle w:val="Tabletextleft"/>
              <w:jc w:val="right"/>
            </w:pPr>
            <w:r w:rsidRPr="00DE37DF">
              <w:t>6.36</w:t>
            </w:r>
          </w:p>
        </w:tc>
        <w:tc>
          <w:tcPr>
            <w:tcW w:w="982" w:type="dxa"/>
            <w:tcBorders>
              <w:left w:val="nil"/>
              <w:right w:val="nil"/>
            </w:tcBorders>
            <w:vAlign w:val="bottom"/>
          </w:tcPr>
          <w:p w:rsidR="009543DB" w:rsidRPr="00DE37DF" w:rsidRDefault="009543DB" w:rsidP="009543DB">
            <w:pPr>
              <w:pStyle w:val="Tabletextleft"/>
              <w:jc w:val="right"/>
            </w:pPr>
            <w:r w:rsidRPr="00DE37DF">
              <w:t>6.53</w:t>
            </w:r>
          </w:p>
        </w:tc>
        <w:tc>
          <w:tcPr>
            <w:tcW w:w="982" w:type="dxa"/>
            <w:tcBorders>
              <w:left w:val="nil"/>
              <w:right w:val="nil"/>
            </w:tcBorders>
            <w:vAlign w:val="bottom"/>
          </w:tcPr>
          <w:p w:rsidR="009543DB" w:rsidRPr="00DE37DF" w:rsidRDefault="009543DB" w:rsidP="009543DB">
            <w:pPr>
              <w:pStyle w:val="Tabletextleft"/>
              <w:jc w:val="right"/>
            </w:pPr>
            <w:r w:rsidRPr="00DE37DF">
              <w:t>6.30</w:t>
            </w:r>
          </w:p>
        </w:tc>
        <w:tc>
          <w:tcPr>
            <w:tcW w:w="983" w:type="dxa"/>
            <w:tcBorders>
              <w:left w:val="nil"/>
              <w:right w:val="nil"/>
            </w:tcBorders>
            <w:vAlign w:val="bottom"/>
          </w:tcPr>
          <w:p w:rsidR="009543DB" w:rsidRPr="00DE37DF" w:rsidRDefault="009543DB" w:rsidP="009543DB">
            <w:pPr>
              <w:pStyle w:val="Tabletextleft"/>
              <w:jc w:val="right"/>
            </w:pPr>
            <w:r w:rsidRPr="00DE37DF">
              <w:t>4.93</w:t>
            </w:r>
          </w:p>
        </w:tc>
        <w:tc>
          <w:tcPr>
            <w:tcW w:w="982" w:type="dxa"/>
            <w:tcBorders>
              <w:left w:val="nil"/>
              <w:right w:val="nil"/>
            </w:tcBorders>
            <w:vAlign w:val="bottom"/>
          </w:tcPr>
          <w:p w:rsidR="009543DB" w:rsidRPr="00DE37DF" w:rsidRDefault="009543DB" w:rsidP="009543DB">
            <w:pPr>
              <w:pStyle w:val="Tabletextleft"/>
              <w:jc w:val="right"/>
            </w:pPr>
            <w:r w:rsidRPr="00DE37DF">
              <w:t>5.66</w:t>
            </w:r>
          </w:p>
        </w:tc>
        <w:tc>
          <w:tcPr>
            <w:tcW w:w="982" w:type="dxa"/>
            <w:tcBorders>
              <w:left w:val="nil"/>
              <w:right w:val="nil"/>
            </w:tcBorders>
            <w:vAlign w:val="bottom"/>
          </w:tcPr>
          <w:p w:rsidR="009543DB" w:rsidRPr="00DE37DF" w:rsidRDefault="009543DB" w:rsidP="009543DB">
            <w:pPr>
              <w:pStyle w:val="Tabletextleft"/>
              <w:jc w:val="right"/>
            </w:pPr>
            <w:r w:rsidRPr="00DE37DF">
              <w:t>5.75</w:t>
            </w:r>
          </w:p>
        </w:tc>
        <w:tc>
          <w:tcPr>
            <w:tcW w:w="982" w:type="dxa"/>
            <w:tcBorders>
              <w:left w:val="nil"/>
              <w:right w:val="nil"/>
            </w:tcBorders>
            <w:vAlign w:val="bottom"/>
          </w:tcPr>
          <w:p w:rsidR="009543DB" w:rsidRPr="00DE37DF" w:rsidRDefault="009543DB" w:rsidP="009543DB">
            <w:pPr>
              <w:pStyle w:val="Tabletextleft"/>
              <w:jc w:val="right"/>
            </w:pPr>
            <w:r w:rsidRPr="00DE37DF">
              <w:t>5.95</w:t>
            </w:r>
          </w:p>
        </w:tc>
        <w:tc>
          <w:tcPr>
            <w:tcW w:w="983" w:type="dxa"/>
            <w:tcBorders>
              <w:left w:val="nil"/>
              <w:right w:val="nil"/>
            </w:tcBorders>
            <w:vAlign w:val="bottom"/>
          </w:tcPr>
          <w:p w:rsidR="009543DB" w:rsidRPr="00DE37DF" w:rsidRDefault="009543DB" w:rsidP="009543DB">
            <w:pPr>
              <w:pStyle w:val="Tabletextleft"/>
              <w:jc w:val="right"/>
            </w:pPr>
            <w:r w:rsidRPr="00DE37DF">
              <w:t>6.14</w:t>
            </w:r>
          </w:p>
        </w:tc>
        <w:tc>
          <w:tcPr>
            <w:tcW w:w="982" w:type="dxa"/>
            <w:tcBorders>
              <w:left w:val="nil"/>
              <w:right w:val="nil"/>
            </w:tcBorders>
            <w:vAlign w:val="bottom"/>
          </w:tcPr>
          <w:p w:rsidR="009543DB" w:rsidRPr="00DE37DF" w:rsidRDefault="009543DB" w:rsidP="009543DB">
            <w:pPr>
              <w:pStyle w:val="Tabletextleft"/>
              <w:jc w:val="right"/>
            </w:pPr>
            <w:r w:rsidRPr="00DE37DF">
              <w:t>6.58</w:t>
            </w:r>
          </w:p>
        </w:tc>
        <w:tc>
          <w:tcPr>
            <w:tcW w:w="982" w:type="dxa"/>
            <w:tcBorders>
              <w:left w:val="nil"/>
              <w:right w:val="nil"/>
            </w:tcBorders>
            <w:vAlign w:val="bottom"/>
          </w:tcPr>
          <w:p w:rsidR="009543DB" w:rsidRPr="00DE37DF" w:rsidRDefault="009543DB" w:rsidP="009543DB">
            <w:pPr>
              <w:pStyle w:val="Tabletextleft"/>
              <w:jc w:val="right"/>
            </w:pPr>
            <w:r w:rsidRPr="00DE37DF">
              <w:t>7.13</w:t>
            </w:r>
          </w:p>
        </w:tc>
        <w:tc>
          <w:tcPr>
            <w:tcW w:w="983" w:type="dxa"/>
            <w:tcBorders>
              <w:left w:val="nil"/>
              <w:right w:val="nil"/>
            </w:tcBorders>
            <w:vAlign w:val="bottom"/>
          </w:tcPr>
          <w:p w:rsidR="009543DB" w:rsidRPr="00DE37DF" w:rsidRDefault="009543DB" w:rsidP="009543DB">
            <w:pPr>
              <w:pStyle w:val="Tabletextleft"/>
              <w:jc w:val="right"/>
            </w:pPr>
            <w:r w:rsidRPr="00DE37DF">
              <w:t>7.56</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vAlign w:val="center"/>
          </w:tcPr>
          <w:p w:rsidR="009543DB" w:rsidRPr="00434D61" w:rsidRDefault="009543DB" w:rsidP="009543DB">
            <w:pPr>
              <w:pStyle w:val="Tabletext-centred"/>
            </w:pPr>
            <w:r w:rsidRPr="00434D61">
              <w:t xml:space="preserve">Security </w:t>
            </w:r>
            <w:r>
              <w:t>s</w:t>
            </w:r>
            <w:r w:rsidRPr="00434D61">
              <w:t>ervices</w:t>
            </w:r>
          </w:p>
        </w:tc>
        <w:tc>
          <w:tcPr>
            <w:tcW w:w="840" w:type="dxa"/>
            <w:tcBorders>
              <w:left w:val="nil"/>
              <w:right w:val="nil"/>
            </w:tcBorders>
            <w:vAlign w:val="bottom"/>
          </w:tcPr>
          <w:p w:rsidR="009543DB" w:rsidRPr="00DE37DF" w:rsidRDefault="009543DB" w:rsidP="009543DB">
            <w:pPr>
              <w:pStyle w:val="Tabletextleft"/>
              <w:jc w:val="right"/>
            </w:pPr>
            <w:r w:rsidRPr="00DE37DF">
              <w:t>1.68</w:t>
            </w:r>
          </w:p>
        </w:tc>
        <w:tc>
          <w:tcPr>
            <w:tcW w:w="982" w:type="dxa"/>
            <w:tcBorders>
              <w:left w:val="nil"/>
              <w:right w:val="nil"/>
            </w:tcBorders>
            <w:vAlign w:val="bottom"/>
          </w:tcPr>
          <w:p w:rsidR="009543DB" w:rsidRPr="00DE37DF" w:rsidRDefault="009543DB" w:rsidP="009543DB">
            <w:pPr>
              <w:pStyle w:val="Tabletextleft"/>
              <w:jc w:val="right"/>
            </w:pPr>
            <w:r w:rsidRPr="00DE37DF">
              <w:t>1.68</w:t>
            </w:r>
          </w:p>
        </w:tc>
        <w:tc>
          <w:tcPr>
            <w:tcW w:w="982" w:type="dxa"/>
            <w:tcBorders>
              <w:left w:val="nil"/>
              <w:right w:val="nil"/>
            </w:tcBorders>
            <w:vAlign w:val="bottom"/>
          </w:tcPr>
          <w:p w:rsidR="009543DB" w:rsidRPr="00DE37DF" w:rsidRDefault="009543DB" w:rsidP="009543DB">
            <w:pPr>
              <w:pStyle w:val="Tabletextleft"/>
              <w:jc w:val="right"/>
            </w:pPr>
            <w:r w:rsidRPr="00DE37DF">
              <w:t>1.43</w:t>
            </w:r>
          </w:p>
        </w:tc>
        <w:tc>
          <w:tcPr>
            <w:tcW w:w="983" w:type="dxa"/>
            <w:tcBorders>
              <w:left w:val="nil"/>
              <w:right w:val="nil"/>
            </w:tcBorders>
            <w:vAlign w:val="bottom"/>
          </w:tcPr>
          <w:p w:rsidR="009543DB" w:rsidRPr="00DE37DF" w:rsidRDefault="009543DB" w:rsidP="009543DB">
            <w:pPr>
              <w:pStyle w:val="Tabletextleft"/>
              <w:jc w:val="right"/>
            </w:pPr>
            <w:r w:rsidRPr="00DE37DF">
              <w:t>1.58</w:t>
            </w:r>
          </w:p>
        </w:tc>
        <w:tc>
          <w:tcPr>
            <w:tcW w:w="982" w:type="dxa"/>
            <w:tcBorders>
              <w:left w:val="nil"/>
              <w:right w:val="nil"/>
            </w:tcBorders>
            <w:vAlign w:val="bottom"/>
          </w:tcPr>
          <w:p w:rsidR="009543DB" w:rsidRPr="00DE37DF" w:rsidRDefault="009543DB" w:rsidP="009543DB">
            <w:pPr>
              <w:pStyle w:val="Tabletextleft"/>
              <w:jc w:val="right"/>
            </w:pPr>
            <w:r w:rsidRPr="00DE37DF">
              <w:t>1.62</w:t>
            </w:r>
          </w:p>
        </w:tc>
        <w:tc>
          <w:tcPr>
            <w:tcW w:w="982" w:type="dxa"/>
            <w:tcBorders>
              <w:left w:val="nil"/>
              <w:right w:val="nil"/>
            </w:tcBorders>
            <w:vAlign w:val="bottom"/>
          </w:tcPr>
          <w:p w:rsidR="009543DB" w:rsidRPr="00DE37DF" w:rsidRDefault="009543DB" w:rsidP="009543DB">
            <w:pPr>
              <w:pStyle w:val="Tabletextleft"/>
              <w:jc w:val="right"/>
            </w:pPr>
            <w:r w:rsidRPr="00DE37DF">
              <w:t>1.50</w:t>
            </w:r>
          </w:p>
        </w:tc>
        <w:tc>
          <w:tcPr>
            <w:tcW w:w="982" w:type="dxa"/>
            <w:tcBorders>
              <w:left w:val="nil"/>
              <w:right w:val="nil"/>
            </w:tcBorders>
            <w:vAlign w:val="bottom"/>
          </w:tcPr>
          <w:p w:rsidR="009543DB" w:rsidRPr="00DE37DF" w:rsidRDefault="009543DB" w:rsidP="009543DB">
            <w:pPr>
              <w:pStyle w:val="Tabletextleft"/>
              <w:jc w:val="right"/>
            </w:pPr>
            <w:r w:rsidRPr="00DE37DF">
              <w:t>1.75</w:t>
            </w:r>
          </w:p>
        </w:tc>
        <w:tc>
          <w:tcPr>
            <w:tcW w:w="983" w:type="dxa"/>
            <w:tcBorders>
              <w:left w:val="nil"/>
              <w:right w:val="nil"/>
            </w:tcBorders>
            <w:vAlign w:val="bottom"/>
          </w:tcPr>
          <w:p w:rsidR="009543DB" w:rsidRPr="00DE37DF" w:rsidRDefault="009543DB" w:rsidP="009543DB">
            <w:pPr>
              <w:pStyle w:val="Tabletextleft"/>
              <w:jc w:val="right"/>
            </w:pPr>
            <w:r w:rsidRPr="00DE37DF">
              <w:t>1.62</w:t>
            </w:r>
          </w:p>
        </w:tc>
        <w:tc>
          <w:tcPr>
            <w:tcW w:w="982" w:type="dxa"/>
            <w:tcBorders>
              <w:left w:val="nil"/>
              <w:right w:val="nil"/>
            </w:tcBorders>
            <w:vAlign w:val="bottom"/>
          </w:tcPr>
          <w:p w:rsidR="009543DB" w:rsidRPr="00DE37DF" w:rsidRDefault="009543DB" w:rsidP="009543DB">
            <w:pPr>
              <w:pStyle w:val="Tabletextleft"/>
              <w:jc w:val="right"/>
            </w:pPr>
            <w:r w:rsidRPr="00DE37DF">
              <w:t>1.65</w:t>
            </w:r>
          </w:p>
        </w:tc>
        <w:tc>
          <w:tcPr>
            <w:tcW w:w="982" w:type="dxa"/>
            <w:tcBorders>
              <w:left w:val="nil"/>
              <w:right w:val="nil"/>
            </w:tcBorders>
            <w:vAlign w:val="bottom"/>
          </w:tcPr>
          <w:p w:rsidR="009543DB" w:rsidRPr="00DE37DF" w:rsidRDefault="009543DB" w:rsidP="009543DB">
            <w:pPr>
              <w:pStyle w:val="Tabletextleft"/>
              <w:jc w:val="right"/>
            </w:pPr>
            <w:r w:rsidRPr="00DE37DF">
              <w:t>1.93</w:t>
            </w:r>
          </w:p>
        </w:tc>
        <w:tc>
          <w:tcPr>
            <w:tcW w:w="983" w:type="dxa"/>
            <w:tcBorders>
              <w:left w:val="nil"/>
              <w:right w:val="nil"/>
            </w:tcBorders>
            <w:vAlign w:val="bottom"/>
          </w:tcPr>
          <w:p w:rsidR="009543DB" w:rsidRPr="00DE37DF" w:rsidRDefault="009543DB" w:rsidP="009543DB">
            <w:pPr>
              <w:pStyle w:val="Tabletextleft"/>
              <w:jc w:val="right"/>
            </w:pPr>
            <w:r w:rsidRPr="00DE37DF">
              <w:t>2.04</w:t>
            </w:r>
          </w:p>
        </w:tc>
      </w:tr>
      <w:tr w:rsidR="009543DB" w:rsidTr="009543DB">
        <w:tc>
          <w:tcPr>
            <w:tcW w:w="1526" w:type="dxa"/>
            <w:vMerge w:val="restart"/>
            <w:tcBorders>
              <w:left w:val="nil"/>
              <w:right w:val="nil"/>
            </w:tcBorders>
            <w:vAlign w:val="center"/>
          </w:tcPr>
          <w:p w:rsidR="009543DB" w:rsidRDefault="009543DB" w:rsidP="009543DB">
            <w:pPr>
              <w:pStyle w:val="Tabletextleft-centred"/>
            </w:pPr>
            <w:r>
              <w:t>Aggregate margin per passenger ($)</w:t>
            </w:r>
          </w:p>
        </w:tc>
        <w:tc>
          <w:tcPr>
            <w:tcW w:w="1843" w:type="dxa"/>
            <w:tcBorders>
              <w:left w:val="nil"/>
              <w:right w:val="nil"/>
            </w:tcBorders>
          </w:tcPr>
          <w:p w:rsidR="009543DB" w:rsidRDefault="009543DB" w:rsidP="009543DB">
            <w:pPr>
              <w:pStyle w:val="Tabletextleft"/>
            </w:pPr>
            <w:r>
              <w:t>Total aeronautical</w:t>
            </w:r>
          </w:p>
        </w:tc>
        <w:tc>
          <w:tcPr>
            <w:tcW w:w="840" w:type="dxa"/>
            <w:tcBorders>
              <w:left w:val="nil"/>
              <w:right w:val="nil"/>
            </w:tcBorders>
            <w:vAlign w:val="bottom"/>
          </w:tcPr>
          <w:p w:rsidR="009543DB" w:rsidRPr="00DE37DF" w:rsidRDefault="009543DB" w:rsidP="009543DB">
            <w:pPr>
              <w:pStyle w:val="Tabletextleft"/>
              <w:jc w:val="right"/>
            </w:pPr>
            <w:r w:rsidRPr="00DE37DF">
              <w:t>3.64</w:t>
            </w:r>
          </w:p>
        </w:tc>
        <w:tc>
          <w:tcPr>
            <w:tcW w:w="982" w:type="dxa"/>
            <w:tcBorders>
              <w:left w:val="nil"/>
              <w:right w:val="nil"/>
            </w:tcBorders>
            <w:vAlign w:val="bottom"/>
          </w:tcPr>
          <w:p w:rsidR="009543DB" w:rsidRPr="00DE37DF" w:rsidRDefault="009543DB" w:rsidP="009543DB">
            <w:pPr>
              <w:pStyle w:val="Tabletextleft"/>
              <w:jc w:val="right"/>
            </w:pPr>
            <w:r w:rsidRPr="00DE37DF">
              <w:t>3.65</w:t>
            </w:r>
          </w:p>
        </w:tc>
        <w:tc>
          <w:tcPr>
            <w:tcW w:w="982" w:type="dxa"/>
            <w:tcBorders>
              <w:left w:val="nil"/>
              <w:right w:val="nil"/>
            </w:tcBorders>
            <w:vAlign w:val="bottom"/>
          </w:tcPr>
          <w:p w:rsidR="009543DB" w:rsidRPr="00DE37DF" w:rsidRDefault="009543DB" w:rsidP="009543DB">
            <w:pPr>
              <w:pStyle w:val="Tabletextleft"/>
              <w:jc w:val="right"/>
            </w:pPr>
            <w:r w:rsidRPr="00DE37DF">
              <w:t>3.69</w:t>
            </w:r>
          </w:p>
        </w:tc>
        <w:tc>
          <w:tcPr>
            <w:tcW w:w="983" w:type="dxa"/>
            <w:tcBorders>
              <w:left w:val="nil"/>
              <w:right w:val="nil"/>
            </w:tcBorders>
            <w:vAlign w:val="bottom"/>
          </w:tcPr>
          <w:p w:rsidR="009543DB" w:rsidRPr="00DE37DF" w:rsidRDefault="009543DB" w:rsidP="009543DB">
            <w:pPr>
              <w:pStyle w:val="Tabletextleft"/>
              <w:jc w:val="right"/>
            </w:pPr>
            <w:r w:rsidRPr="00DE37DF">
              <w:t>4.72</w:t>
            </w:r>
          </w:p>
        </w:tc>
        <w:tc>
          <w:tcPr>
            <w:tcW w:w="982" w:type="dxa"/>
            <w:tcBorders>
              <w:left w:val="nil"/>
              <w:right w:val="nil"/>
            </w:tcBorders>
            <w:vAlign w:val="bottom"/>
          </w:tcPr>
          <w:p w:rsidR="009543DB" w:rsidRPr="00DE37DF" w:rsidRDefault="009543DB" w:rsidP="009543DB">
            <w:pPr>
              <w:pStyle w:val="Tabletextleft"/>
              <w:jc w:val="right"/>
            </w:pPr>
            <w:r w:rsidRPr="00DE37DF">
              <w:t>3.86</w:t>
            </w:r>
          </w:p>
        </w:tc>
        <w:tc>
          <w:tcPr>
            <w:tcW w:w="982" w:type="dxa"/>
            <w:tcBorders>
              <w:left w:val="nil"/>
              <w:right w:val="nil"/>
            </w:tcBorders>
            <w:vAlign w:val="bottom"/>
          </w:tcPr>
          <w:p w:rsidR="009543DB" w:rsidRPr="00DE37DF" w:rsidRDefault="009543DB" w:rsidP="009543DB">
            <w:pPr>
              <w:pStyle w:val="Tabletextleft"/>
              <w:jc w:val="right"/>
            </w:pPr>
            <w:r w:rsidRPr="00DE37DF">
              <w:t>3.71</w:t>
            </w:r>
          </w:p>
        </w:tc>
        <w:tc>
          <w:tcPr>
            <w:tcW w:w="982" w:type="dxa"/>
            <w:tcBorders>
              <w:left w:val="nil"/>
              <w:right w:val="nil"/>
            </w:tcBorders>
            <w:vAlign w:val="bottom"/>
          </w:tcPr>
          <w:p w:rsidR="009543DB" w:rsidRPr="00DE37DF" w:rsidRDefault="009543DB" w:rsidP="009543DB">
            <w:pPr>
              <w:pStyle w:val="Tabletextleft"/>
              <w:jc w:val="right"/>
            </w:pPr>
            <w:r w:rsidRPr="00DE37DF">
              <w:t>3.90</w:t>
            </w:r>
          </w:p>
        </w:tc>
        <w:tc>
          <w:tcPr>
            <w:tcW w:w="983" w:type="dxa"/>
            <w:tcBorders>
              <w:left w:val="nil"/>
              <w:right w:val="nil"/>
            </w:tcBorders>
            <w:vAlign w:val="bottom"/>
          </w:tcPr>
          <w:p w:rsidR="009543DB" w:rsidRPr="00DE37DF" w:rsidRDefault="009543DB" w:rsidP="009543DB">
            <w:pPr>
              <w:pStyle w:val="Tabletextleft"/>
              <w:jc w:val="right"/>
            </w:pPr>
            <w:r w:rsidRPr="00DE37DF">
              <w:t>3.33</w:t>
            </w:r>
          </w:p>
        </w:tc>
        <w:tc>
          <w:tcPr>
            <w:tcW w:w="982" w:type="dxa"/>
            <w:tcBorders>
              <w:left w:val="nil"/>
              <w:right w:val="nil"/>
            </w:tcBorders>
            <w:vAlign w:val="bottom"/>
          </w:tcPr>
          <w:p w:rsidR="009543DB" w:rsidRPr="00DE37DF" w:rsidRDefault="009543DB" w:rsidP="009543DB">
            <w:pPr>
              <w:pStyle w:val="Tabletextleft"/>
              <w:jc w:val="right"/>
            </w:pPr>
            <w:r w:rsidRPr="00DE37DF">
              <w:t>4.83</w:t>
            </w:r>
          </w:p>
        </w:tc>
        <w:tc>
          <w:tcPr>
            <w:tcW w:w="982" w:type="dxa"/>
            <w:tcBorders>
              <w:left w:val="nil"/>
              <w:right w:val="nil"/>
            </w:tcBorders>
            <w:vAlign w:val="bottom"/>
          </w:tcPr>
          <w:p w:rsidR="009543DB" w:rsidRPr="00DE37DF" w:rsidRDefault="009543DB" w:rsidP="009543DB">
            <w:pPr>
              <w:pStyle w:val="Tabletextleft"/>
              <w:jc w:val="right"/>
            </w:pPr>
            <w:r w:rsidRPr="00DE37DF">
              <w:t>5.56</w:t>
            </w:r>
          </w:p>
        </w:tc>
        <w:tc>
          <w:tcPr>
            <w:tcW w:w="983" w:type="dxa"/>
            <w:tcBorders>
              <w:left w:val="nil"/>
              <w:right w:val="nil"/>
            </w:tcBorders>
            <w:vAlign w:val="bottom"/>
          </w:tcPr>
          <w:p w:rsidR="009543DB" w:rsidRPr="00DE37DF" w:rsidRDefault="009543DB" w:rsidP="009543DB">
            <w:pPr>
              <w:pStyle w:val="Tabletextleft"/>
              <w:jc w:val="right"/>
            </w:pPr>
            <w:r w:rsidRPr="00DE37DF">
              <w:t>5.08</w:t>
            </w:r>
          </w:p>
        </w:tc>
      </w:tr>
      <w:tr w:rsidR="009543DB" w:rsidTr="009543DB">
        <w:tc>
          <w:tcPr>
            <w:tcW w:w="1526" w:type="dxa"/>
            <w:vMerge/>
            <w:tcBorders>
              <w:left w:val="nil"/>
              <w:right w:val="nil"/>
            </w:tcBorders>
          </w:tcPr>
          <w:p w:rsidR="009543DB" w:rsidRDefault="009543DB" w:rsidP="009543DB">
            <w:pPr>
              <w:pStyle w:val="Tabletextheading"/>
            </w:pPr>
          </w:p>
        </w:tc>
        <w:tc>
          <w:tcPr>
            <w:tcW w:w="1843" w:type="dxa"/>
            <w:tcBorders>
              <w:left w:val="nil"/>
              <w:right w:val="nil"/>
            </w:tcBorders>
            <w:vAlign w:val="center"/>
          </w:tcPr>
          <w:p w:rsidR="009543DB" w:rsidRDefault="009543DB" w:rsidP="009543DB">
            <w:pPr>
              <w:pStyle w:val="Tabletext-centred"/>
            </w:pPr>
            <w:r>
              <w:t>Security services</w:t>
            </w:r>
          </w:p>
        </w:tc>
        <w:tc>
          <w:tcPr>
            <w:tcW w:w="840" w:type="dxa"/>
            <w:tcBorders>
              <w:left w:val="nil"/>
              <w:right w:val="nil"/>
            </w:tcBorders>
            <w:vAlign w:val="bottom"/>
          </w:tcPr>
          <w:p w:rsidR="009543DB" w:rsidRPr="00DE37DF" w:rsidRDefault="009543DB" w:rsidP="009543DB">
            <w:pPr>
              <w:pStyle w:val="Tabletextleft"/>
              <w:jc w:val="right"/>
            </w:pPr>
            <w:r w:rsidRPr="00DE37DF">
              <w:t>-0.09</w:t>
            </w:r>
          </w:p>
        </w:tc>
        <w:tc>
          <w:tcPr>
            <w:tcW w:w="982" w:type="dxa"/>
            <w:tcBorders>
              <w:left w:val="nil"/>
              <w:right w:val="nil"/>
            </w:tcBorders>
            <w:vAlign w:val="bottom"/>
          </w:tcPr>
          <w:p w:rsidR="009543DB" w:rsidRPr="00DE37DF" w:rsidRDefault="009543DB" w:rsidP="009543DB">
            <w:pPr>
              <w:pStyle w:val="Tabletextleft"/>
              <w:jc w:val="right"/>
            </w:pPr>
            <w:r w:rsidRPr="00DE37DF">
              <w:t>0.07</w:t>
            </w:r>
          </w:p>
        </w:tc>
        <w:tc>
          <w:tcPr>
            <w:tcW w:w="982" w:type="dxa"/>
            <w:tcBorders>
              <w:left w:val="nil"/>
              <w:right w:val="nil"/>
            </w:tcBorders>
            <w:vAlign w:val="bottom"/>
          </w:tcPr>
          <w:p w:rsidR="009543DB" w:rsidRPr="00DE37DF" w:rsidRDefault="009543DB" w:rsidP="009543DB">
            <w:pPr>
              <w:pStyle w:val="Tabletextleft"/>
              <w:jc w:val="right"/>
            </w:pPr>
            <w:r w:rsidRPr="00DE37DF">
              <w:t>0.27</w:t>
            </w:r>
          </w:p>
        </w:tc>
        <w:tc>
          <w:tcPr>
            <w:tcW w:w="983" w:type="dxa"/>
            <w:tcBorders>
              <w:left w:val="nil"/>
              <w:right w:val="nil"/>
            </w:tcBorders>
            <w:vAlign w:val="bottom"/>
          </w:tcPr>
          <w:p w:rsidR="009543DB" w:rsidRPr="00DE37DF" w:rsidRDefault="009543DB" w:rsidP="009543DB">
            <w:pPr>
              <w:pStyle w:val="Tabletextleft"/>
              <w:jc w:val="right"/>
            </w:pPr>
            <w:r w:rsidRPr="00DE37DF">
              <w:t>0.00</w:t>
            </w:r>
          </w:p>
        </w:tc>
        <w:tc>
          <w:tcPr>
            <w:tcW w:w="982" w:type="dxa"/>
            <w:tcBorders>
              <w:left w:val="nil"/>
              <w:right w:val="nil"/>
            </w:tcBorders>
            <w:vAlign w:val="bottom"/>
          </w:tcPr>
          <w:p w:rsidR="009543DB" w:rsidRPr="00DE37DF" w:rsidRDefault="009543DB" w:rsidP="009543DB">
            <w:pPr>
              <w:pStyle w:val="Tabletextleft"/>
              <w:jc w:val="right"/>
            </w:pPr>
            <w:r w:rsidRPr="00DE37DF">
              <w:t>0.00</w:t>
            </w:r>
          </w:p>
        </w:tc>
        <w:tc>
          <w:tcPr>
            <w:tcW w:w="982" w:type="dxa"/>
            <w:tcBorders>
              <w:left w:val="nil"/>
              <w:right w:val="nil"/>
            </w:tcBorders>
            <w:vAlign w:val="bottom"/>
          </w:tcPr>
          <w:p w:rsidR="009543DB" w:rsidRPr="00DE37DF" w:rsidRDefault="009543DB" w:rsidP="009543DB">
            <w:pPr>
              <w:pStyle w:val="Tabletextleft"/>
              <w:jc w:val="right"/>
            </w:pPr>
            <w:r w:rsidRPr="00DE37DF">
              <w:t>0.09</w:t>
            </w:r>
          </w:p>
        </w:tc>
        <w:tc>
          <w:tcPr>
            <w:tcW w:w="982" w:type="dxa"/>
            <w:tcBorders>
              <w:left w:val="nil"/>
              <w:right w:val="nil"/>
            </w:tcBorders>
            <w:vAlign w:val="bottom"/>
          </w:tcPr>
          <w:p w:rsidR="009543DB" w:rsidRPr="00DE37DF" w:rsidRDefault="009543DB" w:rsidP="009543DB">
            <w:pPr>
              <w:pStyle w:val="Tabletextleft"/>
              <w:jc w:val="right"/>
            </w:pPr>
            <w:r w:rsidRPr="00DE37DF">
              <w:t>0.05</w:t>
            </w:r>
          </w:p>
        </w:tc>
        <w:tc>
          <w:tcPr>
            <w:tcW w:w="983" w:type="dxa"/>
            <w:tcBorders>
              <w:left w:val="nil"/>
              <w:right w:val="nil"/>
            </w:tcBorders>
            <w:vAlign w:val="bottom"/>
          </w:tcPr>
          <w:p w:rsidR="009543DB" w:rsidRPr="00DE37DF" w:rsidRDefault="009543DB" w:rsidP="009543DB">
            <w:pPr>
              <w:pStyle w:val="Tabletextleft"/>
              <w:jc w:val="right"/>
            </w:pPr>
            <w:r>
              <w:t>(</w:t>
            </w:r>
            <w:r w:rsidRPr="00DE37DF">
              <w:t>0.07</w:t>
            </w:r>
            <w:r>
              <w:t>)</w:t>
            </w:r>
          </w:p>
        </w:tc>
        <w:tc>
          <w:tcPr>
            <w:tcW w:w="982" w:type="dxa"/>
            <w:tcBorders>
              <w:left w:val="nil"/>
              <w:right w:val="nil"/>
            </w:tcBorders>
            <w:vAlign w:val="bottom"/>
          </w:tcPr>
          <w:p w:rsidR="009543DB" w:rsidRPr="00DE37DF" w:rsidRDefault="009543DB" w:rsidP="009543DB">
            <w:pPr>
              <w:pStyle w:val="Tabletextleft"/>
              <w:jc w:val="right"/>
            </w:pPr>
            <w:r>
              <w:t>(</w:t>
            </w:r>
            <w:r w:rsidRPr="00DE37DF">
              <w:t>0.08</w:t>
            </w:r>
            <w:r>
              <w:t>)</w:t>
            </w:r>
          </w:p>
        </w:tc>
        <w:tc>
          <w:tcPr>
            <w:tcW w:w="982" w:type="dxa"/>
            <w:tcBorders>
              <w:left w:val="nil"/>
              <w:right w:val="nil"/>
            </w:tcBorders>
            <w:vAlign w:val="bottom"/>
          </w:tcPr>
          <w:p w:rsidR="009543DB" w:rsidRPr="00DE37DF" w:rsidRDefault="009543DB" w:rsidP="009543DB">
            <w:pPr>
              <w:pStyle w:val="Tabletextleft"/>
              <w:jc w:val="right"/>
            </w:pPr>
            <w:r>
              <w:t>(</w:t>
            </w:r>
            <w:r w:rsidRPr="00DE37DF">
              <w:t>0.20</w:t>
            </w:r>
            <w:r>
              <w:t>)</w:t>
            </w:r>
          </w:p>
        </w:tc>
        <w:tc>
          <w:tcPr>
            <w:tcW w:w="983" w:type="dxa"/>
            <w:tcBorders>
              <w:left w:val="nil"/>
              <w:right w:val="nil"/>
            </w:tcBorders>
            <w:vAlign w:val="bottom"/>
          </w:tcPr>
          <w:p w:rsidR="009543DB" w:rsidRPr="00DE37DF" w:rsidRDefault="009543DB" w:rsidP="009543DB">
            <w:pPr>
              <w:pStyle w:val="Tabletextleft"/>
              <w:jc w:val="right"/>
            </w:pPr>
            <w:r>
              <w:t>(</w:t>
            </w:r>
            <w:r w:rsidRPr="00DE37DF">
              <w:t>0.21</w:t>
            </w:r>
            <w:r>
              <w:t>)</w:t>
            </w:r>
          </w:p>
        </w:tc>
      </w:tr>
    </w:tbl>
    <w:p w:rsidR="009543DB" w:rsidRDefault="009543DB" w:rsidP="009543DB">
      <w:pPr>
        <w:pStyle w:val="Sourceandnotes"/>
        <w:sectPr w:rsidR="009543DB" w:rsidSect="009543DB">
          <w:headerReference w:type="even" r:id="rId125"/>
          <w:headerReference w:type="default" r:id="rId126"/>
          <w:footnotePr>
            <w:numStart w:val="93"/>
          </w:footnotePr>
          <w:pgSz w:w="16838" w:h="11906" w:orient="landscape"/>
          <w:pgMar w:top="1191" w:right="1440" w:bottom="1191" w:left="1582" w:header="709" w:footer="709" w:gutter="0"/>
          <w:cols w:space="708"/>
          <w:docGrid w:linePitch="360"/>
        </w:sectPr>
      </w:pPr>
      <w:r>
        <w:t>Note:</w:t>
      </w:r>
      <w:r>
        <w:tab/>
        <w:t>Real values in 2014-15 dollars</w:t>
      </w:r>
    </w:p>
    <w:p w:rsidR="009543DB" w:rsidRPr="0024186B" w:rsidRDefault="009543DB" w:rsidP="009543DB">
      <w:pPr>
        <w:spacing w:before="120" w:after="120"/>
      </w:pPr>
      <w:r>
        <w:lastRenderedPageBreak/>
        <w:t>While Perth Airport’s aeronautical margin decreased during 2014-15, the total airport margin increased by 16.3</w:t>
      </w:r>
      <w:r w:rsidRPr="0024186B">
        <w:t xml:space="preserve"> per cent in real terms to $</w:t>
      </w:r>
      <w:r>
        <w:t>225.8</w:t>
      </w:r>
      <w:r w:rsidRPr="0024186B">
        <w:t xml:space="preserve"> million. </w:t>
      </w:r>
    </w:p>
    <w:p w:rsidR="009543DB" w:rsidRPr="0024186B" w:rsidRDefault="009543DB" w:rsidP="009543DB">
      <w:pPr>
        <w:spacing w:before="120" w:after="120"/>
      </w:pPr>
      <w:r w:rsidRPr="0024186B">
        <w:t>On a per passeng</w:t>
      </w:r>
      <w:r>
        <w:t xml:space="preserve">er basis, aeronautical revenue decreased </w:t>
      </w:r>
      <w:r w:rsidRPr="0024186B">
        <w:t xml:space="preserve">by </w:t>
      </w:r>
      <w:r>
        <w:t>0.4</w:t>
      </w:r>
      <w:r w:rsidRPr="0024186B">
        <w:t xml:space="preserve"> per cent in real terms to $12.</w:t>
      </w:r>
      <w:r>
        <w:t>64</w:t>
      </w:r>
      <w:r w:rsidRPr="0024186B">
        <w:t xml:space="preserve">. </w:t>
      </w:r>
      <w:r>
        <w:t xml:space="preserve">Aeronautical revenue per passenger </w:t>
      </w:r>
      <w:r w:rsidRPr="0024186B">
        <w:t xml:space="preserve">has increased by an </w:t>
      </w:r>
      <w:r>
        <w:t xml:space="preserve">annual </w:t>
      </w:r>
      <w:r w:rsidRPr="0024186B">
        <w:t>average of 2.</w:t>
      </w:r>
      <w:r>
        <w:t>4</w:t>
      </w:r>
      <w:r w:rsidRPr="0024186B">
        <w:t xml:space="preserve"> per cent per year in real terms</w:t>
      </w:r>
      <w:r>
        <w:t xml:space="preserve"> since 2014-05</w:t>
      </w:r>
      <w:r w:rsidRPr="0024186B">
        <w:t>.</w:t>
      </w:r>
    </w:p>
    <w:p w:rsidR="009543DB" w:rsidRDefault="009543DB" w:rsidP="009543DB">
      <w:pPr>
        <w:spacing w:before="120" w:after="120"/>
      </w:pPr>
      <w:proofErr w:type="gramStart"/>
      <w:r w:rsidRPr="0024186B">
        <w:t xml:space="preserve">Aeronautical </w:t>
      </w:r>
      <w:r>
        <w:t>aggregate</w:t>
      </w:r>
      <w:r w:rsidRPr="0024186B">
        <w:t xml:space="preserve"> margin per passenger </w:t>
      </w:r>
      <w:r>
        <w:t xml:space="preserve">decreased </w:t>
      </w:r>
      <w:r w:rsidRPr="0024186B">
        <w:t xml:space="preserve">by </w:t>
      </w:r>
      <w:r>
        <w:t>8.7</w:t>
      </w:r>
      <w:r w:rsidRPr="0024186B">
        <w:t xml:space="preserve"> per cent in real terms to $5.</w:t>
      </w:r>
      <w:r>
        <w:t>08</w:t>
      </w:r>
      <w:r w:rsidRPr="0024186B">
        <w:t>.</w:t>
      </w:r>
      <w:proofErr w:type="gramEnd"/>
      <w:r w:rsidRPr="0024186B">
        <w:t xml:space="preserve"> </w:t>
      </w:r>
      <w:r>
        <w:t>The a</w:t>
      </w:r>
      <w:r w:rsidRPr="0024186B">
        <w:t xml:space="preserve">eronautical </w:t>
      </w:r>
      <w:r>
        <w:t>aggregate</w:t>
      </w:r>
      <w:r w:rsidRPr="0024186B">
        <w:t xml:space="preserve"> margin per passenger has increased by an average of </w:t>
      </w:r>
      <w:r>
        <w:t>3.4</w:t>
      </w:r>
      <w:r w:rsidRPr="0024186B">
        <w:t xml:space="preserve"> per cent per year in real terms</w:t>
      </w:r>
      <w:r>
        <w:t xml:space="preserve"> since 2014-15</w:t>
      </w:r>
      <w:r w:rsidRPr="0024186B">
        <w:t>.</w:t>
      </w:r>
    </w:p>
    <w:p w:rsidR="009543DB" w:rsidRDefault="009543DB" w:rsidP="009543DB">
      <w:pPr>
        <w:pStyle w:val="Numberedheading3"/>
      </w:pPr>
      <w:r>
        <w:t>Assets for aeronautical and total airport services</w:t>
      </w:r>
    </w:p>
    <w:p w:rsidR="009543DB" w:rsidRDefault="009543DB" w:rsidP="009543DB">
      <w:r>
        <w:t>Table 4.2.3 outlines Perth Airport’s tangible non-current assets for aeronautical services and the total airport from 2004-05 to 2014-15.</w:t>
      </w:r>
    </w:p>
    <w:p w:rsidR="009543DB" w:rsidRDefault="009543DB" w:rsidP="009543DB">
      <w:proofErr w:type="gramStart"/>
      <w:r>
        <w:t>The value of aeronautical tangible non-current assets increased by 19.8 per cent in real terms to $874.6 million during 2014-15.</w:t>
      </w:r>
      <w:proofErr w:type="gramEnd"/>
      <w:r>
        <w:t xml:space="preserve"> The main driver of this increase was property, plant and equipment which increased by 20.3 per cent in real terms in 2014-15. Since 2004-05, the value of aeronautical tangible non-current assets has increased by 240.9 per cent in real terms. </w:t>
      </w:r>
    </w:p>
    <w:p w:rsidR="009543DB" w:rsidRDefault="009543DB" w:rsidP="009543DB">
      <w:r>
        <w:t>Tangible non</w:t>
      </w:r>
      <w:r>
        <w:noBreakHyphen/>
        <w:t>current assets for the total airport increased in value by 25.6 per cent in real terms to $2.6 billion in 2014</w:t>
      </w:r>
      <w:r>
        <w:noBreakHyphen/>
        <w:t>15. This increase was driven by rises in the value of land and property, plant and equipment.</w:t>
      </w:r>
    </w:p>
    <w:p w:rsidR="009543DB" w:rsidRDefault="009543DB" w:rsidP="009543DB">
      <w:pPr>
        <w:pStyle w:val="Numberedheading3"/>
      </w:pPr>
      <w:r w:rsidRPr="00A536C4">
        <w:t>Additions as a percentage of tangible non-current assets</w:t>
      </w:r>
    </w:p>
    <w:p w:rsidR="009543DB" w:rsidRDefault="009543DB" w:rsidP="009543DB">
      <w:pPr>
        <w:rPr>
          <w:b/>
          <w:i/>
          <w:color w:val="FF0000"/>
          <w:highlight w:val="yellow"/>
          <w:u w:val="single"/>
        </w:rPr>
      </w:pPr>
      <w:r>
        <w:t>Chart 4.2.1 shows that during 2014</w:t>
      </w:r>
      <w:r>
        <w:noBreakHyphen/>
        <w:t>15, Perth Airport’s $250.6 million in additions to aeronautical assets represented about 28.7 per cent of total aeronautical tangible non</w:t>
      </w:r>
      <w:r>
        <w:noBreakHyphen/>
        <w:t>current assets. This was the highest of all monitored airports and is the third straight year of elevated investment levels. Significant additions to aeronautical assets include other assets ($62.4 million) and work in progress ($183.4 million). The work in progress relates to a number of projects including the T1 International and Domestic Pier and the arrivals and departures upgrades at the same terminal.</w:t>
      </w:r>
    </w:p>
    <w:p w:rsidR="009543DB" w:rsidRDefault="009543DB" w:rsidP="009543DB">
      <w:r w:rsidRPr="005D67A6">
        <w:t>Additions to total airport tangible non-current assets represented around 1</w:t>
      </w:r>
      <w:r>
        <w:t>5.1</w:t>
      </w:r>
      <w:r w:rsidRPr="005D67A6">
        <w:t xml:space="preserve"> per cent of total airport tangible non-current assets.</w:t>
      </w:r>
    </w:p>
    <w:p w:rsidR="009543DB" w:rsidRDefault="009543DB" w:rsidP="009543DB">
      <w:pPr>
        <w:pStyle w:val="Numberedcharttitle"/>
      </w:pPr>
      <w:r w:rsidRPr="00A536C4">
        <w:t>Chart 4.2.1:</w:t>
      </w:r>
      <w:r w:rsidRPr="00A536C4">
        <w:tab/>
        <w:t>Perth Airport—additions as a percentage of tangible non-current assets for aeronautical and total airport services: 200</w:t>
      </w:r>
      <w:r>
        <w:t>4</w:t>
      </w:r>
      <w:r w:rsidRPr="00A536C4">
        <w:t>-0</w:t>
      </w:r>
      <w:r>
        <w:t>5</w:t>
      </w:r>
      <w:r w:rsidRPr="00A536C4">
        <w:t xml:space="preserve"> to 201</w:t>
      </w:r>
      <w:r>
        <w:t>4</w:t>
      </w:r>
      <w:r w:rsidRPr="00A536C4">
        <w:t>-1</w:t>
      </w:r>
      <w:r>
        <w:t>5</w:t>
      </w:r>
      <w:r w:rsidRPr="00A536C4">
        <w:t>4</w:t>
      </w:r>
    </w:p>
    <w:p w:rsidR="009543DB" w:rsidRDefault="009543DB" w:rsidP="009543DB">
      <w:r w:rsidRPr="00A536C4">
        <w:rPr>
          <w:noProof/>
          <w:lang w:eastAsia="en-AU"/>
        </w:rPr>
        <w:drawing>
          <wp:inline distT="0" distB="0" distL="0" distR="0" wp14:anchorId="105E9111" wp14:editId="16EFE1F1">
            <wp:extent cx="5367130" cy="2425147"/>
            <wp:effectExtent l="0" t="0" r="508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64480" cy="2423950"/>
                    </a:xfrm>
                    <a:prstGeom prst="rect">
                      <a:avLst/>
                    </a:prstGeom>
                    <a:noFill/>
                    <a:ln>
                      <a:noFill/>
                    </a:ln>
                  </pic:spPr>
                </pic:pic>
              </a:graphicData>
            </a:graphic>
          </wp:inline>
        </w:drawing>
      </w:r>
    </w:p>
    <w:p w:rsidR="009543DB" w:rsidRDefault="009543DB" w:rsidP="009543DB">
      <w:pPr>
        <w:sectPr w:rsidR="009543DB" w:rsidSect="009543DB">
          <w:headerReference w:type="even" r:id="rId128"/>
          <w:headerReference w:type="default" r:id="rId129"/>
          <w:footnotePr>
            <w:numStart w:val="93"/>
          </w:footnotePr>
          <w:pgSz w:w="11906" w:h="16838"/>
          <w:pgMar w:top="1440" w:right="1729" w:bottom="1582" w:left="1729" w:header="709" w:footer="709" w:gutter="0"/>
          <w:cols w:space="708"/>
          <w:docGrid w:linePitch="360"/>
        </w:sectPr>
      </w:pPr>
    </w:p>
    <w:p w:rsidR="009543DB" w:rsidRDefault="009543DB" w:rsidP="009543DB">
      <w:pPr>
        <w:pStyle w:val="Numberedcharttitle"/>
      </w:pPr>
      <w:r>
        <w:lastRenderedPageBreak/>
        <w:t>Table 4.2.3:</w:t>
      </w:r>
      <w:r>
        <w:tab/>
        <w:t>Perth Airport—non-current assets for aeronautical services and total airport services in real terms: 2004-05 to 2014-15</w:t>
      </w:r>
    </w:p>
    <w:tbl>
      <w:tblPr>
        <w:tblStyle w:val="TableGrid"/>
        <w:tblW w:w="0" w:type="auto"/>
        <w:tblLayout w:type="fixed"/>
        <w:tblLook w:val="04A0" w:firstRow="1" w:lastRow="0" w:firstColumn="1" w:lastColumn="0" w:noHBand="0" w:noVBand="1"/>
      </w:tblPr>
      <w:tblGrid>
        <w:gridCol w:w="1951"/>
        <w:gridCol w:w="1560"/>
        <w:gridCol w:w="956"/>
        <w:gridCol w:w="956"/>
        <w:gridCol w:w="957"/>
        <w:gridCol w:w="956"/>
        <w:gridCol w:w="957"/>
        <w:gridCol w:w="956"/>
        <w:gridCol w:w="957"/>
        <w:gridCol w:w="956"/>
        <w:gridCol w:w="957"/>
        <w:gridCol w:w="956"/>
        <w:gridCol w:w="957"/>
      </w:tblGrid>
      <w:tr w:rsidR="009543DB" w:rsidTr="009543DB">
        <w:tc>
          <w:tcPr>
            <w:tcW w:w="1951" w:type="dxa"/>
            <w:tcBorders>
              <w:left w:val="nil"/>
              <w:bottom w:val="single" w:sz="4" w:space="0" w:color="auto"/>
              <w:right w:val="nil"/>
            </w:tcBorders>
            <w:shd w:val="clear" w:color="auto" w:fill="DFE0DC"/>
          </w:tcPr>
          <w:p w:rsidR="009543DB" w:rsidRDefault="009543DB" w:rsidP="009543DB">
            <w:pPr>
              <w:pStyle w:val="Tabletextleft"/>
            </w:pPr>
          </w:p>
        </w:tc>
        <w:tc>
          <w:tcPr>
            <w:tcW w:w="1560" w:type="dxa"/>
            <w:tcBorders>
              <w:left w:val="nil"/>
              <w:bottom w:val="single" w:sz="4" w:space="0" w:color="auto"/>
              <w:right w:val="nil"/>
            </w:tcBorders>
            <w:shd w:val="clear" w:color="auto" w:fill="DFE0DC"/>
          </w:tcPr>
          <w:p w:rsidR="009543DB" w:rsidRDefault="009543DB" w:rsidP="009543DB">
            <w:pPr>
              <w:pStyle w:val="Tabletextleft"/>
            </w:pP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2004-05</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2005-06</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2006-07</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2007-08</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2008-09</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2009-10</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2010-11</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2011-12</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2012-13</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2013-14</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1951" w:type="dxa"/>
            <w:vMerge w:val="restart"/>
            <w:tcBorders>
              <w:left w:val="nil"/>
              <w:right w:val="nil"/>
            </w:tcBorders>
          </w:tcPr>
          <w:p w:rsidR="009543DB" w:rsidRDefault="009543DB" w:rsidP="009543DB">
            <w:pPr>
              <w:pStyle w:val="Tabletextheading"/>
            </w:pPr>
            <w:r>
              <w:t>Investment property</w:t>
            </w:r>
            <w:r>
              <w:br/>
              <w:t>($million)</w:t>
            </w:r>
          </w:p>
        </w:tc>
        <w:tc>
          <w:tcPr>
            <w:tcW w:w="1560" w:type="dxa"/>
            <w:tcBorders>
              <w:left w:val="nil"/>
              <w:bottom w:val="nil"/>
              <w:right w:val="nil"/>
            </w:tcBorders>
            <w:vAlign w:val="center"/>
          </w:tcPr>
          <w:p w:rsidR="009543DB" w:rsidRDefault="009543DB" w:rsidP="009543DB">
            <w:pPr>
              <w:pStyle w:val="Tabletextleft"/>
            </w:pPr>
            <w:r>
              <w:t>Aeronautical</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vAlign w:val="center"/>
          </w:tcPr>
          <w:p w:rsidR="009543DB" w:rsidRDefault="009543DB" w:rsidP="009543DB">
            <w:pPr>
              <w:pStyle w:val="Tabletextheading"/>
            </w:pPr>
            <w:r>
              <w:t>Total airport</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0.0</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200.5</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296.0</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344.9</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363.5</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430.4</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409.9</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807.0</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392.7</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391.1</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438.5</w:t>
            </w:r>
          </w:p>
        </w:tc>
      </w:tr>
      <w:tr w:rsidR="009543DB" w:rsidTr="009543DB">
        <w:tc>
          <w:tcPr>
            <w:tcW w:w="1951" w:type="dxa"/>
            <w:vMerge w:val="restart"/>
            <w:tcBorders>
              <w:left w:val="nil"/>
              <w:right w:val="nil"/>
            </w:tcBorders>
          </w:tcPr>
          <w:p w:rsidR="009543DB" w:rsidRDefault="009543DB" w:rsidP="009543DB">
            <w:pPr>
              <w:pStyle w:val="Tabletextheading"/>
            </w:pPr>
            <w:r>
              <w:t xml:space="preserve">Land </w:t>
            </w:r>
            <w:r>
              <w:br/>
              <w:t>($million)</w:t>
            </w:r>
          </w:p>
        </w:tc>
        <w:tc>
          <w:tcPr>
            <w:tcW w:w="1560" w:type="dxa"/>
            <w:tcBorders>
              <w:left w:val="nil"/>
              <w:bottom w:val="nil"/>
              <w:right w:val="nil"/>
            </w:tcBorders>
            <w:vAlign w:val="center"/>
          </w:tcPr>
          <w:p w:rsidR="009543DB" w:rsidRDefault="009543DB" w:rsidP="009543DB">
            <w:pPr>
              <w:pStyle w:val="Tabletextleft"/>
            </w:pPr>
            <w:r>
              <w:t>Aeronautical</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54.3</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22.5</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21.6</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20.7</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19.8</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19.2</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18.4</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17.7</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17.1</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16.5</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vAlign w:val="center"/>
          </w:tcPr>
          <w:p w:rsidR="009543DB" w:rsidRDefault="009543DB" w:rsidP="009543DB">
            <w:pPr>
              <w:pStyle w:val="Tabletextheading"/>
            </w:pPr>
            <w:r>
              <w:t>Total airport</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217.2</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36.1</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37.1</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37.2</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35.7</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34.5</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36.6</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35.5</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689.6</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614.2</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711.2</w:t>
            </w:r>
          </w:p>
        </w:tc>
      </w:tr>
      <w:tr w:rsidR="009543DB" w:rsidTr="009543DB">
        <w:tc>
          <w:tcPr>
            <w:tcW w:w="1951" w:type="dxa"/>
            <w:vMerge w:val="restart"/>
            <w:tcBorders>
              <w:left w:val="nil"/>
              <w:right w:val="nil"/>
            </w:tcBorders>
          </w:tcPr>
          <w:p w:rsidR="009543DB" w:rsidRDefault="009543DB" w:rsidP="009543DB">
            <w:pPr>
              <w:pStyle w:val="Tabletextheading"/>
            </w:pPr>
            <w:r>
              <w:t>Property, plant and equipment</w:t>
            </w:r>
            <w:r>
              <w:br/>
              <w:t>($million)</w:t>
            </w:r>
          </w:p>
        </w:tc>
        <w:tc>
          <w:tcPr>
            <w:tcW w:w="1560" w:type="dxa"/>
            <w:tcBorders>
              <w:left w:val="nil"/>
              <w:bottom w:val="nil"/>
              <w:right w:val="nil"/>
            </w:tcBorders>
            <w:vAlign w:val="center"/>
          </w:tcPr>
          <w:p w:rsidR="009543DB" w:rsidRDefault="009543DB" w:rsidP="009543DB">
            <w:pPr>
              <w:pStyle w:val="Tabletextleft"/>
            </w:pPr>
            <w:r>
              <w:t>Aeronautical</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202.0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203.8</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206.3</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223.6</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261.9</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296.1</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351.0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407.3</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566.7</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713.6</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858.5</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vAlign w:val="center"/>
          </w:tcPr>
          <w:p w:rsidR="009543DB" w:rsidRDefault="009543DB" w:rsidP="009543DB">
            <w:pPr>
              <w:pStyle w:val="Tabletextleft-centred"/>
            </w:pPr>
            <w:r>
              <w:t>Total airport</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322.7</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296.2</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322.7</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380.0</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462.8</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471.2</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522.5</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650.4</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839.6</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1 041.9</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1 237.1</w:t>
            </w:r>
          </w:p>
        </w:tc>
      </w:tr>
      <w:tr w:rsidR="009543DB" w:rsidTr="009543DB">
        <w:tc>
          <w:tcPr>
            <w:tcW w:w="1951" w:type="dxa"/>
            <w:vMerge w:val="restart"/>
            <w:tcBorders>
              <w:left w:val="nil"/>
              <w:right w:val="nil"/>
            </w:tcBorders>
          </w:tcPr>
          <w:p w:rsidR="009543DB" w:rsidRDefault="009543DB" w:rsidP="009543DB">
            <w:pPr>
              <w:pStyle w:val="Tabletextheading"/>
            </w:pPr>
            <w:r>
              <w:t>Intangibles</w:t>
            </w:r>
            <w:r>
              <w:br/>
              <w:t>($million)</w:t>
            </w:r>
          </w:p>
        </w:tc>
        <w:tc>
          <w:tcPr>
            <w:tcW w:w="1560" w:type="dxa"/>
            <w:tcBorders>
              <w:left w:val="nil"/>
              <w:bottom w:val="nil"/>
              <w:right w:val="nil"/>
            </w:tcBorders>
            <w:vAlign w:val="center"/>
          </w:tcPr>
          <w:p w:rsidR="009543DB" w:rsidRDefault="009543DB" w:rsidP="009543DB">
            <w:pPr>
              <w:pStyle w:val="Tabletextleft"/>
            </w:pPr>
            <w:r>
              <w:t>Aeronautical</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r>
      <w:tr w:rsidR="009543DB" w:rsidTr="009543DB">
        <w:tc>
          <w:tcPr>
            <w:tcW w:w="1951" w:type="dxa"/>
            <w:vMerge/>
            <w:tcBorders>
              <w:left w:val="nil"/>
              <w:right w:val="nil"/>
            </w:tcBorders>
          </w:tcPr>
          <w:p w:rsidR="009543DB" w:rsidRDefault="009543DB" w:rsidP="009543DB">
            <w:pPr>
              <w:pStyle w:val="Tabletextheading"/>
            </w:pPr>
          </w:p>
        </w:tc>
        <w:tc>
          <w:tcPr>
            <w:tcW w:w="1560" w:type="dxa"/>
            <w:tcBorders>
              <w:top w:val="nil"/>
              <w:left w:val="nil"/>
              <w:bottom w:val="single" w:sz="4" w:space="0" w:color="auto"/>
              <w:right w:val="nil"/>
            </w:tcBorders>
            <w:vAlign w:val="center"/>
          </w:tcPr>
          <w:p w:rsidR="009543DB" w:rsidRDefault="009543DB" w:rsidP="009543DB">
            <w:pPr>
              <w:pStyle w:val="Tabletextheading"/>
            </w:pPr>
            <w:r>
              <w:t>Total airport</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517.1</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579.9</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559.2</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539.7</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524.8</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511.9</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495.7</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482.4</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470.1</w:t>
            </w:r>
          </w:p>
        </w:tc>
        <w:tc>
          <w:tcPr>
            <w:tcW w:w="956"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457.1</w:t>
            </w:r>
          </w:p>
        </w:tc>
        <w:tc>
          <w:tcPr>
            <w:tcW w:w="957" w:type="dxa"/>
            <w:tcBorders>
              <w:top w:val="nil"/>
              <w:left w:val="nil"/>
              <w:bottom w:val="sing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449.9</w:t>
            </w:r>
          </w:p>
        </w:tc>
      </w:tr>
      <w:tr w:rsidR="009543DB" w:rsidTr="009543DB">
        <w:tc>
          <w:tcPr>
            <w:tcW w:w="1951" w:type="dxa"/>
            <w:vMerge w:val="restart"/>
            <w:tcBorders>
              <w:left w:val="nil"/>
              <w:right w:val="nil"/>
            </w:tcBorders>
          </w:tcPr>
          <w:p w:rsidR="009543DB" w:rsidRDefault="009543DB" w:rsidP="009543DB">
            <w:pPr>
              <w:pStyle w:val="Tabletextheading"/>
            </w:pPr>
            <w:r>
              <w:t>Other tangible non</w:t>
            </w:r>
            <w:r>
              <w:noBreakHyphen/>
              <w:t>current assets</w:t>
            </w:r>
            <w:r>
              <w:br/>
              <w:t>($million)</w:t>
            </w:r>
          </w:p>
        </w:tc>
        <w:tc>
          <w:tcPr>
            <w:tcW w:w="1560" w:type="dxa"/>
            <w:tcBorders>
              <w:left w:val="nil"/>
              <w:bottom w:val="nil"/>
              <w:right w:val="nil"/>
            </w:tcBorders>
            <w:vAlign w:val="center"/>
          </w:tcPr>
          <w:p w:rsidR="009543DB" w:rsidRDefault="009543DB" w:rsidP="009543DB">
            <w:pPr>
              <w:pStyle w:val="Tabletextleft"/>
            </w:pPr>
            <w:r>
              <w:t>Aeronautical</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0.3</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3.1</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4.7</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6"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0.0</w:t>
            </w:r>
          </w:p>
        </w:tc>
        <w:tc>
          <w:tcPr>
            <w:tcW w:w="957" w:type="dxa"/>
            <w:tcBorders>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16.0</w:t>
            </w:r>
          </w:p>
        </w:tc>
      </w:tr>
      <w:tr w:rsidR="009543DB" w:rsidTr="009543DB">
        <w:tc>
          <w:tcPr>
            <w:tcW w:w="1951" w:type="dxa"/>
            <w:vMerge/>
            <w:tcBorders>
              <w:left w:val="nil"/>
              <w:bottom w:val="double" w:sz="4" w:space="0" w:color="auto"/>
              <w:right w:val="nil"/>
            </w:tcBorders>
          </w:tcPr>
          <w:p w:rsidR="009543DB" w:rsidRDefault="009543DB" w:rsidP="009543DB">
            <w:pPr>
              <w:pStyle w:val="Tabletextheading"/>
            </w:pPr>
          </w:p>
        </w:tc>
        <w:tc>
          <w:tcPr>
            <w:tcW w:w="1560" w:type="dxa"/>
            <w:tcBorders>
              <w:top w:val="nil"/>
              <w:left w:val="nil"/>
              <w:bottom w:val="double" w:sz="4" w:space="0" w:color="auto"/>
              <w:right w:val="nil"/>
            </w:tcBorders>
            <w:vAlign w:val="center"/>
          </w:tcPr>
          <w:p w:rsidR="009543DB" w:rsidRDefault="009543DB" w:rsidP="009543DB">
            <w:pPr>
              <w:pStyle w:val="Tabletextleft-centred"/>
            </w:pPr>
            <w:r>
              <w:t>Total airport</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40.9</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9.4</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34.5</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29.1</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9.2</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12.9</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10.7</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22.0</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6.1</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0.0</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183.8</w:t>
            </w:r>
          </w:p>
        </w:tc>
      </w:tr>
      <w:tr w:rsidR="009543DB" w:rsidTr="009543DB">
        <w:tc>
          <w:tcPr>
            <w:tcW w:w="1951" w:type="dxa"/>
            <w:vMerge w:val="restart"/>
            <w:tcBorders>
              <w:top w:val="double" w:sz="4" w:space="0" w:color="auto"/>
              <w:left w:val="nil"/>
              <w:right w:val="nil"/>
            </w:tcBorders>
          </w:tcPr>
          <w:p w:rsidR="009543DB" w:rsidRDefault="009543DB" w:rsidP="009543DB">
            <w:pPr>
              <w:pStyle w:val="Tabletextheading"/>
            </w:pPr>
            <w:r>
              <w:t>Total tangible non</w:t>
            </w:r>
            <w:r>
              <w:noBreakHyphen/>
              <w:t>current assets</w:t>
            </w:r>
            <w:r>
              <w:br/>
              <w:t>($million)</w:t>
            </w:r>
          </w:p>
        </w:tc>
        <w:tc>
          <w:tcPr>
            <w:tcW w:w="1560" w:type="dxa"/>
            <w:tcBorders>
              <w:top w:val="double" w:sz="4" w:space="0" w:color="auto"/>
              <w:left w:val="nil"/>
              <w:bottom w:val="nil"/>
              <w:right w:val="nil"/>
            </w:tcBorders>
            <w:vAlign w:val="center"/>
          </w:tcPr>
          <w:p w:rsidR="009543DB" w:rsidRDefault="009543DB" w:rsidP="009543DB">
            <w:pPr>
              <w:pStyle w:val="Tabletextleft"/>
            </w:pPr>
            <w:r>
              <w:t>Aeronautical</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256.6</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229.5</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232.7</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244.3</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281.8</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315.2</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369.4</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425.0</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583.8</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730.1</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874.6</w:t>
            </w:r>
          </w:p>
        </w:tc>
      </w:tr>
      <w:tr w:rsidR="009543DB" w:rsidTr="009543DB">
        <w:tc>
          <w:tcPr>
            <w:tcW w:w="1951" w:type="dxa"/>
            <w:vMerge/>
            <w:tcBorders>
              <w:left w:val="nil"/>
              <w:bottom w:val="double" w:sz="4" w:space="0" w:color="auto"/>
              <w:right w:val="nil"/>
            </w:tcBorders>
          </w:tcPr>
          <w:p w:rsidR="009543DB" w:rsidRDefault="009543DB" w:rsidP="009543DB">
            <w:pPr>
              <w:pStyle w:val="Tabletextheading"/>
            </w:pPr>
          </w:p>
        </w:tc>
        <w:tc>
          <w:tcPr>
            <w:tcW w:w="1560" w:type="dxa"/>
            <w:tcBorders>
              <w:top w:val="nil"/>
              <w:left w:val="nil"/>
              <w:bottom w:val="double" w:sz="4" w:space="0" w:color="auto"/>
              <w:right w:val="nil"/>
            </w:tcBorders>
            <w:vAlign w:val="center"/>
          </w:tcPr>
          <w:p w:rsidR="009543DB" w:rsidRPr="00BE625C" w:rsidRDefault="009543DB" w:rsidP="009543DB">
            <w:pPr>
              <w:pStyle w:val="Tabletextleft-centred"/>
            </w:pPr>
            <w:r>
              <w:t>Total airport</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580.9</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542.2</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690.3</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791.2</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871.2</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948.9</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979.7</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1 515.0</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1 928.0</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2 047.2</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2 570.6</w:t>
            </w:r>
          </w:p>
        </w:tc>
      </w:tr>
      <w:tr w:rsidR="009543DB" w:rsidTr="009543DB">
        <w:tc>
          <w:tcPr>
            <w:tcW w:w="1951" w:type="dxa"/>
            <w:vMerge w:val="restart"/>
            <w:tcBorders>
              <w:top w:val="double" w:sz="4" w:space="0" w:color="auto"/>
              <w:left w:val="nil"/>
              <w:right w:val="nil"/>
            </w:tcBorders>
          </w:tcPr>
          <w:p w:rsidR="009543DB" w:rsidRDefault="009543DB" w:rsidP="009543DB">
            <w:pPr>
              <w:pStyle w:val="Tabletextheading"/>
            </w:pPr>
            <w:r>
              <w:t>Total non</w:t>
            </w:r>
            <w:r>
              <w:noBreakHyphen/>
              <w:t>current assets</w:t>
            </w:r>
            <w:r>
              <w:br/>
              <w:t>($million)</w:t>
            </w:r>
          </w:p>
        </w:tc>
        <w:tc>
          <w:tcPr>
            <w:tcW w:w="1560" w:type="dxa"/>
            <w:tcBorders>
              <w:top w:val="double" w:sz="4" w:space="0" w:color="auto"/>
              <w:left w:val="nil"/>
              <w:bottom w:val="nil"/>
              <w:right w:val="nil"/>
            </w:tcBorders>
            <w:vAlign w:val="center"/>
          </w:tcPr>
          <w:p w:rsidR="009543DB" w:rsidRDefault="009543DB" w:rsidP="009543DB">
            <w:pPr>
              <w:pStyle w:val="Tabletextleft"/>
            </w:pPr>
            <w:r>
              <w:t>Aeronautical</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256.6</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229.5</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232.7</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244.3</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281.8</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315.2</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369.4</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425.0</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583.8</w:t>
            </w:r>
          </w:p>
        </w:tc>
        <w:tc>
          <w:tcPr>
            <w:tcW w:w="956"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730.1</w:t>
            </w:r>
          </w:p>
        </w:tc>
        <w:tc>
          <w:tcPr>
            <w:tcW w:w="957" w:type="dxa"/>
            <w:tcBorders>
              <w:top w:val="double" w:sz="4" w:space="0" w:color="auto"/>
              <w:left w:val="nil"/>
              <w:bottom w:val="nil"/>
              <w:right w:val="nil"/>
            </w:tcBorders>
            <w:vAlign w:val="center"/>
          </w:tcPr>
          <w:p w:rsidR="009543DB" w:rsidRPr="005579C6" w:rsidRDefault="009543DB" w:rsidP="009543DB">
            <w:pPr>
              <w:spacing w:after="0"/>
              <w:rPr>
                <w:rFonts w:cs="Arial"/>
                <w:sz w:val="18"/>
                <w:szCs w:val="18"/>
              </w:rPr>
            </w:pPr>
            <w:r w:rsidRPr="005579C6">
              <w:rPr>
                <w:rFonts w:cs="Arial"/>
                <w:sz w:val="18"/>
                <w:szCs w:val="18"/>
              </w:rPr>
              <w:t>874.6</w:t>
            </w:r>
          </w:p>
        </w:tc>
      </w:tr>
      <w:tr w:rsidR="009543DB" w:rsidTr="009543DB">
        <w:tc>
          <w:tcPr>
            <w:tcW w:w="1951" w:type="dxa"/>
            <w:vMerge/>
            <w:tcBorders>
              <w:left w:val="nil"/>
              <w:bottom w:val="double" w:sz="4" w:space="0" w:color="auto"/>
              <w:right w:val="nil"/>
            </w:tcBorders>
          </w:tcPr>
          <w:p w:rsidR="009543DB" w:rsidRDefault="009543DB" w:rsidP="009543DB">
            <w:pPr>
              <w:pStyle w:val="Tabletextheading"/>
            </w:pPr>
          </w:p>
        </w:tc>
        <w:tc>
          <w:tcPr>
            <w:tcW w:w="1560" w:type="dxa"/>
            <w:tcBorders>
              <w:top w:val="nil"/>
              <w:left w:val="nil"/>
              <w:bottom w:val="double" w:sz="4" w:space="0" w:color="auto"/>
              <w:right w:val="nil"/>
            </w:tcBorders>
            <w:vAlign w:val="center"/>
          </w:tcPr>
          <w:p w:rsidR="009543DB" w:rsidRDefault="009543DB" w:rsidP="009543DB">
            <w:pPr>
              <w:pStyle w:val="Tabletextleft-centred"/>
            </w:pPr>
            <w:r>
              <w:t>Total airport</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1 097.9</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1 122.1</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1 249.5</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1 331.0</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1 396.0</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1 460.8</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1 475.3</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1 997.3</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2 398.0</w:t>
            </w:r>
          </w:p>
        </w:tc>
        <w:tc>
          <w:tcPr>
            <w:tcW w:w="956"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2 504.3</w:t>
            </w:r>
          </w:p>
        </w:tc>
        <w:tc>
          <w:tcPr>
            <w:tcW w:w="957" w:type="dxa"/>
            <w:tcBorders>
              <w:top w:val="nil"/>
              <w:left w:val="nil"/>
              <w:bottom w:val="double" w:sz="4" w:space="0" w:color="auto"/>
              <w:right w:val="nil"/>
            </w:tcBorders>
            <w:vAlign w:val="center"/>
          </w:tcPr>
          <w:p w:rsidR="009543DB" w:rsidRPr="009B2BC0" w:rsidRDefault="009543DB" w:rsidP="009543DB">
            <w:pPr>
              <w:spacing w:after="0"/>
              <w:rPr>
                <w:rFonts w:cs="Arial"/>
                <w:b/>
                <w:sz w:val="18"/>
                <w:szCs w:val="18"/>
              </w:rPr>
            </w:pPr>
            <w:r w:rsidRPr="009B2BC0">
              <w:rPr>
                <w:rFonts w:cs="Arial"/>
                <w:b/>
                <w:sz w:val="18"/>
                <w:szCs w:val="18"/>
              </w:rPr>
              <w:t>3 020.5</w:t>
            </w:r>
          </w:p>
        </w:tc>
      </w:tr>
    </w:tbl>
    <w:p w:rsidR="009543DB" w:rsidRDefault="009543DB" w:rsidP="009543DB">
      <w:pPr>
        <w:pStyle w:val="Sourceandnotes"/>
        <w:sectPr w:rsidR="009543DB" w:rsidSect="009543DB">
          <w:headerReference w:type="even" r:id="rId130"/>
          <w:footnotePr>
            <w:numStart w:val="93"/>
          </w:footnotePr>
          <w:pgSz w:w="16838" w:h="11906" w:orient="landscape"/>
          <w:pgMar w:top="1729" w:right="1440" w:bottom="1729" w:left="1582" w:header="709" w:footer="709" w:gutter="0"/>
          <w:cols w:space="708"/>
          <w:docGrid w:linePitch="360"/>
        </w:sectPr>
      </w:pPr>
      <w:r>
        <w:t>Note:</w:t>
      </w:r>
      <w:r>
        <w:tab/>
        <w:t>Real values in 2014</w:t>
      </w:r>
      <w:r>
        <w:noBreakHyphen/>
        <w:t>15 dollars</w:t>
      </w:r>
    </w:p>
    <w:p w:rsidR="009543DB" w:rsidRDefault="009543DB" w:rsidP="009543DB">
      <w:pPr>
        <w:pStyle w:val="Numberedheading3"/>
      </w:pPr>
      <w:r>
        <w:lastRenderedPageBreak/>
        <w:t>Rates of return on tangible non</w:t>
      </w:r>
      <w:r>
        <w:noBreakHyphen/>
        <w:t>current assets</w:t>
      </w:r>
    </w:p>
    <w:p w:rsidR="009543DB" w:rsidRDefault="009543DB" w:rsidP="009543DB">
      <w:r>
        <w:t>The rate of return on aeronautical tangible non-current assets is calculated using earnings before interest, tax and amortisation (EBITA) on average assets. Chart 4.2.2 shows that this measure decreased in real terms by 3.3 percentage points to 9.3 per cent in 2014-15. This is the lowest rate of return since 2001-02 for Perth Airport. This decrease is due to the drop in aeronautical margin of 9.6 per cent in real terms and increase in the value of aeronautical non-current assets of 19.8 per cent in real terms during 2014-15.</w:t>
      </w:r>
    </w:p>
    <w:p w:rsidR="009543DB" w:rsidRDefault="009543DB" w:rsidP="009543DB">
      <w:r>
        <w:t>The rate of return on total airport tangible non-current assets remained the same at 9.8 per cent.</w:t>
      </w:r>
    </w:p>
    <w:p w:rsidR="009543DB" w:rsidRDefault="009543DB" w:rsidP="009543DB">
      <w:pPr>
        <w:pStyle w:val="Numberedcharttitle"/>
      </w:pPr>
      <w:r>
        <w:t>Chart 4.2.2:</w:t>
      </w:r>
      <w:r>
        <w:tab/>
        <w:t xml:space="preserve">Perth Airport—rate of return (EBITA) on tangible non-current assets for aeronautical services and total airport services in real terms: </w:t>
      </w:r>
      <w:r>
        <w:br/>
        <w:t>2004-05 to 2014</w:t>
      </w:r>
      <w:r>
        <w:noBreakHyphen/>
        <w:t>15</w:t>
      </w:r>
    </w:p>
    <w:p w:rsidR="009543DB" w:rsidRDefault="009543DB" w:rsidP="009543DB">
      <w:r w:rsidRPr="00FB16F5">
        <w:rPr>
          <w:noProof/>
          <w:lang w:eastAsia="en-AU"/>
        </w:rPr>
        <w:drawing>
          <wp:inline distT="0" distB="0" distL="0" distR="0" wp14:anchorId="0BBB86D6" wp14:editId="343080A2">
            <wp:extent cx="5364480" cy="2804582"/>
            <wp:effectExtent l="0" t="0" r="762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64480" cy="2804582"/>
                    </a:xfrm>
                    <a:prstGeom prst="rect">
                      <a:avLst/>
                    </a:prstGeom>
                    <a:noFill/>
                    <a:ln>
                      <a:noFill/>
                    </a:ln>
                  </pic:spPr>
                </pic:pic>
              </a:graphicData>
            </a:graphic>
          </wp:inline>
        </w:drawing>
      </w:r>
    </w:p>
    <w:p w:rsidR="009543DB" w:rsidRDefault="009543DB" w:rsidP="00114E05">
      <w:pPr>
        <w:pStyle w:val="Numberedheading2"/>
      </w:pPr>
      <w:r>
        <w:t>Aeronautical services quality of service monitoring results</w:t>
      </w:r>
    </w:p>
    <w:p w:rsidR="009543DB" w:rsidRDefault="009543DB" w:rsidP="009543DB">
      <w:r>
        <w:t xml:space="preserve">Both passengers and airlines are surveyed to give an insight into the quality of service offered by each airport. </w:t>
      </w:r>
      <w:r w:rsidRPr="000A37A3">
        <w:t xml:space="preserve">This section assesses </w:t>
      </w:r>
      <w:r>
        <w:t xml:space="preserve">Perth </w:t>
      </w:r>
      <w:r w:rsidRPr="000A37A3">
        <w:t>Airport’s quality of service monitoring results for both the international and domestic terminals and also for aircraft related services and facilities.</w:t>
      </w:r>
    </w:p>
    <w:p w:rsidR="009543DB" w:rsidRPr="00164A1F" w:rsidRDefault="009543DB" w:rsidP="009543DB">
      <w:pPr>
        <w:pStyle w:val="Numberedheading3"/>
        <w:rPr>
          <w:b w:val="0"/>
        </w:rPr>
      </w:pPr>
      <w:r w:rsidRPr="00327700">
        <w:t>Overall quality of service</w:t>
      </w:r>
      <w:r w:rsidRPr="00F01EEF">
        <w:rPr>
          <w:rStyle w:val="FootnoteReference"/>
          <w:b w:val="0"/>
        </w:rPr>
        <w:footnoteReference w:id="116"/>
      </w:r>
    </w:p>
    <w:p w:rsidR="009543DB" w:rsidRDefault="009543DB" w:rsidP="009543DB">
      <w:r>
        <w:t xml:space="preserve">Chart 4.3.1 presents Perth </w:t>
      </w:r>
      <w:r w:rsidRPr="00787D03">
        <w:t>Airport’s average quality of service ratings for both the availability and standard of total airport services and facilities</w:t>
      </w:r>
      <w:r>
        <w:t>. Both increased from ‘satisfactory’ to ‘good’ during 2014-15</w:t>
      </w:r>
      <w:r w:rsidRPr="00787D03">
        <w:t xml:space="preserve">. </w:t>
      </w:r>
    </w:p>
    <w:p w:rsidR="009543DB" w:rsidRPr="00B93B75" w:rsidRDefault="009543DB" w:rsidP="009543DB">
      <w:pPr>
        <w:pStyle w:val="Numberedcharttitle"/>
        <w:rPr>
          <w:i/>
          <w:color w:val="FF0000"/>
          <w:u w:val="single"/>
        </w:rPr>
      </w:pPr>
      <w:r>
        <w:lastRenderedPageBreak/>
        <w:t>Chart 4.3.1:</w:t>
      </w:r>
      <w:r>
        <w:tab/>
      </w:r>
      <w:r w:rsidRPr="00B93B75">
        <w:t>Perth Airport—average ratings for standard and availability of total airport services and facilities: 20</w:t>
      </w:r>
      <w:r>
        <w:t>10</w:t>
      </w:r>
      <w:r w:rsidRPr="00B93B75">
        <w:t>-1</w:t>
      </w:r>
      <w:r>
        <w:t>1</w:t>
      </w:r>
      <w:r w:rsidRPr="00B93B75">
        <w:t xml:space="preserve"> to 201</w:t>
      </w:r>
      <w:r>
        <w:t>4</w:t>
      </w:r>
      <w:r w:rsidRPr="00B93B75">
        <w:t>-1</w:t>
      </w:r>
      <w:r>
        <w:t>5</w:t>
      </w:r>
      <w:r w:rsidRPr="00B93B75">
        <w:t xml:space="preserve"> </w:t>
      </w:r>
    </w:p>
    <w:p w:rsidR="009543DB" w:rsidRDefault="009543DB" w:rsidP="009543DB">
      <w:r w:rsidRPr="000A37A3">
        <w:rPr>
          <w:noProof/>
          <w:lang w:eastAsia="en-AU"/>
        </w:rPr>
        <w:drawing>
          <wp:inline distT="0" distB="0" distL="0" distR="0" wp14:anchorId="43C385DE" wp14:editId="3EF36646">
            <wp:extent cx="5364480" cy="2957594"/>
            <wp:effectExtent l="0" t="0" r="762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64480" cy="2957594"/>
                    </a:xfrm>
                    <a:prstGeom prst="rect">
                      <a:avLst/>
                    </a:prstGeom>
                    <a:noFill/>
                    <a:ln>
                      <a:noFill/>
                    </a:ln>
                  </pic:spPr>
                </pic:pic>
              </a:graphicData>
            </a:graphic>
          </wp:inline>
        </w:drawing>
      </w:r>
    </w:p>
    <w:p w:rsidR="009543DB" w:rsidRPr="00B93B75" w:rsidRDefault="009543DB" w:rsidP="009543DB">
      <w:pPr>
        <w:spacing w:before="120"/>
        <w:ind w:left="720" w:hanging="720"/>
        <w:contextualSpacing/>
        <w:rPr>
          <w:sz w:val="16"/>
          <w:szCs w:val="16"/>
        </w:rPr>
      </w:pPr>
      <w:r w:rsidRPr="00B93B75">
        <w:rPr>
          <w:sz w:val="16"/>
          <w:szCs w:val="16"/>
        </w:rPr>
        <w:t>Source:</w:t>
      </w:r>
      <w:r w:rsidRPr="00B93B75">
        <w:rPr>
          <w:sz w:val="16"/>
          <w:szCs w:val="16"/>
        </w:rPr>
        <w:tab/>
        <w:t>Airline surveys, passenger surveys, and objective indicators obtained from Perth Airport</w:t>
      </w:r>
    </w:p>
    <w:p w:rsidR="009543DB" w:rsidRDefault="009543DB" w:rsidP="009543DB"/>
    <w:p w:rsidR="009543DB" w:rsidRDefault="009543DB" w:rsidP="009543DB">
      <w:r>
        <w:t>Perth</w:t>
      </w:r>
      <w:r w:rsidRPr="00456678">
        <w:t xml:space="preserve"> Airport’s average quality of service rating for </w:t>
      </w:r>
      <w:r>
        <w:t xml:space="preserve">the </w:t>
      </w:r>
      <w:r w:rsidRPr="00456678">
        <w:t xml:space="preserve">international </w:t>
      </w:r>
      <w:r>
        <w:t>terminal increased from ‘satisfactory’ to ‘good’ during 2014-15 (Chart 4.3.2). Ratings for the domestic terminals increased within the ‘good’ category. The rating for aircraft related activities increased slightly but remained at ‘satisfactory’.</w:t>
      </w:r>
    </w:p>
    <w:p w:rsidR="009543DB" w:rsidRPr="00B93B75" w:rsidRDefault="009543DB" w:rsidP="009543DB">
      <w:pPr>
        <w:pStyle w:val="Numberedcharttitle"/>
        <w:rPr>
          <w:i/>
          <w:color w:val="FF0000"/>
          <w:u w:val="single"/>
        </w:rPr>
      </w:pPr>
      <w:r w:rsidRPr="0010075D">
        <w:t>Chart 4.3.2:</w:t>
      </w:r>
      <w:r w:rsidRPr="0010075D">
        <w:tab/>
        <w:t>Perth Airport—average ratings for international and domestic terminal services, and aircraft-related services and facilities: 20</w:t>
      </w:r>
      <w:r>
        <w:t>10</w:t>
      </w:r>
      <w:r w:rsidRPr="0010075D">
        <w:t>-1</w:t>
      </w:r>
      <w:r>
        <w:t>1</w:t>
      </w:r>
      <w:r w:rsidRPr="0010075D">
        <w:t xml:space="preserve"> to 201</w:t>
      </w:r>
      <w:r>
        <w:t>4</w:t>
      </w:r>
      <w:r w:rsidRPr="0010075D">
        <w:noBreakHyphen/>
        <w:t>1</w:t>
      </w:r>
      <w:r>
        <w:t>5</w:t>
      </w:r>
    </w:p>
    <w:p w:rsidR="009543DB" w:rsidRDefault="009543DB" w:rsidP="009543DB">
      <w:r w:rsidRPr="00A16BFF">
        <w:rPr>
          <w:noProof/>
          <w:lang w:eastAsia="en-AU"/>
        </w:rPr>
        <w:drawing>
          <wp:inline distT="0" distB="0" distL="0" distR="0" wp14:anchorId="1AA74FFE" wp14:editId="1FB47E78">
            <wp:extent cx="5364480" cy="2867212"/>
            <wp:effectExtent l="0" t="0" r="762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64480" cy="2867212"/>
                    </a:xfrm>
                    <a:prstGeom prst="rect">
                      <a:avLst/>
                    </a:prstGeom>
                    <a:noFill/>
                    <a:ln>
                      <a:noFill/>
                    </a:ln>
                  </pic:spPr>
                </pic:pic>
              </a:graphicData>
            </a:graphic>
          </wp:inline>
        </w:drawing>
      </w:r>
    </w:p>
    <w:p w:rsidR="009543DB" w:rsidRPr="00B93B75" w:rsidRDefault="009543DB" w:rsidP="009543DB">
      <w:pPr>
        <w:spacing w:before="120"/>
        <w:ind w:left="720" w:hanging="720"/>
        <w:contextualSpacing/>
        <w:rPr>
          <w:sz w:val="16"/>
          <w:szCs w:val="16"/>
        </w:rPr>
      </w:pPr>
      <w:r w:rsidRPr="00B93B75">
        <w:rPr>
          <w:sz w:val="16"/>
          <w:szCs w:val="16"/>
        </w:rPr>
        <w:t>Source:</w:t>
      </w:r>
      <w:r w:rsidRPr="00B93B75">
        <w:rPr>
          <w:sz w:val="16"/>
          <w:szCs w:val="16"/>
        </w:rPr>
        <w:tab/>
        <w:t>Airline surveys, passenger surveys, and objective indicators obtained from Perth Airport through the ACCC’s monitoring process</w:t>
      </w:r>
    </w:p>
    <w:p w:rsidR="009543DB" w:rsidRDefault="009543DB" w:rsidP="009543DB"/>
    <w:p w:rsidR="009543DB" w:rsidRPr="003A3065" w:rsidRDefault="009543DB" w:rsidP="009543DB">
      <w:pPr>
        <w:keepNext/>
        <w:numPr>
          <w:ilvl w:val="2"/>
          <w:numId w:val="1"/>
        </w:numPr>
        <w:spacing w:after="200" w:line="276" w:lineRule="auto"/>
        <w:ind w:left="958"/>
        <w:outlineLvl w:val="3"/>
        <w:rPr>
          <w:rFonts w:eastAsiaTheme="majorEastAsia" w:cstheme="majorBidi"/>
          <w:b/>
          <w:bCs/>
          <w:color w:val="000000" w:themeColor="text1"/>
          <w:sz w:val="24"/>
          <w:szCs w:val="28"/>
        </w:rPr>
      </w:pPr>
      <w:r w:rsidRPr="003A3065">
        <w:rPr>
          <w:rFonts w:eastAsiaTheme="majorEastAsia" w:cstheme="majorBidi"/>
          <w:b/>
          <w:bCs/>
          <w:color w:val="000000" w:themeColor="text1"/>
          <w:sz w:val="24"/>
          <w:szCs w:val="28"/>
        </w:rPr>
        <w:lastRenderedPageBreak/>
        <w:t>Aircraft-related services and facilities</w:t>
      </w:r>
    </w:p>
    <w:p w:rsidR="009543DB" w:rsidRPr="00790F4E" w:rsidRDefault="009543DB" w:rsidP="009543DB">
      <w:pPr>
        <w:spacing w:before="120" w:after="120"/>
      </w:pPr>
      <w:r w:rsidRPr="003E14E6">
        <w:t xml:space="preserve">Table </w:t>
      </w:r>
      <w:r>
        <w:t>4</w:t>
      </w:r>
      <w:r w:rsidRPr="003E14E6">
        <w:t xml:space="preserve">.3.1 shows that </w:t>
      </w:r>
      <w:r>
        <w:t xml:space="preserve">the majority of ratings </w:t>
      </w:r>
      <w:r w:rsidRPr="00790F4E">
        <w:t xml:space="preserve">for </w:t>
      </w:r>
      <w:r>
        <w:t xml:space="preserve">aircraft related services and facilities increased at Perth Airport. </w:t>
      </w:r>
      <w:r w:rsidRPr="00790F4E">
        <w:t xml:space="preserve"> </w:t>
      </w:r>
    </w:p>
    <w:p w:rsidR="009543DB" w:rsidRPr="003A3065" w:rsidRDefault="009543DB" w:rsidP="009543DB">
      <w:pPr>
        <w:ind w:left="1440" w:hanging="1440"/>
        <w:rPr>
          <w:b/>
          <w:color w:val="51626F"/>
        </w:rPr>
      </w:pPr>
      <w:r w:rsidRPr="003A3065">
        <w:rPr>
          <w:b/>
          <w:color w:val="51626F"/>
        </w:rPr>
        <w:t>Table 4.3.1:</w:t>
      </w:r>
      <w:r w:rsidRPr="003A3065">
        <w:rPr>
          <w:b/>
          <w:color w:val="51626F"/>
        </w:rPr>
        <w:tab/>
        <w:t>Perth Airport—ratings of quality of individual aircraft</w:t>
      </w:r>
      <w:r w:rsidRPr="003A3065">
        <w:rPr>
          <w:b/>
          <w:color w:val="51626F"/>
        </w:rPr>
        <w:noBreakHyphen/>
        <w:t>related services and facilities: 201</w:t>
      </w:r>
      <w:r>
        <w:rPr>
          <w:b/>
          <w:color w:val="51626F"/>
        </w:rPr>
        <w:t>4</w:t>
      </w:r>
      <w:r w:rsidRPr="003A3065">
        <w:rPr>
          <w:b/>
          <w:color w:val="51626F"/>
        </w:rPr>
        <w:t>-1</w:t>
      </w:r>
      <w:r>
        <w:rPr>
          <w:b/>
          <w:color w:val="51626F"/>
        </w:rPr>
        <w:t>5</w:t>
      </w:r>
      <w:r w:rsidRPr="003A3065">
        <w:rPr>
          <w:b/>
          <w:color w:val="51626F"/>
        </w:rPr>
        <w:t>, 1-year change, and change since 20</w:t>
      </w:r>
      <w:r>
        <w:rPr>
          <w:b/>
          <w:color w:val="51626F"/>
        </w:rPr>
        <w:t>10</w:t>
      </w:r>
      <w:r w:rsidRPr="003A3065">
        <w:rPr>
          <w:b/>
          <w:color w:val="51626F"/>
        </w:rPr>
        <w:t>-1</w:t>
      </w:r>
      <w:r>
        <w:rPr>
          <w:b/>
          <w:color w:val="51626F"/>
        </w:rPr>
        <w:t xml:space="preserve">1 </w:t>
      </w:r>
    </w:p>
    <w:tbl>
      <w:tblPr>
        <w:tblStyle w:val="TableGrid2"/>
        <w:tblW w:w="0" w:type="auto"/>
        <w:tblLook w:val="04A0" w:firstRow="1" w:lastRow="0" w:firstColumn="1" w:lastColumn="0" w:noHBand="0" w:noVBand="1"/>
      </w:tblPr>
      <w:tblGrid>
        <w:gridCol w:w="1732"/>
        <w:gridCol w:w="3054"/>
        <w:gridCol w:w="1843"/>
        <w:gridCol w:w="1017"/>
        <w:gridCol w:w="1018"/>
      </w:tblGrid>
      <w:tr w:rsidR="009543DB" w:rsidRPr="003A3065" w:rsidTr="009543DB">
        <w:tc>
          <w:tcPr>
            <w:tcW w:w="1732" w:type="dxa"/>
            <w:tcBorders>
              <w:left w:val="nil"/>
              <w:bottom w:val="single" w:sz="4" w:space="0" w:color="auto"/>
              <w:right w:val="nil"/>
            </w:tcBorders>
            <w:shd w:val="clear" w:color="auto" w:fill="DFE0DC"/>
          </w:tcPr>
          <w:p w:rsidR="009543DB" w:rsidRPr="003A3065" w:rsidRDefault="009543DB" w:rsidP="009543DB">
            <w:pPr>
              <w:keepNext/>
              <w:spacing w:before="40" w:after="40"/>
              <w:rPr>
                <w:sz w:val="18"/>
              </w:rPr>
            </w:pPr>
          </w:p>
        </w:tc>
        <w:tc>
          <w:tcPr>
            <w:tcW w:w="3054" w:type="dxa"/>
            <w:tcBorders>
              <w:left w:val="nil"/>
              <w:bottom w:val="single" w:sz="4" w:space="0" w:color="auto"/>
              <w:right w:val="nil"/>
            </w:tcBorders>
            <w:shd w:val="clear" w:color="auto" w:fill="DFE0DC"/>
            <w:vAlign w:val="center"/>
          </w:tcPr>
          <w:p w:rsidR="009543DB" w:rsidRPr="003A3065" w:rsidRDefault="009543DB" w:rsidP="009543DB">
            <w:pPr>
              <w:spacing w:before="40" w:after="40"/>
              <w:rPr>
                <w:b/>
                <w:color w:val="000000" w:themeColor="text1"/>
                <w:sz w:val="18"/>
              </w:rPr>
            </w:pPr>
            <w:r w:rsidRPr="003A3065">
              <w:rPr>
                <w:b/>
                <w:color w:val="000000" w:themeColor="text1"/>
                <w:sz w:val="18"/>
              </w:rPr>
              <w:t>Indicator</w:t>
            </w:r>
          </w:p>
        </w:tc>
        <w:tc>
          <w:tcPr>
            <w:tcW w:w="1843" w:type="dxa"/>
            <w:tcBorders>
              <w:left w:val="nil"/>
              <w:bottom w:val="single" w:sz="4" w:space="0" w:color="auto"/>
              <w:right w:val="nil"/>
            </w:tcBorders>
            <w:shd w:val="clear" w:color="auto" w:fill="DFE0DC"/>
            <w:vAlign w:val="center"/>
          </w:tcPr>
          <w:p w:rsidR="009543DB" w:rsidRPr="003A3065" w:rsidRDefault="009543DB" w:rsidP="009543DB">
            <w:pPr>
              <w:spacing w:before="40" w:after="40"/>
              <w:rPr>
                <w:b/>
                <w:color w:val="000000" w:themeColor="text1"/>
                <w:sz w:val="18"/>
              </w:rPr>
            </w:pPr>
            <w:r w:rsidRPr="003A3065">
              <w:rPr>
                <w:b/>
                <w:color w:val="000000" w:themeColor="text1"/>
                <w:sz w:val="18"/>
              </w:rPr>
              <w:t>Rating category</w:t>
            </w:r>
            <w:r w:rsidRPr="003A3065">
              <w:rPr>
                <w:b/>
                <w:color w:val="000000" w:themeColor="text1"/>
                <w:sz w:val="18"/>
              </w:rPr>
              <w:br/>
              <w:t>201</w:t>
            </w:r>
            <w:r>
              <w:rPr>
                <w:b/>
                <w:color w:val="000000" w:themeColor="text1"/>
                <w:sz w:val="18"/>
              </w:rPr>
              <w:t>4</w:t>
            </w:r>
            <w:r w:rsidRPr="003A3065">
              <w:rPr>
                <w:b/>
                <w:color w:val="000000" w:themeColor="text1"/>
                <w:sz w:val="18"/>
              </w:rPr>
              <w:t>-1</w:t>
            </w:r>
            <w:r>
              <w:rPr>
                <w:b/>
                <w:color w:val="000000" w:themeColor="text1"/>
                <w:sz w:val="18"/>
              </w:rPr>
              <w:t>5</w:t>
            </w:r>
          </w:p>
        </w:tc>
        <w:tc>
          <w:tcPr>
            <w:tcW w:w="1017" w:type="dxa"/>
            <w:tcBorders>
              <w:left w:val="nil"/>
              <w:bottom w:val="single" w:sz="4" w:space="0" w:color="auto"/>
              <w:right w:val="nil"/>
            </w:tcBorders>
            <w:shd w:val="clear" w:color="auto" w:fill="DFE0DC"/>
            <w:vAlign w:val="center"/>
          </w:tcPr>
          <w:p w:rsidR="009543DB" w:rsidRPr="003A3065" w:rsidRDefault="009543DB" w:rsidP="009543DB">
            <w:pPr>
              <w:spacing w:before="40" w:after="40"/>
              <w:rPr>
                <w:b/>
                <w:color w:val="000000" w:themeColor="text1"/>
                <w:sz w:val="18"/>
              </w:rPr>
            </w:pPr>
            <w:r w:rsidRPr="003A3065">
              <w:rPr>
                <w:b/>
                <w:color w:val="000000" w:themeColor="text1"/>
                <w:sz w:val="18"/>
              </w:rPr>
              <w:t>1-year change</w:t>
            </w:r>
          </w:p>
        </w:tc>
        <w:tc>
          <w:tcPr>
            <w:tcW w:w="1018" w:type="dxa"/>
            <w:tcBorders>
              <w:left w:val="nil"/>
              <w:bottom w:val="single" w:sz="4" w:space="0" w:color="auto"/>
              <w:right w:val="nil"/>
            </w:tcBorders>
            <w:shd w:val="clear" w:color="auto" w:fill="DFE0DC"/>
            <w:vAlign w:val="center"/>
          </w:tcPr>
          <w:p w:rsidR="009543DB" w:rsidRPr="003A3065" w:rsidRDefault="009543DB" w:rsidP="009543DB">
            <w:pPr>
              <w:spacing w:before="40" w:after="40"/>
              <w:rPr>
                <w:b/>
                <w:color w:val="000000" w:themeColor="text1"/>
                <w:sz w:val="18"/>
              </w:rPr>
            </w:pPr>
            <w:r w:rsidRPr="003A3065">
              <w:rPr>
                <w:b/>
                <w:color w:val="000000" w:themeColor="text1"/>
                <w:sz w:val="18"/>
              </w:rPr>
              <w:t>Change since 20</w:t>
            </w:r>
            <w:r>
              <w:rPr>
                <w:b/>
                <w:color w:val="000000" w:themeColor="text1"/>
                <w:sz w:val="18"/>
              </w:rPr>
              <w:t>10</w:t>
            </w:r>
            <w:r w:rsidRPr="003A3065">
              <w:rPr>
                <w:b/>
                <w:color w:val="000000" w:themeColor="text1"/>
                <w:sz w:val="18"/>
              </w:rPr>
              <w:t>-1</w:t>
            </w:r>
            <w:r>
              <w:rPr>
                <w:b/>
                <w:color w:val="000000" w:themeColor="text1"/>
                <w:sz w:val="18"/>
              </w:rPr>
              <w:t>1</w:t>
            </w:r>
          </w:p>
        </w:tc>
      </w:tr>
      <w:tr w:rsidR="009543DB" w:rsidRPr="003A3065" w:rsidTr="009543DB">
        <w:tc>
          <w:tcPr>
            <w:tcW w:w="1732" w:type="dxa"/>
            <w:vMerge w:val="restart"/>
            <w:tcBorders>
              <w:left w:val="nil"/>
              <w:right w:val="nil"/>
            </w:tcBorders>
          </w:tcPr>
          <w:p w:rsidR="009543DB" w:rsidRPr="009D3B8F" w:rsidRDefault="009543DB" w:rsidP="009543DB">
            <w:pPr>
              <w:spacing w:before="40" w:after="40"/>
              <w:rPr>
                <w:b/>
                <w:color w:val="000000" w:themeColor="text1"/>
                <w:sz w:val="18"/>
              </w:rPr>
            </w:pPr>
            <w:r w:rsidRPr="009D3B8F">
              <w:rPr>
                <w:b/>
                <w:color w:val="000000" w:themeColor="text1"/>
                <w:sz w:val="18"/>
              </w:rPr>
              <w:t>Runway</w:t>
            </w:r>
          </w:p>
        </w:tc>
        <w:tc>
          <w:tcPr>
            <w:tcW w:w="3054" w:type="dxa"/>
            <w:tcBorders>
              <w:left w:val="nil"/>
              <w:bottom w:val="nil"/>
              <w:right w:val="nil"/>
            </w:tcBorders>
          </w:tcPr>
          <w:p w:rsidR="009543DB" w:rsidRPr="003A22A3" w:rsidRDefault="009543DB" w:rsidP="009543DB">
            <w:pPr>
              <w:keepNext/>
              <w:spacing w:before="40" w:after="40"/>
              <w:rPr>
                <w:sz w:val="18"/>
              </w:rPr>
            </w:pPr>
            <w:r w:rsidRPr="003A22A3">
              <w:rPr>
                <w:sz w:val="18"/>
              </w:rPr>
              <w:t>Availability</w:t>
            </w:r>
          </w:p>
        </w:tc>
        <w:tc>
          <w:tcPr>
            <w:tcW w:w="1843" w:type="dxa"/>
            <w:tcBorders>
              <w:left w:val="nil"/>
              <w:bottom w:val="nil"/>
              <w:right w:val="nil"/>
            </w:tcBorders>
          </w:tcPr>
          <w:p w:rsidR="009543DB" w:rsidRPr="003A22A3" w:rsidRDefault="009543DB" w:rsidP="009543DB">
            <w:pPr>
              <w:keepNext/>
              <w:spacing w:before="40" w:after="40"/>
              <w:rPr>
                <w:sz w:val="18"/>
              </w:rPr>
            </w:pPr>
            <w:r w:rsidRPr="003A22A3">
              <w:rPr>
                <w:sz w:val="18"/>
              </w:rPr>
              <w:t>Good</w:t>
            </w:r>
          </w:p>
        </w:tc>
        <w:tc>
          <w:tcPr>
            <w:tcW w:w="1017" w:type="dxa"/>
            <w:tcBorders>
              <w:left w:val="nil"/>
              <w:bottom w:val="nil"/>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r w:rsidRPr="009D3B8F">
              <w:rPr>
                <w:rFonts w:cs="Arial"/>
                <w:sz w:val="18"/>
              </w:rPr>
              <w:t>*</w:t>
            </w:r>
          </w:p>
        </w:tc>
        <w:tc>
          <w:tcPr>
            <w:tcW w:w="1018" w:type="dxa"/>
            <w:tcBorders>
              <w:left w:val="nil"/>
              <w:bottom w:val="nil"/>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r w:rsidRPr="009D3B8F">
              <w:rPr>
                <w:rFonts w:cs="Arial"/>
                <w:sz w:val="18"/>
              </w:rPr>
              <w:t>*</w:t>
            </w:r>
          </w:p>
        </w:tc>
      </w:tr>
      <w:tr w:rsidR="009543DB" w:rsidRPr="003A3065" w:rsidTr="009543DB">
        <w:tc>
          <w:tcPr>
            <w:tcW w:w="1732" w:type="dxa"/>
            <w:vMerge/>
            <w:tcBorders>
              <w:left w:val="nil"/>
              <w:right w:val="nil"/>
            </w:tcBorders>
          </w:tcPr>
          <w:p w:rsidR="009543DB" w:rsidRPr="009D3B8F" w:rsidRDefault="009543DB" w:rsidP="009543DB">
            <w:pPr>
              <w:spacing w:before="40" w:after="40"/>
              <w:rPr>
                <w:b/>
                <w:color w:val="000000" w:themeColor="text1"/>
                <w:sz w:val="18"/>
              </w:rPr>
            </w:pPr>
          </w:p>
        </w:tc>
        <w:tc>
          <w:tcPr>
            <w:tcW w:w="3054" w:type="dxa"/>
            <w:tcBorders>
              <w:top w:val="nil"/>
              <w:left w:val="nil"/>
              <w:bottom w:val="single" w:sz="4" w:space="0" w:color="auto"/>
              <w:right w:val="nil"/>
            </w:tcBorders>
          </w:tcPr>
          <w:p w:rsidR="009543DB" w:rsidRPr="003A22A3" w:rsidRDefault="009543DB" w:rsidP="009543DB">
            <w:pPr>
              <w:keepNext/>
              <w:spacing w:before="40" w:after="40"/>
              <w:rPr>
                <w:sz w:val="18"/>
              </w:rPr>
            </w:pPr>
            <w:r w:rsidRPr="003A22A3">
              <w:rPr>
                <w:sz w:val="18"/>
              </w:rPr>
              <w:t>Standard</w:t>
            </w:r>
          </w:p>
        </w:tc>
        <w:tc>
          <w:tcPr>
            <w:tcW w:w="1843" w:type="dxa"/>
            <w:tcBorders>
              <w:top w:val="nil"/>
              <w:left w:val="nil"/>
              <w:bottom w:val="single" w:sz="4" w:space="0" w:color="auto"/>
              <w:right w:val="nil"/>
            </w:tcBorders>
          </w:tcPr>
          <w:p w:rsidR="009543DB" w:rsidRPr="003A22A3" w:rsidRDefault="009543DB" w:rsidP="009543DB">
            <w:pPr>
              <w:keepNext/>
              <w:spacing w:before="40" w:after="40"/>
              <w:rPr>
                <w:sz w:val="18"/>
              </w:rPr>
            </w:pPr>
            <w:r w:rsidRPr="003A22A3">
              <w:rPr>
                <w:sz w:val="18"/>
              </w:rPr>
              <w:t>Satisfactory</w:t>
            </w:r>
          </w:p>
        </w:tc>
        <w:tc>
          <w:tcPr>
            <w:tcW w:w="1017" w:type="dxa"/>
            <w:tcBorders>
              <w:top w:val="nil"/>
              <w:left w:val="nil"/>
              <w:bottom w:val="single" w:sz="4" w:space="0" w:color="auto"/>
              <w:right w:val="nil"/>
            </w:tcBorders>
          </w:tcPr>
          <w:p w:rsidR="009543DB" w:rsidRPr="009D3B8F" w:rsidRDefault="009543DB" w:rsidP="009543DB">
            <w:pPr>
              <w:keepNext/>
              <w:spacing w:before="40" w:after="40"/>
              <w:rPr>
                <w:sz w:val="18"/>
              </w:rPr>
            </w:pPr>
            <w:r w:rsidRPr="009D3B8F">
              <w:rPr>
                <w:rFonts w:cs="Arial"/>
                <w:color w:val="4BACC6" w:themeColor="accent5"/>
                <w:sz w:val="18"/>
              </w:rPr>
              <w:t>▬</w:t>
            </w:r>
          </w:p>
        </w:tc>
        <w:tc>
          <w:tcPr>
            <w:tcW w:w="1018" w:type="dxa"/>
            <w:tcBorders>
              <w:top w:val="nil"/>
              <w:left w:val="nil"/>
              <w:bottom w:val="single" w:sz="4" w:space="0" w:color="auto"/>
              <w:right w:val="nil"/>
            </w:tcBorders>
          </w:tcPr>
          <w:p w:rsidR="009543DB" w:rsidRPr="009D3B8F" w:rsidRDefault="009543DB" w:rsidP="009543DB">
            <w:pPr>
              <w:keepNext/>
              <w:spacing w:before="40" w:after="40"/>
              <w:rPr>
                <w:sz w:val="18"/>
              </w:rPr>
            </w:pPr>
            <w:r w:rsidRPr="009D3B8F">
              <w:rPr>
                <w:rFonts w:cs="Arial"/>
                <w:color w:val="F79646" w:themeColor="accent6"/>
                <w:sz w:val="18"/>
              </w:rPr>
              <w:t>▼</w:t>
            </w:r>
          </w:p>
        </w:tc>
      </w:tr>
      <w:tr w:rsidR="009543DB" w:rsidRPr="003A3065" w:rsidTr="009543DB">
        <w:tc>
          <w:tcPr>
            <w:tcW w:w="1732" w:type="dxa"/>
            <w:vMerge w:val="restart"/>
            <w:tcBorders>
              <w:left w:val="nil"/>
              <w:right w:val="nil"/>
            </w:tcBorders>
          </w:tcPr>
          <w:p w:rsidR="009543DB" w:rsidRPr="009D3B8F" w:rsidRDefault="009543DB" w:rsidP="009543DB">
            <w:pPr>
              <w:spacing w:before="40" w:after="40"/>
              <w:rPr>
                <w:b/>
                <w:color w:val="000000" w:themeColor="text1"/>
                <w:sz w:val="18"/>
              </w:rPr>
            </w:pPr>
            <w:r w:rsidRPr="009D3B8F">
              <w:rPr>
                <w:b/>
                <w:color w:val="000000" w:themeColor="text1"/>
                <w:sz w:val="18"/>
              </w:rPr>
              <w:t>Taxiways</w:t>
            </w:r>
          </w:p>
        </w:tc>
        <w:tc>
          <w:tcPr>
            <w:tcW w:w="3054" w:type="dxa"/>
            <w:tcBorders>
              <w:left w:val="nil"/>
              <w:bottom w:val="nil"/>
              <w:right w:val="nil"/>
            </w:tcBorders>
          </w:tcPr>
          <w:p w:rsidR="009543DB" w:rsidRPr="003A22A3" w:rsidRDefault="009543DB" w:rsidP="009543DB">
            <w:pPr>
              <w:keepNext/>
              <w:spacing w:before="40" w:after="40"/>
              <w:rPr>
                <w:sz w:val="18"/>
              </w:rPr>
            </w:pPr>
            <w:r w:rsidRPr="003A22A3">
              <w:rPr>
                <w:sz w:val="18"/>
              </w:rPr>
              <w:t>Availability</w:t>
            </w:r>
          </w:p>
        </w:tc>
        <w:tc>
          <w:tcPr>
            <w:tcW w:w="1843" w:type="dxa"/>
            <w:tcBorders>
              <w:left w:val="nil"/>
              <w:bottom w:val="nil"/>
              <w:right w:val="nil"/>
            </w:tcBorders>
          </w:tcPr>
          <w:p w:rsidR="009543DB" w:rsidRPr="003A22A3" w:rsidRDefault="009543DB" w:rsidP="009543DB">
            <w:pPr>
              <w:keepNext/>
              <w:spacing w:before="40" w:after="40"/>
              <w:rPr>
                <w:sz w:val="18"/>
              </w:rPr>
            </w:pPr>
            <w:r w:rsidRPr="003A22A3">
              <w:rPr>
                <w:sz w:val="18"/>
              </w:rPr>
              <w:t>Satisfactory</w:t>
            </w:r>
          </w:p>
        </w:tc>
        <w:tc>
          <w:tcPr>
            <w:tcW w:w="1017" w:type="dxa"/>
            <w:tcBorders>
              <w:left w:val="nil"/>
              <w:bottom w:val="nil"/>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p>
        </w:tc>
        <w:tc>
          <w:tcPr>
            <w:tcW w:w="1018" w:type="dxa"/>
            <w:tcBorders>
              <w:left w:val="nil"/>
              <w:bottom w:val="nil"/>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p>
        </w:tc>
      </w:tr>
      <w:tr w:rsidR="009543DB" w:rsidRPr="003A3065" w:rsidTr="009543DB">
        <w:tc>
          <w:tcPr>
            <w:tcW w:w="1732" w:type="dxa"/>
            <w:vMerge/>
            <w:tcBorders>
              <w:left w:val="nil"/>
              <w:right w:val="nil"/>
            </w:tcBorders>
          </w:tcPr>
          <w:p w:rsidR="009543DB" w:rsidRPr="009D3B8F" w:rsidRDefault="009543DB" w:rsidP="009543DB">
            <w:pPr>
              <w:spacing w:before="40" w:after="40"/>
              <w:rPr>
                <w:b/>
                <w:color w:val="000000" w:themeColor="text1"/>
                <w:sz w:val="18"/>
              </w:rPr>
            </w:pPr>
          </w:p>
        </w:tc>
        <w:tc>
          <w:tcPr>
            <w:tcW w:w="3054" w:type="dxa"/>
            <w:tcBorders>
              <w:top w:val="nil"/>
              <w:left w:val="nil"/>
              <w:bottom w:val="single" w:sz="4" w:space="0" w:color="auto"/>
              <w:right w:val="nil"/>
            </w:tcBorders>
          </w:tcPr>
          <w:p w:rsidR="009543DB" w:rsidRPr="003A22A3" w:rsidRDefault="009543DB" w:rsidP="009543DB">
            <w:pPr>
              <w:keepNext/>
              <w:spacing w:before="40" w:after="40"/>
              <w:rPr>
                <w:sz w:val="18"/>
              </w:rPr>
            </w:pPr>
            <w:r w:rsidRPr="003A22A3">
              <w:rPr>
                <w:sz w:val="18"/>
              </w:rPr>
              <w:t>Standard</w:t>
            </w:r>
          </w:p>
        </w:tc>
        <w:tc>
          <w:tcPr>
            <w:tcW w:w="1843" w:type="dxa"/>
            <w:tcBorders>
              <w:top w:val="nil"/>
              <w:left w:val="nil"/>
              <w:bottom w:val="single" w:sz="4" w:space="0" w:color="auto"/>
              <w:right w:val="nil"/>
            </w:tcBorders>
          </w:tcPr>
          <w:p w:rsidR="009543DB" w:rsidRPr="003A22A3" w:rsidRDefault="009543DB" w:rsidP="009543DB">
            <w:pPr>
              <w:keepNext/>
              <w:spacing w:before="40" w:after="40"/>
              <w:rPr>
                <w:sz w:val="18"/>
              </w:rPr>
            </w:pPr>
            <w:r>
              <w:rPr>
                <w:sz w:val="18"/>
              </w:rPr>
              <w:t>Good</w:t>
            </w:r>
          </w:p>
        </w:tc>
        <w:tc>
          <w:tcPr>
            <w:tcW w:w="1017"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r w:rsidRPr="009D3B8F">
              <w:rPr>
                <w:rFonts w:cs="Arial"/>
                <w:sz w:val="18"/>
              </w:rPr>
              <w:t>*</w:t>
            </w:r>
          </w:p>
        </w:tc>
        <w:tc>
          <w:tcPr>
            <w:tcW w:w="1018"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r w:rsidRPr="009D3B8F">
              <w:rPr>
                <w:rFonts w:cs="Arial"/>
                <w:sz w:val="18"/>
              </w:rPr>
              <w:t>*</w:t>
            </w:r>
          </w:p>
        </w:tc>
      </w:tr>
      <w:tr w:rsidR="009543DB" w:rsidRPr="003A3065" w:rsidTr="009543DB">
        <w:tc>
          <w:tcPr>
            <w:tcW w:w="1732" w:type="dxa"/>
            <w:vMerge w:val="restart"/>
            <w:tcBorders>
              <w:left w:val="nil"/>
              <w:right w:val="nil"/>
            </w:tcBorders>
          </w:tcPr>
          <w:p w:rsidR="009543DB" w:rsidRPr="009D3B8F" w:rsidRDefault="009543DB" w:rsidP="009543DB">
            <w:pPr>
              <w:spacing w:before="40" w:after="40"/>
              <w:rPr>
                <w:b/>
                <w:color w:val="000000" w:themeColor="text1"/>
                <w:sz w:val="18"/>
              </w:rPr>
            </w:pPr>
            <w:r w:rsidRPr="009D3B8F">
              <w:rPr>
                <w:b/>
                <w:color w:val="000000" w:themeColor="text1"/>
                <w:sz w:val="18"/>
              </w:rPr>
              <w:t>Aprons</w:t>
            </w:r>
          </w:p>
        </w:tc>
        <w:tc>
          <w:tcPr>
            <w:tcW w:w="3054" w:type="dxa"/>
            <w:tcBorders>
              <w:left w:val="nil"/>
              <w:bottom w:val="nil"/>
              <w:right w:val="nil"/>
            </w:tcBorders>
          </w:tcPr>
          <w:p w:rsidR="009543DB" w:rsidRPr="007117C8" w:rsidRDefault="009543DB" w:rsidP="009543DB">
            <w:pPr>
              <w:keepNext/>
              <w:spacing w:before="40" w:after="40"/>
              <w:rPr>
                <w:sz w:val="18"/>
              </w:rPr>
            </w:pPr>
            <w:r w:rsidRPr="007117C8">
              <w:rPr>
                <w:sz w:val="18"/>
              </w:rPr>
              <w:t>Availability</w:t>
            </w:r>
          </w:p>
        </w:tc>
        <w:tc>
          <w:tcPr>
            <w:tcW w:w="1843" w:type="dxa"/>
            <w:tcBorders>
              <w:left w:val="nil"/>
              <w:bottom w:val="nil"/>
              <w:right w:val="nil"/>
            </w:tcBorders>
          </w:tcPr>
          <w:p w:rsidR="009543DB" w:rsidRPr="007117C8" w:rsidRDefault="009543DB" w:rsidP="009543DB">
            <w:pPr>
              <w:keepNext/>
              <w:spacing w:before="40" w:after="40"/>
              <w:rPr>
                <w:sz w:val="18"/>
              </w:rPr>
            </w:pPr>
            <w:r w:rsidRPr="007117C8">
              <w:rPr>
                <w:sz w:val="18"/>
              </w:rPr>
              <w:t>Good</w:t>
            </w:r>
          </w:p>
        </w:tc>
        <w:tc>
          <w:tcPr>
            <w:tcW w:w="1017" w:type="dxa"/>
            <w:tcBorders>
              <w:left w:val="nil"/>
              <w:bottom w:val="nil"/>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r w:rsidRPr="009D3B8F">
              <w:rPr>
                <w:rFonts w:cs="Arial"/>
                <w:sz w:val="18"/>
              </w:rPr>
              <w:t>*</w:t>
            </w:r>
          </w:p>
        </w:tc>
        <w:tc>
          <w:tcPr>
            <w:tcW w:w="1018" w:type="dxa"/>
            <w:tcBorders>
              <w:left w:val="nil"/>
              <w:bottom w:val="nil"/>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r w:rsidRPr="009D3B8F">
              <w:rPr>
                <w:rFonts w:cs="Arial"/>
                <w:sz w:val="18"/>
              </w:rPr>
              <w:t>*</w:t>
            </w:r>
          </w:p>
        </w:tc>
      </w:tr>
      <w:tr w:rsidR="009543DB" w:rsidRPr="003A3065" w:rsidTr="009543DB">
        <w:tc>
          <w:tcPr>
            <w:tcW w:w="1732" w:type="dxa"/>
            <w:vMerge/>
            <w:tcBorders>
              <w:left w:val="nil"/>
              <w:right w:val="nil"/>
            </w:tcBorders>
          </w:tcPr>
          <w:p w:rsidR="009543DB" w:rsidRPr="009D3B8F" w:rsidRDefault="009543DB" w:rsidP="009543DB">
            <w:pPr>
              <w:spacing w:before="40" w:after="40"/>
              <w:rPr>
                <w:b/>
                <w:color w:val="000000" w:themeColor="text1"/>
                <w:sz w:val="18"/>
              </w:rPr>
            </w:pPr>
          </w:p>
        </w:tc>
        <w:tc>
          <w:tcPr>
            <w:tcW w:w="3054" w:type="dxa"/>
            <w:tcBorders>
              <w:top w:val="nil"/>
              <w:left w:val="nil"/>
              <w:bottom w:val="single" w:sz="4" w:space="0" w:color="auto"/>
              <w:right w:val="nil"/>
            </w:tcBorders>
          </w:tcPr>
          <w:p w:rsidR="009543DB" w:rsidRPr="007117C8" w:rsidRDefault="009543DB" w:rsidP="009543DB">
            <w:pPr>
              <w:keepNext/>
              <w:spacing w:before="40" w:after="40"/>
              <w:rPr>
                <w:sz w:val="18"/>
              </w:rPr>
            </w:pPr>
            <w:r w:rsidRPr="007117C8">
              <w:rPr>
                <w:sz w:val="18"/>
              </w:rPr>
              <w:t>Standard</w:t>
            </w:r>
          </w:p>
        </w:tc>
        <w:tc>
          <w:tcPr>
            <w:tcW w:w="1843" w:type="dxa"/>
            <w:tcBorders>
              <w:top w:val="nil"/>
              <w:left w:val="nil"/>
              <w:bottom w:val="single" w:sz="4" w:space="0" w:color="auto"/>
              <w:right w:val="nil"/>
            </w:tcBorders>
          </w:tcPr>
          <w:p w:rsidR="009543DB" w:rsidRPr="007117C8" w:rsidRDefault="009543DB" w:rsidP="009543DB">
            <w:pPr>
              <w:keepNext/>
              <w:spacing w:before="40" w:after="40"/>
              <w:rPr>
                <w:sz w:val="18"/>
              </w:rPr>
            </w:pPr>
            <w:r w:rsidRPr="007117C8">
              <w:rPr>
                <w:sz w:val="18"/>
              </w:rPr>
              <w:t>Satisfactory</w:t>
            </w:r>
          </w:p>
        </w:tc>
        <w:tc>
          <w:tcPr>
            <w:tcW w:w="1017"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9D3B8F">
              <w:rPr>
                <w:rFonts w:cs="Arial"/>
                <w:color w:val="F79646" w:themeColor="accent6"/>
                <w:sz w:val="18"/>
              </w:rPr>
              <w:t>▼</w:t>
            </w:r>
            <w:r w:rsidRPr="009D3B8F">
              <w:rPr>
                <w:rFonts w:cs="Arial"/>
                <w:sz w:val="18"/>
              </w:rPr>
              <w:t>*</w:t>
            </w:r>
          </w:p>
        </w:tc>
        <w:tc>
          <w:tcPr>
            <w:tcW w:w="1018"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F20585">
              <w:rPr>
                <w:rFonts w:cs="Arial"/>
                <w:color w:val="943634" w:themeColor="accent2" w:themeShade="BF"/>
                <w:sz w:val="18"/>
              </w:rPr>
              <w:t>▲</w:t>
            </w:r>
          </w:p>
        </w:tc>
      </w:tr>
      <w:tr w:rsidR="009543DB" w:rsidRPr="003A3065" w:rsidTr="009543DB">
        <w:tc>
          <w:tcPr>
            <w:tcW w:w="1732" w:type="dxa"/>
            <w:vMerge w:val="restart"/>
            <w:tcBorders>
              <w:left w:val="nil"/>
              <w:right w:val="nil"/>
            </w:tcBorders>
          </w:tcPr>
          <w:p w:rsidR="009543DB" w:rsidRPr="009D3B8F" w:rsidRDefault="009543DB" w:rsidP="009543DB">
            <w:pPr>
              <w:spacing w:before="40" w:after="40"/>
              <w:rPr>
                <w:b/>
                <w:color w:val="000000" w:themeColor="text1"/>
                <w:sz w:val="18"/>
              </w:rPr>
            </w:pPr>
            <w:r w:rsidRPr="009D3B8F">
              <w:rPr>
                <w:b/>
                <w:color w:val="000000" w:themeColor="text1"/>
                <w:sz w:val="18"/>
              </w:rPr>
              <w:t>Aircraft parking</w:t>
            </w:r>
          </w:p>
        </w:tc>
        <w:tc>
          <w:tcPr>
            <w:tcW w:w="3054" w:type="dxa"/>
            <w:tcBorders>
              <w:left w:val="nil"/>
              <w:bottom w:val="nil"/>
              <w:right w:val="nil"/>
            </w:tcBorders>
          </w:tcPr>
          <w:p w:rsidR="009543DB" w:rsidRPr="007117C8" w:rsidRDefault="009543DB" w:rsidP="009543DB">
            <w:pPr>
              <w:keepNext/>
              <w:spacing w:before="40" w:after="40"/>
              <w:rPr>
                <w:sz w:val="18"/>
              </w:rPr>
            </w:pPr>
            <w:r w:rsidRPr="007117C8">
              <w:rPr>
                <w:sz w:val="18"/>
              </w:rPr>
              <w:t>Availability of facilities and bays</w:t>
            </w:r>
          </w:p>
        </w:tc>
        <w:tc>
          <w:tcPr>
            <w:tcW w:w="1843" w:type="dxa"/>
            <w:tcBorders>
              <w:left w:val="nil"/>
              <w:bottom w:val="nil"/>
              <w:right w:val="nil"/>
            </w:tcBorders>
          </w:tcPr>
          <w:p w:rsidR="009543DB" w:rsidRPr="007117C8" w:rsidRDefault="009543DB" w:rsidP="009543DB">
            <w:pPr>
              <w:keepNext/>
              <w:spacing w:before="40" w:after="40"/>
              <w:rPr>
                <w:sz w:val="18"/>
              </w:rPr>
            </w:pPr>
            <w:r w:rsidRPr="007117C8">
              <w:rPr>
                <w:sz w:val="18"/>
              </w:rPr>
              <w:t>Satisfactory</w:t>
            </w:r>
          </w:p>
        </w:tc>
        <w:tc>
          <w:tcPr>
            <w:tcW w:w="1017" w:type="dxa"/>
            <w:tcBorders>
              <w:left w:val="nil"/>
              <w:bottom w:val="nil"/>
              <w:right w:val="nil"/>
            </w:tcBorders>
          </w:tcPr>
          <w:p w:rsidR="009543DB" w:rsidRPr="003A3065" w:rsidRDefault="009543DB" w:rsidP="009543DB">
            <w:pPr>
              <w:keepNext/>
              <w:spacing w:before="40" w:after="40"/>
              <w:rPr>
                <w:sz w:val="18"/>
                <w:highlight w:val="yellow"/>
              </w:rPr>
            </w:pPr>
            <w:r w:rsidRPr="00F20585">
              <w:rPr>
                <w:rFonts w:cs="Arial"/>
                <w:color w:val="943634" w:themeColor="accent2" w:themeShade="BF"/>
                <w:sz w:val="18"/>
              </w:rPr>
              <w:t>▲</w:t>
            </w:r>
          </w:p>
        </w:tc>
        <w:tc>
          <w:tcPr>
            <w:tcW w:w="1018" w:type="dxa"/>
            <w:tcBorders>
              <w:left w:val="nil"/>
              <w:bottom w:val="nil"/>
              <w:right w:val="nil"/>
            </w:tcBorders>
          </w:tcPr>
          <w:p w:rsidR="009543DB" w:rsidRPr="003A3065" w:rsidRDefault="009543DB" w:rsidP="009543DB">
            <w:pPr>
              <w:keepNext/>
              <w:spacing w:before="40" w:after="40"/>
              <w:rPr>
                <w:sz w:val="18"/>
                <w:highlight w:val="yellow"/>
              </w:rPr>
            </w:pPr>
            <w:r w:rsidRPr="00F20585">
              <w:rPr>
                <w:rFonts w:cs="Arial"/>
                <w:color w:val="943634" w:themeColor="accent2" w:themeShade="BF"/>
                <w:sz w:val="18"/>
              </w:rPr>
              <w:t>▲</w:t>
            </w:r>
            <w:r w:rsidRPr="00F20585">
              <w:rPr>
                <w:rFonts w:cs="Arial"/>
                <w:sz w:val="18"/>
              </w:rPr>
              <w:t>*</w:t>
            </w:r>
          </w:p>
        </w:tc>
      </w:tr>
      <w:tr w:rsidR="009543DB" w:rsidRPr="003A3065" w:rsidTr="009543DB">
        <w:tc>
          <w:tcPr>
            <w:tcW w:w="1732" w:type="dxa"/>
            <w:vMerge/>
            <w:tcBorders>
              <w:left w:val="nil"/>
              <w:right w:val="nil"/>
            </w:tcBorders>
          </w:tcPr>
          <w:p w:rsidR="009543DB" w:rsidRPr="009D3B8F" w:rsidRDefault="009543DB" w:rsidP="009543DB">
            <w:pPr>
              <w:spacing w:before="40" w:after="40"/>
              <w:rPr>
                <w:b/>
                <w:color w:val="000000" w:themeColor="text1"/>
                <w:sz w:val="18"/>
              </w:rPr>
            </w:pPr>
          </w:p>
        </w:tc>
        <w:tc>
          <w:tcPr>
            <w:tcW w:w="3054" w:type="dxa"/>
            <w:tcBorders>
              <w:top w:val="nil"/>
              <w:left w:val="nil"/>
              <w:bottom w:val="single" w:sz="4" w:space="0" w:color="auto"/>
              <w:right w:val="nil"/>
            </w:tcBorders>
          </w:tcPr>
          <w:p w:rsidR="009543DB" w:rsidRPr="003A22A3" w:rsidRDefault="009543DB" w:rsidP="009543DB">
            <w:pPr>
              <w:keepNext/>
              <w:spacing w:before="40" w:after="40"/>
              <w:rPr>
                <w:sz w:val="18"/>
                <w:highlight w:val="yellow"/>
              </w:rPr>
            </w:pPr>
            <w:r w:rsidRPr="007117C8">
              <w:rPr>
                <w:sz w:val="18"/>
              </w:rPr>
              <w:t>Standard of facilities and bays</w:t>
            </w:r>
          </w:p>
        </w:tc>
        <w:tc>
          <w:tcPr>
            <w:tcW w:w="1843" w:type="dxa"/>
            <w:tcBorders>
              <w:top w:val="nil"/>
              <w:left w:val="nil"/>
              <w:bottom w:val="single" w:sz="4" w:space="0" w:color="auto"/>
              <w:right w:val="nil"/>
            </w:tcBorders>
          </w:tcPr>
          <w:p w:rsidR="009543DB" w:rsidRPr="003A22A3" w:rsidRDefault="009543DB" w:rsidP="009543DB">
            <w:pPr>
              <w:keepNext/>
              <w:spacing w:before="40" w:after="40"/>
              <w:rPr>
                <w:sz w:val="18"/>
                <w:highlight w:val="yellow"/>
              </w:rPr>
            </w:pPr>
            <w:r w:rsidRPr="007117C8">
              <w:rPr>
                <w:sz w:val="18"/>
              </w:rPr>
              <w:t>Satisfactory</w:t>
            </w:r>
          </w:p>
        </w:tc>
        <w:tc>
          <w:tcPr>
            <w:tcW w:w="1017"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p>
        </w:tc>
        <w:tc>
          <w:tcPr>
            <w:tcW w:w="1018"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F20585">
              <w:rPr>
                <w:rFonts w:cs="Arial"/>
                <w:color w:val="943634" w:themeColor="accent2" w:themeShade="BF"/>
                <w:sz w:val="18"/>
              </w:rPr>
              <w:t>▲</w:t>
            </w:r>
          </w:p>
        </w:tc>
      </w:tr>
      <w:tr w:rsidR="009543DB" w:rsidRPr="003A3065" w:rsidTr="009543DB">
        <w:tc>
          <w:tcPr>
            <w:tcW w:w="1732" w:type="dxa"/>
            <w:vMerge w:val="restart"/>
            <w:tcBorders>
              <w:left w:val="nil"/>
              <w:right w:val="nil"/>
            </w:tcBorders>
          </w:tcPr>
          <w:p w:rsidR="009543DB" w:rsidRPr="009D3B8F" w:rsidRDefault="009543DB" w:rsidP="009543DB">
            <w:pPr>
              <w:spacing w:before="40" w:after="40"/>
              <w:rPr>
                <w:b/>
                <w:color w:val="000000" w:themeColor="text1"/>
                <w:sz w:val="18"/>
              </w:rPr>
            </w:pPr>
            <w:r w:rsidRPr="009D3B8F">
              <w:rPr>
                <w:b/>
                <w:color w:val="000000" w:themeColor="text1"/>
                <w:sz w:val="18"/>
              </w:rPr>
              <w:t>Ground handling</w:t>
            </w:r>
          </w:p>
        </w:tc>
        <w:tc>
          <w:tcPr>
            <w:tcW w:w="3054" w:type="dxa"/>
            <w:tcBorders>
              <w:left w:val="nil"/>
              <w:bottom w:val="nil"/>
              <w:right w:val="nil"/>
            </w:tcBorders>
          </w:tcPr>
          <w:p w:rsidR="009543DB" w:rsidRPr="007117C8" w:rsidRDefault="009543DB" w:rsidP="009543DB">
            <w:pPr>
              <w:keepNext/>
              <w:spacing w:before="40" w:after="40"/>
              <w:rPr>
                <w:sz w:val="18"/>
              </w:rPr>
            </w:pPr>
            <w:r w:rsidRPr="007117C8">
              <w:rPr>
                <w:sz w:val="18"/>
              </w:rPr>
              <w:t>Availability of services and facilities</w:t>
            </w:r>
          </w:p>
        </w:tc>
        <w:tc>
          <w:tcPr>
            <w:tcW w:w="1843" w:type="dxa"/>
            <w:tcBorders>
              <w:left w:val="nil"/>
              <w:bottom w:val="nil"/>
              <w:right w:val="nil"/>
            </w:tcBorders>
          </w:tcPr>
          <w:p w:rsidR="009543DB" w:rsidRPr="007117C8" w:rsidRDefault="009543DB" w:rsidP="009543DB">
            <w:pPr>
              <w:keepNext/>
              <w:spacing w:before="40" w:after="40"/>
              <w:rPr>
                <w:sz w:val="18"/>
              </w:rPr>
            </w:pPr>
            <w:r w:rsidRPr="007117C8">
              <w:rPr>
                <w:sz w:val="18"/>
              </w:rPr>
              <w:t>Satisfactory</w:t>
            </w:r>
          </w:p>
        </w:tc>
        <w:tc>
          <w:tcPr>
            <w:tcW w:w="1017" w:type="dxa"/>
            <w:tcBorders>
              <w:left w:val="nil"/>
              <w:bottom w:val="nil"/>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r w:rsidRPr="00F20585">
              <w:rPr>
                <w:rFonts w:cs="Arial"/>
                <w:sz w:val="18"/>
              </w:rPr>
              <w:t>*</w:t>
            </w:r>
          </w:p>
        </w:tc>
        <w:tc>
          <w:tcPr>
            <w:tcW w:w="1018" w:type="dxa"/>
            <w:tcBorders>
              <w:left w:val="nil"/>
              <w:bottom w:val="nil"/>
              <w:right w:val="nil"/>
            </w:tcBorders>
          </w:tcPr>
          <w:p w:rsidR="009543DB" w:rsidRPr="003A3065" w:rsidRDefault="009543DB" w:rsidP="009543DB">
            <w:pPr>
              <w:keepNext/>
              <w:spacing w:before="40" w:after="40"/>
              <w:rPr>
                <w:sz w:val="18"/>
                <w:highlight w:val="yellow"/>
              </w:rPr>
            </w:pPr>
            <w:r w:rsidRPr="00F20585">
              <w:rPr>
                <w:rFonts w:cs="Arial"/>
                <w:color w:val="F79646" w:themeColor="accent6"/>
                <w:sz w:val="18"/>
              </w:rPr>
              <w:t>▼</w:t>
            </w:r>
          </w:p>
        </w:tc>
      </w:tr>
      <w:tr w:rsidR="009543DB" w:rsidRPr="003A3065" w:rsidTr="009543DB">
        <w:tc>
          <w:tcPr>
            <w:tcW w:w="1732" w:type="dxa"/>
            <w:vMerge/>
            <w:tcBorders>
              <w:left w:val="nil"/>
              <w:right w:val="nil"/>
            </w:tcBorders>
          </w:tcPr>
          <w:p w:rsidR="009543DB" w:rsidRPr="009D3B8F" w:rsidRDefault="009543DB" w:rsidP="009543DB">
            <w:pPr>
              <w:spacing w:before="40" w:after="40"/>
              <w:rPr>
                <w:b/>
                <w:color w:val="000000" w:themeColor="text1"/>
                <w:sz w:val="18"/>
              </w:rPr>
            </w:pPr>
          </w:p>
        </w:tc>
        <w:tc>
          <w:tcPr>
            <w:tcW w:w="3054" w:type="dxa"/>
            <w:tcBorders>
              <w:top w:val="nil"/>
              <w:left w:val="nil"/>
              <w:bottom w:val="single" w:sz="4" w:space="0" w:color="auto"/>
              <w:right w:val="nil"/>
            </w:tcBorders>
          </w:tcPr>
          <w:p w:rsidR="009543DB" w:rsidRPr="007117C8" w:rsidRDefault="009543DB" w:rsidP="009543DB">
            <w:pPr>
              <w:keepNext/>
              <w:spacing w:before="40" w:after="40"/>
              <w:rPr>
                <w:sz w:val="18"/>
              </w:rPr>
            </w:pPr>
            <w:r w:rsidRPr="007117C8">
              <w:rPr>
                <w:sz w:val="18"/>
              </w:rPr>
              <w:t>Standard of services and facilities</w:t>
            </w:r>
          </w:p>
        </w:tc>
        <w:tc>
          <w:tcPr>
            <w:tcW w:w="1843" w:type="dxa"/>
            <w:tcBorders>
              <w:top w:val="nil"/>
              <w:left w:val="nil"/>
              <w:bottom w:val="single" w:sz="4" w:space="0" w:color="auto"/>
              <w:right w:val="nil"/>
            </w:tcBorders>
          </w:tcPr>
          <w:p w:rsidR="009543DB" w:rsidRPr="007117C8" w:rsidRDefault="009543DB" w:rsidP="009543DB">
            <w:pPr>
              <w:keepNext/>
              <w:spacing w:before="40" w:after="40"/>
              <w:rPr>
                <w:sz w:val="18"/>
              </w:rPr>
            </w:pPr>
            <w:r w:rsidRPr="007117C8">
              <w:rPr>
                <w:sz w:val="18"/>
              </w:rPr>
              <w:t>Satisfactory</w:t>
            </w:r>
          </w:p>
        </w:tc>
        <w:tc>
          <w:tcPr>
            <w:tcW w:w="1017"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9D3B8F">
              <w:rPr>
                <w:rFonts w:cs="Arial"/>
                <w:color w:val="943634" w:themeColor="accent2" w:themeShade="BF"/>
                <w:sz w:val="18"/>
              </w:rPr>
              <w:t>▲</w:t>
            </w:r>
          </w:p>
        </w:tc>
        <w:tc>
          <w:tcPr>
            <w:tcW w:w="1018" w:type="dxa"/>
            <w:tcBorders>
              <w:top w:val="nil"/>
              <w:left w:val="nil"/>
              <w:bottom w:val="single" w:sz="4" w:space="0" w:color="auto"/>
              <w:right w:val="nil"/>
            </w:tcBorders>
          </w:tcPr>
          <w:p w:rsidR="009543DB" w:rsidRPr="003A3065" w:rsidRDefault="009543DB" w:rsidP="009543DB">
            <w:pPr>
              <w:keepNext/>
              <w:spacing w:before="40" w:after="40"/>
              <w:rPr>
                <w:sz w:val="18"/>
                <w:highlight w:val="yellow"/>
              </w:rPr>
            </w:pPr>
            <w:r w:rsidRPr="009D3B8F">
              <w:rPr>
                <w:rFonts w:cs="Arial"/>
                <w:color w:val="4BACC6" w:themeColor="accent5"/>
                <w:sz w:val="18"/>
              </w:rPr>
              <w:t>▬</w:t>
            </w:r>
          </w:p>
        </w:tc>
      </w:tr>
      <w:tr w:rsidR="009543DB" w:rsidRPr="003A3065" w:rsidTr="009543DB">
        <w:tc>
          <w:tcPr>
            <w:tcW w:w="1732" w:type="dxa"/>
            <w:vMerge w:val="restart"/>
            <w:tcBorders>
              <w:left w:val="nil"/>
              <w:right w:val="nil"/>
            </w:tcBorders>
          </w:tcPr>
          <w:p w:rsidR="009543DB" w:rsidRPr="009D3B8F" w:rsidRDefault="009543DB" w:rsidP="009543DB">
            <w:pPr>
              <w:spacing w:before="40" w:after="40"/>
              <w:rPr>
                <w:b/>
                <w:color w:val="000000" w:themeColor="text1"/>
                <w:sz w:val="18"/>
              </w:rPr>
            </w:pPr>
            <w:r w:rsidRPr="009D3B8F">
              <w:rPr>
                <w:b/>
                <w:color w:val="000000" w:themeColor="text1"/>
                <w:sz w:val="18"/>
              </w:rPr>
              <w:t>Management responsiveness</w:t>
            </w:r>
          </w:p>
        </w:tc>
        <w:tc>
          <w:tcPr>
            <w:tcW w:w="3054" w:type="dxa"/>
            <w:tcBorders>
              <w:left w:val="nil"/>
              <w:bottom w:val="nil"/>
              <w:right w:val="nil"/>
            </w:tcBorders>
          </w:tcPr>
          <w:p w:rsidR="009543DB" w:rsidRPr="007117C8" w:rsidRDefault="009543DB" w:rsidP="009543DB">
            <w:pPr>
              <w:keepNext/>
              <w:spacing w:before="40" w:after="40"/>
              <w:rPr>
                <w:sz w:val="18"/>
              </w:rPr>
            </w:pPr>
            <w:r w:rsidRPr="007117C8">
              <w:rPr>
                <w:sz w:val="18"/>
              </w:rPr>
              <w:t>Availability</w:t>
            </w:r>
          </w:p>
        </w:tc>
        <w:tc>
          <w:tcPr>
            <w:tcW w:w="1843" w:type="dxa"/>
            <w:tcBorders>
              <w:left w:val="nil"/>
              <w:bottom w:val="nil"/>
              <w:right w:val="nil"/>
            </w:tcBorders>
          </w:tcPr>
          <w:p w:rsidR="009543DB" w:rsidRPr="007117C8" w:rsidRDefault="009543DB" w:rsidP="009543DB">
            <w:pPr>
              <w:keepNext/>
              <w:spacing w:before="40" w:after="40"/>
              <w:rPr>
                <w:sz w:val="18"/>
              </w:rPr>
            </w:pPr>
            <w:r w:rsidRPr="007117C8">
              <w:rPr>
                <w:sz w:val="18"/>
              </w:rPr>
              <w:t>Satisfactory</w:t>
            </w:r>
          </w:p>
        </w:tc>
        <w:tc>
          <w:tcPr>
            <w:tcW w:w="1017" w:type="dxa"/>
            <w:tcBorders>
              <w:left w:val="nil"/>
              <w:bottom w:val="nil"/>
              <w:right w:val="nil"/>
            </w:tcBorders>
          </w:tcPr>
          <w:p w:rsidR="009543DB" w:rsidRPr="003A3065" w:rsidRDefault="009543DB" w:rsidP="009543DB">
            <w:pPr>
              <w:keepNext/>
              <w:spacing w:before="40" w:after="40"/>
              <w:rPr>
                <w:sz w:val="18"/>
                <w:highlight w:val="yellow"/>
              </w:rPr>
            </w:pPr>
            <w:r w:rsidRPr="00F20585">
              <w:rPr>
                <w:rFonts w:cs="Arial"/>
                <w:color w:val="F79646" w:themeColor="accent6"/>
                <w:sz w:val="18"/>
              </w:rPr>
              <w:t>▼</w:t>
            </w:r>
            <w:r w:rsidRPr="00F20585">
              <w:rPr>
                <w:rFonts w:cs="Arial"/>
                <w:sz w:val="18"/>
              </w:rPr>
              <w:t>*</w:t>
            </w:r>
          </w:p>
        </w:tc>
        <w:tc>
          <w:tcPr>
            <w:tcW w:w="1018" w:type="dxa"/>
            <w:tcBorders>
              <w:left w:val="nil"/>
              <w:bottom w:val="nil"/>
              <w:right w:val="nil"/>
            </w:tcBorders>
          </w:tcPr>
          <w:p w:rsidR="009543DB" w:rsidRPr="003A3065" w:rsidRDefault="009543DB" w:rsidP="009543DB">
            <w:pPr>
              <w:keepNext/>
              <w:spacing w:before="40" w:after="40"/>
              <w:rPr>
                <w:sz w:val="18"/>
                <w:highlight w:val="yellow"/>
              </w:rPr>
            </w:pPr>
            <w:r w:rsidRPr="00F20585">
              <w:rPr>
                <w:rFonts w:cs="Arial"/>
                <w:color w:val="943634" w:themeColor="accent2" w:themeShade="BF"/>
                <w:sz w:val="18"/>
              </w:rPr>
              <w:t>▲</w:t>
            </w:r>
          </w:p>
        </w:tc>
      </w:tr>
      <w:tr w:rsidR="009543DB" w:rsidRPr="003A3065" w:rsidTr="009543DB">
        <w:tc>
          <w:tcPr>
            <w:tcW w:w="1732" w:type="dxa"/>
            <w:vMerge/>
            <w:tcBorders>
              <w:left w:val="nil"/>
              <w:right w:val="nil"/>
            </w:tcBorders>
          </w:tcPr>
          <w:p w:rsidR="009543DB" w:rsidRPr="003A3065" w:rsidRDefault="009543DB" w:rsidP="009543DB">
            <w:pPr>
              <w:spacing w:before="40" w:after="40"/>
              <w:rPr>
                <w:b/>
                <w:color w:val="000000" w:themeColor="text1"/>
                <w:sz w:val="18"/>
                <w:highlight w:val="yellow"/>
              </w:rPr>
            </w:pPr>
          </w:p>
        </w:tc>
        <w:tc>
          <w:tcPr>
            <w:tcW w:w="3054" w:type="dxa"/>
            <w:tcBorders>
              <w:top w:val="nil"/>
              <w:left w:val="nil"/>
              <w:right w:val="nil"/>
            </w:tcBorders>
          </w:tcPr>
          <w:p w:rsidR="009543DB" w:rsidRPr="007117C8" w:rsidRDefault="009543DB" w:rsidP="009543DB">
            <w:pPr>
              <w:keepNext/>
              <w:spacing w:before="40" w:after="40"/>
              <w:rPr>
                <w:sz w:val="18"/>
              </w:rPr>
            </w:pPr>
            <w:r w:rsidRPr="007117C8">
              <w:rPr>
                <w:sz w:val="18"/>
              </w:rPr>
              <w:t>Standard</w:t>
            </w:r>
          </w:p>
        </w:tc>
        <w:tc>
          <w:tcPr>
            <w:tcW w:w="1843" w:type="dxa"/>
            <w:tcBorders>
              <w:top w:val="nil"/>
              <w:left w:val="nil"/>
              <w:right w:val="nil"/>
            </w:tcBorders>
          </w:tcPr>
          <w:p w:rsidR="009543DB" w:rsidRPr="007117C8" w:rsidRDefault="009543DB" w:rsidP="009543DB">
            <w:pPr>
              <w:keepNext/>
              <w:spacing w:before="40" w:after="40"/>
              <w:rPr>
                <w:sz w:val="18"/>
              </w:rPr>
            </w:pPr>
            <w:r w:rsidRPr="007117C8">
              <w:rPr>
                <w:sz w:val="18"/>
              </w:rPr>
              <w:t>Satisfactory</w:t>
            </w:r>
          </w:p>
        </w:tc>
        <w:tc>
          <w:tcPr>
            <w:tcW w:w="1017" w:type="dxa"/>
            <w:tcBorders>
              <w:top w:val="nil"/>
              <w:left w:val="nil"/>
              <w:right w:val="nil"/>
            </w:tcBorders>
          </w:tcPr>
          <w:p w:rsidR="009543DB" w:rsidRPr="003A3065" w:rsidRDefault="009543DB" w:rsidP="009543DB">
            <w:pPr>
              <w:keepNext/>
              <w:spacing w:before="40" w:after="40"/>
              <w:rPr>
                <w:sz w:val="18"/>
                <w:highlight w:val="yellow"/>
              </w:rPr>
            </w:pPr>
            <w:r w:rsidRPr="009D3B8F">
              <w:rPr>
                <w:rFonts w:cs="Arial"/>
                <w:color w:val="4BACC6" w:themeColor="accent5"/>
                <w:sz w:val="18"/>
              </w:rPr>
              <w:t>▬</w:t>
            </w:r>
          </w:p>
        </w:tc>
        <w:tc>
          <w:tcPr>
            <w:tcW w:w="1018" w:type="dxa"/>
            <w:tcBorders>
              <w:top w:val="nil"/>
              <w:left w:val="nil"/>
              <w:right w:val="nil"/>
            </w:tcBorders>
          </w:tcPr>
          <w:p w:rsidR="009543DB" w:rsidRPr="003A3065" w:rsidRDefault="009543DB" w:rsidP="009543DB">
            <w:pPr>
              <w:keepNext/>
              <w:spacing w:before="40" w:after="40"/>
              <w:rPr>
                <w:sz w:val="18"/>
                <w:highlight w:val="yellow"/>
              </w:rPr>
            </w:pPr>
            <w:r w:rsidRPr="00F20585">
              <w:rPr>
                <w:rFonts w:cs="Arial"/>
                <w:color w:val="F79646" w:themeColor="accent6"/>
                <w:sz w:val="18"/>
              </w:rPr>
              <w:t>▼</w:t>
            </w:r>
          </w:p>
        </w:tc>
      </w:tr>
    </w:tbl>
    <w:p w:rsidR="009543DB" w:rsidRPr="003A3065" w:rsidRDefault="009543DB" w:rsidP="009543DB">
      <w:pPr>
        <w:spacing w:before="120"/>
        <w:ind w:left="720" w:hanging="720"/>
        <w:contextualSpacing/>
        <w:rPr>
          <w:sz w:val="16"/>
          <w:szCs w:val="16"/>
        </w:rPr>
      </w:pPr>
      <w:r w:rsidRPr="003A3065">
        <w:rPr>
          <w:sz w:val="16"/>
          <w:szCs w:val="16"/>
        </w:rPr>
        <w:t>Source:</w:t>
      </w:r>
      <w:r w:rsidRPr="003A3065">
        <w:rPr>
          <w:sz w:val="16"/>
          <w:szCs w:val="16"/>
        </w:rPr>
        <w:tab/>
        <w:t>Airline surveys</w:t>
      </w:r>
    </w:p>
    <w:p w:rsidR="009543DB" w:rsidRPr="003A3065" w:rsidRDefault="009543DB" w:rsidP="009543DB">
      <w:pPr>
        <w:spacing w:before="120"/>
        <w:ind w:left="720" w:hanging="720"/>
        <w:contextualSpacing/>
        <w:rPr>
          <w:sz w:val="16"/>
          <w:szCs w:val="16"/>
        </w:rPr>
      </w:pPr>
      <w:r w:rsidRPr="003A3065">
        <w:rPr>
          <w:sz w:val="16"/>
          <w:szCs w:val="16"/>
        </w:rPr>
        <w:t>Note:</w:t>
      </w:r>
      <w:r w:rsidRPr="003A3065">
        <w:rPr>
          <w:sz w:val="16"/>
          <w:szCs w:val="16"/>
        </w:rPr>
        <w:tab/>
        <w:t>The rating categories are: very poor, poor, satisfactory, good, and excellent.</w:t>
      </w:r>
      <w:r w:rsidRPr="003A3065">
        <w:rPr>
          <w:sz w:val="16"/>
          <w:szCs w:val="16"/>
        </w:rPr>
        <w:br/>
        <w:t xml:space="preserve">For each indicator for the period specified: </w:t>
      </w:r>
      <w:r w:rsidRPr="003A3065">
        <w:rPr>
          <w:rFonts w:eastAsia="Times New Roman" w:cs="Times New Roman"/>
          <w:color w:val="943634"/>
          <w:sz w:val="16"/>
          <w:szCs w:val="24"/>
          <w:lang w:eastAsia="en-AU"/>
        </w:rPr>
        <w:t>▲</w:t>
      </w:r>
      <w:r w:rsidRPr="003A3065">
        <w:rPr>
          <w:rFonts w:eastAsia="Times New Roman" w:cs="Times New Roman"/>
          <w:color w:val="943634"/>
          <w:sz w:val="18"/>
          <w:szCs w:val="24"/>
          <w:lang w:eastAsia="en-AU"/>
        </w:rPr>
        <w:t xml:space="preserve"> </w:t>
      </w:r>
      <w:r w:rsidRPr="003A3065">
        <w:rPr>
          <w:sz w:val="16"/>
          <w:szCs w:val="16"/>
        </w:rPr>
        <w:t>indicates an improvement;</w:t>
      </w:r>
      <w:r w:rsidRPr="003A3065">
        <w:rPr>
          <w:rFonts w:eastAsia="Times New Roman" w:cs="Times New Roman"/>
          <w:color w:val="943634"/>
          <w:sz w:val="18"/>
          <w:szCs w:val="24"/>
          <w:lang w:eastAsia="en-AU"/>
        </w:rPr>
        <w:t xml:space="preserve"> </w:t>
      </w:r>
      <w:r w:rsidRPr="003A3065">
        <w:rPr>
          <w:rFonts w:eastAsia="Times New Roman" w:cs="Times New Roman"/>
          <w:color w:val="F79646"/>
          <w:sz w:val="16"/>
          <w:szCs w:val="24"/>
          <w:lang w:eastAsia="en-AU"/>
        </w:rPr>
        <w:t xml:space="preserve">▼ </w:t>
      </w:r>
      <w:r w:rsidRPr="003A3065">
        <w:rPr>
          <w:sz w:val="16"/>
          <w:szCs w:val="16"/>
        </w:rPr>
        <w:t>indicates a decline;</w:t>
      </w:r>
      <w:r w:rsidRPr="003A3065">
        <w:rPr>
          <w:rFonts w:eastAsia="Times New Roman" w:cs="Times New Roman"/>
          <w:color w:val="F79646"/>
          <w:sz w:val="16"/>
          <w:szCs w:val="24"/>
          <w:lang w:eastAsia="en-AU"/>
        </w:rPr>
        <w:t xml:space="preserve"> </w:t>
      </w:r>
      <w:r w:rsidRPr="003A3065">
        <w:rPr>
          <w:rFonts w:cs="Arial"/>
          <w:color w:val="4BACC6"/>
          <w:sz w:val="16"/>
          <w:szCs w:val="16"/>
        </w:rPr>
        <w:t>▬</w:t>
      </w:r>
      <w:r w:rsidRPr="003A3065">
        <w:rPr>
          <w:sz w:val="16"/>
          <w:szCs w:val="16"/>
        </w:rPr>
        <w:t xml:space="preserve"> indicates no change. *Rating changed by a category over the period.</w:t>
      </w:r>
    </w:p>
    <w:p w:rsidR="009543DB" w:rsidRDefault="009543DB" w:rsidP="009543DB"/>
    <w:p w:rsidR="009543DB" w:rsidRDefault="009543DB" w:rsidP="009543DB">
      <w:pPr>
        <w:spacing w:before="120" w:after="120"/>
      </w:pPr>
      <w:r>
        <w:t xml:space="preserve">Notable changes to ratings for aircraft-related services and facilities include runway availability rating which increasing from ‘satisfactory’ to ‘good’ during 2014-15. Airline commentary was generally positive with some commenting that runway availability during 2014-15 was good while others suggested that the softening of demand eased capacity related delays. </w:t>
      </w:r>
    </w:p>
    <w:p w:rsidR="009543DB" w:rsidRDefault="009543DB" w:rsidP="009543DB">
      <w:pPr>
        <w:spacing w:before="120" w:after="120"/>
      </w:pPr>
      <w:r>
        <w:t xml:space="preserve">The apron availability rating increased from ‘satisfactory’ to ‘good’ while the standard decreased from ‘good’ to ‘satisfactory’ during 2014-15. Commentary from the airlines on apron availability noted that increased apron parking facilities and a reduction in apron works have yielded improvements.  </w:t>
      </w:r>
    </w:p>
    <w:p w:rsidR="009543DB" w:rsidRDefault="009543DB" w:rsidP="009543DB">
      <w:pPr>
        <w:spacing w:before="120" w:after="120"/>
      </w:pPr>
      <w:r>
        <w:t xml:space="preserve">The management responsiveness availability rating decreased slightly but enough to drop from ‘good’ to ‘satisfactory’. Airline commentary was generally positive on management availability. One airline noted that ongoing communication with Perth Airport’s management allows for quality of service issues to be addressed in a timely manner. Another commented that the stability of management staffing over the past 12 months has helped the airport to answer questions in a timely fashion.  </w:t>
      </w:r>
    </w:p>
    <w:p w:rsidR="009543DB" w:rsidRDefault="009543DB" w:rsidP="009543DB">
      <w:pPr>
        <w:spacing w:before="120"/>
        <w:contextualSpacing/>
      </w:pPr>
    </w:p>
    <w:p w:rsidR="009543DB" w:rsidRPr="004C5477" w:rsidRDefault="009543DB" w:rsidP="009543DB">
      <w:pPr>
        <w:spacing w:after="200" w:line="276" w:lineRule="auto"/>
        <w:rPr>
          <w:rFonts w:eastAsiaTheme="majorEastAsia" w:cstheme="majorBidi"/>
          <w:b/>
          <w:bCs/>
          <w:i/>
          <w:color w:val="51626F"/>
          <w:sz w:val="24"/>
          <w:szCs w:val="28"/>
        </w:rPr>
      </w:pPr>
      <w:r w:rsidRPr="004C5477">
        <w:rPr>
          <w:rFonts w:eastAsiaTheme="majorEastAsia" w:cstheme="majorBidi"/>
          <w:b/>
          <w:bCs/>
          <w:i/>
          <w:color w:val="51626F"/>
          <w:sz w:val="24"/>
          <w:szCs w:val="28"/>
        </w:rPr>
        <w:t>International terminal</w:t>
      </w:r>
    </w:p>
    <w:p w:rsidR="009543DB" w:rsidRDefault="009543DB" w:rsidP="009543DB">
      <w:pPr>
        <w:spacing w:before="120" w:after="120"/>
        <w:rPr>
          <w:sz w:val="16"/>
          <w:szCs w:val="16"/>
        </w:rPr>
      </w:pPr>
      <w:r>
        <w:t xml:space="preserve">Table 4.3.2 presents </w:t>
      </w:r>
      <w:r w:rsidRPr="005071AC">
        <w:t xml:space="preserve">quality of </w:t>
      </w:r>
      <w:r>
        <w:t xml:space="preserve">service </w:t>
      </w:r>
      <w:r w:rsidRPr="005071AC">
        <w:t>passenger</w:t>
      </w:r>
      <w:r>
        <w:t>-</w:t>
      </w:r>
      <w:r w:rsidRPr="005071AC">
        <w:t xml:space="preserve">related services and facilities </w:t>
      </w:r>
      <w:r>
        <w:t xml:space="preserve">for the international terminal. It shows that all of the quality indicators at T1 were again rated by passengers as ‘good’. Airline ratings of quality indicators were either ‘poor’ or ‘satisfactory’. Most airlines’ ratings improved during 2014-15. </w:t>
      </w:r>
    </w:p>
    <w:p w:rsidR="009543DB" w:rsidRDefault="009543DB" w:rsidP="009543DB">
      <w:pPr>
        <w:spacing w:before="120"/>
        <w:ind w:left="720" w:hanging="720"/>
        <w:contextualSpacing/>
        <w:rPr>
          <w:sz w:val="16"/>
          <w:szCs w:val="16"/>
        </w:rPr>
      </w:pPr>
    </w:p>
    <w:p w:rsidR="009543DB" w:rsidRDefault="009543DB" w:rsidP="009543DB">
      <w:pPr>
        <w:pStyle w:val="Sourceandnotes"/>
      </w:pPr>
      <w:r>
        <w:t>.</w:t>
      </w:r>
    </w:p>
    <w:p w:rsidR="009543DB" w:rsidRDefault="009543DB" w:rsidP="009543DB">
      <w:pPr>
        <w:pStyle w:val="Listbullet1"/>
        <w:sectPr w:rsidR="009543DB" w:rsidSect="009543DB">
          <w:headerReference w:type="even" r:id="rId134"/>
          <w:headerReference w:type="default" r:id="rId135"/>
          <w:type w:val="continuous"/>
          <w:pgSz w:w="11906" w:h="16838"/>
          <w:pgMar w:top="1440" w:right="1729" w:bottom="1582" w:left="1729" w:header="709" w:footer="709" w:gutter="0"/>
          <w:cols w:space="708"/>
          <w:docGrid w:linePitch="360"/>
        </w:sectPr>
      </w:pPr>
    </w:p>
    <w:p w:rsidR="009543DB" w:rsidRPr="001333E8" w:rsidRDefault="009543DB" w:rsidP="009543D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71"/>
        </w:tabs>
        <w:spacing w:before="240" w:after="200" w:line="276" w:lineRule="auto"/>
        <w:ind w:left="1440" w:hanging="1440"/>
        <w:outlineLvl w:val="3"/>
        <w:rPr>
          <w:b/>
          <w:i/>
          <w:color w:val="FF0000"/>
          <w:u w:val="single"/>
        </w:rPr>
      </w:pPr>
      <w:r w:rsidRPr="004C5477">
        <w:rPr>
          <w:b/>
          <w:color w:val="51626F"/>
        </w:rPr>
        <w:lastRenderedPageBreak/>
        <w:t>Table 4.3.</w:t>
      </w:r>
      <w:r>
        <w:rPr>
          <w:b/>
          <w:color w:val="51626F"/>
        </w:rPr>
        <w:t>2</w:t>
      </w:r>
      <w:r w:rsidRPr="004C5477">
        <w:rPr>
          <w:b/>
          <w:color w:val="51626F"/>
        </w:rPr>
        <w:t>:</w:t>
      </w:r>
      <w:r w:rsidRPr="004C5477">
        <w:rPr>
          <w:b/>
          <w:color w:val="51626F"/>
        </w:rPr>
        <w:tab/>
        <w:t>Perth Airport—indicators of quality of passenger</w:t>
      </w:r>
      <w:r w:rsidRPr="004C5477">
        <w:rPr>
          <w:b/>
          <w:color w:val="51626F"/>
        </w:rPr>
        <w:noBreakHyphen/>
        <w:t xml:space="preserve">related services and facilities—international terminal: </w:t>
      </w:r>
      <w:r>
        <w:rPr>
          <w:b/>
          <w:color w:val="51626F"/>
        </w:rPr>
        <w:tab/>
      </w:r>
      <w:r w:rsidRPr="004C5477">
        <w:rPr>
          <w:b/>
          <w:color w:val="51626F"/>
        </w:rPr>
        <w:br/>
        <w:t>201</w:t>
      </w:r>
      <w:r>
        <w:rPr>
          <w:b/>
          <w:color w:val="51626F"/>
        </w:rPr>
        <w:t>4</w:t>
      </w:r>
      <w:r w:rsidRPr="004C5477">
        <w:rPr>
          <w:b/>
          <w:color w:val="51626F"/>
        </w:rPr>
        <w:noBreakHyphen/>
        <w:t>1</w:t>
      </w:r>
      <w:r>
        <w:rPr>
          <w:b/>
          <w:color w:val="51626F"/>
        </w:rPr>
        <w:t>5</w:t>
      </w:r>
      <w:r w:rsidRPr="004C5477">
        <w:rPr>
          <w:b/>
          <w:color w:val="51626F"/>
        </w:rPr>
        <w:t>, 1</w:t>
      </w:r>
      <w:r w:rsidRPr="004C5477">
        <w:rPr>
          <w:b/>
          <w:color w:val="51626F"/>
        </w:rPr>
        <w:noBreakHyphen/>
        <w:t>year change and change since 20</w:t>
      </w:r>
      <w:r>
        <w:rPr>
          <w:b/>
          <w:color w:val="51626F"/>
        </w:rPr>
        <w:t>10</w:t>
      </w:r>
      <w:r w:rsidRPr="004C5477">
        <w:rPr>
          <w:b/>
          <w:color w:val="51626F"/>
        </w:rPr>
        <w:t>-1</w:t>
      </w:r>
      <w:r>
        <w:rPr>
          <w:b/>
          <w:color w:val="51626F"/>
        </w:rPr>
        <w:t xml:space="preserve">1 </w:t>
      </w:r>
    </w:p>
    <w:tbl>
      <w:tblPr>
        <w:tblStyle w:val="TableGrid3"/>
        <w:tblW w:w="0" w:type="auto"/>
        <w:tblLook w:val="04A0" w:firstRow="1" w:lastRow="0" w:firstColumn="1" w:lastColumn="0" w:noHBand="0" w:noVBand="1"/>
      </w:tblPr>
      <w:tblGrid>
        <w:gridCol w:w="1243"/>
        <w:gridCol w:w="6662"/>
        <w:gridCol w:w="1701"/>
        <w:gridCol w:w="1701"/>
        <w:gridCol w:w="1291"/>
        <w:gridCol w:w="1434"/>
      </w:tblGrid>
      <w:tr w:rsidR="009543DB" w:rsidRPr="004C5477" w:rsidTr="009543DB">
        <w:tc>
          <w:tcPr>
            <w:tcW w:w="1243" w:type="dxa"/>
            <w:tcBorders>
              <w:left w:val="nil"/>
              <w:bottom w:val="single" w:sz="4" w:space="0" w:color="auto"/>
              <w:right w:val="nil"/>
            </w:tcBorders>
            <w:shd w:val="clear" w:color="auto" w:fill="DFE0DC"/>
          </w:tcPr>
          <w:p w:rsidR="009543DB" w:rsidRPr="004C5477" w:rsidRDefault="009543DB" w:rsidP="009543DB">
            <w:pPr>
              <w:spacing w:before="40" w:after="40"/>
              <w:rPr>
                <w:b/>
                <w:sz w:val="16"/>
              </w:rPr>
            </w:pPr>
            <w:r w:rsidRPr="004C5477">
              <w:rPr>
                <w:b/>
                <w:sz w:val="16"/>
              </w:rPr>
              <w:t>Category</w:t>
            </w:r>
          </w:p>
        </w:tc>
        <w:tc>
          <w:tcPr>
            <w:tcW w:w="6662" w:type="dxa"/>
            <w:tcBorders>
              <w:left w:val="nil"/>
              <w:bottom w:val="single" w:sz="4" w:space="0" w:color="auto"/>
              <w:right w:val="nil"/>
            </w:tcBorders>
            <w:shd w:val="clear" w:color="auto" w:fill="DFE0DC"/>
          </w:tcPr>
          <w:p w:rsidR="009543DB" w:rsidRPr="004C5477" w:rsidRDefault="009543DB" w:rsidP="009543DB">
            <w:pPr>
              <w:spacing w:before="40" w:after="40"/>
              <w:rPr>
                <w:b/>
                <w:sz w:val="16"/>
              </w:rPr>
            </w:pPr>
            <w:r w:rsidRPr="004C5477">
              <w:rPr>
                <w:b/>
                <w:sz w:val="16"/>
              </w:rPr>
              <w:t>Indicator</w:t>
            </w:r>
          </w:p>
        </w:tc>
        <w:tc>
          <w:tcPr>
            <w:tcW w:w="1701" w:type="dxa"/>
            <w:tcBorders>
              <w:left w:val="nil"/>
              <w:bottom w:val="single" w:sz="4" w:space="0" w:color="auto"/>
              <w:right w:val="nil"/>
            </w:tcBorders>
            <w:shd w:val="clear" w:color="auto" w:fill="DFE0DC"/>
          </w:tcPr>
          <w:p w:rsidR="009543DB" w:rsidRPr="004C5477" w:rsidRDefault="009543DB" w:rsidP="009543DB">
            <w:pPr>
              <w:spacing w:before="40" w:after="40"/>
              <w:rPr>
                <w:b/>
                <w:sz w:val="16"/>
              </w:rPr>
            </w:pPr>
            <w:r w:rsidRPr="004C5477">
              <w:rPr>
                <w:b/>
                <w:sz w:val="16"/>
              </w:rPr>
              <w:t>Data source</w:t>
            </w:r>
          </w:p>
        </w:tc>
        <w:tc>
          <w:tcPr>
            <w:tcW w:w="1701" w:type="dxa"/>
            <w:tcBorders>
              <w:left w:val="nil"/>
              <w:bottom w:val="single" w:sz="4" w:space="0" w:color="auto"/>
              <w:right w:val="nil"/>
            </w:tcBorders>
            <w:shd w:val="clear" w:color="auto" w:fill="DFE0DC"/>
          </w:tcPr>
          <w:p w:rsidR="009543DB" w:rsidRPr="004C5477" w:rsidRDefault="009543DB" w:rsidP="009543DB">
            <w:pPr>
              <w:spacing w:before="40" w:after="40"/>
              <w:rPr>
                <w:b/>
                <w:sz w:val="16"/>
              </w:rPr>
            </w:pPr>
            <w:r w:rsidRPr="004C5477">
              <w:rPr>
                <w:b/>
                <w:sz w:val="16"/>
              </w:rPr>
              <w:t>Indicator result 201</w:t>
            </w:r>
            <w:r>
              <w:rPr>
                <w:b/>
                <w:sz w:val="16"/>
              </w:rPr>
              <w:t>4</w:t>
            </w:r>
            <w:r w:rsidRPr="004C5477">
              <w:rPr>
                <w:b/>
                <w:sz w:val="16"/>
              </w:rPr>
              <w:t>-1</w:t>
            </w:r>
            <w:r>
              <w:rPr>
                <w:b/>
                <w:sz w:val="16"/>
              </w:rPr>
              <w:t>5</w:t>
            </w:r>
          </w:p>
        </w:tc>
        <w:tc>
          <w:tcPr>
            <w:tcW w:w="1291" w:type="dxa"/>
            <w:tcBorders>
              <w:left w:val="nil"/>
              <w:bottom w:val="single" w:sz="4" w:space="0" w:color="auto"/>
              <w:right w:val="nil"/>
            </w:tcBorders>
            <w:shd w:val="clear" w:color="auto" w:fill="DFE0DC"/>
          </w:tcPr>
          <w:p w:rsidR="009543DB" w:rsidRPr="004C5477" w:rsidRDefault="009543DB" w:rsidP="009543DB">
            <w:pPr>
              <w:spacing w:before="40" w:after="40"/>
              <w:rPr>
                <w:b/>
                <w:sz w:val="16"/>
              </w:rPr>
            </w:pPr>
            <w:r w:rsidRPr="004C5477">
              <w:rPr>
                <w:b/>
                <w:sz w:val="16"/>
              </w:rPr>
              <w:t>1-year change</w:t>
            </w:r>
          </w:p>
        </w:tc>
        <w:tc>
          <w:tcPr>
            <w:tcW w:w="1434" w:type="dxa"/>
            <w:tcBorders>
              <w:left w:val="nil"/>
              <w:bottom w:val="single" w:sz="4" w:space="0" w:color="auto"/>
              <w:right w:val="nil"/>
            </w:tcBorders>
            <w:shd w:val="clear" w:color="auto" w:fill="DFE0DC"/>
          </w:tcPr>
          <w:p w:rsidR="009543DB" w:rsidRPr="004C5477" w:rsidRDefault="009543DB" w:rsidP="009543DB">
            <w:pPr>
              <w:spacing w:before="40" w:after="40"/>
              <w:rPr>
                <w:b/>
                <w:sz w:val="16"/>
              </w:rPr>
            </w:pPr>
            <w:r w:rsidRPr="004C5477">
              <w:rPr>
                <w:b/>
                <w:sz w:val="16"/>
              </w:rPr>
              <w:t>Change since 20</w:t>
            </w:r>
            <w:r>
              <w:rPr>
                <w:b/>
                <w:sz w:val="16"/>
              </w:rPr>
              <w:t>10</w:t>
            </w:r>
            <w:r w:rsidRPr="004C5477">
              <w:rPr>
                <w:b/>
                <w:sz w:val="16"/>
              </w:rPr>
              <w:t>-1</w:t>
            </w:r>
            <w:r>
              <w:rPr>
                <w:b/>
                <w:sz w:val="16"/>
              </w:rPr>
              <w:t>1</w:t>
            </w:r>
          </w:p>
        </w:tc>
      </w:tr>
      <w:tr w:rsidR="009543DB" w:rsidRPr="004C5477" w:rsidTr="009543DB">
        <w:tc>
          <w:tcPr>
            <w:tcW w:w="1243" w:type="dxa"/>
            <w:tcBorders>
              <w:left w:val="nil"/>
              <w:bottom w:val="nil"/>
              <w:right w:val="nil"/>
            </w:tcBorders>
          </w:tcPr>
          <w:p w:rsidR="009543DB" w:rsidRPr="004C5477" w:rsidRDefault="009543DB" w:rsidP="009543DB">
            <w:pPr>
              <w:spacing w:before="40" w:after="40"/>
              <w:rPr>
                <w:b/>
                <w:sz w:val="16"/>
              </w:rPr>
            </w:pPr>
            <w:r w:rsidRPr="004C5477">
              <w:rPr>
                <w:b/>
                <w:sz w:val="16"/>
              </w:rPr>
              <w:t>Check-in</w:t>
            </w:r>
          </w:p>
        </w:tc>
        <w:tc>
          <w:tcPr>
            <w:tcW w:w="6662" w:type="dxa"/>
            <w:tcBorders>
              <w:left w:val="nil"/>
              <w:bottom w:val="nil"/>
              <w:right w:val="nil"/>
            </w:tcBorders>
          </w:tcPr>
          <w:p w:rsidR="009543DB" w:rsidRPr="004028E0" w:rsidRDefault="009543DB" w:rsidP="009543DB">
            <w:pPr>
              <w:spacing w:before="40" w:after="40"/>
              <w:rPr>
                <w:sz w:val="16"/>
              </w:rPr>
            </w:pPr>
            <w:r w:rsidRPr="004028E0">
              <w:rPr>
                <w:sz w:val="16"/>
              </w:rPr>
              <w:t>Check-in availability</w:t>
            </w:r>
          </w:p>
        </w:tc>
        <w:tc>
          <w:tcPr>
            <w:tcW w:w="1701" w:type="dxa"/>
            <w:tcBorders>
              <w:left w:val="nil"/>
              <w:bottom w:val="nil"/>
              <w:right w:val="nil"/>
            </w:tcBorders>
          </w:tcPr>
          <w:p w:rsidR="009543DB" w:rsidRPr="004028E0" w:rsidRDefault="009543DB" w:rsidP="009543DB">
            <w:pPr>
              <w:spacing w:before="40" w:after="40"/>
              <w:rPr>
                <w:sz w:val="16"/>
              </w:rPr>
            </w:pPr>
            <w:r w:rsidRPr="004028E0">
              <w:rPr>
                <w:sz w:val="16"/>
              </w:rPr>
              <w:t>Airline survey</w:t>
            </w:r>
          </w:p>
        </w:tc>
        <w:tc>
          <w:tcPr>
            <w:tcW w:w="1701" w:type="dxa"/>
            <w:tcBorders>
              <w:left w:val="nil"/>
              <w:bottom w:val="nil"/>
              <w:right w:val="nil"/>
            </w:tcBorders>
          </w:tcPr>
          <w:p w:rsidR="009543DB" w:rsidRPr="005330CB" w:rsidRDefault="009543DB" w:rsidP="009543DB">
            <w:pPr>
              <w:spacing w:before="40" w:after="40"/>
              <w:rPr>
                <w:sz w:val="16"/>
              </w:rPr>
            </w:pPr>
            <w:r>
              <w:rPr>
                <w:sz w:val="16"/>
              </w:rPr>
              <w:t>Satisfactory</w:t>
            </w:r>
          </w:p>
        </w:tc>
        <w:tc>
          <w:tcPr>
            <w:tcW w:w="1291" w:type="dxa"/>
            <w:tcBorders>
              <w:left w:val="nil"/>
              <w:bottom w:val="nil"/>
              <w:right w:val="nil"/>
            </w:tcBorders>
          </w:tcPr>
          <w:p w:rsidR="009543DB" w:rsidRPr="004C5477" w:rsidRDefault="009543DB" w:rsidP="009543DB">
            <w:pPr>
              <w:spacing w:before="40" w:after="40"/>
              <w:rPr>
                <w:sz w:val="16"/>
                <w:highlight w:val="yellow"/>
              </w:rPr>
            </w:pPr>
            <w:r w:rsidRPr="004C5477">
              <w:rPr>
                <w:rFonts w:cs="Arial"/>
                <w:color w:val="943634" w:themeColor="accent2" w:themeShade="BF"/>
                <w:sz w:val="16"/>
              </w:rPr>
              <w:t>▲</w:t>
            </w:r>
            <w:r w:rsidRPr="005330CB">
              <w:rPr>
                <w:rFonts w:cs="Arial"/>
                <w:sz w:val="16"/>
              </w:rPr>
              <w:t>*</w:t>
            </w:r>
          </w:p>
        </w:tc>
        <w:tc>
          <w:tcPr>
            <w:tcW w:w="1434" w:type="dxa"/>
            <w:tcBorders>
              <w:left w:val="nil"/>
              <w:bottom w:val="nil"/>
              <w:right w:val="nil"/>
            </w:tcBorders>
          </w:tcPr>
          <w:p w:rsidR="009543DB" w:rsidRPr="004C5477" w:rsidRDefault="009543DB" w:rsidP="009543DB">
            <w:pPr>
              <w:spacing w:before="40" w:after="40"/>
              <w:rPr>
                <w:sz w:val="16"/>
                <w:highlight w:val="yellow"/>
              </w:rPr>
            </w:pPr>
            <w:r w:rsidRPr="005330CB">
              <w:rPr>
                <w:rFonts w:cs="Arial"/>
                <w:color w:val="F79646" w:themeColor="accent6"/>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tcPr>
          <w:p w:rsidR="009543DB" w:rsidRPr="004028E0" w:rsidRDefault="009543DB" w:rsidP="009543DB">
            <w:pPr>
              <w:spacing w:before="40" w:after="40"/>
              <w:rPr>
                <w:sz w:val="16"/>
              </w:rPr>
            </w:pPr>
            <w:r w:rsidRPr="004028E0">
              <w:rPr>
                <w:sz w:val="16"/>
              </w:rPr>
              <w:t>Check-in standard</w:t>
            </w:r>
          </w:p>
        </w:tc>
        <w:tc>
          <w:tcPr>
            <w:tcW w:w="1701" w:type="dxa"/>
            <w:tcBorders>
              <w:top w:val="nil"/>
              <w:left w:val="nil"/>
              <w:bottom w:val="nil"/>
              <w:right w:val="nil"/>
            </w:tcBorders>
          </w:tcPr>
          <w:p w:rsidR="009543DB" w:rsidRPr="004028E0" w:rsidRDefault="009543DB" w:rsidP="009543DB">
            <w:pPr>
              <w:spacing w:before="40" w:after="40"/>
              <w:rPr>
                <w:sz w:val="16"/>
              </w:rPr>
            </w:pPr>
            <w:r w:rsidRPr="004028E0">
              <w:rPr>
                <w:sz w:val="16"/>
              </w:rPr>
              <w:t>Airline survey</w:t>
            </w:r>
          </w:p>
        </w:tc>
        <w:tc>
          <w:tcPr>
            <w:tcW w:w="1701" w:type="dxa"/>
            <w:tcBorders>
              <w:top w:val="nil"/>
              <w:left w:val="nil"/>
              <w:bottom w:val="nil"/>
              <w:right w:val="nil"/>
            </w:tcBorders>
          </w:tcPr>
          <w:p w:rsidR="009543DB" w:rsidRPr="005330CB" w:rsidRDefault="009543DB" w:rsidP="009543DB">
            <w:pPr>
              <w:spacing w:before="40" w:after="40"/>
              <w:rPr>
                <w:sz w:val="16"/>
              </w:rPr>
            </w:pPr>
            <w:r w:rsidRPr="005330CB">
              <w:rPr>
                <w:sz w:val="16"/>
              </w:rPr>
              <w:t>Poor</w:t>
            </w:r>
          </w:p>
        </w:tc>
        <w:tc>
          <w:tcPr>
            <w:tcW w:w="1291" w:type="dxa"/>
            <w:tcBorders>
              <w:top w:val="nil"/>
              <w:left w:val="nil"/>
              <w:bottom w:val="nil"/>
              <w:right w:val="nil"/>
            </w:tcBorders>
          </w:tcPr>
          <w:p w:rsidR="009543DB" w:rsidRPr="004C5477" w:rsidRDefault="009543DB" w:rsidP="009543DB">
            <w:pPr>
              <w:spacing w:before="40" w:after="40"/>
              <w:rPr>
                <w:sz w:val="16"/>
                <w:highlight w:val="yellow"/>
              </w:rPr>
            </w:pPr>
            <w:r w:rsidRPr="004C5477">
              <w:rPr>
                <w:rFonts w:cs="Arial"/>
                <w:color w:val="943634" w:themeColor="accent2" w:themeShade="BF"/>
                <w:sz w:val="16"/>
              </w:rPr>
              <w:t>▲</w:t>
            </w:r>
          </w:p>
        </w:tc>
        <w:tc>
          <w:tcPr>
            <w:tcW w:w="1434" w:type="dxa"/>
            <w:tcBorders>
              <w:top w:val="nil"/>
              <w:left w:val="nil"/>
              <w:bottom w:val="nil"/>
              <w:right w:val="nil"/>
            </w:tcBorders>
          </w:tcPr>
          <w:p w:rsidR="009543DB" w:rsidRPr="004C5477" w:rsidRDefault="009543DB" w:rsidP="009543DB">
            <w:pPr>
              <w:spacing w:before="40" w:after="40"/>
              <w:rPr>
                <w:sz w:val="16"/>
                <w:highlight w:val="yellow"/>
              </w:rPr>
            </w:pPr>
            <w:r w:rsidRPr="005330CB">
              <w:rPr>
                <w:rFonts w:cs="Arial"/>
                <w:color w:val="F79646" w:themeColor="accent6"/>
                <w:sz w:val="16"/>
              </w:rPr>
              <w:t>▼</w:t>
            </w:r>
            <w:r w:rsidRPr="005330CB">
              <w:rPr>
                <w:rFonts w:cs="Arial"/>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Check-in waiting time</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701" w:type="dxa"/>
            <w:tcBorders>
              <w:top w:val="nil"/>
              <w:left w:val="nil"/>
              <w:bottom w:val="nil"/>
              <w:right w:val="nil"/>
            </w:tcBorders>
          </w:tcPr>
          <w:p w:rsidR="009543DB" w:rsidRPr="004C5477" w:rsidRDefault="009543DB" w:rsidP="009543DB">
            <w:pPr>
              <w:spacing w:before="40" w:after="40"/>
              <w:rPr>
                <w:sz w:val="16"/>
              </w:rPr>
            </w:pPr>
            <w:r w:rsidRPr="004C5477">
              <w:rPr>
                <w:sz w:val="16"/>
              </w:rPr>
              <w:t>Good</w:t>
            </w:r>
          </w:p>
        </w:tc>
        <w:tc>
          <w:tcPr>
            <w:tcW w:w="1291" w:type="dxa"/>
            <w:tcBorders>
              <w:top w:val="nil"/>
              <w:left w:val="nil"/>
              <w:bottom w:val="nil"/>
              <w:right w:val="nil"/>
            </w:tcBorders>
          </w:tcPr>
          <w:p w:rsidR="009543DB" w:rsidRPr="004C5477" w:rsidRDefault="009543DB" w:rsidP="009543DB">
            <w:pPr>
              <w:spacing w:before="40" w:after="40"/>
              <w:rPr>
                <w:sz w:val="16"/>
              </w:rPr>
            </w:pPr>
            <w:r w:rsidRPr="004C5477">
              <w:rPr>
                <w:rFonts w:cs="Arial"/>
                <w:color w:val="943634" w:themeColor="accent2" w:themeShade="BF"/>
                <w:sz w:val="16"/>
              </w:rPr>
              <w:t>▲</w:t>
            </w:r>
          </w:p>
        </w:tc>
        <w:tc>
          <w:tcPr>
            <w:tcW w:w="1434" w:type="dxa"/>
            <w:tcBorders>
              <w:top w:val="nil"/>
              <w:left w:val="nil"/>
              <w:bottom w:val="nil"/>
              <w:right w:val="nil"/>
            </w:tcBorders>
          </w:tcPr>
          <w:p w:rsidR="009543DB" w:rsidRPr="004C5477" w:rsidRDefault="009543DB" w:rsidP="009543DB">
            <w:pPr>
              <w:spacing w:before="40" w:after="40"/>
              <w:rPr>
                <w:sz w:val="16"/>
              </w:rPr>
            </w:pPr>
            <w:r w:rsidRPr="004C5477">
              <w:rPr>
                <w:rFonts w:cs="Arial"/>
                <w:color w:val="943634" w:themeColor="accent2" w:themeShade="BF"/>
                <w:sz w:val="16"/>
              </w:rPr>
              <w:t>▲</w:t>
            </w:r>
          </w:p>
        </w:tc>
      </w:tr>
      <w:tr w:rsidR="009543DB" w:rsidRPr="004C5477" w:rsidTr="009543DB">
        <w:tc>
          <w:tcPr>
            <w:tcW w:w="1243" w:type="dxa"/>
            <w:tcBorders>
              <w:top w:val="nil"/>
              <w:left w:val="nil"/>
              <w:bottom w:val="single" w:sz="4" w:space="0" w:color="auto"/>
              <w:right w:val="nil"/>
            </w:tcBorders>
          </w:tcPr>
          <w:p w:rsidR="009543DB" w:rsidRPr="004C5477" w:rsidRDefault="009543DB" w:rsidP="009543DB">
            <w:pPr>
              <w:spacing w:before="40" w:after="40"/>
              <w:rPr>
                <w:b/>
                <w:sz w:val="16"/>
              </w:rPr>
            </w:pPr>
          </w:p>
        </w:tc>
        <w:tc>
          <w:tcPr>
            <w:tcW w:w="6662"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Number of departing passengers per check-in desk, kiosk and bag drop facility (peak hour)</w:t>
            </w:r>
          </w:p>
        </w:tc>
        <w:tc>
          <w:tcPr>
            <w:tcW w:w="1701"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Objective indicator</w:t>
            </w:r>
          </w:p>
        </w:tc>
        <w:tc>
          <w:tcPr>
            <w:tcW w:w="1701" w:type="dxa"/>
            <w:tcBorders>
              <w:top w:val="nil"/>
              <w:left w:val="nil"/>
              <w:bottom w:val="single" w:sz="4" w:space="0" w:color="auto"/>
              <w:right w:val="nil"/>
            </w:tcBorders>
          </w:tcPr>
          <w:p w:rsidR="009543DB" w:rsidRPr="004C5477" w:rsidRDefault="009543DB" w:rsidP="009543DB">
            <w:pPr>
              <w:spacing w:before="40" w:after="40"/>
              <w:rPr>
                <w:i/>
                <w:sz w:val="16"/>
              </w:rPr>
            </w:pPr>
            <w:r w:rsidRPr="004C5477">
              <w:rPr>
                <w:i/>
                <w:sz w:val="16"/>
              </w:rPr>
              <w:t>1</w:t>
            </w:r>
            <w:r>
              <w:rPr>
                <w:i/>
                <w:sz w:val="16"/>
              </w:rPr>
              <w:t>0.6</w:t>
            </w:r>
            <w:r w:rsidRPr="004C5477">
              <w:rPr>
                <w:i/>
                <w:sz w:val="16"/>
              </w:rPr>
              <w:t xml:space="preserve"> passengers</w:t>
            </w:r>
          </w:p>
        </w:tc>
        <w:tc>
          <w:tcPr>
            <w:tcW w:w="1291" w:type="dxa"/>
            <w:tcBorders>
              <w:top w:val="nil"/>
              <w:left w:val="nil"/>
              <w:bottom w:val="single" w:sz="4" w:space="0" w:color="auto"/>
              <w:right w:val="nil"/>
            </w:tcBorders>
          </w:tcPr>
          <w:p w:rsidR="009543DB" w:rsidRPr="004C5477" w:rsidRDefault="009543DB" w:rsidP="009543DB">
            <w:pPr>
              <w:spacing w:before="40" w:after="40"/>
              <w:rPr>
                <w:sz w:val="16"/>
              </w:rPr>
            </w:pPr>
            <w:r w:rsidRPr="004C5477">
              <w:rPr>
                <w:rFonts w:cs="Arial"/>
                <w:color w:val="943634" w:themeColor="accent2" w:themeShade="BF"/>
                <w:sz w:val="16"/>
              </w:rPr>
              <w:t>▲</w:t>
            </w:r>
          </w:p>
        </w:tc>
        <w:tc>
          <w:tcPr>
            <w:tcW w:w="1434" w:type="dxa"/>
            <w:tcBorders>
              <w:top w:val="nil"/>
              <w:left w:val="nil"/>
              <w:bottom w:val="single" w:sz="4" w:space="0" w:color="auto"/>
              <w:right w:val="nil"/>
            </w:tcBorders>
          </w:tcPr>
          <w:p w:rsidR="009543DB" w:rsidRPr="004C5477" w:rsidRDefault="009543DB" w:rsidP="009543DB">
            <w:pPr>
              <w:spacing w:before="40" w:after="40"/>
              <w:rPr>
                <w:sz w:val="16"/>
              </w:rPr>
            </w:pPr>
            <w:r w:rsidRPr="005330CB">
              <w:rPr>
                <w:rFonts w:cs="Arial"/>
                <w:color w:val="F79646" w:themeColor="accent6"/>
                <w:sz w:val="16"/>
              </w:rPr>
              <w:t>▼</w:t>
            </w:r>
          </w:p>
        </w:tc>
      </w:tr>
      <w:tr w:rsidR="009543DB" w:rsidRPr="004C5477" w:rsidTr="009543DB">
        <w:tc>
          <w:tcPr>
            <w:tcW w:w="1243" w:type="dxa"/>
            <w:tcBorders>
              <w:top w:val="single" w:sz="4" w:space="0" w:color="auto"/>
              <w:left w:val="nil"/>
              <w:bottom w:val="nil"/>
              <w:right w:val="nil"/>
            </w:tcBorders>
          </w:tcPr>
          <w:p w:rsidR="009543DB" w:rsidRPr="004C5477" w:rsidRDefault="009543DB" w:rsidP="009543DB">
            <w:pPr>
              <w:spacing w:before="40" w:after="40"/>
              <w:rPr>
                <w:b/>
                <w:sz w:val="16"/>
              </w:rPr>
            </w:pPr>
            <w:r w:rsidRPr="004C5477">
              <w:rPr>
                <w:b/>
                <w:sz w:val="16"/>
              </w:rPr>
              <w:t>Immigration</w:t>
            </w:r>
          </w:p>
        </w:tc>
        <w:tc>
          <w:tcPr>
            <w:tcW w:w="6662" w:type="dxa"/>
            <w:tcBorders>
              <w:top w:val="single" w:sz="4" w:space="0" w:color="auto"/>
              <w:left w:val="nil"/>
              <w:bottom w:val="nil"/>
              <w:right w:val="nil"/>
            </w:tcBorders>
          </w:tcPr>
          <w:p w:rsidR="009543DB" w:rsidRPr="00D66EF7" w:rsidRDefault="009543DB" w:rsidP="009543DB">
            <w:pPr>
              <w:spacing w:before="40" w:after="40"/>
              <w:rPr>
                <w:sz w:val="16"/>
              </w:rPr>
            </w:pPr>
            <w:r w:rsidRPr="00D66EF7">
              <w:rPr>
                <w:sz w:val="16"/>
              </w:rPr>
              <w:t>Waiting time in outbound Immigration area</w:t>
            </w:r>
          </w:p>
        </w:tc>
        <w:tc>
          <w:tcPr>
            <w:tcW w:w="1701" w:type="dxa"/>
            <w:tcBorders>
              <w:top w:val="single" w:sz="4" w:space="0" w:color="auto"/>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701" w:type="dxa"/>
            <w:tcBorders>
              <w:top w:val="single" w:sz="4" w:space="0" w:color="auto"/>
              <w:left w:val="nil"/>
              <w:bottom w:val="nil"/>
              <w:right w:val="nil"/>
            </w:tcBorders>
          </w:tcPr>
          <w:p w:rsidR="009543DB" w:rsidRPr="004C5477" w:rsidRDefault="009543DB" w:rsidP="009543DB">
            <w:pPr>
              <w:spacing w:before="40" w:after="40"/>
              <w:rPr>
                <w:sz w:val="16"/>
              </w:rPr>
            </w:pPr>
            <w:r w:rsidRPr="004C5477">
              <w:rPr>
                <w:sz w:val="16"/>
              </w:rPr>
              <w:t>Good</w:t>
            </w:r>
          </w:p>
        </w:tc>
        <w:tc>
          <w:tcPr>
            <w:tcW w:w="1291" w:type="dxa"/>
            <w:tcBorders>
              <w:top w:val="single" w:sz="4" w:space="0" w:color="auto"/>
              <w:left w:val="nil"/>
              <w:bottom w:val="nil"/>
              <w:right w:val="nil"/>
            </w:tcBorders>
          </w:tcPr>
          <w:p w:rsidR="009543DB" w:rsidRPr="004C5477" w:rsidRDefault="009543DB" w:rsidP="009543DB">
            <w:pPr>
              <w:spacing w:before="40" w:after="40"/>
              <w:rPr>
                <w:sz w:val="16"/>
              </w:rPr>
            </w:pPr>
            <w:r w:rsidRPr="004C5477">
              <w:rPr>
                <w:rFonts w:cs="Arial"/>
                <w:color w:val="4BACC6" w:themeColor="accent5"/>
                <w:sz w:val="16"/>
              </w:rPr>
              <w:t>▬</w:t>
            </w:r>
          </w:p>
        </w:tc>
        <w:tc>
          <w:tcPr>
            <w:tcW w:w="1434" w:type="dxa"/>
            <w:tcBorders>
              <w:top w:val="single" w:sz="4" w:space="0" w:color="auto"/>
              <w:left w:val="nil"/>
              <w:bottom w:val="nil"/>
              <w:right w:val="nil"/>
            </w:tcBorders>
          </w:tcPr>
          <w:p w:rsidR="009543DB" w:rsidRPr="004C5477" w:rsidRDefault="009543DB" w:rsidP="009543DB">
            <w:pPr>
              <w:spacing w:before="40" w:after="40"/>
              <w:rPr>
                <w:sz w:val="16"/>
              </w:rPr>
            </w:pPr>
            <w:r w:rsidRPr="004C5477">
              <w:rPr>
                <w:rFonts w:cs="Arial"/>
                <w:color w:val="943634" w:themeColor="accent2" w:themeShade="BF"/>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i/>
                <w:sz w:val="16"/>
              </w:rPr>
            </w:pPr>
            <w:r w:rsidRPr="00D66EF7">
              <w:rPr>
                <w:i/>
                <w:sz w:val="16"/>
              </w:rPr>
              <w:t>Number of departing passengers per outbound Immigration desk (peak hour)</w:t>
            </w:r>
          </w:p>
        </w:tc>
        <w:tc>
          <w:tcPr>
            <w:tcW w:w="1701" w:type="dxa"/>
            <w:tcBorders>
              <w:top w:val="nil"/>
              <w:left w:val="nil"/>
              <w:bottom w:val="nil"/>
              <w:right w:val="nil"/>
            </w:tcBorders>
          </w:tcPr>
          <w:p w:rsidR="009543DB" w:rsidRPr="00D66EF7" w:rsidRDefault="009543DB" w:rsidP="009543DB">
            <w:pPr>
              <w:spacing w:before="40" w:after="40"/>
              <w:rPr>
                <w:i/>
                <w:sz w:val="16"/>
              </w:rPr>
            </w:pPr>
            <w:r w:rsidRPr="00D66EF7">
              <w:rPr>
                <w:i/>
                <w:sz w:val="16"/>
              </w:rPr>
              <w:t>Objective indicator</w:t>
            </w:r>
          </w:p>
        </w:tc>
        <w:tc>
          <w:tcPr>
            <w:tcW w:w="1701" w:type="dxa"/>
            <w:tcBorders>
              <w:top w:val="nil"/>
              <w:left w:val="nil"/>
              <w:bottom w:val="nil"/>
              <w:right w:val="nil"/>
            </w:tcBorders>
          </w:tcPr>
          <w:p w:rsidR="009543DB" w:rsidRPr="004C5477" w:rsidRDefault="009543DB" w:rsidP="009543DB">
            <w:pPr>
              <w:spacing w:before="40" w:after="40"/>
              <w:rPr>
                <w:i/>
                <w:sz w:val="16"/>
              </w:rPr>
            </w:pPr>
            <w:r w:rsidRPr="00287F16">
              <w:rPr>
                <w:i/>
                <w:sz w:val="16"/>
              </w:rPr>
              <w:t>38.8</w:t>
            </w:r>
            <w:r w:rsidRPr="004C5477">
              <w:rPr>
                <w:i/>
                <w:sz w:val="16"/>
              </w:rPr>
              <w:t xml:space="preserve"> passengers</w:t>
            </w:r>
          </w:p>
        </w:tc>
        <w:tc>
          <w:tcPr>
            <w:tcW w:w="1291" w:type="dxa"/>
            <w:tcBorders>
              <w:top w:val="nil"/>
              <w:left w:val="nil"/>
              <w:bottom w:val="nil"/>
              <w:right w:val="nil"/>
            </w:tcBorders>
          </w:tcPr>
          <w:p w:rsidR="009543DB" w:rsidRPr="004C5477" w:rsidRDefault="009543DB" w:rsidP="009543DB">
            <w:pPr>
              <w:spacing w:before="40" w:after="40"/>
              <w:rPr>
                <w:sz w:val="16"/>
              </w:rPr>
            </w:pPr>
            <w:r w:rsidRPr="004C5477">
              <w:rPr>
                <w:rFonts w:cs="Arial"/>
                <w:color w:val="943634" w:themeColor="accent2" w:themeShade="BF"/>
                <w:sz w:val="16"/>
              </w:rPr>
              <w:t>▲</w:t>
            </w:r>
          </w:p>
        </w:tc>
        <w:tc>
          <w:tcPr>
            <w:tcW w:w="1434" w:type="dxa"/>
            <w:tcBorders>
              <w:top w:val="nil"/>
              <w:left w:val="nil"/>
              <w:bottom w:val="nil"/>
              <w:right w:val="nil"/>
            </w:tcBorders>
          </w:tcPr>
          <w:p w:rsidR="009543DB" w:rsidRPr="004C5477" w:rsidRDefault="009543DB" w:rsidP="009543DB">
            <w:pPr>
              <w:spacing w:before="40" w:after="40"/>
              <w:rPr>
                <w:sz w:val="16"/>
              </w:rPr>
            </w:pPr>
            <w:r w:rsidRPr="004C5477">
              <w:rPr>
                <w:rFonts w:cs="Arial"/>
                <w:color w:val="943634" w:themeColor="accent2" w:themeShade="BF"/>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Waiting time in inbound Immigration area</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701" w:type="dxa"/>
            <w:tcBorders>
              <w:top w:val="nil"/>
              <w:left w:val="nil"/>
              <w:bottom w:val="nil"/>
              <w:right w:val="nil"/>
            </w:tcBorders>
          </w:tcPr>
          <w:p w:rsidR="009543DB" w:rsidRPr="004C5477" w:rsidRDefault="009543DB" w:rsidP="009543DB">
            <w:pPr>
              <w:spacing w:before="40" w:after="40"/>
              <w:rPr>
                <w:sz w:val="16"/>
                <w:highlight w:val="yellow"/>
              </w:rPr>
            </w:pPr>
            <w:r w:rsidRPr="004C5477">
              <w:rPr>
                <w:sz w:val="16"/>
              </w:rPr>
              <w:t>Good</w:t>
            </w:r>
          </w:p>
        </w:tc>
        <w:tc>
          <w:tcPr>
            <w:tcW w:w="1291" w:type="dxa"/>
            <w:tcBorders>
              <w:top w:val="nil"/>
              <w:left w:val="nil"/>
              <w:bottom w:val="nil"/>
              <w:right w:val="nil"/>
            </w:tcBorders>
          </w:tcPr>
          <w:p w:rsidR="009543DB" w:rsidRPr="004C5477" w:rsidRDefault="009543DB" w:rsidP="009543DB">
            <w:pPr>
              <w:spacing w:before="40" w:after="40"/>
              <w:rPr>
                <w:sz w:val="16"/>
              </w:rPr>
            </w:pPr>
            <w:r w:rsidRPr="004C5477">
              <w:rPr>
                <w:rFonts w:cs="Arial"/>
                <w:color w:val="4BACC6" w:themeColor="accent5"/>
                <w:sz w:val="16"/>
              </w:rPr>
              <w:t>▬</w:t>
            </w:r>
          </w:p>
        </w:tc>
        <w:tc>
          <w:tcPr>
            <w:tcW w:w="1434" w:type="dxa"/>
            <w:tcBorders>
              <w:top w:val="nil"/>
              <w:left w:val="nil"/>
              <w:bottom w:val="nil"/>
              <w:right w:val="nil"/>
            </w:tcBorders>
          </w:tcPr>
          <w:p w:rsidR="009543DB" w:rsidRPr="004C5477" w:rsidRDefault="009543DB" w:rsidP="009543DB">
            <w:pPr>
              <w:spacing w:before="40" w:after="40"/>
              <w:rPr>
                <w:sz w:val="16"/>
              </w:rPr>
            </w:pPr>
            <w:r w:rsidRPr="004C5477">
              <w:rPr>
                <w:rFonts w:cs="Arial"/>
                <w:color w:val="4BACC6" w:themeColor="accent5"/>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shd w:val="clear" w:color="auto" w:fill="auto"/>
          </w:tcPr>
          <w:p w:rsidR="009543DB" w:rsidRPr="00D66EF7" w:rsidRDefault="009543DB" w:rsidP="009543DB">
            <w:pPr>
              <w:spacing w:before="40" w:after="40"/>
              <w:rPr>
                <w:i/>
                <w:sz w:val="16"/>
              </w:rPr>
            </w:pPr>
            <w:r w:rsidRPr="00D66EF7">
              <w:rPr>
                <w:i/>
                <w:sz w:val="16"/>
              </w:rPr>
              <w:t>Number of arriving passengers per inbound Immigration desk (peak hour)</w:t>
            </w:r>
          </w:p>
        </w:tc>
        <w:tc>
          <w:tcPr>
            <w:tcW w:w="1701" w:type="dxa"/>
            <w:tcBorders>
              <w:top w:val="nil"/>
              <w:left w:val="nil"/>
              <w:bottom w:val="nil"/>
              <w:right w:val="nil"/>
            </w:tcBorders>
            <w:shd w:val="clear" w:color="auto" w:fill="auto"/>
          </w:tcPr>
          <w:p w:rsidR="009543DB" w:rsidRPr="00D66EF7" w:rsidRDefault="009543DB" w:rsidP="009543DB">
            <w:pPr>
              <w:spacing w:before="40" w:after="40"/>
              <w:rPr>
                <w:i/>
                <w:sz w:val="16"/>
              </w:rPr>
            </w:pPr>
            <w:r w:rsidRPr="00D66EF7">
              <w:rPr>
                <w:i/>
                <w:sz w:val="16"/>
              </w:rPr>
              <w:t>Objective indicator</w:t>
            </w:r>
          </w:p>
        </w:tc>
        <w:tc>
          <w:tcPr>
            <w:tcW w:w="1701" w:type="dxa"/>
            <w:tcBorders>
              <w:top w:val="nil"/>
              <w:left w:val="nil"/>
              <w:bottom w:val="nil"/>
              <w:right w:val="nil"/>
            </w:tcBorders>
            <w:shd w:val="clear" w:color="auto" w:fill="auto"/>
          </w:tcPr>
          <w:p w:rsidR="009543DB" w:rsidRPr="004C5477" w:rsidRDefault="009543DB" w:rsidP="009543DB">
            <w:pPr>
              <w:spacing w:before="40" w:after="40"/>
              <w:rPr>
                <w:i/>
                <w:sz w:val="16"/>
              </w:rPr>
            </w:pPr>
            <w:r w:rsidRPr="00287F16">
              <w:rPr>
                <w:i/>
                <w:sz w:val="16"/>
              </w:rPr>
              <w:t>35.8</w:t>
            </w:r>
            <w:r w:rsidRPr="004C5477">
              <w:rPr>
                <w:i/>
                <w:sz w:val="16"/>
              </w:rPr>
              <w:t xml:space="preserve"> passengers</w:t>
            </w:r>
          </w:p>
        </w:tc>
        <w:tc>
          <w:tcPr>
            <w:tcW w:w="1291" w:type="dxa"/>
            <w:tcBorders>
              <w:top w:val="nil"/>
              <w:left w:val="nil"/>
              <w:bottom w:val="nil"/>
              <w:right w:val="nil"/>
            </w:tcBorders>
            <w:shd w:val="clear" w:color="auto" w:fill="auto"/>
          </w:tcPr>
          <w:p w:rsidR="009543DB" w:rsidRPr="004C5477" w:rsidRDefault="009543DB" w:rsidP="009543DB">
            <w:pPr>
              <w:spacing w:before="40" w:after="40"/>
              <w:rPr>
                <w:sz w:val="16"/>
              </w:rPr>
            </w:pPr>
            <w:r w:rsidRPr="004C5477">
              <w:rPr>
                <w:rFonts w:cs="Arial"/>
                <w:color w:val="F79646" w:themeColor="accent6"/>
                <w:sz w:val="16"/>
              </w:rPr>
              <w:t>▼</w:t>
            </w:r>
          </w:p>
        </w:tc>
        <w:tc>
          <w:tcPr>
            <w:tcW w:w="1434" w:type="dxa"/>
            <w:tcBorders>
              <w:top w:val="nil"/>
              <w:left w:val="nil"/>
              <w:bottom w:val="nil"/>
              <w:right w:val="nil"/>
            </w:tcBorders>
            <w:shd w:val="clear" w:color="auto" w:fill="auto"/>
          </w:tcPr>
          <w:p w:rsidR="009543DB" w:rsidRPr="004C5477" w:rsidRDefault="009543DB" w:rsidP="009543DB">
            <w:pPr>
              <w:spacing w:before="40" w:after="40"/>
              <w:rPr>
                <w:sz w:val="16"/>
              </w:rPr>
            </w:pPr>
            <w:r w:rsidRPr="004C5477">
              <w:rPr>
                <w:rFonts w:cs="Arial"/>
                <w:color w:val="F79646" w:themeColor="accent6"/>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Waiting time in inbound baggage inspection area</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701" w:type="dxa"/>
            <w:tcBorders>
              <w:top w:val="nil"/>
              <w:left w:val="nil"/>
              <w:bottom w:val="nil"/>
              <w:right w:val="nil"/>
            </w:tcBorders>
          </w:tcPr>
          <w:p w:rsidR="009543DB" w:rsidRPr="004C5477" w:rsidRDefault="009543DB" w:rsidP="009543DB">
            <w:pPr>
              <w:spacing w:before="40" w:after="40"/>
              <w:rPr>
                <w:sz w:val="16"/>
                <w:highlight w:val="yellow"/>
              </w:rPr>
            </w:pPr>
            <w:r w:rsidRPr="004C5477">
              <w:rPr>
                <w:sz w:val="16"/>
              </w:rPr>
              <w:t>Good</w:t>
            </w:r>
          </w:p>
        </w:tc>
        <w:tc>
          <w:tcPr>
            <w:tcW w:w="1291" w:type="dxa"/>
            <w:tcBorders>
              <w:top w:val="nil"/>
              <w:left w:val="nil"/>
              <w:bottom w:val="nil"/>
              <w:right w:val="nil"/>
            </w:tcBorders>
          </w:tcPr>
          <w:p w:rsidR="009543DB" w:rsidRPr="004C5477" w:rsidRDefault="009543DB" w:rsidP="009543DB">
            <w:pPr>
              <w:spacing w:before="40" w:after="40"/>
              <w:rPr>
                <w:sz w:val="16"/>
                <w:highlight w:val="yellow"/>
              </w:rPr>
            </w:pPr>
            <w:r w:rsidRPr="004C5477">
              <w:rPr>
                <w:rFonts w:cs="Arial"/>
                <w:color w:val="F79646" w:themeColor="accent6"/>
                <w:sz w:val="16"/>
              </w:rPr>
              <w:t>▼</w:t>
            </w:r>
          </w:p>
        </w:tc>
        <w:tc>
          <w:tcPr>
            <w:tcW w:w="1434" w:type="dxa"/>
            <w:tcBorders>
              <w:top w:val="nil"/>
              <w:left w:val="nil"/>
              <w:bottom w:val="nil"/>
              <w:right w:val="nil"/>
            </w:tcBorders>
          </w:tcPr>
          <w:p w:rsidR="009543DB" w:rsidRPr="004C5477" w:rsidRDefault="009543DB" w:rsidP="009543DB">
            <w:pPr>
              <w:spacing w:before="40" w:after="40"/>
              <w:rPr>
                <w:sz w:val="16"/>
                <w:highlight w:val="yellow"/>
              </w:rPr>
            </w:pPr>
            <w:r w:rsidRPr="004C5477">
              <w:rPr>
                <w:rFonts w:cs="Arial"/>
                <w:color w:val="F79646" w:themeColor="accent6"/>
                <w:sz w:val="16"/>
              </w:rPr>
              <w:t>▼</w:t>
            </w:r>
          </w:p>
        </w:tc>
      </w:tr>
      <w:tr w:rsidR="009543DB" w:rsidRPr="004C5477" w:rsidTr="009543DB">
        <w:tc>
          <w:tcPr>
            <w:tcW w:w="1243" w:type="dxa"/>
            <w:tcBorders>
              <w:top w:val="nil"/>
              <w:left w:val="nil"/>
              <w:bottom w:val="single" w:sz="4" w:space="0" w:color="auto"/>
              <w:right w:val="nil"/>
            </w:tcBorders>
          </w:tcPr>
          <w:p w:rsidR="009543DB" w:rsidRPr="004C5477" w:rsidRDefault="009543DB" w:rsidP="009543DB">
            <w:pPr>
              <w:spacing w:before="40" w:after="40"/>
              <w:rPr>
                <w:b/>
                <w:sz w:val="16"/>
              </w:rPr>
            </w:pPr>
          </w:p>
        </w:tc>
        <w:tc>
          <w:tcPr>
            <w:tcW w:w="6662"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Number of arriving passengers per baggage inspection desk (peak hour)</w:t>
            </w:r>
          </w:p>
        </w:tc>
        <w:tc>
          <w:tcPr>
            <w:tcW w:w="1701"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Objective indicator</w:t>
            </w:r>
          </w:p>
        </w:tc>
        <w:tc>
          <w:tcPr>
            <w:tcW w:w="1701" w:type="dxa"/>
            <w:tcBorders>
              <w:top w:val="nil"/>
              <w:left w:val="nil"/>
              <w:bottom w:val="single" w:sz="4" w:space="0" w:color="auto"/>
              <w:right w:val="nil"/>
            </w:tcBorders>
          </w:tcPr>
          <w:p w:rsidR="009543DB" w:rsidRPr="004C5477" w:rsidRDefault="009543DB" w:rsidP="009543DB">
            <w:pPr>
              <w:spacing w:before="40" w:after="40"/>
              <w:rPr>
                <w:i/>
                <w:sz w:val="16"/>
              </w:rPr>
            </w:pPr>
            <w:r w:rsidRPr="00287F16">
              <w:rPr>
                <w:i/>
                <w:sz w:val="16"/>
              </w:rPr>
              <w:t>40.3</w:t>
            </w:r>
            <w:r w:rsidRPr="004C5477">
              <w:rPr>
                <w:i/>
                <w:sz w:val="16"/>
              </w:rPr>
              <w:t xml:space="preserve"> passengers</w:t>
            </w:r>
          </w:p>
        </w:tc>
        <w:tc>
          <w:tcPr>
            <w:tcW w:w="1291" w:type="dxa"/>
            <w:tcBorders>
              <w:top w:val="nil"/>
              <w:left w:val="nil"/>
              <w:bottom w:val="single" w:sz="4" w:space="0" w:color="auto"/>
              <w:right w:val="nil"/>
            </w:tcBorders>
          </w:tcPr>
          <w:p w:rsidR="009543DB" w:rsidRPr="005330CB" w:rsidRDefault="009543DB" w:rsidP="009543DB">
            <w:pPr>
              <w:spacing w:before="40" w:after="40"/>
              <w:rPr>
                <w:sz w:val="16"/>
              </w:rPr>
            </w:pPr>
            <w:r w:rsidRPr="004C5477">
              <w:rPr>
                <w:rFonts w:cs="Arial"/>
                <w:color w:val="943634" w:themeColor="accent2" w:themeShade="BF"/>
                <w:sz w:val="16"/>
              </w:rPr>
              <w:t>▲</w:t>
            </w:r>
          </w:p>
        </w:tc>
        <w:tc>
          <w:tcPr>
            <w:tcW w:w="1434" w:type="dxa"/>
            <w:tcBorders>
              <w:top w:val="nil"/>
              <w:left w:val="nil"/>
              <w:bottom w:val="single" w:sz="4" w:space="0" w:color="auto"/>
              <w:right w:val="nil"/>
            </w:tcBorders>
          </w:tcPr>
          <w:p w:rsidR="009543DB" w:rsidRPr="005330CB" w:rsidRDefault="009543DB" w:rsidP="009543DB">
            <w:pPr>
              <w:spacing w:before="40" w:after="40"/>
              <w:rPr>
                <w:sz w:val="16"/>
              </w:rPr>
            </w:pPr>
            <w:r w:rsidRPr="005330CB">
              <w:rPr>
                <w:rFonts w:cs="Arial"/>
                <w:color w:val="F79646" w:themeColor="accent6"/>
                <w:sz w:val="16"/>
              </w:rPr>
              <w:t>▼</w:t>
            </w:r>
          </w:p>
        </w:tc>
      </w:tr>
      <w:tr w:rsidR="009543DB" w:rsidRPr="004C5477" w:rsidTr="009543DB">
        <w:tc>
          <w:tcPr>
            <w:tcW w:w="1243" w:type="dxa"/>
            <w:tcBorders>
              <w:top w:val="single" w:sz="4" w:space="0" w:color="auto"/>
              <w:left w:val="nil"/>
              <w:bottom w:val="nil"/>
              <w:right w:val="nil"/>
            </w:tcBorders>
          </w:tcPr>
          <w:p w:rsidR="009543DB" w:rsidRPr="004C5477" w:rsidRDefault="009543DB" w:rsidP="009543DB">
            <w:pPr>
              <w:spacing w:before="40" w:after="40"/>
              <w:rPr>
                <w:b/>
                <w:sz w:val="16"/>
              </w:rPr>
            </w:pPr>
            <w:r w:rsidRPr="004C5477">
              <w:rPr>
                <w:b/>
                <w:sz w:val="16"/>
              </w:rPr>
              <w:t>Information</w:t>
            </w:r>
          </w:p>
        </w:tc>
        <w:tc>
          <w:tcPr>
            <w:tcW w:w="6662" w:type="dxa"/>
            <w:tcBorders>
              <w:top w:val="single" w:sz="4" w:space="0" w:color="auto"/>
              <w:left w:val="nil"/>
              <w:bottom w:val="nil"/>
              <w:right w:val="nil"/>
            </w:tcBorders>
          </w:tcPr>
          <w:p w:rsidR="009543DB" w:rsidRPr="00D66EF7" w:rsidRDefault="009543DB" w:rsidP="009543DB">
            <w:pPr>
              <w:spacing w:before="40" w:after="40"/>
              <w:rPr>
                <w:sz w:val="16"/>
              </w:rPr>
            </w:pPr>
            <w:r w:rsidRPr="00D66EF7">
              <w:rPr>
                <w:sz w:val="16"/>
              </w:rPr>
              <w:t>Flight information display screens</w:t>
            </w:r>
          </w:p>
        </w:tc>
        <w:tc>
          <w:tcPr>
            <w:tcW w:w="1701" w:type="dxa"/>
            <w:tcBorders>
              <w:top w:val="single" w:sz="4" w:space="0" w:color="auto"/>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701" w:type="dxa"/>
            <w:tcBorders>
              <w:top w:val="single" w:sz="4" w:space="0" w:color="auto"/>
              <w:left w:val="nil"/>
              <w:bottom w:val="nil"/>
              <w:right w:val="nil"/>
            </w:tcBorders>
          </w:tcPr>
          <w:p w:rsidR="009543DB" w:rsidRPr="004C5477" w:rsidRDefault="009543DB" w:rsidP="009543DB">
            <w:pPr>
              <w:spacing w:before="40" w:after="40"/>
              <w:rPr>
                <w:sz w:val="16"/>
              </w:rPr>
            </w:pPr>
            <w:r w:rsidRPr="004C5477">
              <w:rPr>
                <w:sz w:val="16"/>
              </w:rPr>
              <w:t>Good</w:t>
            </w:r>
          </w:p>
        </w:tc>
        <w:tc>
          <w:tcPr>
            <w:tcW w:w="1291" w:type="dxa"/>
            <w:tcBorders>
              <w:top w:val="single" w:sz="4" w:space="0" w:color="auto"/>
              <w:left w:val="nil"/>
              <w:bottom w:val="nil"/>
              <w:right w:val="nil"/>
            </w:tcBorders>
          </w:tcPr>
          <w:p w:rsidR="009543DB" w:rsidRPr="004C5477" w:rsidRDefault="009543DB" w:rsidP="009543DB">
            <w:pPr>
              <w:spacing w:before="40" w:after="40"/>
              <w:rPr>
                <w:sz w:val="16"/>
              </w:rPr>
            </w:pPr>
            <w:r w:rsidRPr="004C5477">
              <w:rPr>
                <w:rFonts w:cs="Arial"/>
                <w:color w:val="4BACC6" w:themeColor="accent5"/>
                <w:sz w:val="16"/>
              </w:rPr>
              <w:t>▬</w:t>
            </w:r>
          </w:p>
        </w:tc>
        <w:tc>
          <w:tcPr>
            <w:tcW w:w="1434" w:type="dxa"/>
            <w:tcBorders>
              <w:top w:val="single" w:sz="4" w:space="0" w:color="auto"/>
              <w:left w:val="nil"/>
              <w:bottom w:val="nil"/>
              <w:right w:val="nil"/>
            </w:tcBorders>
          </w:tcPr>
          <w:p w:rsidR="009543DB" w:rsidRPr="004C5477" w:rsidRDefault="009543DB" w:rsidP="009543DB">
            <w:pPr>
              <w:spacing w:before="40" w:after="40"/>
              <w:rPr>
                <w:sz w:val="16"/>
              </w:rPr>
            </w:pPr>
            <w:r w:rsidRPr="004C5477">
              <w:rPr>
                <w:rFonts w:cs="Arial"/>
                <w:color w:val="4BACC6" w:themeColor="accent5"/>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i/>
                <w:sz w:val="16"/>
              </w:rPr>
            </w:pPr>
            <w:r w:rsidRPr="00D66EF7">
              <w:rPr>
                <w:i/>
                <w:sz w:val="16"/>
              </w:rPr>
              <w:t>Number of passengers per flight information display screen (peak hour)</w:t>
            </w:r>
          </w:p>
        </w:tc>
        <w:tc>
          <w:tcPr>
            <w:tcW w:w="1701" w:type="dxa"/>
            <w:tcBorders>
              <w:top w:val="nil"/>
              <w:left w:val="nil"/>
              <w:bottom w:val="nil"/>
              <w:right w:val="nil"/>
            </w:tcBorders>
          </w:tcPr>
          <w:p w:rsidR="009543DB" w:rsidRPr="00D66EF7" w:rsidRDefault="009543DB" w:rsidP="009543DB">
            <w:pPr>
              <w:spacing w:before="40" w:after="40"/>
              <w:rPr>
                <w:i/>
                <w:sz w:val="16"/>
              </w:rPr>
            </w:pPr>
            <w:r w:rsidRPr="00D66EF7">
              <w:rPr>
                <w:i/>
                <w:sz w:val="16"/>
              </w:rPr>
              <w:t>Objective indicator</w:t>
            </w:r>
          </w:p>
        </w:tc>
        <w:tc>
          <w:tcPr>
            <w:tcW w:w="1701" w:type="dxa"/>
            <w:tcBorders>
              <w:top w:val="nil"/>
              <w:left w:val="nil"/>
              <w:bottom w:val="nil"/>
              <w:right w:val="nil"/>
            </w:tcBorders>
          </w:tcPr>
          <w:p w:rsidR="009543DB" w:rsidRPr="004C5477" w:rsidRDefault="009543DB" w:rsidP="009543DB">
            <w:pPr>
              <w:spacing w:before="40" w:after="40"/>
              <w:rPr>
                <w:i/>
                <w:sz w:val="16"/>
              </w:rPr>
            </w:pPr>
            <w:r w:rsidRPr="00287F16">
              <w:rPr>
                <w:i/>
                <w:sz w:val="16"/>
              </w:rPr>
              <w:t>19.1</w:t>
            </w:r>
            <w:r w:rsidRPr="004C5477">
              <w:rPr>
                <w:i/>
                <w:sz w:val="16"/>
              </w:rPr>
              <w:t xml:space="preserve"> passengers</w:t>
            </w:r>
          </w:p>
        </w:tc>
        <w:tc>
          <w:tcPr>
            <w:tcW w:w="1291" w:type="dxa"/>
            <w:tcBorders>
              <w:top w:val="nil"/>
              <w:left w:val="nil"/>
              <w:bottom w:val="nil"/>
              <w:right w:val="nil"/>
            </w:tcBorders>
          </w:tcPr>
          <w:p w:rsidR="009543DB" w:rsidRPr="004C5477" w:rsidRDefault="009543DB" w:rsidP="009543DB">
            <w:pPr>
              <w:spacing w:before="40" w:after="40"/>
              <w:rPr>
                <w:sz w:val="16"/>
                <w:highlight w:val="yellow"/>
              </w:rPr>
            </w:pPr>
            <w:r w:rsidRPr="005330CB">
              <w:rPr>
                <w:rFonts w:cs="Arial"/>
                <w:color w:val="F79646" w:themeColor="accent6"/>
                <w:sz w:val="16"/>
              </w:rPr>
              <w:t>▼</w:t>
            </w:r>
          </w:p>
        </w:tc>
        <w:tc>
          <w:tcPr>
            <w:tcW w:w="1434" w:type="dxa"/>
            <w:tcBorders>
              <w:top w:val="nil"/>
              <w:left w:val="nil"/>
              <w:bottom w:val="nil"/>
              <w:right w:val="nil"/>
            </w:tcBorders>
          </w:tcPr>
          <w:p w:rsidR="009543DB" w:rsidRPr="004C5477" w:rsidRDefault="009543DB" w:rsidP="009543DB">
            <w:pPr>
              <w:spacing w:before="40" w:after="40"/>
              <w:rPr>
                <w:sz w:val="16"/>
                <w:highlight w:val="yellow"/>
              </w:rPr>
            </w:pPr>
            <w:r w:rsidRPr="005330CB">
              <w:rPr>
                <w:rFonts w:cs="Arial"/>
                <w:color w:val="F79646" w:themeColor="accent6"/>
                <w:sz w:val="16"/>
              </w:rPr>
              <w:t>▼</w:t>
            </w:r>
          </w:p>
        </w:tc>
      </w:tr>
      <w:tr w:rsidR="009543DB" w:rsidRPr="004C5477" w:rsidTr="009543DB">
        <w:tc>
          <w:tcPr>
            <w:tcW w:w="1243" w:type="dxa"/>
            <w:tcBorders>
              <w:top w:val="nil"/>
              <w:left w:val="nil"/>
              <w:bottom w:val="nil"/>
              <w:right w:val="nil"/>
            </w:tcBorders>
          </w:tcPr>
          <w:p w:rsidR="009543DB" w:rsidRPr="004C5477"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i/>
                <w:sz w:val="16"/>
              </w:rPr>
            </w:pPr>
            <w:r w:rsidRPr="00D66EF7">
              <w:rPr>
                <w:i/>
                <w:sz w:val="16"/>
              </w:rPr>
              <w:t>Number of passengers per information point (peak hour)</w:t>
            </w:r>
          </w:p>
        </w:tc>
        <w:tc>
          <w:tcPr>
            <w:tcW w:w="1701" w:type="dxa"/>
            <w:tcBorders>
              <w:top w:val="nil"/>
              <w:left w:val="nil"/>
              <w:bottom w:val="nil"/>
              <w:right w:val="nil"/>
            </w:tcBorders>
          </w:tcPr>
          <w:p w:rsidR="009543DB" w:rsidRPr="00D66EF7" w:rsidRDefault="009543DB" w:rsidP="009543DB">
            <w:pPr>
              <w:spacing w:before="40" w:after="40"/>
              <w:rPr>
                <w:i/>
                <w:sz w:val="16"/>
              </w:rPr>
            </w:pPr>
            <w:r w:rsidRPr="00D66EF7">
              <w:rPr>
                <w:i/>
                <w:sz w:val="16"/>
              </w:rPr>
              <w:t>Objective indicator</w:t>
            </w:r>
          </w:p>
        </w:tc>
        <w:tc>
          <w:tcPr>
            <w:tcW w:w="1701" w:type="dxa"/>
            <w:tcBorders>
              <w:top w:val="nil"/>
              <w:left w:val="nil"/>
              <w:bottom w:val="nil"/>
              <w:right w:val="nil"/>
            </w:tcBorders>
          </w:tcPr>
          <w:p w:rsidR="009543DB" w:rsidRPr="004C5477" w:rsidRDefault="009543DB" w:rsidP="009543DB">
            <w:pPr>
              <w:spacing w:before="40" w:after="40"/>
              <w:rPr>
                <w:i/>
                <w:sz w:val="16"/>
              </w:rPr>
            </w:pPr>
            <w:r w:rsidRPr="004C5477">
              <w:rPr>
                <w:i/>
                <w:sz w:val="16"/>
              </w:rPr>
              <w:t>111</w:t>
            </w:r>
            <w:r w:rsidRPr="00287F16">
              <w:rPr>
                <w:i/>
                <w:sz w:val="16"/>
              </w:rPr>
              <w:t>0</w:t>
            </w:r>
            <w:r w:rsidRPr="004C5477">
              <w:rPr>
                <w:i/>
                <w:sz w:val="16"/>
              </w:rPr>
              <w:t>.0 passengers</w:t>
            </w:r>
          </w:p>
        </w:tc>
        <w:tc>
          <w:tcPr>
            <w:tcW w:w="1291" w:type="dxa"/>
            <w:tcBorders>
              <w:top w:val="nil"/>
              <w:left w:val="nil"/>
              <w:bottom w:val="nil"/>
              <w:right w:val="nil"/>
            </w:tcBorders>
          </w:tcPr>
          <w:p w:rsidR="009543DB" w:rsidRPr="004C5477" w:rsidRDefault="009543DB" w:rsidP="009543DB">
            <w:pPr>
              <w:spacing w:before="40" w:after="40"/>
              <w:rPr>
                <w:sz w:val="16"/>
                <w:highlight w:val="yellow"/>
              </w:rPr>
            </w:pPr>
            <w:r w:rsidRPr="004C5477">
              <w:rPr>
                <w:rFonts w:cs="Arial"/>
                <w:color w:val="943634" w:themeColor="accent2" w:themeShade="BF"/>
                <w:sz w:val="16"/>
              </w:rPr>
              <w:t>▲</w:t>
            </w:r>
          </w:p>
        </w:tc>
        <w:tc>
          <w:tcPr>
            <w:tcW w:w="1434" w:type="dxa"/>
            <w:tcBorders>
              <w:top w:val="nil"/>
              <w:left w:val="nil"/>
              <w:bottom w:val="nil"/>
              <w:right w:val="nil"/>
            </w:tcBorders>
          </w:tcPr>
          <w:p w:rsidR="009543DB" w:rsidRPr="004C5477" w:rsidRDefault="009543DB" w:rsidP="009543DB">
            <w:pPr>
              <w:spacing w:before="40" w:after="40"/>
              <w:rPr>
                <w:sz w:val="16"/>
                <w:highlight w:val="yellow"/>
              </w:rPr>
            </w:pPr>
            <w:r w:rsidRPr="005330CB">
              <w:rPr>
                <w:rFonts w:cs="Arial"/>
                <w:color w:val="F79646" w:themeColor="accent6"/>
                <w:sz w:val="16"/>
              </w:rPr>
              <w:t>▼</w:t>
            </w:r>
          </w:p>
        </w:tc>
      </w:tr>
      <w:tr w:rsidR="009543DB" w:rsidRPr="004C5477" w:rsidTr="009543DB">
        <w:tc>
          <w:tcPr>
            <w:tcW w:w="1243" w:type="dxa"/>
            <w:tcBorders>
              <w:top w:val="nil"/>
              <w:left w:val="nil"/>
              <w:right w:val="nil"/>
            </w:tcBorders>
          </w:tcPr>
          <w:p w:rsidR="009543DB" w:rsidRPr="004C5477" w:rsidRDefault="009543DB" w:rsidP="009543DB">
            <w:pPr>
              <w:spacing w:before="40" w:after="40"/>
              <w:rPr>
                <w:b/>
                <w:sz w:val="16"/>
              </w:rPr>
            </w:pPr>
          </w:p>
        </w:tc>
        <w:tc>
          <w:tcPr>
            <w:tcW w:w="6662" w:type="dxa"/>
            <w:tcBorders>
              <w:top w:val="nil"/>
              <w:left w:val="nil"/>
              <w:right w:val="nil"/>
            </w:tcBorders>
          </w:tcPr>
          <w:p w:rsidR="009543DB" w:rsidRPr="00D66EF7" w:rsidRDefault="009543DB" w:rsidP="009543DB">
            <w:pPr>
              <w:spacing w:before="40" w:after="40"/>
              <w:rPr>
                <w:sz w:val="16"/>
              </w:rPr>
            </w:pPr>
            <w:r w:rsidRPr="00D66EF7">
              <w:rPr>
                <w:sz w:val="16"/>
              </w:rPr>
              <w:t>Signage and wayfinding</w:t>
            </w:r>
          </w:p>
        </w:tc>
        <w:tc>
          <w:tcPr>
            <w:tcW w:w="1701" w:type="dxa"/>
            <w:tcBorders>
              <w:top w:val="nil"/>
              <w:left w:val="nil"/>
              <w:right w:val="nil"/>
            </w:tcBorders>
          </w:tcPr>
          <w:p w:rsidR="009543DB" w:rsidRPr="00D66EF7" w:rsidRDefault="009543DB" w:rsidP="009543DB">
            <w:pPr>
              <w:spacing w:before="40" w:after="40"/>
              <w:rPr>
                <w:sz w:val="16"/>
              </w:rPr>
            </w:pPr>
            <w:r w:rsidRPr="00D66EF7">
              <w:rPr>
                <w:sz w:val="16"/>
              </w:rPr>
              <w:t>Passenger survey</w:t>
            </w:r>
          </w:p>
        </w:tc>
        <w:tc>
          <w:tcPr>
            <w:tcW w:w="1701" w:type="dxa"/>
            <w:tcBorders>
              <w:top w:val="nil"/>
              <w:left w:val="nil"/>
              <w:right w:val="nil"/>
            </w:tcBorders>
          </w:tcPr>
          <w:p w:rsidR="009543DB" w:rsidRPr="004C5477" w:rsidRDefault="009543DB" w:rsidP="009543DB">
            <w:pPr>
              <w:spacing w:before="40" w:after="40"/>
              <w:rPr>
                <w:sz w:val="16"/>
              </w:rPr>
            </w:pPr>
            <w:r w:rsidRPr="004C5477">
              <w:rPr>
                <w:sz w:val="16"/>
              </w:rPr>
              <w:t>Good</w:t>
            </w:r>
          </w:p>
        </w:tc>
        <w:tc>
          <w:tcPr>
            <w:tcW w:w="1291" w:type="dxa"/>
            <w:tcBorders>
              <w:top w:val="nil"/>
              <w:left w:val="nil"/>
              <w:right w:val="nil"/>
            </w:tcBorders>
          </w:tcPr>
          <w:p w:rsidR="009543DB" w:rsidRPr="004C5477" w:rsidRDefault="009543DB" w:rsidP="009543DB">
            <w:pPr>
              <w:spacing w:before="40" w:after="40"/>
              <w:rPr>
                <w:sz w:val="16"/>
              </w:rPr>
            </w:pPr>
            <w:r w:rsidRPr="004C5477">
              <w:rPr>
                <w:rFonts w:cs="Arial"/>
                <w:color w:val="F79646" w:themeColor="accent6"/>
                <w:sz w:val="16"/>
              </w:rPr>
              <w:t>▼</w:t>
            </w:r>
          </w:p>
        </w:tc>
        <w:tc>
          <w:tcPr>
            <w:tcW w:w="1434" w:type="dxa"/>
            <w:tcBorders>
              <w:top w:val="nil"/>
              <w:left w:val="nil"/>
              <w:right w:val="nil"/>
            </w:tcBorders>
          </w:tcPr>
          <w:p w:rsidR="009543DB" w:rsidRPr="004C5477" w:rsidRDefault="009543DB" w:rsidP="009543DB">
            <w:pPr>
              <w:spacing w:before="40" w:after="40"/>
              <w:rPr>
                <w:sz w:val="16"/>
                <w:highlight w:val="yellow"/>
              </w:rPr>
            </w:pPr>
            <w:r w:rsidRPr="004C5477">
              <w:rPr>
                <w:rFonts w:cs="Arial"/>
                <w:color w:val="F79646" w:themeColor="accent6"/>
                <w:sz w:val="16"/>
              </w:rPr>
              <w:t>▼</w:t>
            </w:r>
          </w:p>
        </w:tc>
      </w:tr>
    </w:tbl>
    <w:p w:rsidR="009543DB" w:rsidRPr="004C5477" w:rsidRDefault="009543DB" w:rsidP="009543DB">
      <w:pPr>
        <w:spacing w:before="120"/>
        <w:ind w:left="720" w:hanging="720"/>
        <w:contextualSpacing/>
        <w:rPr>
          <w:sz w:val="16"/>
          <w:szCs w:val="16"/>
        </w:rPr>
      </w:pPr>
      <w:r w:rsidRPr="004C5477">
        <w:rPr>
          <w:sz w:val="16"/>
          <w:szCs w:val="16"/>
        </w:rPr>
        <w:t>Notes:</w:t>
      </w:r>
      <w:r w:rsidRPr="004C5477">
        <w:rPr>
          <w:sz w:val="16"/>
          <w:szCs w:val="16"/>
        </w:rPr>
        <w:tab/>
        <w:t>The rating categories are: very poor, poor, satisfactory, good, and excellent.</w:t>
      </w:r>
      <w:r w:rsidRPr="004C5477">
        <w:rPr>
          <w:sz w:val="16"/>
          <w:szCs w:val="16"/>
        </w:rPr>
        <w:br/>
        <w:t xml:space="preserve">For each indicator for the period specified: </w:t>
      </w:r>
      <w:r w:rsidRPr="004C5477">
        <w:rPr>
          <w:rFonts w:eastAsia="Times New Roman" w:cs="Times New Roman"/>
          <w:color w:val="943634"/>
          <w:sz w:val="16"/>
          <w:szCs w:val="24"/>
          <w:lang w:eastAsia="en-AU"/>
        </w:rPr>
        <w:t>▲</w:t>
      </w:r>
      <w:r w:rsidRPr="004C5477">
        <w:rPr>
          <w:rFonts w:eastAsia="Times New Roman" w:cs="Times New Roman"/>
          <w:color w:val="943634"/>
          <w:sz w:val="18"/>
          <w:szCs w:val="24"/>
          <w:lang w:eastAsia="en-AU"/>
        </w:rPr>
        <w:t xml:space="preserve"> </w:t>
      </w:r>
      <w:r w:rsidRPr="004C5477">
        <w:rPr>
          <w:sz w:val="16"/>
          <w:szCs w:val="16"/>
        </w:rPr>
        <w:t>indicates an improvement;</w:t>
      </w:r>
      <w:r w:rsidRPr="004C5477">
        <w:rPr>
          <w:rFonts w:eastAsia="Times New Roman" w:cs="Times New Roman"/>
          <w:color w:val="943634"/>
          <w:sz w:val="18"/>
          <w:szCs w:val="24"/>
          <w:lang w:eastAsia="en-AU"/>
        </w:rPr>
        <w:t xml:space="preserve"> </w:t>
      </w:r>
      <w:r w:rsidRPr="004C5477">
        <w:rPr>
          <w:rFonts w:eastAsia="Times New Roman" w:cs="Times New Roman"/>
          <w:color w:val="F79646"/>
          <w:sz w:val="16"/>
          <w:szCs w:val="24"/>
          <w:lang w:eastAsia="en-AU"/>
        </w:rPr>
        <w:t xml:space="preserve">▼ </w:t>
      </w:r>
      <w:r w:rsidRPr="004C5477">
        <w:rPr>
          <w:sz w:val="16"/>
          <w:szCs w:val="16"/>
        </w:rPr>
        <w:t>indicates a decline;</w:t>
      </w:r>
      <w:r w:rsidRPr="004C5477">
        <w:rPr>
          <w:rFonts w:eastAsia="Times New Roman" w:cs="Times New Roman"/>
          <w:color w:val="F79646"/>
          <w:sz w:val="16"/>
          <w:szCs w:val="24"/>
          <w:lang w:eastAsia="en-AU"/>
        </w:rPr>
        <w:t xml:space="preserve"> </w:t>
      </w:r>
      <w:r w:rsidRPr="004C5477">
        <w:rPr>
          <w:rFonts w:cs="Arial"/>
          <w:color w:val="4BACC6"/>
          <w:sz w:val="16"/>
          <w:szCs w:val="16"/>
        </w:rPr>
        <w:t>▬</w:t>
      </w:r>
      <w:r w:rsidRPr="004C5477">
        <w:rPr>
          <w:sz w:val="16"/>
          <w:szCs w:val="16"/>
        </w:rPr>
        <w:t xml:space="preserve"> indicates no change. *Rating changed by a category over the period.</w:t>
      </w:r>
      <w:r w:rsidRPr="004C5477">
        <w:rPr>
          <w:sz w:val="16"/>
          <w:szCs w:val="16"/>
        </w:rPr>
        <w:br/>
      </w:r>
    </w:p>
    <w:p w:rsidR="009543DB" w:rsidRPr="004C5477" w:rsidRDefault="009543DB" w:rsidP="009543DB">
      <w:pPr>
        <w:spacing w:after="200" w:line="276" w:lineRule="auto"/>
      </w:pPr>
      <w:r w:rsidRPr="004C5477">
        <w:br w:type="page"/>
      </w:r>
    </w:p>
    <w:p w:rsidR="009543DB" w:rsidRPr="00FC11A1" w:rsidRDefault="009543DB" w:rsidP="009543DB">
      <w:pPr>
        <w:keepNext/>
        <w:spacing w:before="240" w:after="200" w:line="276" w:lineRule="auto"/>
        <w:ind w:left="1440" w:hanging="1440"/>
        <w:outlineLvl w:val="3"/>
        <w:rPr>
          <w:b/>
          <w:color w:val="51626F"/>
        </w:rPr>
      </w:pPr>
      <w:r w:rsidRPr="00FC11A1">
        <w:rPr>
          <w:b/>
          <w:color w:val="51626F"/>
        </w:rPr>
        <w:lastRenderedPageBreak/>
        <w:t>Table 4.3.</w:t>
      </w:r>
      <w:r>
        <w:rPr>
          <w:b/>
          <w:color w:val="51626F"/>
        </w:rPr>
        <w:t>2</w:t>
      </w:r>
      <w:r w:rsidRPr="00FC11A1">
        <w:rPr>
          <w:b/>
          <w:color w:val="51626F"/>
        </w:rPr>
        <w:t>:</w:t>
      </w:r>
      <w:r w:rsidRPr="00FC11A1">
        <w:rPr>
          <w:b/>
          <w:color w:val="51626F"/>
        </w:rPr>
        <w:tab/>
        <w:t>Perth Airport—indicators of quality of passenger</w:t>
      </w:r>
      <w:r w:rsidRPr="00FC11A1">
        <w:rPr>
          <w:b/>
          <w:color w:val="51626F"/>
        </w:rPr>
        <w:noBreakHyphen/>
        <w:t xml:space="preserve">related services and facilities—international terminal: </w:t>
      </w:r>
      <w:r w:rsidRPr="00FC11A1">
        <w:rPr>
          <w:b/>
          <w:color w:val="51626F"/>
        </w:rPr>
        <w:br/>
        <w:t>201</w:t>
      </w:r>
      <w:r>
        <w:rPr>
          <w:b/>
          <w:color w:val="51626F"/>
        </w:rPr>
        <w:t>4</w:t>
      </w:r>
      <w:r w:rsidRPr="00FC11A1">
        <w:rPr>
          <w:b/>
          <w:color w:val="51626F"/>
        </w:rPr>
        <w:noBreakHyphen/>
        <w:t>1</w:t>
      </w:r>
      <w:r>
        <w:rPr>
          <w:b/>
          <w:color w:val="51626F"/>
        </w:rPr>
        <w:t>5</w:t>
      </w:r>
      <w:r w:rsidRPr="00FC11A1">
        <w:rPr>
          <w:b/>
          <w:color w:val="51626F"/>
        </w:rPr>
        <w:t>, 1</w:t>
      </w:r>
      <w:r w:rsidRPr="00FC11A1">
        <w:rPr>
          <w:b/>
          <w:color w:val="51626F"/>
        </w:rPr>
        <w:noBreakHyphen/>
        <w:t>year change and change since 20</w:t>
      </w:r>
      <w:r>
        <w:rPr>
          <w:b/>
          <w:color w:val="51626F"/>
        </w:rPr>
        <w:t>10</w:t>
      </w:r>
      <w:r w:rsidRPr="00FC11A1">
        <w:rPr>
          <w:b/>
          <w:color w:val="51626F"/>
        </w:rPr>
        <w:t>-1</w:t>
      </w:r>
      <w:r>
        <w:rPr>
          <w:b/>
          <w:color w:val="51626F"/>
        </w:rPr>
        <w:t>1</w:t>
      </w:r>
      <w:r w:rsidRPr="00FC11A1">
        <w:rPr>
          <w:b/>
          <w:color w:val="51626F"/>
        </w:rPr>
        <w:t xml:space="preserve"> (cont.)</w:t>
      </w:r>
    </w:p>
    <w:tbl>
      <w:tblPr>
        <w:tblStyle w:val="TableGrid4"/>
        <w:tblW w:w="0" w:type="auto"/>
        <w:tblLook w:val="04A0" w:firstRow="1" w:lastRow="0" w:firstColumn="1" w:lastColumn="0" w:noHBand="0" w:noVBand="1"/>
      </w:tblPr>
      <w:tblGrid>
        <w:gridCol w:w="1243"/>
        <w:gridCol w:w="6662"/>
        <w:gridCol w:w="1701"/>
        <w:gridCol w:w="1559"/>
        <w:gridCol w:w="1433"/>
        <w:gridCol w:w="1434"/>
      </w:tblGrid>
      <w:tr w:rsidR="009543DB" w:rsidRPr="00FC11A1" w:rsidTr="009543DB">
        <w:tc>
          <w:tcPr>
            <w:tcW w:w="1243" w:type="dxa"/>
            <w:tcBorders>
              <w:left w:val="nil"/>
              <w:bottom w:val="single" w:sz="4" w:space="0" w:color="auto"/>
              <w:right w:val="nil"/>
            </w:tcBorders>
            <w:shd w:val="clear" w:color="auto" w:fill="DFE0DC"/>
          </w:tcPr>
          <w:p w:rsidR="009543DB" w:rsidRPr="00FC11A1" w:rsidRDefault="009543DB" w:rsidP="009543DB">
            <w:pPr>
              <w:spacing w:before="40" w:after="40"/>
              <w:rPr>
                <w:b/>
                <w:sz w:val="16"/>
              </w:rPr>
            </w:pPr>
            <w:r w:rsidRPr="00FC11A1">
              <w:rPr>
                <w:b/>
                <w:sz w:val="16"/>
              </w:rPr>
              <w:t>Category</w:t>
            </w:r>
          </w:p>
        </w:tc>
        <w:tc>
          <w:tcPr>
            <w:tcW w:w="6662" w:type="dxa"/>
            <w:tcBorders>
              <w:left w:val="nil"/>
              <w:bottom w:val="single" w:sz="4" w:space="0" w:color="auto"/>
              <w:right w:val="nil"/>
            </w:tcBorders>
            <w:shd w:val="clear" w:color="auto" w:fill="DFE0DC"/>
          </w:tcPr>
          <w:p w:rsidR="009543DB" w:rsidRPr="00FC11A1" w:rsidRDefault="009543DB" w:rsidP="009543DB">
            <w:pPr>
              <w:spacing w:before="40" w:after="40"/>
              <w:rPr>
                <w:b/>
                <w:sz w:val="16"/>
              </w:rPr>
            </w:pPr>
            <w:r w:rsidRPr="00FC11A1">
              <w:rPr>
                <w:b/>
                <w:sz w:val="16"/>
              </w:rPr>
              <w:t>Indicator</w:t>
            </w:r>
          </w:p>
        </w:tc>
        <w:tc>
          <w:tcPr>
            <w:tcW w:w="1701" w:type="dxa"/>
            <w:tcBorders>
              <w:left w:val="nil"/>
              <w:bottom w:val="single" w:sz="4" w:space="0" w:color="auto"/>
              <w:right w:val="nil"/>
            </w:tcBorders>
            <w:shd w:val="clear" w:color="auto" w:fill="DFE0DC"/>
          </w:tcPr>
          <w:p w:rsidR="009543DB" w:rsidRPr="00FC11A1" w:rsidRDefault="009543DB" w:rsidP="009543DB">
            <w:pPr>
              <w:spacing w:before="40" w:after="40"/>
              <w:rPr>
                <w:b/>
                <w:sz w:val="16"/>
              </w:rPr>
            </w:pPr>
            <w:r w:rsidRPr="00FC11A1">
              <w:rPr>
                <w:b/>
                <w:sz w:val="16"/>
              </w:rPr>
              <w:t>Data source</w:t>
            </w:r>
          </w:p>
        </w:tc>
        <w:tc>
          <w:tcPr>
            <w:tcW w:w="1559" w:type="dxa"/>
            <w:tcBorders>
              <w:left w:val="nil"/>
              <w:bottom w:val="single" w:sz="4" w:space="0" w:color="auto"/>
              <w:right w:val="nil"/>
            </w:tcBorders>
            <w:shd w:val="clear" w:color="auto" w:fill="DFE0DC"/>
          </w:tcPr>
          <w:p w:rsidR="009543DB" w:rsidRPr="00FC11A1" w:rsidRDefault="009543DB" w:rsidP="009543DB">
            <w:pPr>
              <w:spacing w:before="40" w:after="40"/>
              <w:rPr>
                <w:b/>
                <w:sz w:val="16"/>
              </w:rPr>
            </w:pPr>
            <w:r w:rsidRPr="00FC11A1">
              <w:rPr>
                <w:b/>
                <w:sz w:val="16"/>
              </w:rPr>
              <w:t>Indicator result 201</w:t>
            </w:r>
            <w:r>
              <w:rPr>
                <w:b/>
                <w:sz w:val="16"/>
              </w:rPr>
              <w:t>4</w:t>
            </w:r>
            <w:r w:rsidRPr="00FC11A1">
              <w:rPr>
                <w:b/>
                <w:sz w:val="16"/>
              </w:rPr>
              <w:t>-1</w:t>
            </w:r>
            <w:r>
              <w:rPr>
                <w:b/>
                <w:sz w:val="16"/>
              </w:rPr>
              <w:t>5</w:t>
            </w:r>
          </w:p>
        </w:tc>
        <w:tc>
          <w:tcPr>
            <w:tcW w:w="1433" w:type="dxa"/>
            <w:tcBorders>
              <w:left w:val="nil"/>
              <w:bottom w:val="single" w:sz="4" w:space="0" w:color="auto"/>
              <w:right w:val="nil"/>
            </w:tcBorders>
            <w:shd w:val="clear" w:color="auto" w:fill="DFE0DC"/>
          </w:tcPr>
          <w:p w:rsidR="009543DB" w:rsidRPr="00FC11A1" w:rsidRDefault="009543DB" w:rsidP="009543DB">
            <w:pPr>
              <w:spacing w:before="40" w:after="40"/>
              <w:rPr>
                <w:b/>
                <w:sz w:val="16"/>
              </w:rPr>
            </w:pPr>
            <w:r w:rsidRPr="00FC11A1">
              <w:rPr>
                <w:b/>
                <w:sz w:val="16"/>
              </w:rPr>
              <w:t>1-year change</w:t>
            </w:r>
          </w:p>
        </w:tc>
        <w:tc>
          <w:tcPr>
            <w:tcW w:w="1434" w:type="dxa"/>
            <w:tcBorders>
              <w:left w:val="nil"/>
              <w:bottom w:val="single" w:sz="4" w:space="0" w:color="auto"/>
              <w:right w:val="nil"/>
            </w:tcBorders>
            <w:shd w:val="clear" w:color="auto" w:fill="DFE0DC"/>
          </w:tcPr>
          <w:p w:rsidR="009543DB" w:rsidRPr="00FC11A1" w:rsidRDefault="009543DB" w:rsidP="009543DB">
            <w:pPr>
              <w:spacing w:before="40" w:after="40"/>
              <w:rPr>
                <w:b/>
                <w:sz w:val="16"/>
              </w:rPr>
            </w:pPr>
            <w:r w:rsidRPr="00FC11A1">
              <w:rPr>
                <w:b/>
                <w:sz w:val="16"/>
              </w:rPr>
              <w:t>Change since 20</w:t>
            </w:r>
            <w:r>
              <w:rPr>
                <w:b/>
                <w:sz w:val="16"/>
              </w:rPr>
              <w:t>10</w:t>
            </w:r>
            <w:r w:rsidRPr="00FC11A1">
              <w:rPr>
                <w:b/>
                <w:sz w:val="16"/>
              </w:rPr>
              <w:t>-1</w:t>
            </w:r>
            <w:r>
              <w:rPr>
                <w:b/>
                <w:sz w:val="16"/>
              </w:rPr>
              <w:t>1</w:t>
            </w:r>
          </w:p>
        </w:tc>
      </w:tr>
      <w:tr w:rsidR="009543DB" w:rsidRPr="00FC11A1" w:rsidTr="009543DB">
        <w:tc>
          <w:tcPr>
            <w:tcW w:w="1243" w:type="dxa"/>
            <w:tcBorders>
              <w:left w:val="nil"/>
              <w:bottom w:val="nil"/>
              <w:right w:val="nil"/>
            </w:tcBorders>
          </w:tcPr>
          <w:p w:rsidR="009543DB" w:rsidRPr="00FC11A1" w:rsidRDefault="009543DB" w:rsidP="009543DB">
            <w:pPr>
              <w:spacing w:before="40" w:after="40"/>
              <w:rPr>
                <w:b/>
                <w:sz w:val="16"/>
                <w:highlight w:val="yellow"/>
              </w:rPr>
            </w:pPr>
            <w:r w:rsidRPr="00FC11A1">
              <w:rPr>
                <w:b/>
                <w:sz w:val="16"/>
              </w:rPr>
              <w:t>Baggage</w:t>
            </w:r>
          </w:p>
        </w:tc>
        <w:tc>
          <w:tcPr>
            <w:tcW w:w="6662" w:type="dxa"/>
            <w:tcBorders>
              <w:left w:val="nil"/>
              <w:bottom w:val="nil"/>
              <w:right w:val="nil"/>
            </w:tcBorders>
            <w:shd w:val="clear" w:color="auto" w:fill="auto"/>
          </w:tcPr>
          <w:p w:rsidR="009543DB" w:rsidRPr="00D66EF7" w:rsidRDefault="009543DB" w:rsidP="009543DB">
            <w:pPr>
              <w:spacing w:before="40" w:after="40"/>
              <w:rPr>
                <w:sz w:val="16"/>
              </w:rPr>
            </w:pPr>
            <w:r w:rsidRPr="00D66EF7">
              <w:rPr>
                <w:sz w:val="16"/>
              </w:rPr>
              <w:t>Baggage processing facilities availability</w:t>
            </w:r>
          </w:p>
        </w:tc>
        <w:tc>
          <w:tcPr>
            <w:tcW w:w="1701" w:type="dxa"/>
            <w:tcBorders>
              <w:left w:val="nil"/>
              <w:bottom w:val="nil"/>
              <w:right w:val="nil"/>
            </w:tcBorders>
            <w:shd w:val="clear" w:color="auto" w:fill="auto"/>
          </w:tcPr>
          <w:p w:rsidR="009543DB" w:rsidRPr="00D66EF7" w:rsidRDefault="009543DB" w:rsidP="009543DB">
            <w:pPr>
              <w:spacing w:before="40" w:after="40"/>
              <w:rPr>
                <w:sz w:val="16"/>
              </w:rPr>
            </w:pPr>
            <w:r w:rsidRPr="00D66EF7">
              <w:rPr>
                <w:sz w:val="16"/>
              </w:rPr>
              <w:t>Airline survey</w:t>
            </w:r>
          </w:p>
        </w:tc>
        <w:tc>
          <w:tcPr>
            <w:tcW w:w="1559" w:type="dxa"/>
            <w:tcBorders>
              <w:left w:val="nil"/>
              <w:bottom w:val="nil"/>
              <w:right w:val="nil"/>
            </w:tcBorders>
            <w:shd w:val="clear" w:color="auto" w:fill="auto"/>
          </w:tcPr>
          <w:p w:rsidR="009543DB" w:rsidRPr="005330CB" w:rsidRDefault="009543DB" w:rsidP="009543DB">
            <w:pPr>
              <w:spacing w:before="40" w:after="40"/>
              <w:rPr>
                <w:sz w:val="16"/>
              </w:rPr>
            </w:pPr>
            <w:r>
              <w:rPr>
                <w:sz w:val="16"/>
              </w:rPr>
              <w:t>Satisfactory</w:t>
            </w:r>
          </w:p>
        </w:tc>
        <w:tc>
          <w:tcPr>
            <w:tcW w:w="1433" w:type="dxa"/>
            <w:tcBorders>
              <w:left w:val="nil"/>
              <w:bottom w:val="nil"/>
              <w:right w:val="nil"/>
            </w:tcBorders>
          </w:tcPr>
          <w:p w:rsidR="009543DB" w:rsidRPr="00FC11A1" w:rsidRDefault="009543DB" w:rsidP="009543DB">
            <w:pPr>
              <w:spacing w:before="40" w:after="40"/>
              <w:rPr>
                <w:sz w:val="16"/>
                <w:highlight w:val="yellow"/>
              </w:rPr>
            </w:pPr>
            <w:r w:rsidRPr="00FC11A1">
              <w:rPr>
                <w:rFonts w:cs="Arial"/>
                <w:color w:val="943634" w:themeColor="accent2" w:themeShade="BF"/>
                <w:sz w:val="16"/>
              </w:rPr>
              <w:t>▲</w:t>
            </w:r>
            <w:r w:rsidRPr="00FC11A1">
              <w:rPr>
                <w:rFonts w:cs="Arial"/>
                <w:sz w:val="16"/>
              </w:rPr>
              <w:t>*</w:t>
            </w:r>
          </w:p>
        </w:tc>
        <w:tc>
          <w:tcPr>
            <w:tcW w:w="1434" w:type="dxa"/>
            <w:tcBorders>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r w:rsidRPr="00FC11A1">
              <w:rPr>
                <w:rFonts w:cs="Arial"/>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Baggage processing facilities standard</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Airline survey</w:t>
            </w:r>
          </w:p>
        </w:tc>
        <w:tc>
          <w:tcPr>
            <w:tcW w:w="1559" w:type="dxa"/>
            <w:tcBorders>
              <w:top w:val="nil"/>
              <w:left w:val="nil"/>
              <w:bottom w:val="nil"/>
              <w:right w:val="nil"/>
            </w:tcBorders>
          </w:tcPr>
          <w:p w:rsidR="009543DB" w:rsidRPr="005330CB" w:rsidRDefault="009543DB" w:rsidP="009543DB">
            <w:pPr>
              <w:spacing w:before="40" w:after="40"/>
              <w:rPr>
                <w:sz w:val="16"/>
              </w:rPr>
            </w:pPr>
            <w:r>
              <w:rPr>
                <w:sz w:val="16"/>
              </w:rPr>
              <w:t>Satisfactory</w:t>
            </w:r>
          </w:p>
        </w:tc>
        <w:tc>
          <w:tcPr>
            <w:tcW w:w="1433" w:type="dxa"/>
            <w:tcBorders>
              <w:top w:val="nil"/>
              <w:left w:val="nil"/>
              <w:bottom w:val="nil"/>
              <w:right w:val="nil"/>
            </w:tcBorders>
          </w:tcPr>
          <w:p w:rsidR="009543DB" w:rsidRPr="00FC11A1" w:rsidRDefault="009543DB" w:rsidP="009543DB">
            <w:pPr>
              <w:spacing w:before="40" w:after="40"/>
              <w:rPr>
                <w:sz w:val="16"/>
                <w:highlight w:val="yellow"/>
              </w:rPr>
            </w:pPr>
            <w:r w:rsidRPr="00FC11A1">
              <w:rPr>
                <w:rFonts w:cs="Arial"/>
                <w:color w:val="943634" w:themeColor="accent2" w:themeShade="BF"/>
                <w:sz w:val="16"/>
              </w:rPr>
              <w:t>▲</w:t>
            </w:r>
            <w:r w:rsidRPr="00FC11A1">
              <w:rPr>
                <w:rFonts w:cs="Arial"/>
                <w:sz w:val="16"/>
              </w:rPr>
              <w:t>*</w:t>
            </w:r>
          </w:p>
        </w:tc>
        <w:tc>
          <w:tcPr>
            <w:tcW w:w="1434"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D66EF7" w:rsidRDefault="009543DB" w:rsidP="009543DB">
            <w:pPr>
              <w:tabs>
                <w:tab w:val="left" w:pos="4621"/>
              </w:tabs>
              <w:spacing w:before="40" w:after="40"/>
              <w:rPr>
                <w:i/>
                <w:sz w:val="16"/>
              </w:rPr>
            </w:pPr>
            <w:r w:rsidRPr="00D66EF7">
              <w:rPr>
                <w:i/>
                <w:sz w:val="16"/>
              </w:rPr>
              <w:t>Average throughput of outbound baggage system (per hour)</w:t>
            </w:r>
            <w:r w:rsidRPr="00D66EF7">
              <w:rPr>
                <w:i/>
                <w:sz w:val="16"/>
              </w:rPr>
              <w:tab/>
            </w:r>
          </w:p>
        </w:tc>
        <w:tc>
          <w:tcPr>
            <w:tcW w:w="1701" w:type="dxa"/>
            <w:tcBorders>
              <w:top w:val="nil"/>
              <w:left w:val="nil"/>
              <w:bottom w:val="nil"/>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nil"/>
              <w:right w:val="nil"/>
            </w:tcBorders>
          </w:tcPr>
          <w:p w:rsidR="009543DB" w:rsidRPr="00FC11A1" w:rsidRDefault="009543DB" w:rsidP="009543DB">
            <w:pPr>
              <w:spacing w:before="40" w:after="40"/>
              <w:rPr>
                <w:i/>
                <w:sz w:val="16"/>
              </w:rPr>
            </w:pPr>
            <w:r>
              <w:rPr>
                <w:i/>
                <w:sz w:val="16"/>
              </w:rPr>
              <w:t>253.1</w:t>
            </w:r>
            <w:r w:rsidRPr="00FC11A1">
              <w:rPr>
                <w:i/>
                <w:sz w:val="16"/>
              </w:rPr>
              <w:t xml:space="preserve"> items</w:t>
            </w:r>
          </w:p>
        </w:tc>
        <w:tc>
          <w:tcPr>
            <w:tcW w:w="1433" w:type="dxa"/>
            <w:tcBorders>
              <w:top w:val="nil"/>
              <w:left w:val="nil"/>
              <w:bottom w:val="nil"/>
              <w:right w:val="nil"/>
            </w:tcBorders>
          </w:tcPr>
          <w:p w:rsidR="009543DB" w:rsidRPr="00FC11A1" w:rsidRDefault="009543DB" w:rsidP="009543DB">
            <w:pPr>
              <w:spacing w:before="40" w:after="40"/>
              <w:rPr>
                <w:sz w:val="16"/>
                <w:highlight w:val="yellow"/>
              </w:rPr>
            </w:pPr>
            <w:r w:rsidRPr="00FC11A1">
              <w:rPr>
                <w:rFonts w:cs="Arial"/>
                <w:color w:val="943634" w:themeColor="accent2" w:themeShade="BF"/>
                <w:sz w:val="16"/>
              </w:rPr>
              <w:t>▲</w:t>
            </w:r>
          </w:p>
        </w:tc>
        <w:tc>
          <w:tcPr>
            <w:tcW w:w="1434"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Circulation space for inbound baggage reclaim</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559" w:type="dxa"/>
            <w:tcBorders>
              <w:top w:val="nil"/>
              <w:left w:val="nil"/>
              <w:bottom w:val="nil"/>
              <w:right w:val="nil"/>
            </w:tcBorders>
          </w:tcPr>
          <w:p w:rsidR="009543DB" w:rsidRPr="00FC11A1" w:rsidRDefault="009543DB" w:rsidP="009543DB">
            <w:pPr>
              <w:spacing w:before="40" w:after="40"/>
              <w:rPr>
                <w:sz w:val="16"/>
              </w:rPr>
            </w:pPr>
            <w:r>
              <w:rPr>
                <w:sz w:val="16"/>
              </w:rPr>
              <w:t>Good</w:t>
            </w:r>
          </w:p>
        </w:tc>
        <w:tc>
          <w:tcPr>
            <w:tcW w:w="1433" w:type="dxa"/>
            <w:tcBorders>
              <w:top w:val="nil"/>
              <w:left w:val="nil"/>
              <w:bottom w:val="nil"/>
              <w:right w:val="nil"/>
            </w:tcBorders>
          </w:tcPr>
          <w:p w:rsidR="009543DB" w:rsidRPr="00FC11A1" w:rsidRDefault="009543DB" w:rsidP="009543DB">
            <w:pPr>
              <w:spacing w:before="40" w:after="40"/>
              <w:rPr>
                <w:sz w:val="16"/>
                <w:highlight w:val="yellow"/>
              </w:rPr>
            </w:pPr>
            <w:r w:rsidRPr="00FC11A1">
              <w:rPr>
                <w:rFonts w:cs="Arial"/>
                <w:color w:val="4BACC6" w:themeColor="accent5"/>
                <w:sz w:val="16"/>
              </w:rPr>
              <w:t>▬</w:t>
            </w:r>
          </w:p>
        </w:tc>
        <w:tc>
          <w:tcPr>
            <w:tcW w:w="1434" w:type="dxa"/>
            <w:tcBorders>
              <w:top w:val="nil"/>
              <w:left w:val="nil"/>
              <w:bottom w:val="nil"/>
              <w:right w:val="nil"/>
            </w:tcBorders>
          </w:tcPr>
          <w:p w:rsidR="009543DB" w:rsidRPr="00FC11A1" w:rsidRDefault="009543DB" w:rsidP="009543DB">
            <w:pPr>
              <w:spacing w:before="40" w:after="40"/>
              <w:rPr>
                <w:sz w:val="16"/>
                <w:highlight w:val="yellow"/>
              </w:rPr>
            </w:pPr>
            <w:r w:rsidRPr="00FC11A1">
              <w:rPr>
                <w:rFonts w:cs="Arial"/>
                <w:color w:val="F79646" w:themeColor="accent6"/>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Information display for inbound baggage reclaim</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559" w:type="dxa"/>
            <w:tcBorders>
              <w:top w:val="nil"/>
              <w:left w:val="nil"/>
              <w:bottom w:val="nil"/>
              <w:right w:val="nil"/>
            </w:tcBorders>
          </w:tcPr>
          <w:p w:rsidR="009543DB" w:rsidRPr="00FC11A1" w:rsidRDefault="009543DB" w:rsidP="009543DB">
            <w:pPr>
              <w:spacing w:before="40" w:after="40"/>
              <w:rPr>
                <w:sz w:val="16"/>
              </w:rPr>
            </w:pPr>
            <w:r w:rsidRPr="00FC11A1">
              <w:rPr>
                <w:sz w:val="16"/>
              </w:rPr>
              <w:t>Good</w:t>
            </w:r>
          </w:p>
        </w:tc>
        <w:tc>
          <w:tcPr>
            <w:tcW w:w="1433" w:type="dxa"/>
            <w:tcBorders>
              <w:top w:val="nil"/>
              <w:left w:val="nil"/>
              <w:bottom w:val="nil"/>
              <w:right w:val="nil"/>
            </w:tcBorders>
          </w:tcPr>
          <w:p w:rsidR="009543DB" w:rsidRPr="00FC11A1" w:rsidRDefault="009543DB" w:rsidP="009543DB">
            <w:pPr>
              <w:spacing w:before="40" w:after="40"/>
              <w:rPr>
                <w:sz w:val="16"/>
                <w:highlight w:val="yellow"/>
              </w:rPr>
            </w:pPr>
            <w:r w:rsidRPr="00FC11A1">
              <w:rPr>
                <w:rFonts w:cs="Arial"/>
                <w:color w:val="943634" w:themeColor="accent2" w:themeShade="BF"/>
                <w:sz w:val="16"/>
              </w:rPr>
              <w:t>▲</w:t>
            </w:r>
          </w:p>
        </w:tc>
        <w:tc>
          <w:tcPr>
            <w:tcW w:w="1434"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4BACC6" w:themeColor="accent5"/>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D66EF7" w:rsidRDefault="009543DB" w:rsidP="009543DB">
            <w:pPr>
              <w:spacing w:before="40" w:after="40"/>
              <w:rPr>
                <w:i/>
                <w:sz w:val="16"/>
              </w:rPr>
            </w:pPr>
            <w:r w:rsidRPr="00D66EF7">
              <w:rPr>
                <w:i/>
                <w:sz w:val="16"/>
              </w:rPr>
              <w:t>Number of arriving passengers per m</w:t>
            </w:r>
            <w:r w:rsidRPr="00D66EF7">
              <w:rPr>
                <w:i/>
                <w:sz w:val="16"/>
                <w:vertAlign w:val="superscript"/>
              </w:rPr>
              <w:t xml:space="preserve">2 </w:t>
            </w:r>
            <w:r w:rsidRPr="00D66EF7">
              <w:rPr>
                <w:i/>
                <w:sz w:val="16"/>
              </w:rPr>
              <w:t>of inbound baggage reclaim area (peak hour)</w:t>
            </w:r>
          </w:p>
        </w:tc>
        <w:tc>
          <w:tcPr>
            <w:tcW w:w="1701" w:type="dxa"/>
            <w:tcBorders>
              <w:top w:val="nil"/>
              <w:left w:val="nil"/>
              <w:bottom w:val="nil"/>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nil"/>
              <w:right w:val="nil"/>
            </w:tcBorders>
          </w:tcPr>
          <w:p w:rsidR="009543DB" w:rsidRPr="00FC11A1" w:rsidRDefault="009543DB" w:rsidP="009543DB">
            <w:pPr>
              <w:spacing w:before="40" w:after="40"/>
              <w:rPr>
                <w:i/>
                <w:sz w:val="16"/>
              </w:rPr>
            </w:pPr>
            <w:r>
              <w:rPr>
                <w:i/>
                <w:sz w:val="16"/>
              </w:rPr>
              <w:t>1.4</w:t>
            </w:r>
            <w:r w:rsidRPr="00FC11A1">
              <w:rPr>
                <w:i/>
                <w:sz w:val="16"/>
              </w:rPr>
              <w:t xml:space="preserve"> passengers</w:t>
            </w:r>
          </w:p>
        </w:tc>
        <w:tc>
          <w:tcPr>
            <w:tcW w:w="1433" w:type="dxa"/>
            <w:tcBorders>
              <w:top w:val="nil"/>
              <w:left w:val="nil"/>
              <w:bottom w:val="nil"/>
              <w:right w:val="nil"/>
            </w:tcBorders>
          </w:tcPr>
          <w:p w:rsidR="009543DB" w:rsidRPr="00FC11A1" w:rsidRDefault="009543DB" w:rsidP="009543DB">
            <w:pPr>
              <w:spacing w:before="40" w:after="40"/>
              <w:rPr>
                <w:i/>
                <w:sz w:val="16"/>
              </w:rPr>
            </w:pPr>
            <w:r w:rsidRPr="00FC11A1">
              <w:rPr>
                <w:rFonts w:cs="Arial"/>
                <w:color w:val="943634" w:themeColor="accent2" w:themeShade="BF"/>
                <w:sz w:val="16"/>
              </w:rPr>
              <w:t>▲</w:t>
            </w:r>
          </w:p>
        </w:tc>
        <w:tc>
          <w:tcPr>
            <w:tcW w:w="1434" w:type="dxa"/>
            <w:tcBorders>
              <w:top w:val="nil"/>
              <w:left w:val="nil"/>
              <w:bottom w:val="nil"/>
              <w:right w:val="nil"/>
            </w:tcBorders>
          </w:tcPr>
          <w:p w:rsidR="009543DB" w:rsidRPr="00FC11A1" w:rsidRDefault="009543DB" w:rsidP="009543DB">
            <w:pPr>
              <w:spacing w:before="40" w:after="40"/>
              <w:rPr>
                <w:i/>
                <w:sz w:val="16"/>
              </w:rPr>
            </w:pPr>
            <w:r w:rsidRPr="00FC11A1">
              <w:rPr>
                <w:i/>
                <w:sz w:val="16"/>
              </w:rPr>
              <w:t>n/a</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Findability of baggage trolleys</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559" w:type="dxa"/>
            <w:tcBorders>
              <w:top w:val="nil"/>
              <w:left w:val="nil"/>
              <w:bottom w:val="nil"/>
              <w:right w:val="nil"/>
            </w:tcBorders>
          </w:tcPr>
          <w:p w:rsidR="009543DB" w:rsidRPr="00FC11A1" w:rsidRDefault="009543DB" w:rsidP="009543DB">
            <w:pPr>
              <w:spacing w:before="40" w:after="40"/>
              <w:rPr>
                <w:sz w:val="16"/>
              </w:rPr>
            </w:pPr>
            <w:r>
              <w:rPr>
                <w:sz w:val="16"/>
              </w:rPr>
              <w:t>Good</w:t>
            </w:r>
          </w:p>
        </w:tc>
        <w:tc>
          <w:tcPr>
            <w:tcW w:w="1433"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c>
          <w:tcPr>
            <w:tcW w:w="1434" w:type="dxa"/>
            <w:tcBorders>
              <w:top w:val="nil"/>
              <w:left w:val="nil"/>
              <w:bottom w:val="nil"/>
              <w:right w:val="nil"/>
            </w:tcBorders>
          </w:tcPr>
          <w:p w:rsidR="009543DB" w:rsidRPr="00FC11A1" w:rsidRDefault="009543DB" w:rsidP="009543DB">
            <w:pPr>
              <w:spacing w:before="40" w:after="40"/>
              <w:rPr>
                <w:sz w:val="16"/>
                <w:highlight w:val="yellow"/>
              </w:rPr>
            </w:pPr>
            <w:r w:rsidRPr="00FC11A1">
              <w:rPr>
                <w:rFonts w:cs="Arial"/>
                <w:color w:val="4BACC6" w:themeColor="accent5"/>
                <w:sz w:val="16"/>
              </w:rPr>
              <w:t>▬</w:t>
            </w:r>
          </w:p>
        </w:tc>
      </w:tr>
      <w:tr w:rsidR="009543DB" w:rsidRPr="00FC11A1" w:rsidTr="009543DB">
        <w:tc>
          <w:tcPr>
            <w:tcW w:w="1243" w:type="dxa"/>
            <w:tcBorders>
              <w:top w:val="nil"/>
              <w:left w:val="nil"/>
              <w:bottom w:val="single" w:sz="4" w:space="0" w:color="auto"/>
              <w:right w:val="nil"/>
            </w:tcBorders>
          </w:tcPr>
          <w:p w:rsidR="009543DB" w:rsidRPr="00FC11A1" w:rsidRDefault="009543DB" w:rsidP="009543DB">
            <w:pPr>
              <w:spacing w:before="40" w:after="40"/>
              <w:rPr>
                <w:b/>
                <w:sz w:val="16"/>
                <w:highlight w:val="yellow"/>
              </w:rPr>
            </w:pPr>
          </w:p>
        </w:tc>
        <w:tc>
          <w:tcPr>
            <w:tcW w:w="6662"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Number of passengers per baggage trolley (peak hour)</w:t>
            </w:r>
          </w:p>
        </w:tc>
        <w:tc>
          <w:tcPr>
            <w:tcW w:w="1701"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single" w:sz="4" w:space="0" w:color="auto"/>
              <w:right w:val="nil"/>
            </w:tcBorders>
          </w:tcPr>
          <w:p w:rsidR="009543DB" w:rsidRPr="00FC11A1" w:rsidRDefault="009543DB" w:rsidP="009543DB">
            <w:pPr>
              <w:spacing w:before="40" w:after="40"/>
              <w:rPr>
                <w:i/>
                <w:sz w:val="16"/>
              </w:rPr>
            </w:pPr>
            <w:r w:rsidRPr="00FC11A1">
              <w:rPr>
                <w:i/>
                <w:sz w:val="16"/>
              </w:rPr>
              <w:t>1.0 passengers</w:t>
            </w:r>
          </w:p>
        </w:tc>
        <w:tc>
          <w:tcPr>
            <w:tcW w:w="1433" w:type="dxa"/>
            <w:tcBorders>
              <w:top w:val="nil"/>
              <w:left w:val="nil"/>
              <w:bottom w:val="single" w:sz="4" w:space="0" w:color="auto"/>
              <w:right w:val="nil"/>
            </w:tcBorders>
          </w:tcPr>
          <w:p w:rsidR="009543DB" w:rsidRPr="00FC11A1" w:rsidRDefault="009543DB" w:rsidP="009543DB">
            <w:pPr>
              <w:spacing w:before="40" w:after="40"/>
              <w:rPr>
                <w:sz w:val="16"/>
              </w:rPr>
            </w:pPr>
            <w:r w:rsidRPr="00FC11A1">
              <w:rPr>
                <w:rFonts w:cs="Arial"/>
                <w:color w:val="4BACC6" w:themeColor="accent5"/>
                <w:sz w:val="16"/>
              </w:rPr>
              <w:t>▬</w:t>
            </w:r>
          </w:p>
        </w:tc>
        <w:tc>
          <w:tcPr>
            <w:tcW w:w="1434" w:type="dxa"/>
            <w:tcBorders>
              <w:top w:val="nil"/>
              <w:left w:val="nil"/>
              <w:bottom w:val="single" w:sz="4" w:space="0" w:color="auto"/>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r>
      <w:tr w:rsidR="009543DB" w:rsidRPr="00FC11A1" w:rsidTr="009543DB">
        <w:tc>
          <w:tcPr>
            <w:tcW w:w="1243" w:type="dxa"/>
            <w:tcBorders>
              <w:left w:val="nil"/>
              <w:bottom w:val="nil"/>
              <w:right w:val="nil"/>
            </w:tcBorders>
          </w:tcPr>
          <w:p w:rsidR="009543DB" w:rsidRPr="00FC11A1" w:rsidRDefault="009543DB" w:rsidP="009543DB">
            <w:pPr>
              <w:spacing w:before="40" w:after="40"/>
              <w:rPr>
                <w:b/>
                <w:sz w:val="16"/>
                <w:highlight w:val="yellow"/>
              </w:rPr>
            </w:pPr>
            <w:r w:rsidRPr="00FC11A1">
              <w:rPr>
                <w:b/>
                <w:sz w:val="16"/>
              </w:rPr>
              <w:t>Gate lounges</w:t>
            </w:r>
          </w:p>
        </w:tc>
        <w:tc>
          <w:tcPr>
            <w:tcW w:w="6662" w:type="dxa"/>
            <w:tcBorders>
              <w:left w:val="nil"/>
              <w:bottom w:val="nil"/>
              <w:right w:val="nil"/>
            </w:tcBorders>
          </w:tcPr>
          <w:p w:rsidR="009543DB" w:rsidRPr="00D66EF7" w:rsidRDefault="009543DB" w:rsidP="009543DB">
            <w:pPr>
              <w:spacing w:before="40" w:after="40"/>
              <w:rPr>
                <w:sz w:val="16"/>
              </w:rPr>
            </w:pPr>
            <w:r w:rsidRPr="00D66EF7">
              <w:rPr>
                <w:sz w:val="16"/>
              </w:rPr>
              <w:t>Seating in lounge area (quality and availability)</w:t>
            </w:r>
          </w:p>
        </w:tc>
        <w:tc>
          <w:tcPr>
            <w:tcW w:w="1701" w:type="dxa"/>
            <w:tcBorders>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559" w:type="dxa"/>
            <w:tcBorders>
              <w:left w:val="nil"/>
              <w:bottom w:val="nil"/>
              <w:right w:val="nil"/>
            </w:tcBorders>
          </w:tcPr>
          <w:p w:rsidR="009543DB" w:rsidRPr="00FC11A1" w:rsidRDefault="009543DB" w:rsidP="009543DB">
            <w:pPr>
              <w:spacing w:before="40" w:after="40"/>
              <w:rPr>
                <w:sz w:val="16"/>
              </w:rPr>
            </w:pPr>
            <w:r>
              <w:rPr>
                <w:sz w:val="16"/>
              </w:rPr>
              <w:t>Good</w:t>
            </w:r>
          </w:p>
        </w:tc>
        <w:tc>
          <w:tcPr>
            <w:tcW w:w="1433" w:type="dxa"/>
            <w:tcBorders>
              <w:left w:val="nil"/>
              <w:bottom w:val="nil"/>
              <w:right w:val="nil"/>
            </w:tcBorders>
          </w:tcPr>
          <w:p w:rsidR="009543DB" w:rsidRPr="00FC11A1" w:rsidRDefault="009543DB" w:rsidP="009543DB">
            <w:pPr>
              <w:spacing w:before="40" w:after="40"/>
              <w:rPr>
                <w:sz w:val="16"/>
              </w:rPr>
            </w:pPr>
            <w:r w:rsidRPr="00FC11A1">
              <w:rPr>
                <w:rFonts w:cs="Arial"/>
                <w:color w:val="4BACC6" w:themeColor="accent5"/>
                <w:sz w:val="16"/>
              </w:rPr>
              <w:t>▬</w:t>
            </w:r>
          </w:p>
        </w:tc>
        <w:tc>
          <w:tcPr>
            <w:tcW w:w="1434" w:type="dxa"/>
            <w:tcBorders>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D66EF7" w:rsidRDefault="009543DB" w:rsidP="009543DB">
            <w:pPr>
              <w:spacing w:before="40" w:after="40"/>
              <w:rPr>
                <w:i/>
                <w:sz w:val="16"/>
              </w:rPr>
            </w:pPr>
            <w:r w:rsidRPr="00D66EF7">
              <w:rPr>
                <w:i/>
                <w:sz w:val="16"/>
              </w:rPr>
              <w:t>Number of departing passengers per seat in gate lounges (peak hour)</w:t>
            </w:r>
          </w:p>
        </w:tc>
        <w:tc>
          <w:tcPr>
            <w:tcW w:w="1701" w:type="dxa"/>
            <w:tcBorders>
              <w:top w:val="nil"/>
              <w:left w:val="nil"/>
              <w:bottom w:val="nil"/>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nil"/>
              <w:right w:val="nil"/>
            </w:tcBorders>
          </w:tcPr>
          <w:p w:rsidR="009543DB" w:rsidRPr="00FC11A1" w:rsidRDefault="009543DB" w:rsidP="009543DB">
            <w:pPr>
              <w:spacing w:before="40" w:after="40"/>
              <w:rPr>
                <w:i/>
                <w:sz w:val="16"/>
              </w:rPr>
            </w:pPr>
            <w:r w:rsidRPr="00FC11A1">
              <w:rPr>
                <w:i/>
                <w:sz w:val="16"/>
              </w:rPr>
              <w:t>0.</w:t>
            </w:r>
            <w:r>
              <w:rPr>
                <w:i/>
                <w:sz w:val="16"/>
              </w:rPr>
              <w:t xml:space="preserve">8 </w:t>
            </w:r>
            <w:r w:rsidRPr="00FC11A1">
              <w:rPr>
                <w:i/>
                <w:sz w:val="16"/>
              </w:rPr>
              <w:t>passengers</w:t>
            </w:r>
          </w:p>
        </w:tc>
        <w:tc>
          <w:tcPr>
            <w:tcW w:w="1433" w:type="dxa"/>
            <w:tcBorders>
              <w:top w:val="nil"/>
              <w:left w:val="nil"/>
              <w:bottom w:val="nil"/>
              <w:right w:val="nil"/>
            </w:tcBorders>
          </w:tcPr>
          <w:p w:rsidR="009543DB" w:rsidRPr="00FC11A1" w:rsidRDefault="009543DB" w:rsidP="009543DB">
            <w:pPr>
              <w:spacing w:before="40" w:after="40"/>
              <w:rPr>
                <w:sz w:val="16"/>
                <w:highlight w:val="yellow"/>
              </w:rPr>
            </w:pPr>
            <w:r w:rsidRPr="00FC11A1">
              <w:rPr>
                <w:rFonts w:cs="Arial"/>
                <w:color w:val="F79646" w:themeColor="accent6"/>
                <w:sz w:val="16"/>
              </w:rPr>
              <w:t>▼</w:t>
            </w:r>
          </w:p>
        </w:tc>
        <w:tc>
          <w:tcPr>
            <w:tcW w:w="1434"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rPr>
            </w:pPr>
          </w:p>
        </w:tc>
        <w:tc>
          <w:tcPr>
            <w:tcW w:w="6662" w:type="dxa"/>
            <w:tcBorders>
              <w:top w:val="nil"/>
              <w:left w:val="nil"/>
              <w:bottom w:val="nil"/>
              <w:right w:val="nil"/>
            </w:tcBorders>
          </w:tcPr>
          <w:p w:rsidR="009543DB" w:rsidRPr="00D66EF7" w:rsidRDefault="009543DB" w:rsidP="009543DB">
            <w:pPr>
              <w:spacing w:before="40" w:after="40"/>
              <w:rPr>
                <w:sz w:val="16"/>
              </w:rPr>
            </w:pPr>
            <w:r w:rsidRPr="00D66EF7">
              <w:rPr>
                <w:sz w:val="16"/>
              </w:rPr>
              <w:t>Crowding in lounge area</w:t>
            </w:r>
          </w:p>
        </w:tc>
        <w:tc>
          <w:tcPr>
            <w:tcW w:w="1701" w:type="dxa"/>
            <w:tcBorders>
              <w:top w:val="nil"/>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559" w:type="dxa"/>
            <w:tcBorders>
              <w:top w:val="nil"/>
              <w:left w:val="nil"/>
              <w:bottom w:val="nil"/>
              <w:right w:val="nil"/>
            </w:tcBorders>
          </w:tcPr>
          <w:p w:rsidR="009543DB" w:rsidRPr="00FC11A1" w:rsidRDefault="009543DB" w:rsidP="009543DB">
            <w:pPr>
              <w:spacing w:before="40" w:after="40"/>
              <w:rPr>
                <w:sz w:val="16"/>
              </w:rPr>
            </w:pPr>
            <w:r w:rsidRPr="00FC11A1">
              <w:rPr>
                <w:sz w:val="16"/>
              </w:rPr>
              <w:t>Good</w:t>
            </w:r>
          </w:p>
        </w:tc>
        <w:tc>
          <w:tcPr>
            <w:tcW w:w="1433"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4BACC6" w:themeColor="accent5"/>
                <w:sz w:val="16"/>
              </w:rPr>
              <w:t>▬</w:t>
            </w:r>
          </w:p>
        </w:tc>
        <w:tc>
          <w:tcPr>
            <w:tcW w:w="1434"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top w:val="nil"/>
              <w:left w:val="nil"/>
              <w:bottom w:val="single" w:sz="4" w:space="0" w:color="auto"/>
              <w:right w:val="nil"/>
            </w:tcBorders>
          </w:tcPr>
          <w:p w:rsidR="009543DB" w:rsidRPr="00FC11A1" w:rsidRDefault="009543DB" w:rsidP="009543DB">
            <w:pPr>
              <w:spacing w:before="40" w:after="40"/>
              <w:rPr>
                <w:b/>
                <w:sz w:val="16"/>
                <w:highlight w:val="yellow"/>
              </w:rPr>
            </w:pPr>
          </w:p>
        </w:tc>
        <w:tc>
          <w:tcPr>
            <w:tcW w:w="6662"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Number of departing passengers per m</w:t>
            </w:r>
            <w:r w:rsidRPr="00D66EF7">
              <w:rPr>
                <w:i/>
                <w:sz w:val="16"/>
                <w:vertAlign w:val="superscript"/>
              </w:rPr>
              <w:t xml:space="preserve">2 </w:t>
            </w:r>
            <w:r w:rsidRPr="00D66EF7">
              <w:rPr>
                <w:i/>
                <w:sz w:val="16"/>
              </w:rPr>
              <w:t>of lounge area (peak hour)</w:t>
            </w:r>
          </w:p>
        </w:tc>
        <w:tc>
          <w:tcPr>
            <w:tcW w:w="1701"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single" w:sz="4" w:space="0" w:color="auto"/>
              <w:right w:val="nil"/>
            </w:tcBorders>
          </w:tcPr>
          <w:p w:rsidR="009543DB" w:rsidRPr="00FC11A1" w:rsidRDefault="009543DB" w:rsidP="009543DB">
            <w:pPr>
              <w:spacing w:before="40" w:after="40"/>
              <w:rPr>
                <w:i/>
                <w:sz w:val="16"/>
              </w:rPr>
            </w:pPr>
            <w:r w:rsidRPr="00FC11A1">
              <w:rPr>
                <w:i/>
                <w:sz w:val="16"/>
              </w:rPr>
              <w:t>0.</w:t>
            </w:r>
            <w:r>
              <w:rPr>
                <w:i/>
                <w:sz w:val="16"/>
              </w:rPr>
              <w:t>3</w:t>
            </w:r>
            <w:r w:rsidRPr="00FC11A1">
              <w:rPr>
                <w:i/>
                <w:sz w:val="16"/>
              </w:rPr>
              <w:t xml:space="preserve"> passengers</w:t>
            </w:r>
          </w:p>
        </w:tc>
        <w:tc>
          <w:tcPr>
            <w:tcW w:w="1433" w:type="dxa"/>
            <w:tcBorders>
              <w:top w:val="nil"/>
              <w:left w:val="nil"/>
              <w:bottom w:val="single" w:sz="4" w:space="0" w:color="auto"/>
              <w:right w:val="nil"/>
            </w:tcBorders>
          </w:tcPr>
          <w:p w:rsidR="009543DB" w:rsidRPr="00FC11A1" w:rsidRDefault="009543DB" w:rsidP="009543DB">
            <w:pPr>
              <w:spacing w:before="40" w:after="40"/>
              <w:rPr>
                <w:sz w:val="16"/>
                <w:highlight w:val="yellow"/>
              </w:rPr>
            </w:pPr>
            <w:r w:rsidRPr="00FC11A1">
              <w:rPr>
                <w:rFonts w:cs="Arial"/>
                <w:color w:val="F79646" w:themeColor="accent6"/>
                <w:sz w:val="16"/>
              </w:rPr>
              <w:t>▼</w:t>
            </w:r>
          </w:p>
        </w:tc>
        <w:tc>
          <w:tcPr>
            <w:tcW w:w="1434" w:type="dxa"/>
            <w:tcBorders>
              <w:top w:val="nil"/>
              <w:left w:val="nil"/>
              <w:bottom w:val="single" w:sz="4" w:space="0" w:color="auto"/>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left w:val="nil"/>
              <w:bottom w:val="nil"/>
              <w:right w:val="nil"/>
            </w:tcBorders>
          </w:tcPr>
          <w:p w:rsidR="009543DB" w:rsidRPr="00FC11A1" w:rsidRDefault="009543DB" w:rsidP="009543DB">
            <w:pPr>
              <w:spacing w:before="40" w:after="40"/>
              <w:rPr>
                <w:b/>
                <w:sz w:val="16"/>
                <w:highlight w:val="yellow"/>
              </w:rPr>
            </w:pPr>
            <w:r w:rsidRPr="00FC11A1">
              <w:rPr>
                <w:b/>
                <w:sz w:val="16"/>
              </w:rPr>
              <w:t>Amenities</w:t>
            </w:r>
          </w:p>
        </w:tc>
        <w:tc>
          <w:tcPr>
            <w:tcW w:w="6662" w:type="dxa"/>
            <w:tcBorders>
              <w:left w:val="nil"/>
              <w:bottom w:val="nil"/>
              <w:right w:val="nil"/>
            </w:tcBorders>
          </w:tcPr>
          <w:p w:rsidR="009543DB" w:rsidRPr="00D66EF7" w:rsidRDefault="009543DB" w:rsidP="009543DB">
            <w:pPr>
              <w:spacing w:before="40" w:after="40"/>
              <w:rPr>
                <w:sz w:val="16"/>
              </w:rPr>
            </w:pPr>
            <w:r w:rsidRPr="00D66EF7">
              <w:rPr>
                <w:sz w:val="16"/>
              </w:rPr>
              <w:t>Standard of washrooms</w:t>
            </w:r>
          </w:p>
        </w:tc>
        <w:tc>
          <w:tcPr>
            <w:tcW w:w="1701" w:type="dxa"/>
            <w:tcBorders>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559" w:type="dxa"/>
            <w:tcBorders>
              <w:left w:val="nil"/>
              <w:bottom w:val="nil"/>
              <w:right w:val="nil"/>
            </w:tcBorders>
          </w:tcPr>
          <w:p w:rsidR="009543DB" w:rsidRPr="00FC11A1" w:rsidRDefault="009543DB" w:rsidP="009543DB">
            <w:pPr>
              <w:spacing w:before="40" w:after="40"/>
              <w:rPr>
                <w:sz w:val="16"/>
              </w:rPr>
            </w:pPr>
            <w:r w:rsidRPr="00FC11A1">
              <w:rPr>
                <w:sz w:val="16"/>
              </w:rPr>
              <w:t>Good</w:t>
            </w:r>
          </w:p>
        </w:tc>
        <w:tc>
          <w:tcPr>
            <w:tcW w:w="1433" w:type="dxa"/>
            <w:tcBorders>
              <w:left w:val="nil"/>
              <w:bottom w:val="nil"/>
              <w:right w:val="nil"/>
            </w:tcBorders>
          </w:tcPr>
          <w:p w:rsidR="009543DB" w:rsidRPr="00FC11A1" w:rsidRDefault="009543DB" w:rsidP="009543DB">
            <w:pPr>
              <w:spacing w:before="40" w:after="40"/>
              <w:rPr>
                <w:sz w:val="16"/>
              </w:rPr>
            </w:pPr>
            <w:r w:rsidRPr="00FC11A1">
              <w:rPr>
                <w:rFonts w:cs="Arial"/>
                <w:color w:val="4BACC6" w:themeColor="accent5"/>
                <w:sz w:val="16"/>
              </w:rPr>
              <w:t>▬</w:t>
            </w:r>
          </w:p>
        </w:tc>
        <w:tc>
          <w:tcPr>
            <w:tcW w:w="1434" w:type="dxa"/>
            <w:tcBorders>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top w:val="nil"/>
              <w:left w:val="nil"/>
              <w:bottom w:val="single" w:sz="4" w:space="0" w:color="auto"/>
              <w:right w:val="nil"/>
            </w:tcBorders>
          </w:tcPr>
          <w:p w:rsidR="009543DB" w:rsidRPr="00FC11A1" w:rsidRDefault="009543DB" w:rsidP="009543DB">
            <w:pPr>
              <w:spacing w:before="40" w:after="40"/>
              <w:rPr>
                <w:b/>
                <w:sz w:val="16"/>
                <w:highlight w:val="yellow"/>
              </w:rPr>
            </w:pPr>
          </w:p>
        </w:tc>
        <w:tc>
          <w:tcPr>
            <w:tcW w:w="6662"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Number of departing passengers per washroom (peak hour)</w:t>
            </w:r>
          </w:p>
        </w:tc>
        <w:tc>
          <w:tcPr>
            <w:tcW w:w="1701"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single" w:sz="4" w:space="0" w:color="auto"/>
              <w:right w:val="nil"/>
            </w:tcBorders>
          </w:tcPr>
          <w:p w:rsidR="009543DB" w:rsidRPr="00FC11A1" w:rsidRDefault="009543DB" w:rsidP="009543DB">
            <w:pPr>
              <w:spacing w:before="40" w:after="40"/>
              <w:rPr>
                <w:i/>
                <w:sz w:val="16"/>
              </w:rPr>
            </w:pPr>
            <w:r>
              <w:rPr>
                <w:i/>
                <w:sz w:val="16"/>
              </w:rPr>
              <w:t>66.4</w:t>
            </w:r>
            <w:r w:rsidRPr="00FC11A1">
              <w:rPr>
                <w:i/>
                <w:sz w:val="16"/>
              </w:rPr>
              <w:t xml:space="preserve"> passengers</w:t>
            </w:r>
          </w:p>
        </w:tc>
        <w:tc>
          <w:tcPr>
            <w:tcW w:w="1433" w:type="dxa"/>
            <w:tcBorders>
              <w:top w:val="nil"/>
              <w:left w:val="nil"/>
              <w:bottom w:val="single" w:sz="4" w:space="0" w:color="auto"/>
              <w:right w:val="nil"/>
            </w:tcBorders>
          </w:tcPr>
          <w:p w:rsidR="009543DB" w:rsidRPr="00FC11A1" w:rsidRDefault="009543DB" w:rsidP="009543DB">
            <w:pPr>
              <w:spacing w:before="40" w:after="40"/>
              <w:rPr>
                <w:i/>
                <w:sz w:val="16"/>
                <w:highlight w:val="yellow"/>
              </w:rPr>
            </w:pPr>
            <w:r w:rsidRPr="00FC11A1">
              <w:rPr>
                <w:rFonts w:cs="Arial"/>
                <w:color w:val="943634" w:themeColor="accent2" w:themeShade="BF"/>
                <w:sz w:val="16"/>
              </w:rPr>
              <w:t>▲</w:t>
            </w:r>
          </w:p>
        </w:tc>
        <w:tc>
          <w:tcPr>
            <w:tcW w:w="1434" w:type="dxa"/>
            <w:tcBorders>
              <w:top w:val="nil"/>
              <w:left w:val="nil"/>
              <w:bottom w:val="single" w:sz="4" w:space="0" w:color="auto"/>
              <w:right w:val="nil"/>
            </w:tcBorders>
          </w:tcPr>
          <w:p w:rsidR="009543DB" w:rsidRPr="00FC11A1" w:rsidRDefault="009543DB" w:rsidP="009543DB">
            <w:pPr>
              <w:spacing w:before="40" w:after="40"/>
              <w:rPr>
                <w:i/>
                <w:sz w:val="16"/>
                <w:highlight w:val="yellow"/>
              </w:rPr>
            </w:pPr>
            <w:r w:rsidRPr="00FC11A1">
              <w:rPr>
                <w:i/>
                <w:sz w:val="16"/>
              </w:rPr>
              <w:t>n/a</w:t>
            </w:r>
          </w:p>
        </w:tc>
      </w:tr>
      <w:tr w:rsidR="009543DB" w:rsidRPr="00FC11A1" w:rsidTr="009543DB">
        <w:tc>
          <w:tcPr>
            <w:tcW w:w="1243" w:type="dxa"/>
            <w:tcBorders>
              <w:left w:val="nil"/>
              <w:bottom w:val="nil"/>
              <w:right w:val="nil"/>
            </w:tcBorders>
            <w:shd w:val="clear" w:color="auto" w:fill="auto"/>
          </w:tcPr>
          <w:p w:rsidR="009543DB" w:rsidRPr="005330CB" w:rsidRDefault="009543DB" w:rsidP="009543DB">
            <w:pPr>
              <w:spacing w:before="40" w:after="40"/>
              <w:rPr>
                <w:b/>
                <w:sz w:val="16"/>
              </w:rPr>
            </w:pPr>
            <w:r w:rsidRPr="005330CB">
              <w:rPr>
                <w:b/>
                <w:sz w:val="16"/>
              </w:rPr>
              <w:t>Aerobridges</w:t>
            </w:r>
          </w:p>
        </w:tc>
        <w:tc>
          <w:tcPr>
            <w:tcW w:w="6662" w:type="dxa"/>
            <w:tcBorders>
              <w:left w:val="nil"/>
              <w:bottom w:val="nil"/>
              <w:right w:val="nil"/>
            </w:tcBorders>
            <w:shd w:val="clear" w:color="auto" w:fill="auto"/>
          </w:tcPr>
          <w:p w:rsidR="009543DB" w:rsidRPr="00EB3AB6" w:rsidRDefault="009543DB" w:rsidP="009543DB">
            <w:pPr>
              <w:spacing w:before="40" w:after="40"/>
              <w:rPr>
                <w:sz w:val="16"/>
              </w:rPr>
            </w:pPr>
            <w:r w:rsidRPr="00EB3AB6">
              <w:rPr>
                <w:sz w:val="16"/>
              </w:rPr>
              <w:t>Aerobridges availability</w:t>
            </w:r>
          </w:p>
        </w:tc>
        <w:tc>
          <w:tcPr>
            <w:tcW w:w="1701" w:type="dxa"/>
            <w:tcBorders>
              <w:left w:val="nil"/>
              <w:bottom w:val="nil"/>
              <w:right w:val="nil"/>
            </w:tcBorders>
            <w:shd w:val="clear" w:color="auto" w:fill="auto"/>
          </w:tcPr>
          <w:p w:rsidR="009543DB" w:rsidRPr="00EB3AB6" w:rsidRDefault="009543DB" w:rsidP="009543DB">
            <w:pPr>
              <w:spacing w:before="40" w:after="40"/>
              <w:rPr>
                <w:sz w:val="16"/>
              </w:rPr>
            </w:pPr>
            <w:r w:rsidRPr="00EB3AB6">
              <w:rPr>
                <w:sz w:val="16"/>
              </w:rPr>
              <w:t>Airline survey</w:t>
            </w:r>
          </w:p>
        </w:tc>
        <w:tc>
          <w:tcPr>
            <w:tcW w:w="1559" w:type="dxa"/>
            <w:tcBorders>
              <w:left w:val="nil"/>
              <w:bottom w:val="nil"/>
              <w:right w:val="nil"/>
            </w:tcBorders>
            <w:shd w:val="clear" w:color="auto" w:fill="auto"/>
          </w:tcPr>
          <w:p w:rsidR="009543DB" w:rsidRPr="005330CB" w:rsidRDefault="009543DB" w:rsidP="009543DB">
            <w:pPr>
              <w:spacing w:before="40" w:after="40"/>
              <w:rPr>
                <w:sz w:val="16"/>
              </w:rPr>
            </w:pPr>
            <w:r w:rsidRPr="005330CB">
              <w:rPr>
                <w:sz w:val="16"/>
              </w:rPr>
              <w:t>Poor</w:t>
            </w:r>
          </w:p>
        </w:tc>
        <w:tc>
          <w:tcPr>
            <w:tcW w:w="1433" w:type="dxa"/>
            <w:tcBorders>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c>
          <w:tcPr>
            <w:tcW w:w="1434" w:type="dxa"/>
            <w:tcBorders>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EB3AB6" w:rsidRDefault="009543DB" w:rsidP="009543DB">
            <w:pPr>
              <w:spacing w:before="40" w:after="40"/>
              <w:rPr>
                <w:sz w:val="16"/>
              </w:rPr>
            </w:pPr>
            <w:r w:rsidRPr="00EB3AB6">
              <w:rPr>
                <w:sz w:val="16"/>
              </w:rPr>
              <w:t>Aerobridges standard</w:t>
            </w:r>
          </w:p>
        </w:tc>
        <w:tc>
          <w:tcPr>
            <w:tcW w:w="1701" w:type="dxa"/>
            <w:tcBorders>
              <w:top w:val="nil"/>
              <w:left w:val="nil"/>
              <w:bottom w:val="nil"/>
              <w:right w:val="nil"/>
            </w:tcBorders>
          </w:tcPr>
          <w:p w:rsidR="009543DB" w:rsidRPr="00EB3AB6" w:rsidRDefault="009543DB" w:rsidP="009543DB">
            <w:pPr>
              <w:spacing w:before="40" w:after="40"/>
              <w:rPr>
                <w:sz w:val="16"/>
              </w:rPr>
            </w:pPr>
            <w:r w:rsidRPr="00EB3AB6">
              <w:rPr>
                <w:sz w:val="16"/>
              </w:rPr>
              <w:t>Airline survey</w:t>
            </w:r>
          </w:p>
        </w:tc>
        <w:tc>
          <w:tcPr>
            <w:tcW w:w="1559" w:type="dxa"/>
            <w:tcBorders>
              <w:top w:val="nil"/>
              <w:left w:val="nil"/>
              <w:bottom w:val="nil"/>
              <w:right w:val="nil"/>
            </w:tcBorders>
          </w:tcPr>
          <w:p w:rsidR="009543DB" w:rsidRPr="005330CB" w:rsidRDefault="009543DB" w:rsidP="009543DB">
            <w:pPr>
              <w:spacing w:before="40" w:after="40"/>
              <w:rPr>
                <w:sz w:val="16"/>
              </w:rPr>
            </w:pPr>
            <w:r>
              <w:rPr>
                <w:sz w:val="16"/>
              </w:rPr>
              <w:t>P</w:t>
            </w:r>
            <w:r w:rsidRPr="005330CB">
              <w:rPr>
                <w:sz w:val="16"/>
              </w:rPr>
              <w:t>oor</w:t>
            </w:r>
          </w:p>
        </w:tc>
        <w:tc>
          <w:tcPr>
            <w:tcW w:w="1433"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c>
          <w:tcPr>
            <w:tcW w:w="1434"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r>
      <w:tr w:rsidR="009543DB" w:rsidRPr="00FC11A1" w:rsidTr="009543DB">
        <w:tc>
          <w:tcPr>
            <w:tcW w:w="1243" w:type="dxa"/>
            <w:tcBorders>
              <w:top w:val="nil"/>
              <w:left w:val="nil"/>
              <w:bottom w:val="nil"/>
              <w:right w:val="nil"/>
            </w:tcBorders>
          </w:tcPr>
          <w:p w:rsidR="009543DB" w:rsidRPr="00FC11A1" w:rsidRDefault="009543DB" w:rsidP="009543DB">
            <w:pPr>
              <w:spacing w:before="40" w:after="40"/>
              <w:rPr>
                <w:b/>
                <w:sz w:val="16"/>
                <w:highlight w:val="yellow"/>
              </w:rPr>
            </w:pPr>
          </w:p>
        </w:tc>
        <w:tc>
          <w:tcPr>
            <w:tcW w:w="6662" w:type="dxa"/>
            <w:tcBorders>
              <w:top w:val="nil"/>
              <w:left w:val="nil"/>
              <w:bottom w:val="nil"/>
              <w:right w:val="nil"/>
            </w:tcBorders>
          </w:tcPr>
          <w:p w:rsidR="009543DB" w:rsidRPr="00D66EF7" w:rsidRDefault="009543DB" w:rsidP="009543DB">
            <w:pPr>
              <w:spacing w:before="40" w:after="40"/>
              <w:rPr>
                <w:i/>
                <w:sz w:val="16"/>
              </w:rPr>
            </w:pPr>
            <w:r w:rsidRPr="00D66EF7">
              <w:rPr>
                <w:i/>
                <w:sz w:val="16"/>
              </w:rPr>
              <w:t xml:space="preserve">Percentage of international passengers arriving using an aerobridge </w:t>
            </w:r>
          </w:p>
        </w:tc>
        <w:tc>
          <w:tcPr>
            <w:tcW w:w="1701" w:type="dxa"/>
            <w:tcBorders>
              <w:top w:val="nil"/>
              <w:left w:val="nil"/>
              <w:bottom w:val="nil"/>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nil"/>
              <w:right w:val="nil"/>
            </w:tcBorders>
          </w:tcPr>
          <w:p w:rsidR="009543DB" w:rsidRPr="00FC11A1" w:rsidRDefault="009543DB" w:rsidP="009543DB">
            <w:pPr>
              <w:spacing w:before="40" w:after="40"/>
              <w:rPr>
                <w:i/>
                <w:sz w:val="16"/>
              </w:rPr>
            </w:pPr>
            <w:r w:rsidRPr="00FC11A1">
              <w:rPr>
                <w:i/>
                <w:sz w:val="16"/>
              </w:rPr>
              <w:t>95.</w:t>
            </w:r>
            <w:r w:rsidRPr="00E26F84">
              <w:rPr>
                <w:i/>
                <w:sz w:val="16"/>
              </w:rPr>
              <w:t>6</w:t>
            </w:r>
            <w:r w:rsidRPr="00FC11A1">
              <w:rPr>
                <w:i/>
                <w:sz w:val="16"/>
              </w:rPr>
              <w:t>%</w:t>
            </w:r>
          </w:p>
        </w:tc>
        <w:tc>
          <w:tcPr>
            <w:tcW w:w="1433"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c>
          <w:tcPr>
            <w:tcW w:w="1434" w:type="dxa"/>
            <w:tcBorders>
              <w:top w:val="nil"/>
              <w:left w:val="nil"/>
              <w:bottom w:val="nil"/>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top w:val="nil"/>
              <w:left w:val="nil"/>
              <w:bottom w:val="single" w:sz="4" w:space="0" w:color="auto"/>
              <w:right w:val="nil"/>
            </w:tcBorders>
          </w:tcPr>
          <w:p w:rsidR="009543DB" w:rsidRPr="00FC11A1" w:rsidRDefault="009543DB" w:rsidP="009543DB">
            <w:pPr>
              <w:spacing w:before="40" w:after="40"/>
              <w:rPr>
                <w:b/>
                <w:sz w:val="16"/>
                <w:highlight w:val="yellow"/>
              </w:rPr>
            </w:pPr>
          </w:p>
        </w:tc>
        <w:tc>
          <w:tcPr>
            <w:tcW w:w="6662" w:type="dxa"/>
            <w:tcBorders>
              <w:top w:val="nil"/>
              <w:left w:val="nil"/>
              <w:bottom w:val="single" w:sz="4" w:space="0" w:color="auto"/>
              <w:right w:val="nil"/>
            </w:tcBorders>
          </w:tcPr>
          <w:p w:rsidR="009543DB" w:rsidRPr="00D66EF7" w:rsidRDefault="009543DB" w:rsidP="009543DB">
            <w:pPr>
              <w:spacing w:before="40" w:after="40"/>
              <w:rPr>
                <w:sz w:val="16"/>
              </w:rPr>
            </w:pPr>
            <w:r w:rsidRPr="00D66EF7">
              <w:rPr>
                <w:i/>
                <w:sz w:val="16"/>
              </w:rPr>
              <w:t>Percentage of international passengers departing using an aerobridge</w:t>
            </w:r>
          </w:p>
        </w:tc>
        <w:tc>
          <w:tcPr>
            <w:tcW w:w="1701" w:type="dxa"/>
            <w:tcBorders>
              <w:top w:val="nil"/>
              <w:left w:val="nil"/>
              <w:bottom w:val="single" w:sz="4" w:space="0" w:color="auto"/>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bottom w:val="single" w:sz="4" w:space="0" w:color="auto"/>
              <w:right w:val="nil"/>
            </w:tcBorders>
          </w:tcPr>
          <w:p w:rsidR="009543DB" w:rsidRPr="00FC11A1" w:rsidRDefault="009543DB" w:rsidP="009543DB">
            <w:pPr>
              <w:spacing w:before="40" w:after="40"/>
              <w:rPr>
                <w:i/>
                <w:sz w:val="16"/>
              </w:rPr>
            </w:pPr>
            <w:r w:rsidRPr="00F9652F">
              <w:rPr>
                <w:i/>
                <w:sz w:val="16"/>
              </w:rPr>
              <w:t>95.7</w:t>
            </w:r>
            <w:r w:rsidRPr="00FC11A1">
              <w:rPr>
                <w:i/>
                <w:sz w:val="16"/>
              </w:rPr>
              <w:t>%</w:t>
            </w:r>
          </w:p>
        </w:tc>
        <w:tc>
          <w:tcPr>
            <w:tcW w:w="1433" w:type="dxa"/>
            <w:tcBorders>
              <w:top w:val="nil"/>
              <w:left w:val="nil"/>
              <w:bottom w:val="single" w:sz="4" w:space="0" w:color="auto"/>
              <w:right w:val="nil"/>
            </w:tcBorders>
          </w:tcPr>
          <w:p w:rsidR="009543DB" w:rsidRPr="00FC11A1" w:rsidRDefault="009543DB" w:rsidP="009543DB">
            <w:pPr>
              <w:spacing w:before="40" w:after="40"/>
              <w:rPr>
                <w:sz w:val="16"/>
              </w:rPr>
            </w:pPr>
            <w:r w:rsidRPr="00FC11A1">
              <w:rPr>
                <w:rFonts w:cs="Arial"/>
                <w:color w:val="F79646" w:themeColor="accent6"/>
                <w:sz w:val="16"/>
              </w:rPr>
              <w:t>▼</w:t>
            </w:r>
          </w:p>
        </w:tc>
        <w:tc>
          <w:tcPr>
            <w:tcW w:w="1434" w:type="dxa"/>
            <w:tcBorders>
              <w:top w:val="nil"/>
              <w:left w:val="nil"/>
              <w:bottom w:val="single" w:sz="4" w:space="0" w:color="auto"/>
              <w:right w:val="nil"/>
            </w:tcBorders>
          </w:tcPr>
          <w:p w:rsidR="009543DB" w:rsidRPr="00FC11A1" w:rsidRDefault="009543DB" w:rsidP="009543DB">
            <w:pPr>
              <w:spacing w:before="40" w:after="40"/>
              <w:rPr>
                <w:sz w:val="16"/>
              </w:rPr>
            </w:pPr>
            <w:r w:rsidRPr="00FC11A1">
              <w:rPr>
                <w:rFonts w:cs="Arial"/>
                <w:color w:val="F79646" w:themeColor="accent6"/>
                <w:sz w:val="16"/>
              </w:rPr>
              <w:t>▼</w:t>
            </w:r>
          </w:p>
        </w:tc>
      </w:tr>
      <w:tr w:rsidR="009543DB" w:rsidRPr="00FC11A1" w:rsidTr="009543DB">
        <w:tc>
          <w:tcPr>
            <w:tcW w:w="1243" w:type="dxa"/>
            <w:tcBorders>
              <w:left w:val="nil"/>
              <w:bottom w:val="nil"/>
              <w:right w:val="nil"/>
            </w:tcBorders>
          </w:tcPr>
          <w:p w:rsidR="009543DB" w:rsidRPr="00FC11A1" w:rsidRDefault="009543DB" w:rsidP="009543DB">
            <w:pPr>
              <w:spacing w:before="40" w:after="40"/>
              <w:rPr>
                <w:b/>
                <w:sz w:val="16"/>
              </w:rPr>
            </w:pPr>
            <w:r w:rsidRPr="00FC11A1">
              <w:rPr>
                <w:b/>
                <w:sz w:val="16"/>
              </w:rPr>
              <w:t>Security</w:t>
            </w:r>
          </w:p>
        </w:tc>
        <w:tc>
          <w:tcPr>
            <w:tcW w:w="6662" w:type="dxa"/>
            <w:tcBorders>
              <w:left w:val="nil"/>
              <w:bottom w:val="nil"/>
              <w:right w:val="nil"/>
            </w:tcBorders>
          </w:tcPr>
          <w:p w:rsidR="009543DB" w:rsidRPr="00D66EF7" w:rsidRDefault="009543DB" w:rsidP="009543DB">
            <w:pPr>
              <w:spacing w:before="40" w:after="40"/>
              <w:rPr>
                <w:sz w:val="16"/>
              </w:rPr>
            </w:pPr>
            <w:r w:rsidRPr="00D66EF7">
              <w:rPr>
                <w:sz w:val="16"/>
              </w:rPr>
              <w:t>Quality of security search process</w:t>
            </w:r>
          </w:p>
        </w:tc>
        <w:tc>
          <w:tcPr>
            <w:tcW w:w="1701" w:type="dxa"/>
            <w:tcBorders>
              <w:left w:val="nil"/>
              <w:bottom w:val="nil"/>
              <w:right w:val="nil"/>
            </w:tcBorders>
          </w:tcPr>
          <w:p w:rsidR="009543DB" w:rsidRPr="00D66EF7" w:rsidRDefault="009543DB" w:rsidP="009543DB">
            <w:pPr>
              <w:spacing w:before="40" w:after="40"/>
              <w:rPr>
                <w:sz w:val="16"/>
              </w:rPr>
            </w:pPr>
            <w:r w:rsidRPr="00D66EF7">
              <w:rPr>
                <w:sz w:val="16"/>
              </w:rPr>
              <w:t>Passenger survey</w:t>
            </w:r>
          </w:p>
        </w:tc>
        <w:tc>
          <w:tcPr>
            <w:tcW w:w="1559" w:type="dxa"/>
            <w:tcBorders>
              <w:left w:val="nil"/>
              <w:bottom w:val="nil"/>
              <w:right w:val="nil"/>
            </w:tcBorders>
          </w:tcPr>
          <w:p w:rsidR="009543DB" w:rsidRPr="00FC11A1" w:rsidRDefault="009543DB" w:rsidP="009543DB">
            <w:pPr>
              <w:spacing w:before="40" w:after="40"/>
              <w:rPr>
                <w:sz w:val="16"/>
              </w:rPr>
            </w:pPr>
            <w:r w:rsidRPr="00FC11A1">
              <w:rPr>
                <w:sz w:val="16"/>
              </w:rPr>
              <w:t>Good</w:t>
            </w:r>
          </w:p>
        </w:tc>
        <w:tc>
          <w:tcPr>
            <w:tcW w:w="1433" w:type="dxa"/>
            <w:tcBorders>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c>
          <w:tcPr>
            <w:tcW w:w="1434" w:type="dxa"/>
            <w:tcBorders>
              <w:left w:val="nil"/>
              <w:bottom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r>
      <w:tr w:rsidR="009543DB" w:rsidRPr="00FC11A1" w:rsidTr="009543DB">
        <w:tc>
          <w:tcPr>
            <w:tcW w:w="1243" w:type="dxa"/>
            <w:tcBorders>
              <w:top w:val="nil"/>
              <w:left w:val="nil"/>
              <w:right w:val="nil"/>
            </w:tcBorders>
          </w:tcPr>
          <w:p w:rsidR="009543DB" w:rsidRPr="00FC11A1" w:rsidRDefault="009543DB" w:rsidP="009543DB">
            <w:pPr>
              <w:spacing w:before="40" w:after="40"/>
              <w:rPr>
                <w:b/>
                <w:sz w:val="16"/>
                <w:highlight w:val="yellow"/>
              </w:rPr>
            </w:pPr>
          </w:p>
        </w:tc>
        <w:tc>
          <w:tcPr>
            <w:tcW w:w="6662" w:type="dxa"/>
            <w:tcBorders>
              <w:top w:val="nil"/>
              <w:left w:val="nil"/>
              <w:right w:val="nil"/>
            </w:tcBorders>
          </w:tcPr>
          <w:p w:rsidR="009543DB" w:rsidRPr="00D66EF7" w:rsidRDefault="009543DB" w:rsidP="009543DB">
            <w:pPr>
              <w:spacing w:before="40" w:after="40"/>
              <w:rPr>
                <w:i/>
                <w:sz w:val="16"/>
              </w:rPr>
            </w:pPr>
            <w:r w:rsidRPr="00D66EF7">
              <w:rPr>
                <w:i/>
                <w:sz w:val="16"/>
              </w:rPr>
              <w:t>Number of departing passengers per security clearance system (peak hour)</w:t>
            </w:r>
          </w:p>
        </w:tc>
        <w:tc>
          <w:tcPr>
            <w:tcW w:w="1701" w:type="dxa"/>
            <w:tcBorders>
              <w:top w:val="nil"/>
              <w:left w:val="nil"/>
              <w:right w:val="nil"/>
            </w:tcBorders>
          </w:tcPr>
          <w:p w:rsidR="009543DB" w:rsidRPr="00D66EF7" w:rsidRDefault="009543DB" w:rsidP="009543DB">
            <w:pPr>
              <w:spacing w:before="40" w:after="40"/>
              <w:rPr>
                <w:i/>
                <w:sz w:val="16"/>
              </w:rPr>
            </w:pPr>
            <w:r w:rsidRPr="00D66EF7">
              <w:rPr>
                <w:i/>
                <w:sz w:val="16"/>
              </w:rPr>
              <w:t>Objective indicator</w:t>
            </w:r>
          </w:p>
        </w:tc>
        <w:tc>
          <w:tcPr>
            <w:tcW w:w="1559" w:type="dxa"/>
            <w:tcBorders>
              <w:top w:val="nil"/>
              <w:left w:val="nil"/>
              <w:right w:val="nil"/>
            </w:tcBorders>
          </w:tcPr>
          <w:p w:rsidR="009543DB" w:rsidRPr="00FC11A1" w:rsidRDefault="009543DB" w:rsidP="009543DB">
            <w:pPr>
              <w:spacing w:before="40" w:after="40"/>
              <w:rPr>
                <w:i/>
                <w:sz w:val="16"/>
              </w:rPr>
            </w:pPr>
            <w:r>
              <w:rPr>
                <w:i/>
                <w:sz w:val="16"/>
              </w:rPr>
              <w:t>155.0</w:t>
            </w:r>
            <w:r w:rsidRPr="00FC11A1">
              <w:rPr>
                <w:i/>
                <w:sz w:val="16"/>
              </w:rPr>
              <w:t xml:space="preserve"> passengers</w:t>
            </w:r>
          </w:p>
        </w:tc>
        <w:tc>
          <w:tcPr>
            <w:tcW w:w="1433" w:type="dxa"/>
            <w:tcBorders>
              <w:top w:val="nil"/>
              <w:left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c>
          <w:tcPr>
            <w:tcW w:w="1434" w:type="dxa"/>
            <w:tcBorders>
              <w:top w:val="nil"/>
              <w:left w:val="nil"/>
              <w:right w:val="nil"/>
            </w:tcBorders>
          </w:tcPr>
          <w:p w:rsidR="009543DB" w:rsidRPr="00FC11A1" w:rsidRDefault="009543DB" w:rsidP="009543DB">
            <w:pPr>
              <w:spacing w:before="40" w:after="40"/>
              <w:rPr>
                <w:sz w:val="16"/>
              </w:rPr>
            </w:pPr>
            <w:r w:rsidRPr="00FC11A1">
              <w:rPr>
                <w:rFonts w:cs="Arial"/>
                <w:color w:val="943634" w:themeColor="accent2" w:themeShade="BF"/>
                <w:sz w:val="16"/>
              </w:rPr>
              <w:t>▲</w:t>
            </w:r>
          </w:p>
        </w:tc>
      </w:tr>
    </w:tbl>
    <w:p w:rsidR="009543DB" w:rsidRDefault="009543DB" w:rsidP="009543DB">
      <w:pPr>
        <w:spacing w:before="120"/>
        <w:ind w:left="720" w:hanging="720"/>
        <w:contextualSpacing/>
      </w:pPr>
      <w:r w:rsidRPr="00FC11A1">
        <w:rPr>
          <w:sz w:val="16"/>
          <w:szCs w:val="16"/>
        </w:rPr>
        <w:t>Notes:</w:t>
      </w:r>
      <w:r w:rsidRPr="00FC11A1">
        <w:rPr>
          <w:sz w:val="16"/>
          <w:szCs w:val="16"/>
        </w:rPr>
        <w:tab/>
        <w:t>The rating categories are: very poor, poor, satisfactory, good, and excellent.</w:t>
      </w:r>
      <w:r w:rsidRPr="00FC11A1">
        <w:rPr>
          <w:sz w:val="16"/>
          <w:szCs w:val="16"/>
        </w:rPr>
        <w:br/>
        <w:t xml:space="preserve">For each indicator for the period specified: </w:t>
      </w:r>
      <w:r w:rsidRPr="00FC11A1">
        <w:rPr>
          <w:rFonts w:eastAsia="Times New Roman" w:cs="Times New Roman"/>
          <w:color w:val="943634"/>
          <w:sz w:val="16"/>
          <w:szCs w:val="24"/>
          <w:lang w:eastAsia="en-AU"/>
        </w:rPr>
        <w:t>▲</w:t>
      </w:r>
      <w:r w:rsidRPr="00FC11A1">
        <w:rPr>
          <w:rFonts w:eastAsia="Times New Roman" w:cs="Times New Roman"/>
          <w:color w:val="943634"/>
          <w:sz w:val="18"/>
          <w:szCs w:val="24"/>
          <w:lang w:eastAsia="en-AU"/>
        </w:rPr>
        <w:t xml:space="preserve"> </w:t>
      </w:r>
      <w:r w:rsidRPr="00FC11A1">
        <w:rPr>
          <w:sz w:val="16"/>
          <w:szCs w:val="16"/>
        </w:rPr>
        <w:t>indicates an improvement;</w:t>
      </w:r>
      <w:r w:rsidRPr="00FC11A1">
        <w:rPr>
          <w:rFonts w:eastAsia="Times New Roman" w:cs="Times New Roman"/>
          <w:color w:val="943634"/>
          <w:sz w:val="18"/>
          <w:szCs w:val="24"/>
          <w:lang w:eastAsia="en-AU"/>
        </w:rPr>
        <w:t xml:space="preserve"> </w:t>
      </w:r>
      <w:r w:rsidRPr="00FC11A1">
        <w:rPr>
          <w:rFonts w:eastAsia="Times New Roman" w:cs="Times New Roman"/>
          <w:color w:val="F79646"/>
          <w:sz w:val="16"/>
          <w:szCs w:val="24"/>
          <w:lang w:eastAsia="en-AU"/>
        </w:rPr>
        <w:t xml:space="preserve">▼ </w:t>
      </w:r>
      <w:r w:rsidRPr="00FC11A1">
        <w:rPr>
          <w:sz w:val="16"/>
          <w:szCs w:val="16"/>
        </w:rPr>
        <w:t>indicates a decline;</w:t>
      </w:r>
      <w:r w:rsidRPr="00FC11A1">
        <w:rPr>
          <w:rFonts w:eastAsia="Times New Roman" w:cs="Times New Roman"/>
          <w:color w:val="F79646"/>
          <w:sz w:val="16"/>
          <w:szCs w:val="24"/>
          <w:lang w:eastAsia="en-AU"/>
        </w:rPr>
        <w:t xml:space="preserve"> </w:t>
      </w:r>
      <w:r w:rsidRPr="00FC11A1">
        <w:rPr>
          <w:rFonts w:cs="Arial"/>
          <w:color w:val="4BACC6"/>
          <w:sz w:val="16"/>
          <w:szCs w:val="16"/>
        </w:rPr>
        <w:t>▬</w:t>
      </w:r>
      <w:r w:rsidRPr="00FC11A1">
        <w:rPr>
          <w:sz w:val="16"/>
          <w:szCs w:val="16"/>
        </w:rPr>
        <w:t xml:space="preserve"> indicates no change. *Rating changed by a category over the period.</w:t>
      </w:r>
      <w:r w:rsidRPr="00FC11A1">
        <w:rPr>
          <w:sz w:val="16"/>
          <w:szCs w:val="16"/>
        </w:rPr>
        <w:br/>
      </w:r>
    </w:p>
    <w:p w:rsidR="009543DB" w:rsidRDefault="009543DB" w:rsidP="00114E05">
      <w:pPr>
        <w:pStyle w:val="Numberedheading2"/>
      </w:pPr>
    </w:p>
    <w:p w:rsidR="009543DB" w:rsidRDefault="009543DB" w:rsidP="00114E05">
      <w:pPr>
        <w:pStyle w:val="Numberedheading2"/>
        <w:sectPr w:rsidR="009543DB" w:rsidSect="009543DB">
          <w:headerReference w:type="even" r:id="rId136"/>
          <w:headerReference w:type="default" r:id="rId137"/>
          <w:footnotePr>
            <w:numStart w:val="93"/>
          </w:footnotePr>
          <w:pgSz w:w="16838" w:h="11906" w:orient="landscape"/>
          <w:pgMar w:top="1729" w:right="1440" w:bottom="1729" w:left="1582" w:header="709" w:footer="709" w:gutter="0"/>
          <w:cols w:space="708"/>
          <w:docGrid w:linePitch="360"/>
        </w:sectPr>
      </w:pPr>
    </w:p>
    <w:p w:rsidR="009543DB" w:rsidRPr="000D78F9" w:rsidRDefault="009543DB" w:rsidP="009543DB">
      <w:pPr>
        <w:spacing w:before="120" w:after="120"/>
      </w:pPr>
      <w:r>
        <w:lastRenderedPageBreak/>
        <w:t xml:space="preserve">Airline and passenger ratings of check-in facilities all improved during 2014-15. The number of departing passengers per check-in desk, kiosk and bad drop facility also showed a slight improvement. </w:t>
      </w:r>
      <w:r w:rsidRPr="00832DED">
        <w:t xml:space="preserve">In commentary to the surveys, airlines </w:t>
      </w:r>
      <w:r>
        <w:t>had mixed views on check</w:t>
      </w:r>
      <w:r>
        <w:noBreakHyphen/>
        <w:t xml:space="preserve">in facilities. Some noted that the completion of construction work around T1 and new check-in counters will alleviate availability concerns and satisfy airline requirements. A few airlines noted concerns with the new counters and stated that they are a work in progress. </w:t>
      </w:r>
    </w:p>
    <w:p w:rsidR="009543DB" w:rsidRDefault="009543DB" w:rsidP="009543DB">
      <w:pPr>
        <w:spacing w:before="120" w:after="120"/>
      </w:pPr>
      <w:r>
        <w:t xml:space="preserve">Airline ratings of baggage processing facilities availability and standard both increased from ‘poor’ to ‘satisfactory’ during 2014-15. A number of airlines raised issues around limited space around the baggage processing facilities and some congestion during peak periods. Other airlines said that there were no real concerns with the baggage processing facilities and they work quite well. Passengers’ ratings of circulation space remained unchanged at ‘satisfactory’. </w:t>
      </w:r>
    </w:p>
    <w:p w:rsidR="009543DB" w:rsidRDefault="009543DB" w:rsidP="009543DB">
      <w:pPr>
        <w:spacing w:before="120" w:after="120"/>
      </w:pPr>
      <w:r>
        <w:t xml:space="preserve">Airlines’ rating of the availability of aerobridges decreased within the ‘poor’ category while aerobridge standard increased within the same category during 2014-15.  Airline commentary on the availability of aerobridges was largely negative with issues including the overall number of aerobridges available and also the non-availability of aerobridges, particularly during peak periods. </w:t>
      </w:r>
    </w:p>
    <w:p w:rsidR="009543DB" w:rsidRDefault="009543DB" w:rsidP="009543DB">
      <w:pPr>
        <w:spacing w:before="120" w:after="120"/>
      </w:pPr>
      <w:r>
        <w:t xml:space="preserve">Airline commentary around the standard of aerobridges again centred on the issue of accessing aerobridges via a number of stairs and the subsequent effects on the elderly and physically impaired. Some airlines noted quality issues such as water leakage and air conditioning problems. Other airlines suggested that apart from the new aerobridge 51, the other older aerobridges should be replaced. Airlines have raised these issues on aerobridge availability and standard for the past four monitoring reports. </w:t>
      </w:r>
    </w:p>
    <w:p w:rsidR="009543DB" w:rsidRPr="004C5477" w:rsidRDefault="009543DB" w:rsidP="009543DB">
      <w:pPr>
        <w:spacing w:after="200" w:line="276" w:lineRule="auto"/>
        <w:rPr>
          <w:rFonts w:eastAsiaTheme="majorEastAsia" w:cstheme="majorBidi"/>
          <w:b/>
          <w:bCs/>
          <w:i/>
          <w:color w:val="51626F"/>
          <w:sz w:val="24"/>
          <w:szCs w:val="28"/>
        </w:rPr>
      </w:pPr>
      <w:r>
        <w:rPr>
          <w:rFonts w:eastAsiaTheme="majorEastAsia" w:cstheme="majorBidi"/>
          <w:b/>
          <w:bCs/>
          <w:i/>
          <w:color w:val="51626F"/>
          <w:sz w:val="24"/>
          <w:szCs w:val="28"/>
        </w:rPr>
        <w:t>Domestic terminal (T2)</w:t>
      </w:r>
    </w:p>
    <w:p w:rsidR="009543DB" w:rsidRPr="00992D0B" w:rsidRDefault="009543DB" w:rsidP="009543DB">
      <w:r w:rsidRPr="00992D0B">
        <w:t xml:space="preserve">Table </w:t>
      </w:r>
      <w:r>
        <w:t>4</w:t>
      </w:r>
      <w:r w:rsidRPr="00992D0B">
        <w:t xml:space="preserve">.3.3 presents quality of service passenger related services and facilities for the </w:t>
      </w:r>
      <w:r>
        <w:t xml:space="preserve">T2 </w:t>
      </w:r>
      <w:r w:rsidRPr="00992D0B">
        <w:t>domestic terminal.</w:t>
      </w:r>
    </w:p>
    <w:p w:rsidR="009543DB" w:rsidRPr="00162004" w:rsidRDefault="009543DB" w:rsidP="009543DB">
      <w:r>
        <w:t>Perth Airport’s T2</w:t>
      </w:r>
      <w:r w:rsidRPr="000663CC">
        <w:t xml:space="preserve"> opened in March 2013</w:t>
      </w:r>
      <w:r>
        <w:t xml:space="preserve"> and 2013-14 was the first full year of data collected for this terminal. </w:t>
      </w:r>
      <w:r w:rsidRPr="00162004">
        <w:t>During 201</w:t>
      </w:r>
      <w:r>
        <w:t>4</w:t>
      </w:r>
      <w:r w:rsidRPr="00162004">
        <w:t>-1</w:t>
      </w:r>
      <w:r>
        <w:t>5</w:t>
      </w:r>
      <w:r w:rsidRPr="00162004">
        <w:t>, passenger rat</w:t>
      </w:r>
      <w:r>
        <w:t xml:space="preserve">ings for T2 indicators generally improved or had </w:t>
      </w:r>
      <w:r w:rsidRPr="00162004">
        <w:t xml:space="preserve">no change. </w:t>
      </w:r>
      <w:r>
        <w:t xml:space="preserve">Airline ratings for indicators either improved or remained unchanged. </w:t>
      </w:r>
      <w:r w:rsidRPr="00162004">
        <w:t xml:space="preserve"> </w:t>
      </w:r>
    </w:p>
    <w:p w:rsidR="009543DB" w:rsidRDefault="009543DB" w:rsidP="009543DB">
      <w:pPr>
        <w:spacing w:before="120" w:after="120"/>
      </w:pPr>
      <w:r>
        <w:t xml:space="preserve">Airlines’ ratings of check-in standard increased from ‘good to ‘excellent’ while their ratings of baggage processing facilities availability and standard remained at ‘excellent’. </w:t>
      </w:r>
    </w:p>
    <w:p w:rsidR="009543DB" w:rsidRDefault="009543DB" w:rsidP="009543DB">
      <w:pPr>
        <w:spacing w:before="120" w:after="120"/>
      </w:pPr>
      <w:r>
        <w:t xml:space="preserve">All passenger ratings for </w:t>
      </w:r>
      <w:r w:rsidRPr="00177943">
        <w:t xml:space="preserve">services and facilities </w:t>
      </w:r>
      <w:r>
        <w:t xml:space="preserve">at T2 were rated as ‘good’ during 2014-15. </w:t>
      </w:r>
    </w:p>
    <w:p w:rsidR="009543DB" w:rsidRPr="00962FAF" w:rsidRDefault="009543DB" w:rsidP="009543DB">
      <w:pPr>
        <w:keepNext/>
        <w:spacing w:after="200" w:line="276" w:lineRule="auto"/>
        <w:outlineLvl w:val="4"/>
        <w:rPr>
          <w:rFonts w:eastAsiaTheme="majorEastAsia" w:cstheme="majorBidi"/>
          <w:b/>
          <w:bCs/>
          <w:i/>
          <w:color w:val="51626F"/>
          <w:sz w:val="24"/>
          <w:szCs w:val="28"/>
        </w:rPr>
      </w:pPr>
      <w:r w:rsidRPr="00962FAF">
        <w:rPr>
          <w:rFonts w:eastAsiaTheme="majorEastAsia" w:cstheme="majorBidi"/>
          <w:b/>
          <w:bCs/>
          <w:i/>
          <w:color w:val="51626F"/>
          <w:sz w:val="24"/>
          <w:szCs w:val="28"/>
        </w:rPr>
        <w:t>Domestic terminal (T3)</w:t>
      </w:r>
    </w:p>
    <w:p w:rsidR="009543DB" w:rsidRPr="00162004" w:rsidRDefault="009543DB" w:rsidP="009543DB">
      <w:r w:rsidRPr="00162004">
        <w:t>During 201</w:t>
      </w:r>
      <w:r>
        <w:t>4</w:t>
      </w:r>
      <w:r w:rsidRPr="00162004">
        <w:t>-1</w:t>
      </w:r>
      <w:r>
        <w:t>5</w:t>
      </w:r>
      <w:r w:rsidRPr="00162004">
        <w:t>, passenger rat</w:t>
      </w:r>
      <w:r>
        <w:t xml:space="preserve">ings for the domestic terminal indicators mostly improved or had </w:t>
      </w:r>
      <w:r w:rsidRPr="00162004">
        <w:t xml:space="preserve">no change. </w:t>
      </w:r>
      <w:r>
        <w:t>Airline ratings for indicators also mostly improved. No airline rating decreased during 2014-15.</w:t>
      </w:r>
      <w:r w:rsidRPr="00162004">
        <w:t xml:space="preserve"> </w:t>
      </w:r>
    </w:p>
    <w:p w:rsidR="009543DB" w:rsidRDefault="009543DB" w:rsidP="009543DB">
      <w:r>
        <w:t>Airlines’ ratings of the availability and standard of baggage processing facilities increased from ‘satisfactory’ to ‘good’ during 2014-15. Airline commentary on the standard of baggage processing facilities included that the carousels are in good working order. However, for availability, commentary was mixed. One airline noted that the facilities were too small whereas another noted the facilities meet the demands of T3.</w:t>
      </w:r>
    </w:p>
    <w:p w:rsidR="009543DB" w:rsidRDefault="009543DB" w:rsidP="009543DB">
      <w:pPr>
        <w:spacing w:before="120" w:after="120"/>
      </w:pPr>
      <w:r>
        <w:t xml:space="preserve">Significant changes to passenger ratings include the findability of baggage trolleys which increased within the ‘good’ category during 2014-15. Passengers continue to rate the following indicators as good: check-in waiting time; information display for inbound baggage reclaim; flight information display screens; signage and wayfinding; quality and availability of seating in lounge areas; and the standard of washrooms. </w:t>
      </w:r>
    </w:p>
    <w:p w:rsidR="009543DB" w:rsidRDefault="009543DB" w:rsidP="009543DB">
      <w:pPr>
        <w:spacing w:before="120" w:after="120"/>
      </w:pPr>
    </w:p>
    <w:p w:rsidR="009543DB" w:rsidRDefault="009543DB" w:rsidP="009543DB">
      <w:pPr>
        <w:spacing w:after="0"/>
      </w:pPr>
    </w:p>
    <w:p w:rsidR="009543DB" w:rsidRDefault="009543DB" w:rsidP="009543DB">
      <w:pPr>
        <w:spacing w:after="200" w:line="276" w:lineRule="auto"/>
        <w:rPr>
          <w:rFonts w:eastAsiaTheme="majorEastAsia" w:cstheme="majorBidi"/>
          <w:b/>
          <w:bCs/>
          <w:i/>
          <w:color w:val="51626F"/>
          <w:sz w:val="24"/>
          <w:szCs w:val="28"/>
        </w:rPr>
        <w:sectPr w:rsidR="009543DB" w:rsidSect="009543DB">
          <w:footnotePr>
            <w:numStart w:val="93"/>
          </w:footnotePr>
          <w:pgSz w:w="11906" w:h="16838"/>
          <w:pgMar w:top="1440" w:right="1729" w:bottom="1582" w:left="1729" w:header="709" w:footer="709" w:gutter="0"/>
          <w:cols w:space="708"/>
          <w:docGrid w:linePitch="360"/>
        </w:sectPr>
      </w:pPr>
    </w:p>
    <w:p w:rsidR="009543DB" w:rsidRPr="00896126" w:rsidRDefault="009543DB" w:rsidP="009543DB">
      <w:pPr>
        <w:keepNext/>
        <w:spacing w:before="240" w:after="200" w:line="276" w:lineRule="auto"/>
        <w:ind w:left="1440" w:hanging="1440"/>
        <w:outlineLvl w:val="3"/>
        <w:rPr>
          <w:b/>
          <w:color w:val="51626F"/>
        </w:rPr>
      </w:pPr>
      <w:r w:rsidRPr="00896126">
        <w:rPr>
          <w:b/>
          <w:color w:val="51626F"/>
        </w:rPr>
        <w:lastRenderedPageBreak/>
        <w:t>Table 4.3.</w:t>
      </w:r>
      <w:r>
        <w:rPr>
          <w:b/>
          <w:color w:val="51626F"/>
        </w:rPr>
        <w:t>3</w:t>
      </w:r>
      <w:r w:rsidRPr="00896126">
        <w:rPr>
          <w:b/>
          <w:color w:val="51626F"/>
        </w:rPr>
        <w:t>:</w:t>
      </w:r>
      <w:r w:rsidRPr="00896126">
        <w:rPr>
          <w:b/>
          <w:color w:val="51626F"/>
        </w:rPr>
        <w:tab/>
        <w:t>Perth Airport—indicators of quality of passenger</w:t>
      </w:r>
      <w:r w:rsidRPr="00896126">
        <w:rPr>
          <w:b/>
          <w:color w:val="51626F"/>
        </w:rPr>
        <w:noBreakHyphen/>
        <w:t>related services and facilities—domestic terminal (T2): 201</w:t>
      </w:r>
      <w:r>
        <w:rPr>
          <w:b/>
          <w:color w:val="51626F"/>
        </w:rPr>
        <w:t>4</w:t>
      </w:r>
      <w:r w:rsidRPr="00896126">
        <w:rPr>
          <w:b/>
          <w:color w:val="51626F"/>
        </w:rPr>
        <w:t>-1</w:t>
      </w:r>
      <w:r>
        <w:rPr>
          <w:b/>
          <w:color w:val="51626F"/>
        </w:rPr>
        <w:t>5</w:t>
      </w:r>
    </w:p>
    <w:tbl>
      <w:tblPr>
        <w:tblStyle w:val="TableGrid5"/>
        <w:tblW w:w="5000" w:type="pct"/>
        <w:tblLook w:val="04A0" w:firstRow="1" w:lastRow="0" w:firstColumn="1" w:lastColumn="0" w:noHBand="0" w:noVBand="1"/>
      </w:tblPr>
      <w:tblGrid>
        <w:gridCol w:w="1437"/>
        <w:gridCol w:w="6752"/>
        <w:gridCol w:w="1844"/>
        <w:gridCol w:w="281"/>
        <w:gridCol w:w="2127"/>
        <w:gridCol w:w="1591"/>
      </w:tblGrid>
      <w:tr w:rsidR="009543DB" w:rsidRPr="00896126" w:rsidTr="009543DB">
        <w:tc>
          <w:tcPr>
            <w:tcW w:w="512" w:type="pct"/>
            <w:tcBorders>
              <w:left w:val="nil"/>
              <w:bottom w:val="single" w:sz="4" w:space="0" w:color="auto"/>
              <w:right w:val="nil"/>
            </w:tcBorders>
            <w:shd w:val="clear" w:color="auto" w:fill="DFE0DC"/>
          </w:tcPr>
          <w:p w:rsidR="009543DB" w:rsidRPr="00896126" w:rsidRDefault="009543DB" w:rsidP="009543DB">
            <w:pPr>
              <w:spacing w:before="40" w:after="40"/>
              <w:rPr>
                <w:b/>
                <w:sz w:val="16"/>
              </w:rPr>
            </w:pPr>
            <w:r w:rsidRPr="00896126">
              <w:rPr>
                <w:b/>
                <w:sz w:val="16"/>
              </w:rPr>
              <w:t>Category</w:t>
            </w:r>
          </w:p>
        </w:tc>
        <w:tc>
          <w:tcPr>
            <w:tcW w:w="2406" w:type="pct"/>
            <w:tcBorders>
              <w:left w:val="nil"/>
              <w:bottom w:val="single" w:sz="4" w:space="0" w:color="auto"/>
              <w:right w:val="nil"/>
            </w:tcBorders>
            <w:shd w:val="clear" w:color="auto" w:fill="DFE0DC"/>
          </w:tcPr>
          <w:p w:rsidR="009543DB" w:rsidRPr="00896126" w:rsidRDefault="009543DB" w:rsidP="009543DB">
            <w:pPr>
              <w:spacing w:before="40" w:after="40"/>
              <w:rPr>
                <w:b/>
                <w:sz w:val="16"/>
              </w:rPr>
            </w:pPr>
            <w:r w:rsidRPr="00896126">
              <w:rPr>
                <w:b/>
                <w:sz w:val="16"/>
              </w:rPr>
              <w:t>Indicator</w:t>
            </w:r>
          </w:p>
        </w:tc>
        <w:tc>
          <w:tcPr>
            <w:tcW w:w="657" w:type="pct"/>
            <w:tcBorders>
              <w:left w:val="nil"/>
              <w:bottom w:val="single" w:sz="4" w:space="0" w:color="auto"/>
              <w:right w:val="nil"/>
            </w:tcBorders>
            <w:shd w:val="clear" w:color="auto" w:fill="DFE0DC"/>
          </w:tcPr>
          <w:p w:rsidR="009543DB" w:rsidRPr="00896126" w:rsidRDefault="009543DB" w:rsidP="009543DB">
            <w:pPr>
              <w:spacing w:before="40" w:after="40"/>
              <w:rPr>
                <w:b/>
                <w:sz w:val="16"/>
              </w:rPr>
            </w:pPr>
            <w:r w:rsidRPr="00896126">
              <w:rPr>
                <w:b/>
                <w:sz w:val="16"/>
              </w:rPr>
              <w:t>Data source</w:t>
            </w:r>
          </w:p>
        </w:tc>
        <w:tc>
          <w:tcPr>
            <w:tcW w:w="100" w:type="pct"/>
            <w:tcBorders>
              <w:left w:val="nil"/>
              <w:bottom w:val="single" w:sz="4" w:space="0" w:color="auto"/>
              <w:right w:val="nil"/>
            </w:tcBorders>
            <w:shd w:val="clear" w:color="auto" w:fill="DFE0DC"/>
          </w:tcPr>
          <w:p w:rsidR="009543DB" w:rsidRPr="00896126" w:rsidRDefault="009543DB" w:rsidP="009543DB">
            <w:pPr>
              <w:spacing w:before="40" w:after="40"/>
              <w:rPr>
                <w:b/>
                <w:sz w:val="16"/>
              </w:rPr>
            </w:pPr>
          </w:p>
        </w:tc>
        <w:tc>
          <w:tcPr>
            <w:tcW w:w="758" w:type="pct"/>
            <w:tcBorders>
              <w:left w:val="nil"/>
              <w:bottom w:val="single" w:sz="4" w:space="0" w:color="auto"/>
              <w:right w:val="nil"/>
            </w:tcBorders>
            <w:shd w:val="clear" w:color="auto" w:fill="DFE0DC"/>
          </w:tcPr>
          <w:p w:rsidR="009543DB" w:rsidRPr="00896126" w:rsidRDefault="009543DB" w:rsidP="009543DB">
            <w:pPr>
              <w:spacing w:before="40" w:after="40"/>
              <w:rPr>
                <w:b/>
                <w:sz w:val="16"/>
              </w:rPr>
            </w:pPr>
            <w:r w:rsidRPr="00896126">
              <w:rPr>
                <w:b/>
                <w:sz w:val="16"/>
              </w:rPr>
              <w:t>Indicator result 201</w:t>
            </w:r>
            <w:r>
              <w:rPr>
                <w:b/>
                <w:sz w:val="16"/>
              </w:rPr>
              <w:t>4</w:t>
            </w:r>
            <w:r w:rsidRPr="00896126">
              <w:rPr>
                <w:b/>
                <w:sz w:val="16"/>
              </w:rPr>
              <w:t>-1</w:t>
            </w:r>
            <w:r>
              <w:rPr>
                <w:b/>
                <w:sz w:val="16"/>
              </w:rPr>
              <w:t>5</w:t>
            </w:r>
          </w:p>
        </w:tc>
        <w:tc>
          <w:tcPr>
            <w:tcW w:w="567" w:type="pct"/>
            <w:tcBorders>
              <w:left w:val="nil"/>
              <w:bottom w:val="single" w:sz="4" w:space="0" w:color="auto"/>
              <w:right w:val="nil"/>
            </w:tcBorders>
            <w:shd w:val="clear" w:color="auto" w:fill="DFE0DC"/>
          </w:tcPr>
          <w:p w:rsidR="009543DB" w:rsidRPr="00FC11A1" w:rsidRDefault="009543DB" w:rsidP="009543DB">
            <w:pPr>
              <w:spacing w:before="40" w:after="40"/>
              <w:rPr>
                <w:b/>
                <w:sz w:val="16"/>
              </w:rPr>
            </w:pPr>
            <w:r w:rsidRPr="00FC11A1">
              <w:rPr>
                <w:b/>
                <w:sz w:val="16"/>
              </w:rPr>
              <w:t>1-year change</w:t>
            </w:r>
          </w:p>
        </w:tc>
      </w:tr>
      <w:tr w:rsidR="009543DB" w:rsidRPr="00896126" w:rsidTr="009543DB">
        <w:tc>
          <w:tcPr>
            <w:tcW w:w="512" w:type="pct"/>
            <w:tcBorders>
              <w:left w:val="nil"/>
              <w:bottom w:val="nil"/>
              <w:right w:val="nil"/>
            </w:tcBorders>
          </w:tcPr>
          <w:p w:rsidR="009543DB" w:rsidRPr="00896126" w:rsidRDefault="009543DB" w:rsidP="009543DB">
            <w:pPr>
              <w:spacing w:before="40" w:after="40"/>
              <w:rPr>
                <w:b/>
                <w:sz w:val="16"/>
                <w:highlight w:val="yellow"/>
              </w:rPr>
            </w:pPr>
            <w:r w:rsidRPr="00245BB6">
              <w:rPr>
                <w:b/>
                <w:sz w:val="16"/>
              </w:rPr>
              <w:t>Check-in</w:t>
            </w:r>
          </w:p>
        </w:tc>
        <w:tc>
          <w:tcPr>
            <w:tcW w:w="2406" w:type="pct"/>
            <w:tcBorders>
              <w:left w:val="nil"/>
              <w:bottom w:val="nil"/>
              <w:right w:val="nil"/>
            </w:tcBorders>
          </w:tcPr>
          <w:p w:rsidR="009543DB" w:rsidRPr="006D719C" w:rsidRDefault="009543DB" w:rsidP="009543DB">
            <w:pPr>
              <w:spacing w:before="40" w:after="40"/>
              <w:rPr>
                <w:sz w:val="16"/>
              </w:rPr>
            </w:pPr>
            <w:r w:rsidRPr="006D719C">
              <w:rPr>
                <w:sz w:val="16"/>
              </w:rPr>
              <w:t>Check-in availability</w:t>
            </w:r>
          </w:p>
        </w:tc>
        <w:tc>
          <w:tcPr>
            <w:tcW w:w="657" w:type="pct"/>
            <w:tcBorders>
              <w:left w:val="nil"/>
              <w:bottom w:val="nil"/>
              <w:right w:val="nil"/>
            </w:tcBorders>
          </w:tcPr>
          <w:p w:rsidR="009543DB" w:rsidRPr="006D719C" w:rsidRDefault="009543DB" w:rsidP="009543DB">
            <w:pPr>
              <w:spacing w:before="40" w:after="40"/>
              <w:rPr>
                <w:sz w:val="16"/>
              </w:rPr>
            </w:pPr>
            <w:r w:rsidRPr="006D719C">
              <w:rPr>
                <w:sz w:val="16"/>
              </w:rPr>
              <w:t>Airline survey</w:t>
            </w:r>
          </w:p>
        </w:tc>
        <w:tc>
          <w:tcPr>
            <w:tcW w:w="100" w:type="pct"/>
            <w:tcBorders>
              <w:left w:val="nil"/>
              <w:bottom w:val="nil"/>
              <w:right w:val="nil"/>
            </w:tcBorders>
          </w:tcPr>
          <w:p w:rsidR="009543DB" w:rsidRPr="00FD602E" w:rsidRDefault="009543DB" w:rsidP="009543DB">
            <w:pPr>
              <w:spacing w:before="40" w:after="40"/>
              <w:rPr>
                <w:sz w:val="16"/>
              </w:rPr>
            </w:pPr>
          </w:p>
        </w:tc>
        <w:tc>
          <w:tcPr>
            <w:tcW w:w="758" w:type="pct"/>
            <w:tcBorders>
              <w:left w:val="nil"/>
              <w:bottom w:val="nil"/>
              <w:right w:val="nil"/>
            </w:tcBorders>
          </w:tcPr>
          <w:p w:rsidR="009543DB" w:rsidRPr="00FD602E" w:rsidRDefault="009543DB" w:rsidP="009543DB">
            <w:pPr>
              <w:spacing w:before="40" w:after="40"/>
              <w:rPr>
                <w:sz w:val="16"/>
              </w:rPr>
            </w:pPr>
            <w:r>
              <w:rPr>
                <w:sz w:val="16"/>
              </w:rPr>
              <w:t>Good</w:t>
            </w:r>
          </w:p>
        </w:tc>
        <w:tc>
          <w:tcPr>
            <w:tcW w:w="567" w:type="pct"/>
            <w:tcBorders>
              <w:left w:val="nil"/>
              <w:bottom w:val="nil"/>
              <w:right w:val="nil"/>
            </w:tcBorders>
          </w:tcPr>
          <w:p w:rsidR="009543DB" w:rsidRPr="00896126" w:rsidRDefault="009543DB" w:rsidP="009543DB">
            <w:pPr>
              <w:spacing w:before="40" w:after="40"/>
              <w:rPr>
                <w:sz w:val="16"/>
                <w:highlight w:val="yellow"/>
              </w:rPr>
            </w:pPr>
            <w:r w:rsidRPr="00FD602E">
              <w:rPr>
                <w:rFonts w:cs="Arial"/>
                <w:color w:val="4BACC6" w:themeColor="accent5"/>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6D719C" w:rsidRDefault="009543DB" w:rsidP="009543DB">
            <w:pPr>
              <w:spacing w:before="40" w:after="40"/>
              <w:rPr>
                <w:sz w:val="16"/>
              </w:rPr>
            </w:pPr>
            <w:r w:rsidRPr="006D719C">
              <w:rPr>
                <w:sz w:val="16"/>
              </w:rPr>
              <w:t>Check-in standard</w:t>
            </w:r>
          </w:p>
        </w:tc>
        <w:tc>
          <w:tcPr>
            <w:tcW w:w="657" w:type="pct"/>
            <w:tcBorders>
              <w:top w:val="nil"/>
              <w:left w:val="nil"/>
              <w:bottom w:val="nil"/>
              <w:right w:val="nil"/>
            </w:tcBorders>
          </w:tcPr>
          <w:p w:rsidR="009543DB" w:rsidRPr="006D719C" w:rsidRDefault="009543DB" w:rsidP="009543DB">
            <w:pPr>
              <w:spacing w:before="40" w:after="40"/>
              <w:rPr>
                <w:sz w:val="16"/>
              </w:rPr>
            </w:pPr>
            <w:r w:rsidRPr="006D719C">
              <w:rPr>
                <w:sz w:val="16"/>
              </w:rPr>
              <w:t>Airline survey</w:t>
            </w:r>
          </w:p>
        </w:tc>
        <w:tc>
          <w:tcPr>
            <w:tcW w:w="100" w:type="pct"/>
            <w:tcBorders>
              <w:top w:val="nil"/>
              <w:left w:val="nil"/>
              <w:bottom w:val="nil"/>
              <w:right w:val="nil"/>
            </w:tcBorders>
          </w:tcPr>
          <w:p w:rsidR="009543DB" w:rsidRPr="00884725" w:rsidRDefault="009543DB" w:rsidP="009543DB">
            <w:pPr>
              <w:spacing w:before="40" w:after="40"/>
              <w:rPr>
                <w:sz w:val="16"/>
              </w:rPr>
            </w:pPr>
          </w:p>
        </w:tc>
        <w:tc>
          <w:tcPr>
            <w:tcW w:w="758" w:type="pct"/>
            <w:tcBorders>
              <w:top w:val="nil"/>
              <w:left w:val="nil"/>
              <w:bottom w:val="nil"/>
              <w:right w:val="nil"/>
            </w:tcBorders>
          </w:tcPr>
          <w:p w:rsidR="009543DB" w:rsidRPr="00884725" w:rsidRDefault="009543DB" w:rsidP="009543DB">
            <w:pPr>
              <w:spacing w:before="40" w:after="40"/>
              <w:rPr>
                <w:sz w:val="16"/>
              </w:rPr>
            </w:pPr>
            <w:r>
              <w:rPr>
                <w:sz w:val="16"/>
              </w:rPr>
              <w:t>Excellent</w:t>
            </w:r>
          </w:p>
        </w:tc>
        <w:tc>
          <w:tcPr>
            <w:tcW w:w="567" w:type="pct"/>
            <w:tcBorders>
              <w:top w:val="nil"/>
              <w:left w:val="nil"/>
              <w:bottom w:val="nil"/>
              <w:right w:val="nil"/>
            </w:tcBorders>
          </w:tcPr>
          <w:p w:rsidR="009543DB" w:rsidRPr="00896126" w:rsidRDefault="009543DB" w:rsidP="009543DB">
            <w:pPr>
              <w:spacing w:before="40" w:after="40"/>
              <w:rPr>
                <w:sz w:val="16"/>
                <w:highlight w:val="yellow"/>
              </w:rPr>
            </w:pPr>
            <w:r w:rsidRPr="002B023C">
              <w:rPr>
                <w:rFonts w:cs="Arial"/>
                <w:color w:val="943634" w:themeColor="accent2" w:themeShade="BF"/>
                <w:sz w:val="16"/>
              </w:rPr>
              <w:t>▲</w:t>
            </w:r>
            <w:r w:rsidRPr="002B023C">
              <w:rPr>
                <w:rFonts w:cs="Arial"/>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6D719C" w:rsidRDefault="009543DB" w:rsidP="009543DB">
            <w:pPr>
              <w:spacing w:before="40" w:after="40"/>
              <w:rPr>
                <w:sz w:val="16"/>
              </w:rPr>
            </w:pPr>
            <w:r w:rsidRPr="006D719C">
              <w:rPr>
                <w:sz w:val="16"/>
              </w:rPr>
              <w:t>Check-in waiting time</w:t>
            </w:r>
          </w:p>
        </w:tc>
        <w:tc>
          <w:tcPr>
            <w:tcW w:w="657" w:type="pct"/>
            <w:tcBorders>
              <w:top w:val="nil"/>
              <w:left w:val="nil"/>
              <w:bottom w:val="nil"/>
              <w:right w:val="nil"/>
            </w:tcBorders>
          </w:tcPr>
          <w:p w:rsidR="009543DB" w:rsidRPr="006D719C" w:rsidRDefault="009543DB" w:rsidP="009543DB">
            <w:pPr>
              <w:spacing w:before="40" w:after="40"/>
              <w:rPr>
                <w:sz w:val="16"/>
              </w:rPr>
            </w:pPr>
            <w:r w:rsidRPr="006D719C">
              <w:rPr>
                <w:sz w:val="16"/>
              </w:rPr>
              <w:t>Passenger survey</w:t>
            </w:r>
          </w:p>
        </w:tc>
        <w:tc>
          <w:tcPr>
            <w:tcW w:w="100" w:type="pct"/>
            <w:tcBorders>
              <w:top w:val="nil"/>
              <w:left w:val="nil"/>
              <w:bottom w:val="nil"/>
              <w:right w:val="nil"/>
            </w:tcBorders>
          </w:tcPr>
          <w:p w:rsidR="009543DB" w:rsidRPr="00896126" w:rsidRDefault="009543DB" w:rsidP="009543DB">
            <w:pPr>
              <w:spacing w:before="40" w:after="40"/>
              <w:rPr>
                <w:sz w:val="16"/>
                <w:highlight w:val="yellow"/>
              </w:rPr>
            </w:pPr>
          </w:p>
        </w:tc>
        <w:tc>
          <w:tcPr>
            <w:tcW w:w="758" w:type="pct"/>
            <w:tcBorders>
              <w:top w:val="nil"/>
              <w:left w:val="nil"/>
              <w:bottom w:val="nil"/>
              <w:right w:val="nil"/>
            </w:tcBorders>
          </w:tcPr>
          <w:p w:rsidR="009543DB" w:rsidRPr="002B023C" w:rsidRDefault="009543DB" w:rsidP="009543DB">
            <w:pPr>
              <w:spacing w:before="40" w:after="40"/>
              <w:rPr>
                <w:sz w:val="16"/>
              </w:rPr>
            </w:pPr>
            <w:r w:rsidRPr="002B023C">
              <w:rPr>
                <w:sz w:val="16"/>
              </w:rPr>
              <w:t>Good</w:t>
            </w:r>
          </w:p>
        </w:tc>
        <w:tc>
          <w:tcPr>
            <w:tcW w:w="567" w:type="pct"/>
            <w:tcBorders>
              <w:top w:val="nil"/>
              <w:left w:val="nil"/>
              <w:bottom w:val="nil"/>
              <w:right w:val="nil"/>
            </w:tcBorders>
          </w:tcPr>
          <w:p w:rsidR="009543DB" w:rsidRPr="00896126" w:rsidRDefault="009543DB" w:rsidP="009543DB">
            <w:pPr>
              <w:spacing w:before="40" w:after="40"/>
              <w:rPr>
                <w:sz w:val="16"/>
                <w:highlight w:val="yellow"/>
              </w:rPr>
            </w:pPr>
            <w:r w:rsidRPr="00FC11A1">
              <w:rPr>
                <w:rFonts w:cs="Arial"/>
                <w:color w:val="943634" w:themeColor="accent2" w:themeShade="BF"/>
                <w:sz w:val="16"/>
              </w:rPr>
              <w:t>▲</w:t>
            </w:r>
          </w:p>
        </w:tc>
      </w:tr>
      <w:tr w:rsidR="009543DB" w:rsidRPr="00896126" w:rsidTr="009543DB">
        <w:tc>
          <w:tcPr>
            <w:tcW w:w="512" w:type="pct"/>
            <w:tcBorders>
              <w:top w:val="nil"/>
              <w:left w:val="nil"/>
              <w:bottom w:val="single" w:sz="4" w:space="0" w:color="auto"/>
              <w:right w:val="nil"/>
            </w:tcBorders>
          </w:tcPr>
          <w:p w:rsidR="009543DB" w:rsidRPr="00896126" w:rsidRDefault="009543DB" w:rsidP="009543DB">
            <w:pPr>
              <w:spacing w:before="40" w:after="40"/>
              <w:rPr>
                <w:b/>
                <w:sz w:val="16"/>
                <w:highlight w:val="yellow"/>
              </w:rPr>
            </w:pPr>
          </w:p>
        </w:tc>
        <w:tc>
          <w:tcPr>
            <w:tcW w:w="2406" w:type="pct"/>
            <w:tcBorders>
              <w:top w:val="nil"/>
              <w:left w:val="nil"/>
              <w:bottom w:val="single" w:sz="4" w:space="0" w:color="auto"/>
              <w:right w:val="nil"/>
            </w:tcBorders>
          </w:tcPr>
          <w:p w:rsidR="009543DB" w:rsidRPr="006D719C" w:rsidRDefault="009543DB" w:rsidP="009543DB">
            <w:pPr>
              <w:spacing w:before="40" w:after="40"/>
              <w:rPr>
                <w:i/>
                <w:sz w:val="16"/>
              </w:rPr>
            </w:pPr>
            <w:r w:rsidRPr="006D719C">
              <w:rPr>
                <w:i/>
                <w:sz w:val="16"/>
              </w:rPr>
              <w:t>Number of departing passengers per check-in desk, kiosk and bag drop facility (peak hour)</w:t>
            </w:r>
          </w:p>
        </w:tc>
        <w:tc>
          <w:tcPr>
            <w:tcW w:w="657" w:type="pct"/>
            <w:tcBorders>
              <w:top w:val="nil"/>
              <w:left w:val="nil"/>
              <w:bottom w:val="single" w:sz="4" w:space="0" w:color="auto"/>
              <w:right w:val="nil"/>
            </w:tcBorders>
          </w:tcPr>
          <w:p w:rsidR="009543DB" w:rsidRPr="006D719C" w:rsidRDefault="009543DB" w:rsidP="009543DB">
            <w:pPr>
              <w:spacing w:before="40" w:after="40"/>
              <w:rPr>
                <w:i/>
                <w:sz w:val="16"/>
              </w:rPr>
            </w:pPr>
            <w:r w:rsidRPr="006D719C">
              <w:rPr>
                <w:i/>
                <w:sz w:val="16"/>
              </w:rPr>
              <w:t>Objective indicator</w:t>
            </w:r>
          </w:p>
        </w:tc>
        <w:tc>
          <w:tcPr>
            <w:tcW w:w="100" w:type="pct"/>
            <w:tcBorders>
              <w:top w:val="nil"/>
              <w:left w:val="nil"/>
              <w:bottom w:val="single" w:sz="4" w:space="0" w:color="auto"/>
              <w:right w:val="nil"/>
            </w:tcBorders>
          </w:tcPr>
          <w:p w:rsidR="009543DB" w:rsidRPr="00EB4E3E" w:rsidRDefault="009543DB" w:rsidP="009543DB">
            <w:pPr>
              <w:spacing w:before="40" w:after="40"/>
              <w:rPr>
                <w:i/>
                <w:sz w:val="16"/>
              </w:rPr>
            </w:pPr>
          </w:p>
        </w:tc>
        <w:tc>
          <w:tcPr>
            <w:tcW w:w="758" w:type="pct"/>
            <w:tcBorders>
              <w:top w:val="nil"/>
              <w:left w:val="nil"/>
              <w:bottom w:val="single" w:sz="4" w:space="0" w:color="auto"/>
              <w:right w:val="nil"/>
            </w:tcBorders>
          </w:tcPr>
          <w:p w:rsidR="009543DB" w:rsidRPr="00EB4E3E" w:rsidRDefault="009543DB" w:rsidP="009543DB">
            <w:pPr>
              <w:spacing w:before="40" w:after="40"/>
              <w:rPr>
                <w:i/>
                <w:sz w:val="16"/>
              </w:rPr>
            </w:pPr>
            <w:r w:rsidRPr="00EB4E3E">
              <w:rPr>
                <w:i/>
                <w:sz w:val="16"/>
              </w:rPr>
              <w:t>29.8 passengers</w:t>
            </w:r>
          </w:p>
        </w:tc>
        <w:tc>
          <w:tcPr>
            <w:tcW w:w="567" w:type="pct"/>
            <w:tcBorders>
              <w:top w:val="nil"/>
              <w:left w:val="nil"/>
              <w:bottom w:val="single" w:sz="4" w:space="0" w:color="auto"/>
              <w:right w:val="nil"/>
            </w:tcBorders>
          </w:tcPr>
          <w:p w:rsidR="009543DB" w:rsidRPr="00896126" w:rsidRDefault="009543DB" w:rsidP="009543DB">
            <w:pPr>
              <w:spacing w:before="40" w:after="40"/>
              <w:rPr>
                <w:i/>
                <w:sz w:val="16"/>
                <w:highlight w:val="yellow"/>
              </w:rPr>
            </w:pPr>
            <w:r w:rsidRPr="00962FAF">
              <w:rPr>
                <w:rFonts w:cs="Arial"/>
                <w:color w:val="F79646" w:themeColor="accent6"/>
                <w:sz w:val="16"/>
              </w:rPr>
              <w:t>▼</w:t>
            </w:r>
          </w:p>
        </w:tc>
      </w:tr>
      <w:tr w:rsidR="009543DB" w:rsidRPr="00896126" w:rsidTr="009543DB">
        <w:tc>
          <w:tcPr>
            <w:tcW w:w="512" w:type="pct"/>
            <w:tcBorders>
              <w:top w:val="single" w:sz="4" w:space="0" w:color="auto"/>
              <w:left w:val="nil"/>
              <w:bottom w:val="nil"/>
              <w:right w:val="nil"/>
            </w:tcBorders>
          </w:tcPr>
          <w:p w:rsidR="009543DB" w:rsidRPr="00896126" w:rsidRDefault="009543DB" w:rsidP="009543DB">
            <w:pPr>
              <w:spacing w:before="40" w:after="40"/>
              <w:rPr>
                <w:b/>
                <w:sz w:val="16"/>
                <w:highlight w:val="yellow"/>
              </w:rPr>
            </w:pPr>
            <w:r w:rsidRPr="00245BB6">
              <w:rPr>
                <w:b/>
                <w:sz w:val="16"/>
              </w:rPr>
              <w:t>Baggage</w:t>
            </w:r>
          </w:p>
        </w:tc>
        <w:tc>
          <w:tcPr>
            <w:tcW w:w="2406" w:type="pct"/>
            <w:tcBorders>
              <w:top w:val="single" w:sz="4" w:space="0" w:color="auto"/>
              <w:left w:val="nil"/>
              <w:bottom w:val="nil"/>
              <w:right w:val="nil"/>
            </w:tcBorders>
          </w:tcPr>
          <w:p w:rsidR="009543DB" w:rsidRPr="006D719C" w:rsidRDefault="009543DB" w:rsidP="009543DB">
            <w:pPr>
              <w:spacing w:before="40" w:after="40"/>
              <w:rPr>
                <w:sz w:val="16"/>
              </w:rPr>
            </w:pPr>
            <w:r w:rsidRPr="006D719C">
              <w:rPr>
                <w:sz w:val="16"/>
              </w:rPr>
              <w:t>Baggage processing facilities availability</w:t>
            </w:r>
          </w:p>
        </w:tc>
        <w:tc>
          <w:tcPr>
            <w:tcW w:w="657" w:type="pct"/>
            <w:tcBorders>
              <w:top w:val="single" w:sz="4" w:space="0" w:color="auto"/>
              <w:left w:val="nil"/>
              <w:bottom w:val="nil"/>
              <w:right w:val="nil"/>
            </w:tcBorders>
          </w:tcPr>
          <w:p w:rsidR="009543DB" w:rsidRPr="006D719C" w:rsidRDefault="009543DB" w:rsidP="009543DB">
            <w:pPr>
              <w:spacing w:before="40" w:after="40"/>
              <w:rPr>
                <w:sz w:val="16"/>
              </w:rPr>
            </w:pPr>
            <w:r w:rsidRPr="006D719C">
              <w:rPr>
                <w:sz w:val="16"/>
              </w:rPr>
              <w:t>Airline survey</w:t>
            </w:r>
          </w:p>
        </w:tc>
        <w:tc>
          <w:tcPr>
            <w:tcW w:w="100" w:type="pct"/>
            <w:tcBorders>
              <w:top w:val="single" w:sz="4" w:space="0" w:color="auto"/>
              <w:left w:val="nil"/>
              <w:bottom w:val="nil"/>
              <w:right w:val="nil"/>
            </w:tcBorders>
          </w:tcPr>
          <w:p w:rsidR="009543DB" w:rsidRPr="00884725" w:rsidRDefault="009543DB" w:rsidP="009543DB">
            <w:pPr>
              <w:spacing w:before="40" w:after="40"/>
              <w:rPr>
                <w:sz w:val="16"/>
              </w:rPr>
            </w:pPr>
          </w:p>
        </w:tc>
        <w:tc>
          <w:tcPr>
            <w:tcW w:w="758" w:type="pct"/>
            <w:tcBorders>
              <w:top w:val="single" w:sz="4" w:space="0" w:color="auto"/>
              <w:left w:val="nil"/>
              <w:bottom w:val="nil"/>
              <w:right w:val="nil"/>
            </w:tcBorders>
          </w:tcPr>
          <w:p w:rsidR="009543DB" w:rsidRPr="00884725" w:rsidRDefault="009543DB" w:rsidP="009543DB">
            <w:pPr>
              <w:spacing w:before="40" w:after="40"/>
              <w:rPr>
                <w:sz w:val="16"/>
              </w:rPr>
            </w:pPr>
            <w:r>
              <w:rPr>
                <w:sz w:val="16"/>
              </w:rPr>
              <w:t>Excellent</w:t>
            </w:r>
          </w:p>
        </w:tc>
        <w:tc>
          <w:tcPr>
            <w:tcW w:w="567" w:type="pct"/>
            <w:tcBorders>
              <w:top w:val="single" w:sz="4" w:space="0" w:color="auto"/>
              <w:left w:val="nil"/>
              <w:bottom w:val="nil"/>
              <w:right w:val="nil"/>
            </w:tcBorders>
          </w:tcPr>
          <w:p w:rsidR="009543DB" w:rsidRPr="00896126" w:rsidRDefault="009543DB" w:rsidP="009543DB">
            <w:pPr>
              <w:spacing w:before="40" w:after="40"/>
              <w:rPr>
                <w:sz w:val="16"/>
                <w:highlight w:val="yellow"/>
              </w:rPr>
            </w:pPr>
            <w:r w:rsidRPr="00FD602E">
              <w:rPr>
                <w:rFonts w:cs="Arial"/>
                <w:color w:val="4BACC6" w:themeColor="accent5"/>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6D719C" w:rsidRDefault="009543DB" w:rsidP="009543DB">
            <w:pPr>
              <w:spacing w:before="40" w:after="40"/>
              <w:rPr>
                <w:sz w:val="16"/>
              </w:rPr>
            </w:pPr>
            <w:r w:rsidRPr="006D719C">
              <w:rPr>
                <w:sz w:val="16"/>
              </w:rPr>
              <w:t>Baggage processing facilities standard</w:t>
            </w:r>
          </w:p>
        </w:tc>
        <w:tc>
          <w:tcPr>
            <w:tcW w:w="657" w:type="pct"/>
            <w:tcBorders>
              <w:top w:val="nil"/>
              <w:left w:val="nil"/>
              <w:bottom w:val="nil"/>
              <w:right w:val="nil"/>
            </w:tcBorders>
          </w:tcPr>
          <w:p w:rsidR="009543DB" w:rsidRPr="006D719C" w:rsidRDefault="009543DB" w:rsidP="009543DB">
            <w:pPr>
              <w:spacing w:before="40" w:after="40"/>
              <w:rPr>
                <w:sz w:val="16"/>
              </w:rPr>
            </w:pPr>
            <w:r w:rsidRPr="006D719C">
              <w:rPr>
                <w:sz w:val="16"/>
              </w:rPr>
              <w:t>Airline survey</w:t>
            </w:r>
          </w:p>
        </w:tc>
        <w:tc>
          <w:tcPr>
            <w:tcW w:w="100" w:type="pct"/>
            <w:tcBorders>
              <w:top w:val="nil"/>
              <w:left w:val="nil"/>
              <w:bottom w:val="nil"/>
              <w:right w:val="nil"/>
            </w:tcBorders>
          </w:tcPr>
          <w:p w:rsidR="009543DB" w:rsidRPr="00884725" w:rsidRDefault="009543DB" w:rsidP="009543DB">
            <w:pPr>
              <w:spacing w:before="40" w:after="40"/>
              <w:rPr>
                <w:sz w:val="16"/>
              </w:rPr>
            </w:pPr>
          </w:p>
        </w:tc>
        <w:tc>
          <w:tcPr>
            <w:tcW w:w="758" w:type="pct"/>
            <w:tcBorders>
              <w:top w:val="nil"/>
              <w:left w:val="nil"/>
              <w:bottom w:val="nil"/>
              <w:right w:val="nil"/>
            </w:tcBorders>
          </w:tcPr>
          <w:p w:rsidR="009543DB" w:rsidRPr="00884725" w:rsidRDefault="009543DB" w:rsidP="009543DB">
            <w:pPr>
              <w:spacing w:before="40" w:after="40"/>
              <w:rPr>
                <w:sz w:val="16"/>
              </w:rPr>
            </w:pPr>
            <w:r w:rsidRPr="00884725">
              <w:rPr>
                <w:sz w:val="16"/>
              </w:rPr>
              <w:t>Excellent</w:t>
            </w:r>
          </w:p>
        </w:tc>
        <w:tc>
          <w:tcPr>
            <w:tcW w:w="567" w:type="pct"/>
            <w:tcBorders>
              <w:top w:val="nil"/>
              <w:left w:val="nil"/>
              <w:bottom w:val="nil"/>
              <w:right w:val="nil"/>
            </w:tcBorders>
          </w:tcPr>
          <w:p w:rsidR="009543DB" w:rsidRPr="00896126" w:rsidRDefault="009543DB" w:rsidP="009543DB">
            <w:pPr>
              <w:spacing w:before="40" w:after="40"/>
              <w:rPr>
                <w:sz w:val="16"/>
                <w:highlight w:val="yellow"/>
              </w:rPr>
            </w:pPr>
            <w:r w:rsidRPr="002B023C">
              <w:rPr>
                <w:rFonts w:cs="Arial"/>
                <w:color w:val="943634" w:themeColor="accent2" w:themeShade="BF"/>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F94A7B" w:rsidRDefault="009543DB" w:rsidP="009543DB">
            <w:pPr>
              <w:spacing w:before="40" w:after="40"/>
              <w:rPr>
                <w:sz w:val="16"/>
              </w:rPr>
            </w:pPr>
            <w:r w:rsidRPr="00F94A7B">
              <w:rPr>
                <w:sz w:val="16"/>
              </w:rPr>
              <w:t>Circulation space for inbound baggage reclaim</w:t>
            </w:r>
          </w:p>
        </w:tc>
        <w:tc>
          <w:tcPr>
            <w:tcW w:w="657" w:type="pct"/>
            <w:tcBorders>
              <w:top w:val="nil"/>
              <w:left w:val="nil"/>
              <w:bottom w:val="nil"/>
              <w:right w:val="nil"/>
            </w:tcBorders>
          </w:tcPr>
          <w:p w:rsidR="009543DB" w:rsidRPr="00F94A7B" w:rsidRDefault="009543DB" w:rsidP="009543DB">
            <w:pPr>
              <w:spacing w:before="40" w:after="40"/>
              <w:rPr>
                <w:sz w:val="16"/>
              </w:rPr>
            </w:pPr>
            <w:r w:rsidRPr="00F94A7B">
              <w:rPr>
                <w:sz w:val="16"/>
              </w:rPr>
              <w:t>Passenger survey</w:t>
            </w:r>
          </w:p>
        </w:tc>
        <w:tc>
          <w:tcPr>
            <w:tcW w:w="100" w:type="pct"/>
            <w:tcBorders>
              <w:top w:val="nil"/>
              <w:left w:val="nil"/>
              <w:bottom w:val="nil"/>
              <w:right w:val="nil"/>
            </w:tcBorders>
          </w:tcPr>
          <w:p w:rsidR="009543DB" w:rsidRPr="00896126" w:rsidRDefault="009543DB" w:rsidP="009543DB">
            <w:pPr>
              <w:spacing w:before="40" w:after="40"/>
              <w:rPr>
                <w:sz w:val="16"/>
                <w:highlight w:val="yellow"/>
              </w:rPr>
            </w:pPr>
          </w:p>
        </w:tc>
        <w:tc>
          <w:tcPr>
            <w:tcW w:w="758" w:type="pct"/>
            <w:tcBorders>
              <w:top w:val="nil"/>
              <w:left w:val="nil"/>
              <w:bottom w:val="nil"/>
              <w:right w:val="nil"/>
            </w:tcBorders>
          </w:tcPr>
          <w:p w:rsidR="009543DB" w:rsidRPr="00896126" w:rsidRDefault="009543DB" w:rsidP="009543DB">
            <w:pPr>
              <w:spacing w:before="40" w:after="40"/>
              <w:rPr>
                <w:sz w:val="16"/>
                <w:highlight w:val="yellow"/>
              </w:rPr>
            </w:pPr>
            <w:r>
              <w:rPr>
                <w:sz w:val="16"/>
              </w:rPr>
              <w:t>Good</w:t>
            </w:r>
          </w:p>
        </w:tc>
        <w:tc>
          <w:tcPr>
            <w:tcW w:w="567" w:type="pct"/>
            <w:tcBorders>
              <w:top w:val="nil"/>
              <w:left w:val="nil"/>
              <w:bottom w:val="nil"/>
              <w:right w:val="nil"/>
            </w:tcBorders>
          </w:tcPr>
          <w:p w:rsidR="009543DB" w:rsidRPr="00896126" w:rsidRDefault="009543DB" w:rsidP="009543DB">
            <w:pPr>
              <w:spacing w:before="40" w:after="40"/>
              <w:rPr>
                <w:sz w:val="16"/>
                <w:highlight w:val="yellow"/>
              </w:rPr>
            </w:pPr>
            <w:r w:rsidRPr="002B023C">
              <w:rPr>
                <w:rFonts w:cs="Arial"/>
                <w:color w:val="943634" w:themeColor="accent2" w:themeShade="BF"/>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F94A7B" w:rsidRDefault="009543DB" w:rsidP="009543DB">
            <w:pPr>
              <w:spacing w:before="40" w:after="40"/>
              <w:rPr>
                <w:sz w:val="16"/>
              </w:rPr>
            </w:pPr>
            <w:r w:rsidRPr="00F94A7B">
              <w:rPr>
                <w:sz w:val="16"/>
              </w:rPr>
              <w:t>Information display for inbound baggage reclaim</w:t>
            </w:r>
          </w:p>
        </w:tc>
        <w:tc>
          <w:tcPr>
            <w:tcW w:w="657" w:type="pct"/>
            <w:tcBorders>
              <w:top w:val="nil"/>
              <w:left w:val="nil"/>
              <w:bottom w:val="nil"/>
              <w:right w:val="nil"/>
            </w:tcBorders>
          </w:tcPr>
          <w:p w:rsidR="009543DB" w:rsidRPr="00F94A7B" w:rsidRDefault="009543DB" w:rsidP="009543DB">
            <w:pPr>
              <w:spacing w:before="40" w:after="40"/>
              <w:rPr>
                <w:sz w:val="16"/>
              </w:rPr>
            </w:pPr>
            <w:r w:rsidRPr="00F94A7B">
              <w:rPr>
                <w:sz w:val="16"/>
              </w:rPr>
              <w:t>Passenger survey</w:t>
            </w:r>
          </w:p>
        </w:tc>
        <w:tc>
          <w:tcPr>
            <w:tcW w:w="100" w:type="pct"/>
            <w:tcBorders>
              <w:top w:val="nil"/>
              <w:left w:val="nil"/>
              <w:bottom w:val="nil"/>
              <w:right w:val="nil"/>
            </w:tcBorders>
          </w:tcPr>
          <w:p w:rsidR="009543DB" w:rsidRPr="00896126" w:rsidRDefault="009543DB" w:rsidP="009543DB">
            <w:pPr>
              <w:spacing w:before="40" w:after="40"/>
              <w:rPr>
                <w:sz w:val="16"/>
                <w:highlight w:val="yellow"/>
              </w:rPr>
            </w:pPr>
          </w:p>
        </w:tc>
        <w:tc>
          <w:tcPr>
            <w:tcW w:w="758" w:type="pct"/>
            <w:tcBorders>
              <w:top w:val="nil"/>
              <w:left w:val="nil"/>
              <w:bottom w:val="nil"/>
              <w:right w:val="nil"/>
            </w:tcBorders>
          </w:tcPr>
          <w:p w:rsidR="009543DB" w:rsidRPr="00896126" w:rsidRDefault="009543DB" w:rsidP="009543DB">
            <w:pPr>
              <w:spacing w:before="40" w:after="40"/>
              <w:rPr>
                <w:sz w:val="16"/>
                <w:highlight w:val="yellow"/>
              </w:rPr>
            </w:pPr>
            <w:r w:rsidRPr="002B023C">
              <w:rPr>
                <w:sz w:val="16"/>
              </w:rPr>
              <w:t>Good</w:t>
            </w:r>
          </w:p>
        </w:tc>
        <w:tc>
          <w:tcPr>
            <w:tcW w:w="567" w:type="pct"/>
            <w:tcBorders>
              <w:top w:val="nil"/>
              <w:left w:val="nil"/>
              <w:bottom w:val="nil"/>
              <w:right w:val="nil"/>
            </w:tcBorders>
          </w:tcPr>
          <w:p w:rsidR="009543DB" w:rsidRPr="00896126" w:rsidRDefault="009543DB" w:rsidP="009543DB">
            <w:pPr>
              <w:spacing w:before="40" w:after="40"/>
              <w:rPr>
                <w:sz w:val="16"/>
                <w:highlight w:val="yellow"/>
              </w:rPr>
            </w:pPr>
            <w:r w:rsidRPr="00FC11A1">
              <w:rPr>
                <w:rFonts w:cs="Arial"/>
                <w:color w:val="943634" w:themeColor="accent2" w:themeShade="BF"/>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F94A7B" w:rsidRDefault="009543DB" w:rsidP="009543DB">
            <w:pPr>
              <w:spacing w:before="40" w:after="40"/>
              <w:rPr>
                <w:i/>
                <w:sz w:val="16"/>
              </w:rPr>
            </w:pPr>
            <w:r w:rsidRPr="00F94A7B">
              <w:rPr>
                <w:i/>
                <w:sz w:val="16"/>
              </w:rPr>
              <w:t>Number of arriving passengers per m</w:t>
            </w:r>
            <w:r w:rsidRPr="00F94A7B">
              <w:rPr>
                <w:i/>
                <w:sz w:val="16"/>
                <w:vertAlign w:val="superscript"/>
              </w:rPr>
              <w:t xml:space="preserve">2 </w:t>
            </w:r>
            <w:r w:rsidRPr="00F94A7B">
              <w:rPr>
                <w:i/>
                <w:sz w:val="16"/>
              </w:rPr>
              <w:t>of inbound baggage reclaim area (peak hour)</w:t>
            </w:r>
          </w:p>
        </w:tc>
        <w:tc>
          <w:tcPr>
            <w:tcW w:w="657" w:type="pct"/>
            <w:tcBorders>
              <w:top w:val="nil"/>
              <w:left w:val="nil"/>
              <w:bottom w:val="nil"/>
              <w:right w:val="nil"/>
            </w:tcBorders>
          </w:tcPr>
          <w:p w:rsidR="009543DB" w:rsidRPr="00F94A7B" w:rsidRDefault="009543DB" w:rsidP="009543DB">
            <w:pPr>
              <w:spacing w:before="40" w:after="40"/>
              <w:rPr>
                <w:i/>
                <w:sz w:val="16"/>
              </w:rPr>
            </w:pPr>
            <w:r w:rsidRPr="00F94A7B">
              <w:rPr>
                <w:i/>
                <w:sz w:val="16"/>
              </w:rPr>
              <w:t>Objective indicator</w:t>
            </w:r>
          </w:p>
        </w:tc>
        <w:tc>
          <w:tcPr>
            <w:tcW w:w="100" w:type="pct"/>
            <w:tcBorders>
              <w:top w:val="nil"/>
              <w:left w:val="nil"/>
              <w:bottom w:val="nil"/>
              <w:right w:val="nil"/>
            </w:tcBorders>
          </w:tcPr>
          <w:p w:rsidR="009543DB" w:rsidRPr="00EE74D2" w:rsidRDefault="009543DB" w:rsidP="009543DB">
            <w:pPr>
              <w:spacing w:before="40" w:after="40"/>
              <w:rPr>
                <w:i/>
                <w:sz w:val="16"/>
              </w:rPr>
            </w:pPr>
          </w:p>
        </w:tc>
        <w:tc>
          <w:tcPr>
            <w:tcW w:w="758" w:type="pct"/>
            <w:tcBorders>
              <w:top w:val="nil"/>
              <w:left w:val="nil"/>
              <w:bottom w:val="nil"/>
              <w:right w:val="nil"/>
            </w:tcBorders>
          </w:tcPr>
          <w:p w:rsidR="009543DB" w:rsidRPr="00EE74D2" w:rsidRDefault="009543DB" w:rsidP="009543DB">
            <w:pPr>
              <w:spacing w:before="40" w:after="40"/>
              <w:rPr>
                <w:i/>
                <w:sz w:val="16"/>
              </w:rPr>
            </w:pPr>
            <w:r w:rsidRPr="00EE74D2">
              <w:rPr>
                <w:i/>
                <w:sz w:val="16"/>
              </w:rPr>
              <w:t>0.</w:t>
            </w:r>
            <w:r>
              <w:rPr>
                <w:i/>
                <w:sz w:val="16"/>
              </w:rPr>
              <w:t>07</w:t>
            </w:r>
          </w:p>
        </w:tc>
        <w:tc>
          <w:tcPr>
            <w:tcW w:w="567" w:type="pct"/>
            <w:tcBorders>
              <w:top w:val="nil"/>
              <w:left w:val="nil"/>
              <w:bottom w:val="nil"/>
              <w:right w:val="nil"/>
            </w:tcBorders>
          </w:tcPr>
          <w:p w:rsidR="009543DB" w:rsidRPr="00EE74D2" w:rsidRDefault="009543DB" w:rsidP="009543DB">
            <w:pPr>
              <w:spacing w:before="40" w:after="40"/>
              <w:rPr>
                <w:i/>
                <w:sz w:val="16"/>
              </w:rPr>
            </w:pPr>
            <w:r w:rsidRPr="00EE74D2">
              <w:rPr>
                <w:i/>
                <w:sz w:val="16"/>
              </w:rPr>
              <w:t>n/a</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C64590" w:rsidRDefault="009543DB" w:rsidP="009543DB">
            <w:pPr>
              <w:spacing w:before="40" w:after="40"/>
              <w:rPr>
                <w:sz w:val="16"/>
              </w:rPr>
            </w:pPr>
            <w:r w:rsidRPr="00C64590">
              <w:rPr>
                <w:sz w:val="16"/>
              </w:rPr>
              <w:t>Findability of baggage trolleys</w:t>
            </w:r>
          </w:p>
        </w:tc>
        <w:tc>
          <w:tcPr>
            <w:tcW w:w="657" w:type="pct"/>
            <w:tcBorders>
              <w:top w:val="nil"/>
              <w:left w:val="nil"/>
              <w:bottom w:val="nil"/>
              <w:right w:val="nil"/>
            </w:tcBorders>
          </w:tcPr>
          <w:p w:rsidR="009543DB" w:rsidRPr="00C64590" w:rsidRDefault="009543DB" w:rsidP="009543DB">
            <w:pPr>
              <w:spacing w:before="40" w:after="40"/>
              <w:rPr>
                <w:sz w:val="16"/>
              </w:rPr>
            </w:pPr>
            <w:r w:rsidRPr="00C64590">
              <w:rPr>
                <w:sz w:val="16"/>
              </w:rPr>
              <w:t>Passenger survey</w:t>
            </w:r>
          </w:p>
        </w:tc>
        <w:tc>
          <w:tcPr>
            <w:tcW w:w="100" w:type="pct"/>
            <w:tcBorders>
              <w:top w:val="nil"/>
              <w:left w:val="nil"/>
              <w:bottom w:val="nil"/>
              <w:right w:val="nil"/>
            </w:tcBorders>
          </w:tcPr>
          <w:p w:rsidR="009543DB" w:rsidRPr="00896126" w:rsidRDefault="009543DB" w:rsidP="009543DB">
            <w:pPr>
              <w:spacing w:before="40" w:after="40"/>
              <w:rPr>
                <w:sz w:val="16"/>
                <w:highlight w:val="yellow"/>
              </w:rPr>
            </w:pPr>
          </w:p>
        </w:tc>
        <w:tc>
          <w:tcPr>
            <w:tcW w:w="758" w:type="pct"/>
            <w:tcBorders>
              <w:top w:val="nil"/>
              <w:left w:val="nil"/>
              <w:bottom w:val="nil"/>
              <w:right w:val="nil"/>
            </w:tcBorders>
          </w:tcPr>
          <w:p w:rsidR="009543DB" w:rsidRPr="00245BB6" w:rsidRDefault="009543DB" w:rsidP="009543DB">
            <w:pPr>
              <w:spacing w:before="40" w:after="40"/>
              <w:rPr>
                <w:sz w:val="16"/>
              </w:rPr>
            </w:pPr>
            <w:r>
              <w:rPr>
                <w:sz w:val="16"/>
              </w:rPr>
              <w:t>Good</w:t>
            </w:r>
          </w:p>
        </w:tc>
        <w:tc>
          <w:tcPr>
            <w:tcW w:w="567" w:type="pct"/>
            <w:tcBorders>
              <w:top w:val="nil"/>
              <w:left w:val="nil"/>
              <w:bottom w:val="nil"/>
              <w:right w:val="nil"/>
            </w:tcBorders>
          </w:tcPr>
          <w:p w:rsidR="009543DB" w:rsidRPr="00896126" w:rsidRDefault="009543DB" w:rsidP="009543DB">
            <w:pPr>
              <w:spacing w:before="40" w:after="40"/>
              <w:rPr>
                <w:sz w:val="16"/>
                <w:highlight w:val="yellow"/>
              </w:rPr>
            </w:pPr>
            <w:r w:rsidRPr="00FC11A1">
              <w:rPr>
                <w:rFonts w:cs="Arial"/>
                <w:color w:val="943634" w:themeColor="accent2" w:themeShade="BF"/>
                <w:sz w:val="16"/>
              </w:rPr>
              <w:t>▲</w:t>
            </w:r>
          </w:p>
        </w:tc>
      </w:tr>
      <w:tr w:rsidR="009543DB" w:rsidRPr="00896126" w:rsidTr="009543DB">
        <w:tc>
          <w:tcPr>
            <w:tcW w:w="512" w:type="pct"/>
            <w:tcBorders>
              <w:top w:val="nil"/>
              <w:left w:val="nil"/>
              <w:bottom w:val="single" w:sz="4" w:space="0" w:color="auto"/>
              <w:right w:val="nil"/>
            </w:tcBorders>
          </w:tcPr>
          <w:p w:rsidR="009543DB" w:rsidRPr="00896126" w:rsidRDefault="009543DB" w:rsidP="009543DB">
            <w:pPr>
              <w:spacing w:before="40" w:after="40"/>
              <w:rPr>
                <w:b/>
                <w:sz w:val="16"/>
                <w:highlight w:val="yellow"/>
              </w:rPr>
            </w:pPr>
          </w:p>
        </w:tc>
        <w:tc>
          <w:tcPr>
            <w:tcW w:w="2406"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i/>
                <w:sz w:val="16"/>
              </w:rPr>
              <w:t>Number of passengers per baggage trolley (peak hour)</w:t>
            </w:r>
          </w:p>
        </w:tc>
        <w:tc>
          <w:tcPr>
            <w:tcW w:w="657"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i/>
                <w:sz w:val="16"/>
              </w:rPr>
              <w:t>Objective indicator</w:t>
            </w:r>
          </w:p>
        </w:tc>
        <w:tc>
          <w:tcPr>
            <w:tcW w:w="100" w:type="pct"/>
            <w:tcBorders>
              <w:top w:val="nil"/>
              <w:left w:val="nil"/>
              <w:bottom w:val="single" w:sz="4" w:space="0" w:color="auto"/>
              <w:right w:val="nil"/>
            </w:tcBorders>
          </w:tcPr>
          <w:p w:rsidR="009543DB" w:rsidRPr="00EE74D2" w:rsidRDefault="009543DB" w:rsidP="009543DB">
            <w:pPr>
              <w:spacing w:before="40" w:after="40"/>
              <w:rPr>
                <w:i/>
                <w:sz w:val="16"/>
              </w:rPr>
            </w:pPr>
          </w:p>
        </w:tc>
        <w:tc>
          <w:tcPr>
            <w:tcW w:w="758" w:type="pct"/>
            <w:tcBorders>
              <w:top w:val="nil"/>
              <w:left w:val="nil"/>
              <w:bottom w:val="single" w:sz="4" w:space="0" w:color="auto"/>
              <w:right w:val="nil"/>
            </w:tcBorders>
          </w:tcPr>
          <w:p w:rsidR="009543DB" w:rsidRPr="00EE74D2" w:rsidRDefault="009543DB" w:rsidP="009543DB">
            <w:pPr>
              <w:spacing w:before="40" w:after="40"/>
              <w:rPr>
                <w:i/>
                <w:sz w:val="16"/>
              </w:rPr>
            </w:pPr>
            <w:r w:rsidRPr="00EE74D2">
              <w:rPr>
                <w:i/>
                <w:sz w:val="16"/>
              </w:rPr>
              <w:t>7.9 passengers</w:t>
            </w:r>
          </w:p>
        </w:tc>
        <w:tc>
          <w:tcPr>
            <w:tcW w:w="567" w:type="pct"/>
            <w:tcBorders>
              <w:top w:val="nil"/>
              <w:left w:val="nil"/>
              <w:bottom w:val="single" w:sz="4" w:space="0" w:color="auto"/>
              <w:right w:val="nil"/>
            </w:tcBorders>
          </w:tcPr>
          <w:p w:rsidR="009543DB" w:rsidRPr="00896126" w:rsidRDefault="009543DB" w:rsidP="009543DB">
            <w:pPr>
              <w:spacing w:before="40" w:after="40"/>
              <w:rPr>
                <w:i/>
                <w:sz w:val="16"/>
                <w:highlight w:val="yellow"/>
              </w:rPr>
            </w:pPr>
            <w:r w:rsidRPr="00962FAF">
              <w:rPr>
                <w:rFonts w:cs="Arial"/>
                <w:color w:val="F79646" w:themeColor="accent6"/>
                <w:sz w:val="16"/>
              </w:rPr>
              <w:t>▼</w:t>
            </w:r>
          </w:p>
        </w:tc>
      </w:tr>
      <w:tr w:rsidR="009543DB" w:rsidRPr="00896126" w:rsidTr="009543DB">
        <w:tc>
          <w:tcPr>
            <w:tcW w:w="512" w:type="pct"/>
            <w:tcBorders>
              <w:top w:val="single" w:sz="4" w:space="0" w:color="auto"/>
              <w:left w:val="nil"/>
              <w:bottom w:val="nil"/>
              <w:right w:val="nil"/>
            </w:tcBorders>
          </w:tcPr>
          <w:p w:rsidR="009543DB" w:rsidRPr="00896126" w:rsidRDefault="009543DB" w:rsidP="009543DB">
            <w:pPr>
              <w:spacing w:before="40" w:after="40"/>
              <w:rPr>
                <w:b/>
                <w:sz w:val="16"/>
                <w:highlight w:val="yellow"/>
              </w:rPr>
            </w:pPr>
            <w:r w:rsidRPr="00245BB6">
              <w:rPr>
                <w:b/>
                <w:sz w:val="16"/>
              </w:rPr>
              <w:t>Information</w:t>
            </w:r>
          </w:p>
        </w:tc>
        <w:tc>
          <w:tcPr>
            <w:tcW w:w="2406"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Flight information display screens</w:t>
            </w:r>
          </w:p>
        </w:tc>
        <w:tc>
          <w:tcPr>
            <w:tcW w:w="657"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Passenger survey</w:t>
            </w:r>
          </w:p>
        </w:tc>
        <w:tc>
          <w:tcPr>
            <w:tcW w:w="100" w:type="pct"/>
            <w:tcBorders>
              <w:top w:val="single" w:sz="4" w:space="0" w:color="auto"/>
              <w:left w:val="nil"/>
              <w:bottom w:val="nil"/>
              <w:right w:val="nil"/>
            </w:tcBorders>
          </w:tcPr>
          <w:p w:rsidR="009543DB" w:rsidRPr="00896126" w:rsidRDefault="009543DB" w:rsidP="009543DB">
            <w:pPr>
              <w:spacing w:before="40" w:after="40"/>
              <w:rPr>
                <w:sz w:val="16"/>
                <w:highlight w:val="yellow"/>
              </w:rPr>
            </w:pPr>
          </w:p>
        </w:tc>
        <w:tc>
          <w:tcPr>
            <w:tcW w:w="758" w:type="pct"/>
            <w:tcBorders>
              <w:top w:val="single" w:sz="4" w:space="0" w:color="auto"/>
              <w:left w:val="nil"/>
              <w:bottom w:val="nil"/>
              <w:right w:val="nil"/>
            </w:tcBorders>
          </w:tcPr>
          <w:p w:rsidR="009543DB" w:rsidRPr="00896126" w:rsidRDefault="009543DB" w:rsidP="009543DB">
            <w:pPr>
              <w:spacing w:before="40" w:after="40"/>
              <w:rPr>
                <w:sz w:val="16"/>
                <w:highlight w:val="yellow"/>
              </w:rPr>
            </w:pPr>
            <w:r w:rsidRPr="00245BB6">
              <w:rPr>
                <w:sz w:val="16"/>
              </w:rPr>
              <w:t>Good</w:t>
            </w:r>
          </w:p>
        </w:tc>
        <w:tc>
          <w:tcPr>
            <w:tcW w:w="567" w:type="pct"/>
            <w:tcBorders>
              <w:top w:val="single" w:sz="4" w:space="0" w:color="auto"/>
              <w:left w:val="nil"/>
              <w:bottom w:val="nil"/>
              <w:right w:val="nil"/>
            </w:tcBorders>
          </w:tcPr>
          <w:p w:rsidR="009543DB" w:rsidRPr="00896126" w:rsidRDefault="009543DB" w:rsidP="009543DB">
            <w:pPr>
              <w:spacing w:before="40" w:after="40"/>
              <w:rPr>
                <w:sz w:val="16"/>
                <w:highlight w:val="yellow"/>
              </w:rPr>
            </w:pPr>
            <w:r w:rsidRPr="00FC11A1">
              <w:rPr>
                <w:rFonts w:cs="Arial"/>
                <w:color w:val="943634" w:themeColor="accent2" w:themeShade="BF"/>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C64590" w:rsidRDefault="009543DB" w:rsidP="009543DB">
            <w:pPr>
              <w:spacing w:before="40" w:after="40"/>
              <w:rPr>
                <w:i/>
                <w:sz w:val="16"/>
              </w:rPr>
            </w:pPr>
            <w:r w:rsidRPr="00C64590">
              <w:rPr>
                <w:i/>
                <w:sz w:val="16"/>
              </w:rPr>
              <w:t>Number of passengers per flight information display screen (peak hour)</w:t>
            </w:r>
          </w:p>
        </w:tc>
        <w:tc>
          <w:tcPr>
            <w:tcW w:w="657" w:type="pct"/>
            <w:tcBorders>
              <w:top w:val="nil"/>
              <w:left w:val="nil"/>
              <w:bottom w:val="nil"/>
              <w:right w:val="nil"/>
            </w:tcBorders>
          </w:tcPr>
          <w:p w:rsidR="009543DB" w:rsidRPr="00C64590" w:rsidRDefault="009543DB" w:rsidP="009543DB">
            <w:pPr>
              <w:spacing w:before="40" w:after="40"/>
              <w:rPr>
                <w:i/>
                <w:sz w:val="16"/>
              </w:rPr>
            </w:pPr>
            <w:r w:rsidRPr="00C64590">
              <w:rPr>
                <w:i/>
                <w:sz w:val="16"/>
              </w:rPr>
              <w:t>Objective indicator</w:t>
            </w:r>
          </w:p>
        </w:tc>
        <w:tc>
          <w:tcPr>
            <w:tcW w:w="100" w:type="pct"/>
            <w:tcBorders>
              <w:top w:val="nil"/>
              <w:left w:val="nil"/>
              <w:bottom w:val="nil"/>
              <w:right w:val="nil"/>
            </w:tcBorders>
          </w:tcPr>
          <w:p w:rsidR="009543DB" w:rsidRPr="00B73ABE" w:rsidRDefault="009543DB" w:rsidP="009543DB">
            <w:pPr>
              <w:spacing w:before="40" w:after="40"/>
              <w:rPr>
                <w:i/>
                <w:sz w:val="16"/>
              </w:rPr>
            </w:pPr>
          </w:p>
        </w:tc>
        <w:tc>
          <w:tcPr>
            <w:tcW w:w="758" w:type="pct"/>
            <w:tcBorders>
              <w:top w:val="nil"/>
              <w:left w:val="nil"/>
              <w:bottom w:val="nil"/>
              <w:right w:val="nil"/>
            </w:tcBorders>
          </w:tcPr>
          <w:p w:rsidR="009543DB" w:rsidRPr="00B73ABE" w:rsidRDefault="009543DB" w:rsidP="009543DB">
            <w:pPr>
              <w:spacing w:before="40" w:after="40"/>
              <w:rPr>
                <w:i/>
                <w:sz w:val="16"/>
              </w:rPr>
            </w:pPr>
            <w:r w:rsidRPr="00B73ABE">
              <w:rPr>
                <w:i/>
                <w:sz w:val="16"/>
              </w:rPr>
              <w:t>11.1 passengers</w:t>
            </w:r>
          </w:p>
        </w:tc>
        <w:tc>
          <w:tcPr>
            <w:tcW w:w="567" w:type="pct"/>
            <w:tcBorders>
              <w:top w:val="nil"/>
              <w:left w:val="nil"/>
              <w:bottom w:val="nil"/>
              <w:right w:val="nil"/>
            </w:tcBorders>
          </w:tcPr>
          <w:p w:rsidR="009543DB" w:rsidRPr="00896126" w:rsidRDefault="009543DB" w:rsidP="009543DB">
            <w:pPr>
              <w:spacing w:before="40" w:after="40"/>
              <w:rPr>
                <w:i/>
                <w:sz w:val="16"/>
                <w:highlight w:val="yellow"/>
              </w:rPr>
            </w:pPr>
            <w:r w:rsidRPr="00962FAF">
              <w:rPr>
                <w:rFonts w:cs="Arial"/>
                <w:color w:val="F79646" w:themeColor="accent6"/>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C64590" w:rsidRDefault="009543DB" w:rsidP="009543DB">
            <w:pPr>
              <w:spacing w:before="40" w:after="40"/>
              <w:rPr>
                <w:i/>
                <w:sz w:val="16"/>
              </w:rPr>
            </w:pPr>
            <w:r w:rsidRPr="00C64590">
              <w:rPr>
                <w:i/>
                <w:sz w:val="16"/>
              </w:rPr>
              <w:t>Number of passengers per information point</w:t>
            </w:r>
          </w:p>
        </w:tc>
        <w:tc>
          <w:tcPr>
            <w:tcW w:w="657" w:type="pct"/>
            <w:tcBorders>
              <w:top w:val="nil"/>
              <w:left w:val="nil"/>
              <w:bottom w:val="nil"/>
              <w:right w:val="nil"/>
            </w:tcBorders>
          </w:tcPr>
          <w:p w:rsidR="009543DB" w:rsidRPr="00C64590" w:rsidRDefault="009543DB" w:rsidP="009543DB">
            <w:pPr>
              <w:spacing w:before="40" w:after="40"/>
              <w:rPr>
                <w:i/>
                <w:sz w:val="16"/>
              </w:rPr>
            </w:pPr>
            <w:r w:rsidRPr="00C64590">
              <w:rPr>
                <w:i/>
                <w:sz w:val="16"/>
              </w:rPr>
              <w:t>Objective indicator</w:t>
            </w:r>
          </w:p>
        </w:tc>
        <w:tc>
          <w:tcPr>
            <w:tcW w:w="100" w:type="pct"/>
            <w:tcBorders>
              <w:top w:val="nil"/>
              <w:left w:val="nil"/>
              <w:bottom w:val="nil"/>
              <w:right w:val="nil"/>
            </w:tcBorders>
          </w:tcPr>
          <w:p w:rsidR="009543DB" w:rsidRPr="00B73ABE" w:rsidRDefault="009543DB" w:rsidP="009543DB">
            <w:pPr>
              <w:spacing w:before="40" w:after="40"/>
              <w:rPr>
                <w:i/>
                <w:sz w:val="16"/>
              </w:rPr>
            </w:pPr>
          </w:p>
        </w:tc>
        <w:tc>
          <w:tcPr>
            <w:tcW w:w="758" w:type="pct"/>
            <w:tcBorders>
              <w:top w:val="nil"/>
              <w:left w:val="nil"/>
              <w:bottom w:val="nil"/>
              <w:right w:val="nil"/>
            </w:tcBorders>
          </w:tcPr>
          <w:p w:rsidR="009543DB" w:rsidRPr="00B73ABE" w:rsidRDefault="009543DB" w:rsidP="009543DB">
            <w:pPr>
              <w:spacing w:before="40" w:after="40"/>
              <w:rPr>
                <w:i/>
                <w:sz w:val="16"/>
              </w:rPr>
            </w:pPr>
            <w:r w:rsidRPr="00B73ABE">
              <w:rPr>
                <w:i/>
                <w:sz w:val="16"/>
              </w:rPr>
              <w:t>490.0 passengers</w:t>
            </w:r>
          </w:p>
        </w:tc>
        <w:tc>
          <w:tcPr>
            <w:tcW w:w="567" w:type="pct"/>
            <w:tcBorders>
              <w:top w:val="nil"/>
              <w:left w:val="nil"/>
              <w:bottom w:val="nil"/>
              <w:right w:val="nil"/>
            </w:tcBorders>
          </w:tcPr>
          <w:p w:rsidR="009543DB" w:rsidRPr="00896126" w:rsidRDefault="009543DB" w:rsidP="009543DB">
            <w:pPr>
              <w:spacing w:before="40" w:after="40"/>
              <w:rPr>
                <w:i/>
                <w:sz w:val="16"/>
                <w:highlight w:val="yellow"/>
              </w:rPr>
            </w:pPr>
            <w:r w:rsidRPr="00962FAF">
              <w:rPr>
                <w:rFonts w:cs="Arial"/>
                <w:color w:val="F79646" w:themeColor="accent6"/>
                <w:sz w:val="16"/>
              </w:rPr>
              <w:t>▼</w:t>
            </w:r>
          </w:p>
        </w:tc>
      </w:tr>
      <w:tr w:rsidR="009543DB" w:rsidRPr="00896126" w:rsidTr="009543DB">
        <w:tc>
          <w:tcPr>
            <w:tcW w:w="512" w:type="pct"/>
            <w:tcBorders>
              <w:top w:val="nil"/>
              <w:left w:val="nil"/>
              <w:bottom w:val="single" w:sz="4" w:space="0" w:color="auto"/>
              <w:right w:val="nil"/>
            </w:tcBorders>
          </w:tcPr>
          <w:p w:rsidR="009543DB" w:rsidRPr="00896126" w:rsidRDefault="009543DB" w:rsidP="009543DB">
            <w:pPr>
              <w:spacing w:before="40" w:after="40"/>
              <w:rPr>
                <w:b/>
                <w:sz w:val="16"/>
                <w:highlight w:val="yellow"/>
              </w:rPr>
            </w:pPr>
          </w:p>
        </w:tc>
        <w:tc>
          <w:tcPr>
            <w:tcW w:w="2406" w:type="pct"/>
            <w:tcBorders>
              <w:top w:val="nil"/>
              <w:left w:val="nil"/>
              <w:bottom w:val="single" w:sz="4" w:space="0" w:color="auto"/>
              <w:right w:val="nil"/>
            </w:tcBorders>
          </w:tcPr>
          <w:p w:rsidR="009543DB" w:rsidRPr="00C64590" w:rsidRDefault="009543DB" w:rsidP="009543DB">
            <w:pPr>
              <w:spacing w:before="40" w:after="40"/>
              <w:rPr>
                <w:sz w:val="16"/>
              </w:rPr>
            </w:pPr>
            <w:r w:rsidRPr="00C64590">
              <w:rPr>
                <w:sz w:val="16"/>
              </w:rPr>
              <w:t>Signage and wayfinding</w:t>
            </w:r>
          </w:p>
        </w:tc>
        <w:tc>
          <w:tcPr>
            <w:tcW w:w="657" w:type="pct"/>
            <w:tcBorders>
              <w:top w:val="nil"/>
              <w:left w:val="nil"/>
              <w:bottom w:val="single" w:sz="4" w:space="0" w:color="auto"/>
              <w:right w:val="nil"/>
            </w:tcBorders>
          </w:tcPr>
          <w:p w:rsidR="009543DB" w:rsidRPr="00C64590" w:rsidRDefault="009543DB" w:rsidP="009543DB">
            <w:pPr>
              <w:spacing w:before="40" w:after="40"/>
              <w:rPr>
                <w:sz w:val="16"/>
              </w:rPr>
            </w:pPr>
            <w:r w:rsidRPr="00C64590">
              <w:rPr>
                <w:sz w:val="16"/>
              </w:rPr>
              <w:t>Passenger survey</w:t>
            </w:r>
          </w:p>
        </w:tc>
        <w:tc>
          <w:tcPr>
            <w:tcW w:w="100" w:type="pct"/>
            <w:tcBorders>
              <w:top w:val="nil"/>
              <w:left w:val="nil"/>
              <w:bottom w:val="single" w:sz="4" w:space="0" w:color="auto"/>
              <w:right w:val="nil"/>
            </w:tcBorders>
          </w:tcPr>
          <w:p w:rsidR="009543DB" w:rsidRPr="00896126" w:rsidRDefault="009543DB" w:rsidP="009543DB">
            <w:pPr>
              <w:spacing w:before="40" w:after="40"/>
              <w:rPr>
                <w:sz w:val="16"/>
                <w:highlight w:val="yellow"/>
              </w:rPr>
            </w:pPr>
          </w:p>
        </w:tc>
        <w:tc>
          <w:tcPr>
            <w:tcW w:w="758" w:type="pct"/>
            <w:tcBorders>
              <w:top w:val="nil"/>
              <w:left w:val="nil"/>
              <w:bottom w:val="single" w:sz="4" w:space="0" w:color="auto"/>
              <w:right w:val="nil"/>
            </w:tcBorders>
          </w:tcPr>
          <w:p w:rsidR="009543DB" w:rsidRPr="00896126" w:rsidRDefault="009543DB" w:rsidP="009543DB">
            <w:pPr>
              <w:spacing w:before="40" w:after="40"/>
              <w:rPr>
                <w:sz w:val="16"/>
                <w:highlight w:val="yellow"/>
              </w:rPr>
            </w:pPr>
            <w:r w:rsidRPr="00245BB6">
              <w:rPr>
                <w:sz w:val="16"/>
              </w:rPr>
              <w:t>Good</w:t>
            </w:r>
          </w:p>
        </w:tc>
        <w:tc>
          <w:tcPr>
            <w:tcW w:w="567" w:type="pct"/>
            <w:tcBorders>
              <w:top w:val="nil"/>
              <w:left w:val="nil"/>
              <w:bottom w:val="single" w:sz="4" w:space="0" w:color="auto"/>
              <w:right w:val="nil"/>
            </w:tcBorders>
          </w:tcPr>
          <w:p w:rsidR="009543DB" w:rsidRPr="00896126" w:rsidRDefault="009543DB" w:rsidP="009543DB">
            <w:pPr>
              <w:spacing w:before="40" w:after="40"/>
              <w:rPr>
                <w:sz w:val="16"/>
                <w:highlight w:val="yellow"/>
              </w:rPr>
            </w:pPr>
            <w:r w:rsidRPr="00FC11A1">
              <w:rPr>
                <w:rFonts w:cs="Arial"/>
                <w:color w:val="4BACC6" w:themeColor="accent5"/>
                <w:sz w:val="16"/>
              </w:rPr>
              <w:t>▬</w:t>
            </w:r>
          </w:p>
        </w:tc>
      </w:tr>
      <w:tr w:rsidR="009543DB" w:rsidRPr="00896126" w:rsidTr="009543DB">
        <w:tc>
          <w:tcPr>
            <w:tcW w:w="512" w:type="pct"/>
            <w:tcBorders>
              <w:top w:val="single" w:sz="4" w:space="0" w:color="auto"/>
              <w:left w:val="nil"/>
              <w:bottom w:val="nil"/>
              <w:right w:val="nil"/>
            </w:tcBorders>
          </w:tcPr>
          <w:p w:rsidR="009543DB" w:rsidRPr="0008269E" w:rsidRDefault="009543DB" w:rsidP="009543DB">
            <w:pPr>
              <w:spacing w:before="40" w:after="40"/>
              <w:rPr>
                <w:b/>
                <w:sz w:val="16"/>
              </w:rPr>
            </w:pPr>
            <w:r w:rsidRPr="0008269E">
              <w:rPr>
                <w:b/>
                <w:sz w:val="16"/>
              </w:rPr>
              <w:t>Gate lounges</w:t>
            </w:r>
          </w:p>
        </w:tc>
        <w:tc>
          <w:tcPr>
            <w:tcW w:w="2406"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Seating in lounge area (quality and availability)</w:t>
            </w:r>
          </w:p>
        </w:tc>
        <w:tc>
          <w:tcPr>
            <w:tcW w:w="657"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Passenger survey</w:t>
            </w:r>
          </w:p>
        </w:tc>
        <w:tc>
          <w:tcPr>
            <w:tcW w:w="100" w:type="pct"/>
            <w:tcBorders>
              <w:top w:val="single" w:sz="4" w:space="0" w:color="auto"/>
              <w:left w:val="nil"/>
              <w:bottom w:val="nil"/>
              <w:right w:val="nil"/>
            </w:tcBorders>
          </w:tcPr>
          <w:p w:rsidR="009543DB" w:rsidRPr="00C64590" w:rsidRDefault="009543DB" w:rsidP="009543DB">
            <w:pPr>
              <w:spacing w:before="40" w:after="40"/>
              <w:rPr>
                <w:sz w:val="16"/>
              </w:rPr>
            </w:pPr>
          </w:p>
        </w:tc>
        <w:tc>
          <w:tcPr>
            <w:tcW w:w="758"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Good</w:t>
            </w:r>
          </w:p>
        </w:tc>
        <w:tc>
          <w:tcPr>
            <w:tcW w:w="567"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rFonts w:cs="Arial"/>
                <w:color w:val="943634" w:themeColor="accent2" w:themeShade="BF"/>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C64590" w:rsidRDefault="009543DB" w:rsidP="009543DB">
            <w:pPr>
              <w:spacing w:before="40" w:after="40"/>
              <w:rPr>
                <w:i/>
                <w:sz w:val="16"/>
              </w:rPr>
            </w:pPr>
            <w:r w:rsidRPr="00C64590">
              <w:rPr>
                <w:i/>
                <w:sz w:val="16"/>
              </w:rPr>
              <w:t>Number of departing passengers per seat in gate lounges (peak hour)</w:t>
            </w:r>
          </w:p>
        </w:tc>
        <w:tc>
          <w:tcPr>
            <w:tcW w:w="657" w:type="pct"/>
            <w:tcBorders>
              <w:top w:val="nil"/>
              <w:left w:val="nil"/>
              <w:bottom w:val="nil"/>
              <w:right w:val="nil"/>
            </w:tcBorders>
          </w:tcPr>
          <w:p w:rsidR="009543DB" w:rsidRPr="00C64590" w:rsidRDefault="009543DB" w:rsidP="009543DB">
            <w:pPr>
              <w:spacing w:before="40" w:after="40"/>
              <w:rPr>
                <w:i/>
                <w:sz w:val="16"/>
              </w:rPr>
            </w:pPr>
            <w:r w:rsidRPr="00C64590">
              <w:rPr>
                <w:i/>
                <w:sz w:val="16"/>
              </w:rPr>
              <w:t>Objective indicator</w:t>
            </w:r>
          </w:p>
        </w:tc>
        <w:tc>
          <w:tcPr>
            <w:tcW w:w="100" w:type="pct"/>
            <w:tcBorders>
              <w:top w:val="nil"/>
              <w:left w:val="nil"/>
              <w:bottom w:val="nil"/>
              <w:right w:val="nil"/>
            </w:tcBorders>
          </w:tcPr>
          <w:p w:rsidR="009543DB" w:rsidRPr="00C64590" w:rsidRDefault="009543DB" w:rsidP="009543DB">
            <w:pPr>
              <w:spacing w:before="40" w:after="40"/>
              <w:rPr>
                <w:i/>
                <w:sz w:val="16"/>
              </w:rPr>
            </w:pPr>
          </w:p>
        </w:tc>
        <w:tc>
          <w:tcPr>
            <w:tcW w:w="758" w:type="pct"/>
            <w:tcBorders>
              <w:top w:val="nil"/>
              <w:left w:val="nil"/>
              <w:bottom w:val="nil"/>
              <w:right w:val="nil"/>
            </w:tcBorders>
          </w:tcPr>
          <w:p w:rsidR="009543DB" w:rsidRPr="00C64590" w:rsidRDefault="009543DB" w:rsidP="009543DB">
            <w:pPr>
              <w:spacing w:before="40" w:after="40"/>
              <w:rPr>
                <w:i/>
                <w:sz w:val="16"/>
              </w:rPr>
            </w:pPr>
            <w:r w:rsidRPr="00C64590">
              <w:rPr>
                <w:i/>
                <w:sz w:val="16"/>
              </w:rPr>
              <w:t>0.8 passengers</w:t>
            </w:r>
          </w:p>
        </w:tc>
        <w:tc>
          <w:tcPr>
            <w:tcW w:w="567" w:type="pct"/>
            <w:tcBorders>
              <w:top w:val="nil"/>
              <w:left w:val="nil"/>
              <w:bottom w:val="nil"/>
              <w:right w:val="nil"/>
            </w:tcBorders>
          </w:tcPr>
          <w:p w:rsidR="009543DB" w:rsidRPr="00C64590" w:rsidRDefault="009543DB" w:rsidP="009543DB">
            <w:pPr>
              <w:spacing w:before="40" w:after="40"/>
              <w:rPr>
                <w:i/>
                <w:sz w:val="16"/>
              </w:rPr>
            </w:pPr>
            <w:r w:rsidRPr="00C64590">
              <w:rPr>
                <w:rFonts w:cs="Arial"/>
                <w:color w:val="F79646" w:themeColor="accent6"/>
                <w:sz w:val="16"/>
              </w:rPr>
              <w:t>▼</w:t>
            </w:r>
          </w:p>
        </w:tc>
      </w:tr>
      <w:tr w:rsidR="009543DB" w:rsidRPr="00896126" w:rsidTr="009543DB">
        <w:tc>
          <w:tcPr>
            <w:tcW w:w="512" w:type="pct"/>
            <w:tcBorders>
              <w:top w:val="nil"/>
              <w:left w:val="nil"/>
              <w:bottom w:val="nil"/>
              <w:right w:val="nil"/>
            </w:tcBorders>
          </w:tcPr>
          <w:p w:rsidR="009543DB" w:rsidRPr="00896126" w:rsidRDefault="009543DB" w:rsidP="009543DB">
            <w:pPr>
              <w:spacing w:before="40" w:after="40"/>
              <w:rPr>
                <w:b/>
                <w:sz w:val="16"/>
                <w:highlight w:val="yellow"/>
              </w:rPr>
            </w:pPr>
          </w:p>
        </w:tc>
        <w:tc>
          <w:tcPr>
            <w:tcW w:w="2406" w:type="pct"/>
            <w:tcBorders>
              <w:top w:val="nil"/>
              <w:left w:val="nil"/>
              <w:bottom w:val="nil"/>
              <w:right w:val="nil"/>
            </w:tcBorders>
          </w:tcPr>
          <w:p w:rsidR="009543DB" w:rsidRPr="00C64590" w:rsidRDefault="009543DB" w:rsidP="009543DB">
            <w:pPr>
              <w:spacing w:before="40" w:after="40"/>
              <w:rPr>
                <w:sz w:val="16"/>
              </w:rPr>
            </w:pPr>
            <w:r w:rsidRPr="00C64590">
              <w:rPr>
                <w:sz w:val="16"/>
              </w:rPr>
              <w:t>Crowding in lounge area</w:t>
            </w:r>
          </w:p>
        </w:tc>
        <w:tc>
          <w:tcPr>
            <w:tcW w:w="657" w:type="pct"/>
            <w:tcBorders>
              <w:top w:val="nil"/>
              <w:left w:val="nil"/>
              <w:bottom w:val="nil"/>
              <w:right w:val="nil"/>
            </w:tcBorders>
          </w:tcPr>
          <w:p w:rsidR="009543DB" w:rsidRPr="00C64590" w:rsidRDefault="009543DB" w:rsidP="009543DB">
            <w:pPr>
              <w:spacing w:before="40" w:after="40"/>
              <w:rPr>
                <w:sz w:val="16"/>
              </w:rPr>
            </w:pPr>
            <w:r w:rsidRPr="00C64590">
              <w:rPr>
                <w:sz w:val="16"/>
              </w:rPr>
              <w:t>Passenger survey</w:t>
            </w:r>
          </w:p>
        </w:tc>
        <w:tc>
          <w:tcPr>
            <w:tcW w:w="100" w:type="pct"/>
            <w:tcBorders>
              <w:top w:val="nil"/>
              <w:left w:val="nil"/>
              <w:bottom w:val="nil"/>
              <w:right w:val="nil"/>
            </w:tcBorders>
          </w:tcPr>
          <w:p w:rsidR="009543DB" w:rsidRPr="00C64590" w:rsidRDefault="009543DB" w:rsidP="009543DB">
            <w:pPr>
              <w:spacing w:before="40" w:after="40"/>
              <w:rPr>
                <w:sz w:val="16"/>
              </w:rPr>
            </w:pPr>
          </w:p>
        </w:tc>
        <w:tc>
          <w:tcPr>
            <w:tcW w:w="758" w:type="pct"/>
            <w:tcBorders>
              <w:top w:val="nil"/>
              <w:left w:val="nil"/>
              <w:bottom w:val="nil"/>
              <w:right w:val="nil"/>
            </w:tcBorders>
          </w:tcPr>
          <w:p w:rsidR="009543DB" w:rsidRPr="00C64590" w:rsidRDefault="009543DB" w:rsidP="009543DB">
            <w:pPr>
              <w:spacing w:before="40" w:after="40"/>
              <w:rPr>
                <w:sz w:val="16"/>
              </w:rPr>
            </w:pPr>
            <w:r w:rsidRPr="00C64590">
              <w:rPr>
                <w:sz w:val="16"/>
              </w:rPr>
              <w:t>Good</w:t>
            </w:r>
          </w:p>
        </w:tc>
        <w:tc>
          <w:tcPr>
            <w:tcW w:w="567" w:type="pct"/>
            <w:tcBorders>
              <w:top w:val="nil"/>
              <w:left w:val="nil"/>
              <w:bottom w:val="nil"/>
              <w:right w:val="nil"/>
            </w:tcBorders>
          </w:tcPr>
          <w:p w:rsidR="009543DB" w:rsidRPr="00C64590" w:rsidRDefault="009543DB" w:rsidP="009543DB">
            <w:pPr>
              <w:spacing w:before="40" w:after="40"/>
              <w:rPr>
                <w:sz w:val="16"/>
              </w:rPr>
            </w:pPr>
            <w:r w:rsidRPr="00C64590">
              <w:rPr>
                <w:rFonts w:cs="Arial"/>
                <w:color w:val="4BACC6" w:themeColor="accent5"/>
                <w:sz w:val="16"/>
              </w:rPr>
              <w:t>▬</w:t>
            </w:r>
          </w:p>
        </w:tc>
      </w:tr>
      <w:tr w:rsidR="009543DB" w:rsidRPr="00896126" w:rsidTr="009543DB">
        <w:tc>
          <w:tcPr>
            <w:tcW w:w="512" w:type="pct"/>
            <w:tcBorders>
              <w:top w:val="nil"/>
              <w:left w:val="nil"/>
              <w:bottom w:val="single" w:sz="4" w:space="0" w:color="auto"/>
              <w:right w:val="nil"/>
            </w:tcBorders>
          </w:tcPr>
          <w:p w:rsidR="009543DB" w:rsidRPr="00896126" w:rsidRDefault="009543DB" w:rsidP="009543DB">
            <w:pPr>
              <w:spacing w:before="40" w:after="40"/>
              <w:rPr>
                <w:b/>
                <w:sz w:val="16"/>
                <w:highlight w:val="yellow"/>
              </w:rPr>
            </w:pPr>
          </w:p>
        </w:tc>
        <w:tc>
          <w:tcPr>
            <w:tcW w:w="2406"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i/>
                <w:sz w:val="16"/>
              </w:rPr>
              <w:t>Number of departing passengers per m</w:t>
            </w:r>
            <w:r w:rsidRPr="00C64590">
              <w:rPr>
                <w:i/>
                <w:sz w:val="16"/>
                <w:vertAlign w:val="superscript"/>
              </w:rPr>
              <w:t xml:space="preserve">2 </w:t>
            </w:r>
            <w:r w:rsidRPr="00C64590">
              <w:rPr>
                <w:i/>
                <w:sz w:val="16"/>
              </w:rPr>
              <w:t>of lounge area (peak hour)</w:t>
            </w:r>
          </w:p>
        </w:tc>
        <w:tc>
          <w:tcPr>
            <w:tcW w:w="657"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i/>
                <w:sz w:val="16"/>
              </w:rPr>
              <w:t>Objective indicator</w:t>
            </w:r>
          </w:p>
        </w:tc>
        <w:tc>
          <w:tcPr>
            <w:tcW w:w="100" w:type="pct"/>
            <w:tcBorders>
              <w:top w:val="nil"/>
              <w:left w:val="nil"/>
              <w:bottom w:val="single" w:sz="4" w:space="0" w:color="auto"/>
              <w:right w:val="nil"/>
            </w:tcBorders>
          </w:tcPr>
          <w:p w:rsidR="009543DB" w:rsidRPr="00C64590" w:rsidRDefault="009543DB" w:rsidP="009543DB">
            <w:pPr>
              <w:spacing w:before="40" w:after="40"/>
              <w:rPr>
                <w:i/>
                <w:sz w:val="16"/>
              </w:rPr>
            </w:pPr>
          </w:p>
        </w:tc>
        <w:tc>
          <w:tcPr>
            <w:tcW w:w="758"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i/>
                <w:sz w:val="16"/>
              </w:rPr>
              <w:t>0.1 passengers</w:t>
            </w:r>
          </w:p>
        </w:tc>
        <w:tc>
          <w:tcPr>
            <w:tcW w:w="567"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rFonts w:cs="Arial"/>
                <w:color w:val="F79646" w:themeColor="accent6"/>
                <w:sz w:val="16"/>
              </w:rPr>
              <w:t>▼</w:t>
            </w:r>
          </w:p>
        </w:tc>
      </w:tr>
      <w:tr w:rsidR="009543DB" w:rsidRPr="00896126" w:rsidTr="009543DB">
        <w:tc>
          <w:tcPr>
            <w:tcW w:w="512" w:type="pct"/>
            <w:tcBorders>
              <w:top w:val="single" w:sz="4" w:space="0" w:color="auto"/>
              <w:left w:val="nil"/>
              <w:bottom w:val="nil"/>
              <w:right w:val="nil"/>
            </w:tcBorders>
          </w:tcPr>
          <w:p w:rsidR="009543DB" w:rsidRPr="00896126" w:rsidRDefault="009543DB" w:rsidP="009543DB">
            <w:pPr>
              <w:spacing w:before="40" w:after="40"/>
              <w:rPr>
                <w:b/>
                <w:sz w:val="16"/>
                <w:highlight w:val="yellow"/>
              </w:rPr>
            </w:pPr>
            <w:r w:rsidRPr="0008269E">
              <w:rPr>
                <w:b/>
                <w:sz w:val="16"/>
              </w:rPr>
              <w:t>Amenities</w:t>
            </w:r>
          </w:p>
        </w:tc>
        <w:tc>
          <w:tcPr>
            <w:tcW w:w="2406"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Standard of washrooms</w:t>
            </w:r>
          </w:p>
        </w:tc>
        <w:tc>
          <w:tcPr>
            <w:tcW w:w="657"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Passenger survey</w:t>
            </w:r>
          </w:p>
        </w:tc>
        <w:tc>
          <w:tcPr>
            <w:tcW w:w="100" w:type="pct"/>
            <w:tcBorders>
              <w:top w:val="single" w:sz="4" w:space="0" w:color="auto"/>
              <w:left w:val="nil"/>
              <w:bottom w:val="nil"/>
              <w:right w:val="nil"/>
            </w:tcBorders>
          </w:tcPr>
          <w:p w:rsidR="009543DB" w:rsidRPr="00896126" w:rsidRDefault="009543DB" w:rsidP="009543DB">
            <w:pPr>
              <w:spacing w:before="40" w:after="40"/>
              <w:rPr>
                <w:sz w:val="16"/>
                <w:highlight w:val="yellow"/>
              </w:rPr>
            </w:pPr>
          </w:p>
        </w:tc>
        <w:tc>
          <w:tcPr>
            <w:tcW w:w="758" w:type="pct"/>
            <w:tcBorders>
              <w:top w:val="single" w:sz="4" w:space="0" w:color="auto"/>
              <w:left w:val="nil"/>
              <w:bottom w:val="nil"/>
              <w:right w:val="nil"/>
            </w:tcBorders>
          </w:tcPr>
          <w:p w:rsidR="009543DB" w:rsidRPr="00896126" w:rsidRDefault="009543DB" w:rsidP="009543DB">
            <w:pPr>
              <w:spacing w:before="40" w:after="40"/>
              <w:rPr>
                <w:sz w:val="16"/>
                <w:highlight w:val="yellow"/>
              </w:rPr>
            </w:pPr>
            <w:r w:rsidRPr="0008269E">
              <w:rPr>
                <w:sz w:val="16"/>
              </w:rPr>
              <w:t>Good</w:t>
            </w:r>
          </w:p>
        </w:tc>
        <w:tc>
          <w:tcPr>
            <w:tcW w:w="567" w:type="pct"/>
            <w:tcBorders>
              <w:top w:val="single" w:sz="4" w:space="0" w:color="auto"/>
              <w:left w:val="nil"/>
              <w:bottom w:val="nil"/>
              <w:right w:val="nil"/>
            </w:tcBorders>
          </w:tcPr>
          <w:p w:rsidR="009543DB" w:rsidRPr="00896126" w:rsidRDefault="009543DB" w:rsidP="009543DB">
            <w:pPr>
              <w:spacing w:before="40" w:after="40"/>
              <w:rPr>
                <w:sz w:val="16"/>
                <w:highlight w:val="yellow"/>
              </w:rPr>
            </w:pPr>
            <w:r w:rsidRPr="00FC11A1">
              <w:rPr>
                <w:rFonts w:cs="Arial"/>
                <w:color w:val="943634" w:themeColor="accent2" w:themeShade="BF"/>
                <w:sz w:val="16"/>
              </w:rPr>
              <w:t>▲</w:t>
            </w:r>
          </w:p>
        </w:tc>
      </w:tr>
      <w:tr w:rsidR="009543DB" w:rsidRPr="00896126" w:rsidTr="009543DB">
        <w:tc>
          <w:tcPr>
            <w:tcW w:w="512" w:type="pct"/>
            <w:tcBorders>
              <w:top w:val="nil"/>
              <w:left w:val="nil"/>
              <w:bottom w:val="single" w:sz="4" w:space="0" w:color="auto"/>
              <w:right w:val="nil"/>
            </w:tcBorders>
          </w:tcPr>
          <w:p w:rsidR="009543DB" w:rsidRPr="00896126" w:rsidRDefault="009543DB" w:rsidP="009543DB">
            <w:pPr>
              <w:spacing w:before="40" w:after="40"/>
              <w:rPr>
                <w:b/>
                <w:sz w:val="16"/>
                <w:highlight w:val="yellow"/>
              </w:rPr>
            </w:pPr>
          </w:p>
        </w:tc>
        <w:tc>
          <w:tcPr>
            <w:tcW w:w="2406"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i/>
                <w:sz w:val="16"/>
              </w:rPr>
              <w:t>Number of departing passengers per washroom (peak hour)</w:t>
            </w:r>
          </w:p>
        </w:tc>
        <w:tc>
          <w:tcPr>
            <w:tcW w:w="657" w:type="pct"/>
            <w:tcBorders>
              <w:top w:val="nil"/>
              <w:left w:val="nil"/>
              <w:bottom w:val="single" w:sz="4" w:space="0" w:color="auto"/>
              <w:right w:val="nil"/>
            </w:tcBorders>
          </w:tcPr>
          <w:p w:rsidR="009543DB" w:rsidRPr="00C64590" w:rsidRDefault="009543DB" w:rsidP="009543DB">
            <w:pPr>
              <w:spacing w:before="40" w:after="40"/>
              <w:rPr>
                <w:i/>
                <w:sz w:val="16"/>
              </w:rPr>
            </w:pPr>
            <w:r w:rsidRPr="00C64590">
              <w:rPr>
                <w:i/>
                <w:sz w:val="16"/>
              </w:rPr>
              <w:t>Objective indicator</w:t>
            </w:r>
          </w:p>
        </w:tc>
        <w:tc>
          <w:tcPr>
            <w:tcW w:w="100" w:type="pct"/>
            <w:tcBorders>
              <w:top w:val="nil"/>
              <w:left w:val="nil"/>
              <w:bottom w:val="single" w:sz="4" w:space="0" w:color="auto"/>
              <w:right w:val="nil"/>
            </w:tcBorders>
          </w:tcPr>
          <w:p w:rsidR="009543DB" w:rsidRPr="00B73ABE" w:rsidRDefault="009543DB" w:rsidP="009543DB">
            <w:pPr>
              <w:spacing w:before="40" w:after="40"/>
              <w:rPr>
                <w:i/>
                <w:sz w:val="16"/>
              </w:rPr>
            </w:pPr>
          </w:p>
        </w:tc>
        <w:tc>
          <w:tcPr>
            <w:tcW w:w="758" w:type="pct"/>
            <w:tcBorders>
              <w:top w:val="nil"/>
              <w:left w:val="nil"/>
              <w:bottom w:val="single" w:sz="4" w:space="0" w:color="auto"/>
              <w:right w:val="nil"/>
            </w:tcBorders>
          </w:tcPr>
          <w:p w:rsidR="009543DB" w:rsidRPr="00B73ABE" w:rsidRDefault="009543DB" w:rsidP="009543DB">
            <w:pPr>
              <w:spacing w:before="40" w:after="40"/>
              <w:rPr>
                <w:i/>
                <w:sz w:val="16"/>
              </w:rPr>
            </w:pPr>
            <w:r w:rsidRPr="00B73ABE">
              <w:rPr>
                <w:i/>
                <w:sz w:val="16"/>
              </w:rPr>
              <w:t>119 passengers</w:t>
            </w:r>
          </w:p>
        </w:tc>
        <w:tc>
          <w:tcPr>
            <w:tcW w:w="567" w:type="pct"/>
            <w:tcBorders>
              <w:top w:val="nil"/>
              <w:left w:val="nil"/>
              <w:bottom w:val="single" w:sz="4" w:space="0" w:color="auto"/>
              <w:right w:val="nil"/>
            </w:tcBorders>
          </w:tcPr>
          <w:p w:rsidR="009543DB" w:rsidRPr="00896126" w:rsidRDefault="009543DB" w:rsidP="009543DB">
            <w:pPr>
              <w:spacing w:before="40" w:after="40"/>
              <w:rPr>
                <w:i/>
                <w:sz w:val="16"/>
                <w:highlight w:val="yellow"/>
              </w:rPr>
            </w:pPr>
            <w:r w:rsidRPr="00962FAF">
              <w:rPr>
                <w:rFonts w:cs="Arial"/>
                <w:color w:val="F79646" w:themeColor="accent6"/>
                <w:sz w:val="16"/>
              </w:rPr>
              <w:t>▼</w:t>
            </w:r>
          </w:p>
        </w:tc>
      </w:tr>
      <w:tr w:rsidR="009543DB" w:rsidRPr="00896126" w:rsidTr="009543DB">
        <w:tc>
          <w:tcPr>
            <w:tcW w:w="512" w:type="pct"/>
            <w:tcBorders>
              <w:top w:val="single" w:sz="4" w:space="0" w:color="auto"/>
              <w:left w:val="nil"/>
              <w:bottom w:val="nil"/>
              <w:right w:val="nil"/>
            </w:tcBorders>
          </w:tcPr>
          <w:p w:rsidR="009543DB" w:rsidRPr="0008269E" w:rsidRDefault="009543DB" w:rsidP="009543DB">
            <w:pPr>
              <w:spacing w:before="40" w:after="40"/>
              <w:rPr>
                <w:b/>
                <w:sz w:val="16"/>
              </w:rPr>
            </w:pPr>
            <w:r w:rsidRPr="0008269E">
              <w:rPr>
                <w:b/>
                <w:sz w:val="16"/>
              </w:rPr>
              <w:t>Security</w:t>
            </w:r>
          </w:p>
        </w:tc>
        <w:tc>
          <w:tcPr>
            <w:tcW w:w="2406"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Quality of security search process</w:t>
            </w:r>
          </w:p>
        </w:tc>
        <w:tc>
          <w:tcPr>
            <w:tcW w:w="657" w:type="pct"/>
            <w:tcBorders>
              <w:top w:val="single" w:sz="4" w:space="0" w:color="auto"/>
              <w:left w:val="nil"/>
              <w:bottom w:val="nil"/>
              <w:right w:val="nil"/>
            </w:tcBorders>
          </w:tcPr>
          <w:p w:rsidR="009543DB" w:rsidRPr="00C64590" w:rsidRDefault="009543DB" w:rsidP="009543DB">
            <w:pPr>
              <w:spacing w:before="40" w:after="40"/>
              <w:rPr>
                <w:sz w:val="16"/>
              </w:rPr>
            </w:pPr>
            <w:r w:rsidRPr="00C64590">
              <w:rPr>
                <w:sz w:val="16"/>
              </w:rPr>
              <w:t>Passenger survey</w:t>
            </w:r>
          </w:p>
        </w:tc>
        <w:tc>
          <w:tcPr>
            <w:tcW w:w="100" w:type="pct"/>
            <w:tcBorders>
              <w:top w:val="single" w:sz="4" w:space="0" w:color="auto"/>
              <w:left w:val="nil"/>
              <w:bottom w:val="nil"/>
              <w:right w:val="nil"/>
            </w:tcBorders>
          </w:tcPr>
          <w:p w:rsidR="009543DB" w:rsidRPr="00896126" w:rsidRDefault="009543DB" w:rsidP="009543DB">
            <w:pPr>
              <w:spacing w:before="40" w:after="40"/>
              <w:rPr>
                <w:sz w:val="16"/>
                <w:highlight w:val="yellow"/>
              </w:rPr>
            </w:pPr>
          </w:p>
        </w:tc>
        <w:tc>
          <w:tcPr>
            <w:tcW w:w="758" w:type="pct"/>
            <w:tcBorders>
              <w:top w:val="single" w:sz="4" w:space="0" w:color="auto"/>
              <w:left w:val="nil"/>
              <w:bottom w:val="nil"/>
              <w:right w:val="nil"/>
            </w:tcBorders>
          </w:tcPr>
          <w:p w:rsidR="009543DB" w:rsidRPr="00896126" w:rsidRDefault="009543DB" w:rsidP="009543DB">
            <w:pPr>
              <w:spacing w:before="40" w:after="40"/>
              <w:rPr>
                <w:sz w:val="16"/>
                <w:highlight w:val="yellow"/>
              </w:rPr>
            </w:pPr>
            <w:r w:rsidRPr="00EB01FB">
              <w:rPr>
                <w:sz w:val="16"/>
              </w:rPr>
              <w:t>Good</w:t>
            </w:r>
          </w:p>
        </w:tc>
        <w:tc>
          <w:tcPr>
            <w:tcW w:w="567" w:type="pct"/>
            <w:tcBorders>
              <w:top w:val="single" w:sz="4" w:space="0" w:color="auto"/>
              <w:left w:val="nil"/>
              <w:bottom w:val="nil"/>
              <w:right w:val="nil"/>
            </w:tcBorders>
          </w:tcPr>
          <w:p w:rsidR="009543DB" w:rsidRPr="00896126" w:rsidRDefault="009543DB" w:rsidP="009543DB">
            <w:pPr>
              <w:spacing w:before="40" w:after="40"/>
              <w:rPr>
                <w:sz w:val="16"/>
                <w:highlight w:val="yellow"/>
              </w:rPr>
            </w:pPr>
            <w:r w:rsidRPr="00FC11A1">
              <w:rPr>
                <w:rFonts w:cs="Arial"/>
                <w:color w:val="4BACC6" w:themeColor="accent5"/>
                <w:sz w:val="16"/>
              </w:rPr>
              <w:t>▬</w:t>
            </w:r>
          </w:p>
        </w:tc>
      </w:tr>
      <w:tr w:rsidR="009543DB" w:rsidRPr="00896126" w:rsidTr="009543DB">
        <w:tc>
          <w:tcPr>
            <w:tcW w:w="512" w:type="pct"/>
            <w:tcBorders>
              <w:top w:val="nil"/>
              <w:left w:val="nil"/>
              <w:right w:val="nil"/>
            </w:tcBorders>
          </w:tcPr>
          <w:p w:rsidR="009543DB" w:rsidRPr="00896126" w:rsidRDefault="009543DB" w:rsidP="009543DB">
            <w:pPr>
              <w:spacing w:before="40" w:after="40"/>
              <w:rPr>
                <w:b/>
                <w:sz w:val="16"/>
                <w:highlight w:val="yellow"/>
              </w:rPr>
            </w:pPr>
          </w:p>
        </w:tc>
        <w:tc>
          <w:tcPr>
            <w:tcW w:w="2406" w:type="pct"/>
            <w:tcBorders>
              <w:top w:val="nil"/>
              <w:left w:val="nil"/>
              <w:right w:val="nil"/>
            </w:tcBorders>
          </w:tcPr>
          <w:p w:rsidR="009543DB" w:rsidRPr="00C64590" w:rsidRDefault="009543DB" w:rsidP="009543DB">
            <w:pPr>
              <w:spacing w:before="40" w:after="40"/>
              <w:rPr>
                <w:i/>
                <w:sz w:val="16"/>
              </w:rPr>
            </w:pPr>
            <w:r w:rsidRPr="00C64590">
              <w:rPr>
                <w:i/>
                <w:sz w:val="16"/>
              </w:rPr>
              <w:t>Number of departing passengers per security clearance system (peak hour)</w:t>
            </w:r>
          </w:p>
        </w:tc>
        <w:tc>
          <w:tcPr>
            <w:tcW w:w="657" w:type="pct"/>
            <w:tcBorders>
              <w:top w:val="nil"/>
              <w:left w:val="nil"/>
              <w:right w:val="nil"/>
            </w:tcBorders>
          </w:tcPr>
          <w:p w:rsidR="009543DB" w:rsidRPr="00C64590" w:rsidRDefault="009543DB" w:rsidP="009543DB">
            <w:pPr>
              <w:spacing w:before="40" w:after="40"/>
              <w:rPr>
                <w:i/>
                <w:sz w:val="16"/>
              </w:rPr>
            </w:pPr>
            <w:r w:rsidRPr="00C64590">
              <w:rPr>
                <w:i/>
                <w:sz w:val="16"/>
              </w:rPr>
              <w:t>Objective indicator</w:t>
            </w:r>
          </w:p>
        </w:tc>
        <w:tc>
          <w:tcPr>
            <w:tcW w:w="100" w:type="pct"/>
            <w:tcBorders>
              <w:top w:val="nil"/>
              <w:left w:val="nil"/>
              <w:right w:val="nil"/>
            </w:tcBorders>
          </w:tcPr>
          <w:p w:rsidR="009543DB" w:rsidRPr="00B73ABE" w:rsidRDefault="009543DB" w:rsidP="009543DB">
            <w:pPr>
              <w:spacing w:before="40" w:after="40"/>
              <w:rPr>
                <w:i/>
                <w:sz w:val="16"/>
              </w:rPr>
            </w:pPr>
          </w:p>
        </w:tc>
        <w:tc>
          <w:tcPr>
            <w:tcW w:w="758" w:type="pct"/>
            <w:tcBorders>
              <w:top w:val="nil"/>
              <w:left w:val="nil"/>
              <w:right w:val="nil"/>
            </w:tcBorders>
          </w:tcPr>
          <w:p w:rsidR="009543DB" w:rsidRPr="00B73ABE" w:rsidRDefault="009543DB" w:rsidP="009543DB">
            <w:pPr>
              <w:spacing w:before="40" w:after="40"/>
              <w:rPr>
                <w:i/>
                <w:sz w:val="16"/>
              </w:rPr>
            </w:pPr>
            <w:r w:rsidRPr="00B73ABE">
              <w:rPr>
                <w:i/>
                <w:sz w:val="16"/>
              </w:rPr>
              <w:t>158.7 passengers</w:t>
            </w:r>
          </w:p>
        </w:tc>
        <w:tc>
          <w:tcPr>
            <w:tcW w:w="567" w:type="pct"/>
            <w:tcBorders>
              <w:top w:val="nil"/>
              <w:left w:val="nil"/>
              <w:right w:val="nil"/>
            </w:tcBorders>
          </w:tcPr>
          <w:p w:rsidR="009543DB" w:rsidRPr="00896126" w:rsidRDefault="009543DB" w:rsidP="009543DB">
            <w:pPr>
              <w:spacing w:before="40" w:after="40"/>
              <w:rPr>
                <w:i/>
                <w:sz w:val="16"/>
                <w:highlight w:val="yellow"/>
              </w:rPr>
            </w:pPr>
            <w:r w:rsidRPr="00962FAF">
              <w:rPr>
                <w:rFonts w:cs="Arial"/>
                <w:color w:val="F79646" w:themeColor="accent6"/>
                <w:sz w:val="16"/>
              </w:rPr>
              <w:t>▼</w:t>
            </w:r>
          </w:p>
        </w:tc>
      </w:tr>
    </w:tbl>
    <w:p w:rsidR="009543DB" w:rsidRDefault="009543DB" w:rsidP="009543DB">
      <w:pPr>
        <w:pStyle w:val="Sourceandnotes"/>
        <w:ind w:left="720" w:hanging="720"/>
        <w:sectPr w:rsidR="009543DB" w:rsidSect="009543DB">
          <w:footnotePr>
            <w:numStart w:val="93"/>
          </w:footnotePr>
          <w:pgSz w:w="16838" w:h="11906" w:orient="landscape"/>
          <w:pgMar w:top="1729" w:right="1440" w:bottom="1729" w:left="1582" w:header="709" w:footer="709" w:gutter="0"/>
          <w:cols w:space="708"/>
          <w:docGrid w:linePitch="360"/>
        </w:sectPr>
      </w:pPr>
      <w:r w:rsidRPr="00962FAF">
        <w:t>Notes:</w:t>
      </w:r>
      <w:r w:rsidRPr="00962FAF">
        <w:tab/>
        <w:t xml:space="preserve">The rating categories are: very poor, poor, satisfactory, good, and excellent.  For each indicator for the period specified: </w:t>
      </w:r>
      <w:r w:rsidRPr="00962FAF">
        <w:rPr>
          <w:rFonts w:eastAsia="Times New Roman" w:cs="Times New Roman"/>
          <w:color w:val="943634"/>
          <w:szCs w:val="24"/>
          <w:lang w:eastAsia="en-AU"/>
        </w:rPr>
        <w:t>▲</w:t>
      </w:r>
      <w:r w:rsidRPr="00962FAF">
        <w:rPr>
          <w:rFonts w:eastAsia="Times New Roman" w:cs="Times New Roman"/>
          <w:color w:val="943634"/>
          <w:sz w:val="18"/>
          <w:szCs w:val="24"/>
          <w:lang w:eastAsia="en-AU"/>
        </w:rPr>
        <w:t xml:space="preserve"> </w:t>
      </w:r>
      <w:r w:rsidRPr="00962FAF">
        <w:t>indicates an improvement;</w:t>
      </w:r>
      <w:r w:rsidRPr="00962FAF">
        <w:rPr>
          <w:rFonts w:eastAsia="Times New Roman" w:cs="Times New Roman"/>
          <w:color w:val="943634"/>
          <w:sz w:val="18"/>
          <w:szCs w:val="24"/>
          <w:lang w:eastAsia="en-AU"/>
        </w:rPr>
        <w:t xml:space="preserve"> </w:t>
      </w:r>
      <w:r w:rsidRPr="00962FAF">
        <w:rPr>
          <w:rFonts w:eastAsia="Times New Roman" w:cs="Times New Roman"/>
          <w:color w:val="F79646"/>
          <w:szCs w:val="24"/>
          <w:lang w:eastAsia="en-AU"/>
        </w:rPr>
        <w:t xml:space="preserve">▼ </w:t>
      </w:r>
      <w:r w:rsidRPr="00962FAF">
        <w:t>indicates a decline;</w:t>
      </w:r>
      <w:r w:rsidRPr="00962FAF">
        <w:rPr>
          <w:rFonts w:eastAsia="Times New Roman" w:cs="Times New Roman"/>
          <w:color w:val="F79646"/>
          <w:szCs w:val="24"/>
          <w:lang w:eastAsia="en-AU"/>
        </w:rPr>
        <w:t xml:space="preserve"> </w:t>
      </w:r>
      <w:r w:rsidRPr="00962FAF">
        <w:rPr>
          <w:rFonts w:cs="Arial"/>
          <w:color w:val="4BACC6"/>
        </w:rPr>
        <w:t>▬</w:t>
      </w:r>
      <w:r w:rsidRPr="00962FAF">
        <w:t xml:space="preserve"> indicates no change. *Rating changed by a category over the period. </w:t>
      </w:r>
      <w:r w:rsidRPr="00896126">
        <w:br/>
      </w:r>
    </w:p>
    <w:p w:rsidR="009543DB" w:rsidRPr="00962FAF" w:rsidRDefault="009543DB" w:rsidP="009543DB">
      <w:pPr>
        <w:ind w:left="1418" w:hanging="1418"/>
        <w:rPr>
          <w:b/>
          <w:color w:val="51626F"/>
        </w:rPr>
      </w:pPr>
      <w:r w:rsidRPr="00962FAF">
        <w:rPr>
          <w:b/>
          <w:color w:val="51626F"/>
        </w:rPr>
        <w:lastRenderedPageBreak/>
        <w:t>Table 4.3.</w:t>
      </w:r>
      <w:r>
        <w:rPr>
          <w:b/>
          <w:color w:val="51626F"/>
        </w:rPr>
        <w:t>4</w:t>
      </w:r>
      <w:r w:rsidRPr="00962FAF">
        <w:rPr>
          <w:b/>
          <w:color w:val="51626F"/>
        </w:rPr>
        <w:t>:</w:t>
      </w:r>
      <w:r w:rsidRPr="00962FAF">
        <w:rPr>
          <w:b/>
          <w:color w:val="51626F"/>
        </w:rPr>
        <w:tab/>
        <w:t>Perth Airport—indicators of quality of passenger</w:t>
      </w:r>
      <w:r w:rsidRPr="00962FAF">
        <w:rPr>
          <w:b/>
          <w:color w:val="51626F"/>
        </w:rPr>
        <w:noBreakHyphen/>
        <w:t>related services and facilities—domestic terminal (T3):</w:t>
      </w:r>
      <w:r>
        <w:rPr>
          <w:b/>
          <w:color w:val="51626F"/>
        </w:rPr>
        <w:t xml:space="preserve"> </w:t>
      </w:r>
      <w:r w:rsidRPr="00962FAF">
        <w:rPr>
          <w:b/>
          <w:color w:val="51626F"/>
        </w:rPr>
        <w:t>201</w:t>
      </w:r>
      <w:r>
        <w:rPr>
          <w:b/>
          <w:color w:val="51626F"/>
        </w:rPr>
        <w:t>4</w:t>
      </w:r>
      <w:r w:rsidRPr="00962FAF">
        <w:rPr>
          <w:b/>
          <w:color w:val="51626F"/>
        </w:rPr>
        <w:t>-1</w:t>
      </w:r>
      <w:r>
        <w:rPr>
          <w:b/>
          <w:color w:val="51626F"/>
        </w:rPr>
        <w:t>5</w:t>
      </w:r>
      <w:r w:rsidRPr="00962FAF">
        <w:rPr>
          <w:b/>
          <w:color w:val="51626F"/>
        </w:rPr>
        <w:t>, 1-year change</w:t>
      </w:r>
      <w:r>
        <w:rPr>
          <w:b/>
          <w:color w:val="51626F"/>
        </w:rPr>
        <w:t xml:space="preserve"> an</w:t>
      </w:r>
      <w:r w:rsidRPr="00962FAF">
        <w:rPr>
          <w:b/>
          <w:color w:val="51626F"/>
        </w:rPr>
        <w:t>d change since 20</w:t>
      </w:r>
      <w:r>
        <w:rPr>
          <w:b/>
          <w:color w:val="51626F"/>
        </w:rPr>
        <w:t>10</w:t>
      </w:r>
      <w:r w:rsidRPr="00962FAF">
        <w:rPr>
          <w:b/>
          <w:color w:val="51626F"/>
        </w:rPr>
        <w:t>-1</w:t>
      </w:r>
      <w:r>
        <w:rPr>
          <w:b/>
          <w:color w:val="51626F"/>
        </w:rPr>
        <w:t>1</w:t>
      </w:r>
    </w:p>
    <w:tbl>
      <w:tblPr>
        <w:tblStyle w:val="TableGrid6"/>
        <w:tblW w:w="0" w:type="auto"/>
        <w:tblLook w:val="04A0" w:firstRow="1" w:lastRow="0" w:firstColumn="1" w:lastColumn="0" w:noHBand="0" w:noVBand="1"/>
      </w:tblPr>
      <w:tblGrid>
        <w:gridCol w:w="1243"/>
        <w:gridCol w:w="6662"/>
        <w:gridCol w:w="1701"/>
        <w:gridCol w:w="1559"/>
        <w:gridCol w:w="1433"/>
        <w:gridCol w:w="1434"/>
      </w:tblGrid>
      <w:tr w:rsidR="009543DB" w:rsidRPr="00962FAF" w:rsidTr="009543DB">
        <w:tc>
          <w:tcPr>
            <w:tcW w:w="1243" w:type="dxa"/>
            <w:tcBorders>
              <w:left w:val="nil"/>
              <w:bottom w:val="single" w:sz="4" w:space="0" w:color="auto"/>
              <w:right w:val="nil"/>
            </w:tcBorders>
            <w:shd w:val="clear" w:color="auto" w:fill="DFE0DC"/>
          </w:tcPr>
          <w:p w:rsidR="009543DB" w:rsidRPr="00962FAF" w:rsidRDefault="009543DB" w:rsidP="009543DB">
            <w:pPr>
              <w:spacing w:before="40" w:after="40"/>
              <w:rPr>
                <w:b/>
                <w:sz w:val="16"/>
              </w:rPr>
            </w:pPr>
            <w:r w:rsidRPr="00962FAF">
              <w:rPr>
                <w:b/>
                <w:sz w:val="16"/>
              </w:rPr>
              <w:t>Category</w:t>
            </w:r>
          </w:p>
        </w:tc>
        <w:tc>
          <w:tcPr>
            <w:tcW w:w="6662" w:type="dxa"/>
            <w:tcBorders>
              <w:left w:val="nil"/>
              <w:bottom w:val="single" w:sz="4" w:space="0" w:color="auto"/>
              <w:right w:val="nil"/>
            </w:tcBorders>
            <w:shd w:val="clear" w:color="auto" w:fill="DFE0DC"/>
          </w:tcPr>
          <w:p w:rsidR="009543DB" w:rsidRPr="00962FAF" w:rsidRDefault="009543DB" w:rsidP="009543DB">
            <w:pPr>
              <w:spacing w:before="40" w:after="40"/>
              <w:rPr>
                <w:b/>
                <w:sz w:val="16"/>
              </w:rPr>
            </w:pPr>
            <w:r w:rsidRPr="00962FAF">
              <w:rPr>
                <w:b/>
                <w:sz w:val="16"/>
              </w:rPr>
              <w:t>Indicator</w:t>
            </w:r>
          </w:p>
        </w:tc>
        <w:tc>
          <w:tcPr>
            <w:tcW w:w="1701" w:type="dxa"/>
            <w:tcBorders>
              <w:left w:val="nil"/>
              <w:bottom w:val="single" w:sz="4" w:space="0" w:color="auto"/>
              <w:right w:val="nil"/>
            </w:tcBorders>
            <w:shd w:val="clear" w:color="auto" w:fill="DFE0DC"/>
          </w:tcPr>
          <w:p w:rsidR="009543DB" w:rsidRPr="00962FAF" w:rsidRDefault="009543DB" w:rsidP="009543DB">
            <w:pPr>
              <w:spacing w:before="40" w:after="40"/>
              <w:rPr>
                <w:b/>
                <w:sz w:val="16"/>
              </w:rPr>
            </w:pPr>
            <w:r w:rsidRPr="00962FAF">
              <w:rPr>
                <w:b/>
                <w:sz w:val="16"/>
              </w:rPr>
              <w:t>Data source</w:t>
            </w:r>
          </w:p>
        </w:tc>
        <w:tc>
          <w:tcPr>
            <w:tcW w:w="1559" w:type="dxa"/>
            <w:tcBorders>
              <w:left w:val="nil"/>
              <w:bottom w:val="single" w:sz="4" w:space="0" w:color="auto"/>
              <w:right w:val="nil"/>
            </w:tcBorders>
            <w:shd w:val="clear" w:color="auto" w:fill="DFE0DC"/>
          </w:tcPr>
          <w:p w:rsidR="009543DB" w:rsidRPr="00962FAF" w:rsidRDefault="009543DB" w:rsidP="009543DB">
            <w:pPr>
              <w:spacing w:before="40" w:after="40"/>
              <w:rPr>
                <w:b/>
                <w:sz w:val="16"/>
              </w:rPr>
            </w:pPr>
            <w:r w:rsidRPr="00962FAF">
              <w:rPr>
                <w:b/>
                <w:sz w:val="16"/>
              </w:rPr>
              <w:t>Indicator result 201</w:t>
            </w:r>
            <w:r>
              <w:rPr>
                <w:b/>
                <w:sz w:val="16"/>
              </w:rPr>
              <w:t>4</w:t>
            </w:r>
            <w:r w:rsidRPr="00962FAF">
              <w:rPr>
                <w:b/>
                <w:sz w:val="16"/>
              </w:rPr>
              <w:t>-1</w:t>
            </w:r>
            <w:r>
              <w:rPr>
                <w:b/>
                <w:sz w:val="16"/>
              </w:rPr>
              <w:t>5</w:t>
            </w:r>
          </w:p>
        </w:tc>
        <w:tc>
          <w:tcPr>
            <w:tcW w:w="1433" w:type="dxa"/>
            <w:tcBorders>
              <w:left w:val="nil"/>
              <w:bottom w:val="single" w:sz="4" w:space="0" w:color="auto"/>
              <w:right w:val="nil"/>
            </w:tcBorders>
            <w:shd w:val="clear" w:color="auto" w:fill="DFE0DC"/>
          </w:tcPr>
          <w:p w:rsidR="009543DB" w:rsidRPr="00962FAF" w:rsidRDefault="009543DB" w:rsidP="009543DB">
            <w:pPr>
              <w:spacing w:before="40" w:after="40"/>
              <w:rPr>
                <w:b/>
                <w:sz w:val="16"/>
              </w:rPr>
            </w:pPr>
            <w:r w:rsidRPr="00962FAF">
              <w:rPr>
                <w:b/>
                <w:sz w:val="16"/>
              </w:rPr>
              <w:t>1-year change</w:t>
            </w:r>
          </w:p>
        </w:tc>
        <w:tc>
          <w:tcPr>
            <w:tcW w:w="1434" w:type="dxa"/>
            <w:tcBorders>
              <w:left w:val="nil"/>
              <w:bottom w:val="single" w:sz="4" w:space="0" w:color="auto"/>
              <w:right w:val="nil"/>
            </w:tcBorders>
            <w:shd w:val="clear" w:color="auto" w:fill="DFE0DC"/>
          </w:tcPr>
          <w:p w:rsidR="009543DB" w:rsidRPr="00962FAF" w:rsidRDefault="009543DB" w:rsidP="009543DB">
            <w:pPr>
              <w:spacing w:before="40" w:after="40"/>
              <w:rPr>
                <w:b/>
                <w:sz w:val="16"/>
              </w:rPr>
            </w:pPr>
            <w:r w:rsidRPr="00962FAF">
              <w:rPr>
                <w:b/>
                <w:sz w:val="16"/>
              </w:rPr>
              <w:t>Change since 20</w:t>
            </w:r>
            <w:r>
              <w:rPr>
                <w:b/>
                <w:sz w:val="16"/>
              </w:rPr>
              <w:t>10</w:t>
            </w:r>
            <w:r w:rsidRPr="00962FAF">
              <w:rPr>
                <w:b/>
                <w:sz w:val="16"/>
              </w:rPr>
              <w:t>-1</w:t>
            </w:r>
            <w:r>
              <w:rPr>
                <w:b/>
                <w:sz w:val="16"/>
              </w:rPr>
              <w:t>1</w:t>
            </w:r>
          </w:p>
        </w:tc>
      </w:tr>
      <w:tr w:rsidR="009543DB" w:rsidRPr="00962FAF" w:rsidTr="009543DB">
        <w:tc>
          <w:tcPr>
            <w:tcW w:w="1243" w:type="dxa"/>
            <w:tcBorders>
              <w:left w:val="nil"/>
              <w:bottom w:val="nil"/>
              <w:right w:val="nil"/>
            </w:tcBorders>
          </w:tcPr>
          <w:p w:rsidR="009543DB" w:rsidRPr="00962FAF" w:rsidRDefault="009543DB" w:rsidP="009543DB">
            <w:pPr>
              <w:spacing w:before="20" w:after="20"/>
              <w:rPr>
                <w:b/>
                <w:sz w:val="16"/>
                <w:highlight w:val="yellow"/>
              </w:rPr>
            </w:pPr>
            <w:r w:rsidRPr="00962FAF">
              <w:rPr>
                <w:b/>
                <w:sz w:val="16"/>
              </w:rPr>
              <w:t>Check-in</w:t>
            </w:r>
          </w:p>
        </w:tc>
        <w:tc>
          <w:tcPr>
            <w:tcW w:w="6662" w:type="dxa"/>
            <w:tcBorders>
              <w:left w:val="nil"/>
              <w:bottom w:val="nil"/>
              <w:right w:val="nil"/>
            </w:tcBorders>
          </w:tcPr>
          <w:p w:rsidR="009543DB" w:rsidRPr="00C42537" w:rsidRDefault="009543DB" w:rsidP="009543DB">
            <w:pPr>
              <w:spacing w:before="20" w:after="20"/>
              <w:rPr>
                <w:sz w:val="16"/>
              </w:rPr>
            </w:pPr>
            <w:r w:rsidRPr="00C42537">
              <w:rPr>
                <w:sz w:val="16"/>
              </w:rPr>
              <w:t>Check-in availability</w:t>
            </w:r>
          </w:p>
        </w:tc>
        <w:tc>
          <w:tcPr>
            <w:tcW w:w="1701" w:type="dxa"/>
            <w:tcBorders>
              <w:left w:val="nil"/>
              <w:bottom w:val="nil"/>
              <w:right w:val="nil"/>
            </w:tcBorders>
          </w:tcPr>
          <w:p w:rsidR="009543DB" w:rsidRPr="00C42537" w:rsidRDefault="009543DB" w:rsidP="009543DB">
            <w:pPr>
              <w:spacing w:before="20" w:after="20"/>
              <w:rPr>
                <w:sz w:val="16"/>
              </w:rPr>
            </w:pPr>
            <w:r w:rsidRPr="00C42537">
              <w:rPr>
                <w:sz w:val="16"/>
              </w:rPr>
              <w:t>Airline survey</w:t>
            </w:r>
          </w:p>
        </w:tc>
        <w:tc>
          <w:tcPr>
            <w:tcW w:w="1559" w:type="dxa"/>
            <w:tcBorders>
              <w:left w:val="nil"/>
              <w:bottom w:val="nil"/>
              <w:right w:val="nil"/>
            </w:tcBorders>
          </w:tcPr>
          <w:p w:rsidR="009543DB" w:rsidRPr="00315D31" w:rsidRDefault="009543DB" w:rsidP="009543DB">
            <w:pPr>
              <w:spacing w:before="20" w:after="20"/>
              <w:rPr>
                <w:sz w:val="16"/>
              </w:rPr>
            </w:pPr>
            <w:r w:rsidRPr="00315D31">
              <w:rPr>
                <w:sz w:val="16"/>
              </w:rPr>
              <w:t>Satisfactory</w:t>
            </w:r>
          </w:p>
        </w:tc>
        <w:tc>
          <w:tcPr>
            <w:tcW w:w="1433" w:type="dxa"/>
            <w:tcBorders>
              <w:left w:val="nil"/>
              <w:bottom w:val="nil"/>
              <w:right w:val="nil"/>
            </w:tcBorders>
          </w:tcPr>
          <w:p w:rsidR="009543DB" w:rsidRPr="00962FAF" w:rsidRDefault="009543DB" w:rsidP="009543DB">
            <w:pPr>
              <w:spacing w:before="20" w:after="20"/>
              <w:rPr>
                <w:color w:val="943634"/>
                <w:sz w:val="16"/>
                <w:highlight w:val="yellow"/>
              </w:rPr>
            </w:pPr>
            <w:r w:rsidRPr="00962FAF">
              <w:rPr>
                <w:rFonts w:cs="Arial"/>
                <w:color w:val="943634" w:themeColor="accent2" w:themeShade="BF"/>
                <w:sz w:val="16"/>
              </w:rPr>
              <w:t>▲</w:t>
            </w:r>
          </w:p>
        </w:tc>
        <w:tc>
          <w:tcPr>
            <w:tcW w:w="1434" w:type="dxa"/>
            <w:tcBorders>
              <w:left w:val="nil"/>
              <w:bottom w:val="nil"/>
              <w:right w:val="nil"/>
            </w:tcBorders>
          </w:tcPr>
          <w:p w:rsidR="009543DB" w:rsidRPr="00962FAF" w:rsidRDefault="009543DB" w:rsidP="009543DB">
            <w:pPr>
              <w:spacing w:before="20" w:after="20"/>
              <w:rPr>
                <w:rFonts w:cs="Arial"/>
                <w:color w:val="4BACC6"/>
                <w:sz w:val="16"/>
                <w:szCs w:val="16"/>
                <w:highlight w:val="yellow"/>
              </w:rPr>
            </w:pPr>
            <w:r w:rsidRPr="00962FAF">
              <w:rPr>
                <w:rFonts w:cs="Arial"/>
                <w:color w:val="943634" w:themeColor="accent2" w:themeShade="BF"/>
                <w:sz w:val="16"/>
              </w:rPr>
              <w:t>▲</w:t>
            </w:r>
            <w:r w:rsidRPr="00C42537">
              <w:rPr>
                <w:rFonts w:cs="Arial"/>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C42537" w:rsidRDefault="009543DB" w:rsidP="009543DB">
            <w:pPr>
              <w:spacing w:before="20" w:after="20"/>
              <w:rPr>
                <w:sz w:val="16"/>
              </w:rPr>
            </w:pPr>
            <w:r w:rsidRPr="00C42537">
              <w:rPr>
                <w:sz w:val="16"/>
              </w:rPr>
              <w:t>Check-in standard</w:t>
            </w:r>
          </w:p>
        </w:tc>
        <w:tc>
          <w:tcPr>
            <w:tcW w:w="1701" w:type="dxa"/>
            <w:tcBorders>
              <w:top w:val="nil"/>
              <w:left w:val="nil"/>
              <w:bottom w:val="nil"/>
              <w:right w:val="nil"/>
            </w:tcBorders>
          </w:tcPr>
          <w:p w:rsidR="009543DB" w:rsidRPr="00C42537" w:rsidRDefault="009543DB" w:rsidP="009543DB">
            <w:pPr>
              <w:spacing w:before="20" w:after="20"/>
              <w:rPr>
                <w:sz w:val="16"/>
              </w:rPr>
            </w:pPr>
            <w:r w:rsidRPr="00C42537">
              <w:rPr>
                <w:sz w:val="16"/>
              </w:rPr>
              <w:t>Airline survey</w:t>
            </w:r>
          </w:p>
        </w:tc>
        <w:tc>
          <w:tcPr>
            <w:tcW w:w="1559" w:type="dxa"/>
            <w:tcBorders>
              <w:top w:val="nil"/>
              <w:left w:val="nil"/>
              <w:bottom w:val="nil"/>
              <w:right w:val="nil"/>
            </w:tcBorders>
          </w:tcPr>
          <w:p w:rsidR="009543DB" w:rsidRPr="00315D31" w:rsidRDefault="009543DB" w:rsidP="009543DB">
            <w:pPr>
              <w:spacing w:before="20" w:after="20"/>
              <w:rPr>
                <w:sz w:val="16"/>
              </w:rPr>
            </w:pPr>
            <w:r w:rsidRPr="00315D31">
              <w:rPr>
                <w:sz w:val="16"/>
              </w:rPr>
              <w:t>Satisfactory</w:t>
            </w:r>
          </w:p>
        </w:tc>
        <w:tc>
          <w:tcPr>
            <w:tcW w:w="1433" w:type="dxa"/>
            <w:tcBorders>
              <w:top w:val="nil"/>
              <w:left w:val="nil"/>
              <w:bottom w:val="nil"/>
              <w:right w:val="nil"/>
            </w:tcBorders>
          </w:tcPr>
          <w:p w:rsidR="009543DB" w:rsidRPr="00962FAF" w:rsidRDefault="009543DB" w:rsidP="009543DB">
            <w:pPr>
              <w:spacing w:before="20" w:after="20"/>
              <w:rPr>
                <w:color w:val="943634"/>
                <w:sz w:val="16"/>
                <w:highlight w:val="yellow"/>
              </w:rPr>
            </w:pPr>
            <w:r w:rsidRPr="00962FAF">
              <w:rPr>
                <w:rFonts w:cs="Arial"/>
                <w:color w:val="943634" w:themeColor="accent2" w:themeShade="BF"/>
                <w:sz w:val="16"/>
              </w:rPr>
              <w:t>▲</w:t>
            </w:r>
          </w:p>
        </w:tc>
        <w:tc>
          <w:tcPr>
            <w:tcW w:w="1434" w:type="dxa"/>
            <w:tcBorders>
              <w:top w:val="nil"/>
              <w:left w:val="nil"/>
              <w:bottom w:val="nil"/>
              <w:right w:val="nil"/>
            </w:tcBorders>
          </w:tcPr>
          <w:p w:rsidR="009543DB" w:rsidRPr="00962FAF" w:rsidRDefault="009543DB" w:rsidP="009543DB">
            <w:pPr>
              <w:spacing w:before="20" w:after="20"/>
              <w:rPr>
                <w:rFonts w:cs="Arial"/>
                <w:color w:val="4BACC6"/>
                <w:sz w:val="16"/>
                <w:szCs w:val="16"/>
                <w:highlight w:val="yellow"/>
              </w:rPr>
            </w:pPr>
            <w:r w:rsidRPr="00962FAF">
              <w:rPr>
                <w:rFonts w:cs="Arial"/>
                <w:color w:val="943634" w:themeColor="accent2" w:themeShade="BF"/>
                <w:sz w:val="16"/>
              </w:rPr>
              <w:t>▲</w:t>
            </w:r>
            <w:r w:rsidRPr="00C42537">
              <w:rPr>
                <w:rFonts w:cs="Arial"/>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4C7BF8" w:rsidRDefault="009543DB" w:rsidP="009543DB">
            <w:pPr>
              <w:spacing w:before="20" w:after="20"/>
              <w:rPr>
                <w:sz w:val="16"/>
              </w:rPr>
            </w:pPr>
            <w:r w:rsidRPr="004C7BF8">
              <w:rPr>
                <w:sz w:val="16"/>
              </w:rPr>
              <w:t>Check-in waiting time</w:t>
            </w:r>
          </w:p>
        </w:tc>
        <w:tc>
          <w:tcPr>
            <w:tcW w:w="1701" w:type="dxa"/>
            <w:tcBorders>
              <w:top w:val="nil"/>
              <w:left w:val="nil"/>
              <w:bottom w:val="nil"/>
              <w:right w:val="nil"/>
            </w:tcBorders>
          </w:tcPr>
          <w:p w:rsidR="009543DB" w:rsidRPr="004C7BF8" w:rsidRDefault="009543DB" w:rsidP="009543DB">
            <w:pPr>
              <w:spacing w:before="20" w:after="20"/>
              <w:rPr>
                <w:sz w:val="16"/>
              </w:rPr>
            </w:pPr>
            <w:r w:rsidRPr="004C7BF8">
              <w:rPr>
                <w:sz w:val="16"/>
              </w:rPr>
              <w:t>Passenger survey</w:t>
            </w:r>
          </w:p>
        </w:tc>
        <w:tc>
          <w:tcPr>
            <w:tcW w:w="1559" w:type="dxa"/>
            <w:tcBorders>
              <w:top w:val="nil"/>
              <w:left w:val="nil"/>
              <w:bottom w:val="nil"/>
              <w:right w:val="nil"/>
            </w:tcBorders>
          </w:tcPr>
          <w:p w:rsidR="009543DB" w:rsidRPr="00962FAF" w:rsidRDefault="009543DB" w:rsidP="009543DB">
            <w:pPr>
              <w:spacing w:before="20" w:after="20"/>
              <w:rPr>
                <w:sz w:val="16"/>
              </w:rPr>
            </w:pPr>
            <w:r w:rsidRPr="00962FAF">
              <w:rPr>
                <w:sz w:val="16"/>
              </w:rPr>
              <w:t>Good</w:t>
            </w:r>
          </w:p>
        </w:tc>
        <w:tc>
          <w:tcPr>
            <w:tcW w:w="1433" w:type="dxa"/>
            <w:tcBorders>
              <w:top w:val="nil"/>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p>
        </w:tc>
      </w:tr>
      <w:tr w:rsidR="009543DB" w:rsidRPr="00962FAF" w:rsidTr="009543DB">
        <w:tc>
          <w:tcPr>
            <w:tcW w:w="1243" w:type="dxa"/>
            <w:tcBorders>
              <w:top w:val="nil"/>
              <w:left w:val="nil"/>
              <w:bottom w:val="single" w:sz="4" w:space="0" w:color="auto"/>
              <w:right w:val="nil"/>
            </w:tcBorders>
          </w:tcPr>
          <w:p w:rsidR="009543DB" w:rsidRPr="00962FAF" w:rsidRDefault="009543DB" w:rsidP="009543DB">
            <w:pPr>
              <w:spacing w:before="20" w:after="20"/>
              <w:rPr>
                <w:b/>
                <w:sz w:val="16"/>
                <w:highlight w:val="yellow"/>
              </w:rPr>
            </w:pPr>
          </w:p>
        </w:tc>
        <w:tc>
          <w:tcPr>
            <w:tcW w:w="6662" w:type="dxa"/>
            <w:tcBorders>
              <w:top w:val="nil"/>
              <w:left w:val="nil"/>
              <w:bottom w:val="single" w:sz="4" w:space="0" w:color="auto"/>
              <w:right w:val="nil"/>
            </w:tcBorders>
          </w:tcPr>
          <w:p w:rsidR="009543DB" w:rsidRPr="004C7BF8" w:rsidRDefault="009543DB" w:rsidP="009543DB">
            <w:pPr>
              <w:spacing w:before="20" w:after="20"/>
              <w:rPr>
                <w:i/>
                <w:sz w:val="16"/>
              </w:rPr>
            </w:pPr>
            <w:r w:rsidRPr="004C7BF8">
              <w:rPr>
                <w:i/>
                <w:sz w:val="16"/>
              </w:rPr>
              <w:t>Number of departing passengers per check-in desk, kiosk and bag drop facility (peak hour)</w:t>
            </w:r>
          </w:p>
        </w:tc>
        <w:tc>
          <w:tcPr>
            <w:tcW w:w="1701" w:type="dxa"/>
            <w:tcBorders>
              <w:top w:val="nil"/>
              <w:left w:val="nil"/>
              <w:bottom w:val="single" w:sz="4" w:space="0" w:color="auto"/>
              <w:right w:val="nil"/>
            </w:tcBorders>
          </w:tcPr>
          <w:p w:rsidR="009543DB" w:rsidRPr="004C7BF8" w:rsidRDefault="009543DB" w:rsidP="009543DB">
            <w:pPr>
              <w:spacing w:before="20" w:after="20"/>
              <w:rPr>
                <w:i/>
                <w:sz w:val="16"/>
              </w:rPr>
            </w:pPr>
            <w:r w:rsidRPr="004C7BF8">
              <w:rPr>
                <w:i/>
                <w:sz w:val="16"/>
              </w:rPr>
              <w:t>Objective indicator</w:t>
            </w:r>
          </w:p>
        </w:tc>
        <w:tc>
          <w:tcPr>
            <w:tcW w:w="1559" w:type="dxa"/>
            <w:tcBorders>
              <w:top w:val="nil"/>
              <w:left w:val="nil"/>
              <w:bottom w:val="single" w:sz="4" w:space="0" w:color="auto"/>
              <w:right w:val="nil"/>
            </w:tcBorders>
          </w:tcPr>
          <w:p w:rsidR="009543DB" w:rsidRPr="00962FAF" w:rsidRDefault="009543DB" w:rsidP="009543DB">
            <w:pPr>
              <w:spacing w:before="20" w:after="20"/>
              <w:rPr>
                <w:i/>
                <w:sz w:val="16"/>
                <w:highlight w:val="yellow"/>
              </w:rPr>
            </w:pPr>
            <w:r w:rsidRPr="00CE72DD">
              <w:rPr>
                <w:i/>
                <w:sz w:val="16"/>
              </w:rPr>
              <w:t>10.5 passengers</w:t>
            </w:r>
          </w:p>
        </w:tc>
        <w:tc>
          <w:tcPr>
            <w:tcW w:w="1433" w:type="dxa"/>
            <w:tcBorders>
              <w:top w:val="nil"/>
              <w:left w:val="nil"/>
              <w:bottom w:val="single" w:sz="4" w:space="0" w:color="auto"/>
              <w:right w:val="nil"/>
            </w:tcBorders>
          </w:tcPr>
          <w:p w:rsidR="009543DB" w:rsidRPr="00962FAF" w:rsidRDefault="009543DB" w:rsidP="009543DB">
            <w:pPr>
              <w:spacing w:before="20" w:after="20"/>
              <w:rPr>
                <w:sz w:val="16"/>
                <w:highlight w:val="yellow"/>
              </w:rPr>
            </w:pPr>
            <w:r w:rsidRPr="00CE72DD">
              <w:rPr>
                <w:rFonts w:cs="Arial"/>
                <w:color w:val="F79646" w:themeColor="accent6"/>
                <w:sz w:val="16"/>
              </w:rPr>
              <w:t>▼</w:t>
            </w:r>
          </w:p>
        </w:tc>
        <w:tc>
          <w:tcPr>
            <w:tcW w:w="1434" w:type="dxa"/>
            <w:tcBorders>
              <w:top w:val="nil"/>
              <w:left w:val="nil"/>
              <w:bottom w:val="single" w:sz="4" w:space="0" w:color="auto"/>
              <w:right w:val="nil"/>
            </w:tcBorders>
          </w:tcPr>
          <w:p w:rsidR="009543DB" w:rsidRPr="00CE72DD" w:rsidRDefault="009543DB" w:rsidP="009543DB">
            <w:pPr>
              <w:spacing w:before="20" w:after="20"/>
              <w:rPr>
                <w:sz w:val="16"/>
              </w:rPr>
            </w:pPr>
            <w:r w:rsidRPr="00CE72DD">
              <w:rPr>
                <w:rFonts w:cs="Arial"/>
                <w:color w:val="F79646" w:themeColor="accent6"/>
                <w:sz w:val="16"/>
              </w:rPr>
              <w:t>▼</w:t>
            </w:r>
          </w:p>
        </w:tc>
      </w:tr>
      <w:tr w:rsidR="009543DB" w:rsidRPr="00962FAF" w:rsidTr="009543DB">
        <w:tc>
          <w:tcPr>
            <w:tcW w:w="1243" w:type="dxa"/>
            <w:tcBorders>
              <w:top w:val="single" w:sz="4" w:space="0" w:color="auto"/>
              <w:left w:val="nil"/>
              <w:bottom w:val="nil"/>
              <w:right w:val="nil"/>
            </w:tcBorders>
          </w:tcPr>
          <w:p w:rsidR="009543DB" w:rsidRPr="00962FAF" w:rsidRDefault="009543DB" w:rsidP="009543DB">
            <w:pPr>
              <w:spacing w:before="20" w:after="20"/>
              <w:rPr>
                <w:b/>
                <w:sz w:val="16"/>
              </w:rPr>
            </w:pPr>
            <w:r w:rsidRPr="00962FAF">
              <w:rPr>
                <w:b/>
                <w:sz w:val="16"/>
              </w:rPr>
              <w:t>Baggage</w:t>
            </w:r>
          </w:p>
        </w:tc>
        <w:tc>
          <w:tcPr>
            <w:tcW w:w="6662" w:type="dxa"/>
            <w:tcBorders>
              <w:top w:val="single" w:sz="4" w:space="0" w:color="auto"/>
              <w:left w:val="nil"/>
              <w:bottom w:val="nil"/>
              <w:right w:val="nil"/>
            </w:tcBorders>
          </w:tcPr>
          <w:p w:rsidR="009543DB" w:rsidRPr="00C42537" w:rsidRDefault="009543DB" w:rsidP="009543DB">
            <w:pPr>
              <w:spacing w:before="20" w:after="20"/>
              <w:rPr>
                <w:sz w:val="16"/>
              </w:rPr>
            </w:pPr>
            <w:r w:rsidRPr="00C42537">
              <w:rPr>
                <w:sz w:val="16"/>
              </w:rPr>
              <w:t>Baggage processing facilities availability</w:t>
            </w:r>
          </w:p>
        </w:tc>
        <w:tc>
          <w:tcPr>
            <w:tcW w:w="1701" w:type="dxa"/>
            <w:tcBorders>
              <w:top w:val="single" w:sz="4" w:space="0" w:color="auto"/>
              <w:left w:val="nil"/>
              <w:bottom w:val="nil"/>
              <w:right w:val="nil"/>
            </w:tcBorders>
          </w:tcPr>
          <w:p w:rsidR="009543DB" w:rsidRPr="00C42537" w:rsidRDefault="009543DB" w:rsidP="009543DB">
            <w:pPr>
              <w:spacing w:before="20" w:after="20"/>
              <w:rPr>
                <w:sz w:val="16"/>
              </w:rPr>
            </w:pPr>
            <w:r w:rsidRPr="00C42537">
              <w:rPr>
                <w:sz w:val="16"/>
              </w:rPr>
              <w:t>Airline survey</w:t>
            </w:r>
          </w:p>
        </w:tc>
        <w:tc>
          <w:tcPr>
            <w:tcW w:w="1559" w:type="dxa"/>
            <w:tcBorders>
              <w:top w:val="single" w:sz="4" w:space="0" w:color="auto"/>
              <w:left w:val="nil"/>
              <w:bottom w:val="nil"/>
              <w:right w:val="nil"/>
            </w:tcBorders>
          </w:tcPr>
          <w:p w:rsidR="009543DB" w:rsidRPr="00315D31" w:rsidRDefault="009543DB" w:rsidP="009543DB">
            <w:pPr>
              <w:spacing w:before="20" w:after="20"/>
              <w:rPr>
                <w:sz w:val="16"/>
              </w:rPr>
            </w:pPr>
            <w:r>
              <w:rPr>
                <w:sz w:val="16"/>
              </w:rPr>
              <w:t>Good</w:t>
            </w:r>
          </w:p>
        </w:tc>
        <w:tc>
          <w:tcPr>
            <w:tcW w:w="1433" w:type="dxa"/>
            <w:tcBorders>
              <w:top w:val="single" w:sz="4" w:space="0" w:color="auto"/>
              <w:left w:val="nil"/>
              <w:bottom w:val="nil"/>
              <w:right w:val="nil"/>
            </w:tcBorders>
          </w:tcPr>
          <w:p w:rsidR="009543DB" w:rsidRPr="00962FAF" w:rsidRDefault="009543DB" w:rsidP="009543DB">
            <w:pPr>
              <w:spacing w:before="20" w:after="20"/>
              <w:rPr>
                <w:sz w:val="16"/>
                <w:highlight w:val="yellow"/>
              </w:rPr>
            </w:pPr>
            <w:r w:rsidRPr="00CE72DD">
              <w:rPr>
                <w:rFonts w:cs="Arial"/>
                <w:color w:val="943634" w:themeColor="accent2" w:themeShade="BF"/>
                <w:sz w:val="16"/>
              </w:rPr>
              <w:t>▲</w:t>
            </w:r>
            <w:r w:rsidRPr="00C42537">
              <w:rPr>
                <w:rFonts w:cs="Arial"/>
                <w:sz w:val="16"/>
              </w:rPr>
              <w:t>*</w:t>
            </w:r>
          </w:p>
        </w:tc>
        <w:tc>
          <w:tcPr>
            <w:tcW w:w="1434" w:type="dxa"/>
            <w:tcBorders>
              <w:top w:val="single" w:sz="4" w:space="0" w:color="auto"/>
              <w:left w:val="nil"/>
              <w:bottom w:val="nil"/>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r w:rsidRPr="00962FAF">
              <w:rPr>
                <w:rFonts w:cs="Arial"/>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C42537" w:rsidRDefault="009543DB" w:rsidP="009543DB">
            <w:pPr>
              <w:spacing w:before="20" w:after="20"/>
              <w:rPr>
                <w:sz w:val="16"/>
              </w:rPr>
            </w:pPr>
            <w:r w:rsidRPr="00C42537">
              <w:rPr>
                <w:sz w:val="16"/>
              </w:rPr>
              <w:t>Baggage processing facilities standard</w:t>
            </w:r>
          </w:p>
        </w:tc>
        <w:tc>
          <w:tcPr>
            <w:tcW w:w="1701" w:type="dxa"/>
            <w:tcBorders>
              <w:top w:val="nil"/>
              <w:left w:val="nil"/>
              <w:bottom w:val="nil"/>
              <w:right w:val="nil"/>
            </w:tcBorders>
          </w:tcPr>
          <w:p w:rsidR="009543DB" w:rsidRPr="00C42537" w:rsidRDefault="009543DB" w:rsidP="009543DB">
            <w:pPr>
              <w:spacing w:before="20" w:after="20"/>
              <w:rPr>
                <w:sz w:val="16"/>
              </w:rPr>
            </w:pPr>
            <w:r w:rsidRPr="00C42537">
              <w:rPr>
                <w:sz w:val="16"/>
              </w:rPr>
              <w:t>Airline survey</w:t>
            </w:r>
          </w:p>
        </w:tc>
        <w:tc>
          <w:tcPr>
            <w:tcW w:w="1559" w:type="dxa"/>
            <w:tcBorders>
              <w:top w:val="nil"/>
              <w:left w:val="nil"/>
              <w:bottom w:val="nil"/>
              <w:right w:val="nil"/>
            </w:tcBorders>
          </w:tcPr>
          <w:p w:rsidR="009543DB" w:rsidRPr="00315D31" w:rsidRDefault="009543DB" w:rsidP="009543DB">
            <w:pPr>
              <w:spacing w:before="20" w:after="20"/>
              <w:rPr>
                <w:sz w:val="16"/>
              </w:rPr>
            </w:pPr>
            <w:r>
              <w:rPr>
                <w:sz w:val="16"/>
              </w:rPr>
              <w:t>Good</w:t>
            </w:r>
          </w:p>
        </w:tc>
        <w:tc>
          <w:tcPr>
            <w:tcW w:w="1433"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r w:rsidRPr="00962FAF">
              <w:rPr>
                <w:rFonts w:cs="Arial"/>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r w:rsidRPr="00962FAF">
              <w:rPr>
                <w:rFonts w:cs="Arial"/>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4C7BF8" w:rsidRDefault="009543DB" w:rsidP="009543DB">
            <w:pPr>
              <w:spacing w:before="20" w:after="20"/>
              <w:rPr>
                <w:sz w:val="16"/>
              </w:rPr>
            </w:pPr>
            <w:r w:rsidRPr="004C7BF8">
              <w:rPr>
                <w:sz w:val="16"/>
              </w:rPr>
              <w:t>Circulation space for inbound baggage reclaim</w:t>
            </w:r>
          </w:p>
        </w:tc>
        <w:tc>
          <w:tcPr>
            <w:tcW w:w="1701" w:type="dxa"/>
            <w:tcBorders>
              <w:top w:val="nil"/>
              <w:left w:val="nil"/>
              <w:bottom w:val="nil"/>
              <w:right w:val="nil"/>
            </w:tcBorders>
          </w:tcPr>
          <w:p w:rsidR="009543DB" w:rsidRPr="004C7BF8" w:rsidRDefault="009543DB" w:rsidP="009543DB">
            <w:pPr>
              <w:spacing w:before="20" w:after="20"/>
              <w:rPr>
                <w:sz w:val="16"/>
              </w:rPr>
            </w:pPr>
            <w:r w:rsidRPr="004C7BF8">
              <w:rPr>
                <w:sz w:val="16"/>
              </w:rPr>
              <w:t>Passenger survey</w:t>
            </w:r>
          </w:p>
        </w:tc>
        <w:tc>
          <w:tcPr>
            <w:tcW w:w="1559" w:type="dxa"/>
            <w:tcBorders>
              <w:top w:val="nil"/>
              <w:left w:val="nil"/>
              <w:bottom w:val="nil"/>
              <w:right w:val="nil"/>
            </w:tcBorders>
          </w:tcPr>
          <w:p w:rsidR="009543DB" w:rsidRPr="00962FAF" w:rsidRDefault="009543DB" w:rsidP="009543DB">
            <w:pPr>
              <w:spacing w:before="20" w:after="20"/>
              <w:rPr>
                <w:sz w:val="16"/>
              </w:rPr>
            </w:pPr>
            <w:r>
              <w:rPr>
                <w:sz w:val="16"/>
              </w:rPr>
              <w:t>Good</w:t>
            </w:r>
          </w:p>
        </w:tc>
        <w:tc>
          <w:tcPr>
            <w:tcW w:w="1433" w:type="dxa"/>
            <w:tcBorders>
              <w:top w:val="nil"/>
              <w:left w:val="nil"/>
              <w:bottom w:val="nil"/>
              <w:right w:val="nil"/>
            </w:tcBorders>
          </w:tcPr>
          <w:p w:rsidR="009543DB" w:rsidRPr="00962FAF" w:rsidRDefault="009543DB" w:rsidP="009543DB">
            <w:pPr>
              <w:spacing w:before="20" w:after="20"/>
              <w:rPr>
                <w:sz w:val="16"/>
              </w:rPr>
            </w:pPr>
            <w:r w:rsidRPr="00962FAF">
              <w:rPr>
                <w:rFonts w:cs="Arial"/>
                <w:color w:val="4BACC6" w:themeColor="accent5"/>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F79646" w:themeColor="accent6"/>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4C7BF8" w:rsidRDefault="009543DB" w:rsidP="009543DB">
            <w:pPr>
              <w:spacing w:before="20" w:after="20"/>
              <w:rPr>
                <w:sz w:val="16"/>
              </w:rPr>
            </w:pPr>
            <w:r w:rsidRPr="004C7BF8">
              <w:rPr>
                <w:sz w:val="16"/>
              </w:rPr>
              <w:t>Information display for inbound baggage reclaim</w:t>
            </w:r>
          </w:p>
        </w:tc>
        <w:tc>
          <w:tcPr>
            <w:tcW w:w="1701" w:type="dxa"/>
            <w:tcBorders>
              <w:top w:val="nil"/>
              <w:left w:val="nil"/>
              <w:bottom w:val="nil"/>
              <w:right w:val="nil"/>
            </w:tcBorders>
          </w:tcPr>
          <w:p w:rsidR="009543DB" w:rsidRPr="004C7BF8" w:rsidRDefault="009543DB" w:rsidP="009543DB">
            <w:pPr>
              <w:spacing w:before="20" w:after="20"/>
              <w:rPr>
                <w:sz w:val="16"/>
              </w:rPr>
            </w:pPr>
            <w:r w:rsidRPr="004C7BF8">
              <w:rPr>
                <w:sz w:val="16"/>
              </w:rPr>
              <w:t>Passenger survey</w:t>
            </w:r>
          </w:p>
        </w:tc>
        <w:tc>
          <w:tcPr>
            <w:tcW w:w="1559" w:type="dxa"/>
            <w:tcBorders>
              <w:top w:val="nil"/>
              <w:left w:val="nil"/>
              <w:bottom w:val="nil"/>
              <w:right w:val="nil"/>
            </w:tcBorders>
          </w:tcPr>
          <w:p w:rsidR="009543DB" w:rsidRPr="00962FAF" w:rsidRDefault="009543DB" w:rsidP="009543DB">
            <w:pPr>
              <w:spacing w:before="20" w:after="20"/>
              <w:rPr>
                <w:sz w:val="16"/>
              </w:rPr>
            </w:pPr>
            <w:r w:rsidRPr="00962FAF">
              <w:rPr>
                <w:sz w:val="16"/>
              </w:rPr>
              <w:t>Good</w:t>
            </w:r>
          </w:p>
        </w:tc>
        <w:tc>
          <w:tcPr>
            <w:tcW w:w="1433" w:type="dxa"/>
            <w:tcBorders>
              <w:top w:val="nil"/>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c>
          <w:tcPr>
            <w:tcW w:w="1434" w:type="dxa"/>
            <w:tcBorders>
              <w:top w:val="nil"/>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4C7BF8" w:rsidRDefault="009543DB" w:rsidP="009543DB">
            <w:pPr>
              <w:spacing w:before="20" w:after="20"/>
              <w:rPr>
                <w:i/>
                <w:sz w:val="16"/>
              </w:rPr>
            </w:pPr>
            <w:r w:rsidRPr="004C7BF8">
              <w:rPr>
                <w:i/>
                <w:sz w:val="16"/>
              </w:rPr>
              <w:t>Number of arriving passengers per m</w:t>
            </w:r>
            <w:r w:rsidRPr="004C7BF8">
              <w:rPr>
                <w:i/>
                <w:sz w:val="16"/>
                <w:vertAlign w:val="superscript"/>
              </w:rPr>
              <w:t xml:space="preserve">2 </w:t>
            </w:r>
            <w:r w:rsidRPr="004C7BF8">
              <w:rPr>
                <w:i/>
                <w:sz w:val="16"/>
              </w:rPr>
              <w:t>of inbound baggage reclaim area (peak hour)</w:t>
            </w:r>
          </w:p>
        </w:tc>
        <w:tc>
          <w:tcPr>
            <w:tcW w:w="1701" w:type="dxa"/>
            <w:tcBorders>
              <w:top w:val="nil"/>
              <w:left w:val="nil"/>
              <w:bottom w:val="nil"/>
              <w:right w:val="nil"/>
            </w:tcBorders>
          </w:tcPr>
          <w:p w:rsidR="009543DB" w:rsidRPr="004C7BF8" w:rsidRDefault="009543DB" w:rsidP="009543DB">
            <w:pPr>
              <w:spacing w:before="20" w:after="20"/>
              <w:rPr>
                <w:i/>
                <w:sz w:val="16"/>
              </w:rPr>
            </w:pPr>
            <w:r w:rsidRPr="004C7BF8">
              <w:rPr>
                <w:i/>
                <w:sz w:val="16"/>
              </w:rPr>
              <w:t>Objective indicator</w:t>
            </w:r>
          </w:p>
        </w:tc>
        <w:tc>
          <w:tcPr>
            <w:tcW w:w="1559" w:type="dxa"/>
            <w:tcBorders>
              <w:top w:val="nil"/>
              <w:left w:val="nil"/>
              <w:bottom w:val="nil"/>
              <w:right w:val="nil"/>
            </w:tcBorders>
          </w:tcPr>
          <w:p w:rsidR="009543DB" w:rsidRPr="00315D31" w:rsidRDefault="009543DB" w:rsidP="009543DB">
            <w:pPr>
              <w:spacing w:before="20" w:after="20"/>
              <w:rPr>
                <w:i/>
                <w:sz w:val="16"/>
              </w:rPr>
            </w:pPr>
            <w:r>
              <w:rPr>
                <w:i/>
                <w:sz w:val="16"/>
              </w:rPr>
              <w:t>1.8</w:t>
            </w:r>
            <w:r w:rsidRPr="00315D31">
              <w:rPr>
                <w:i/>
                <w:sz w:val="16"/>
              </w:rPr>
              <w:t xml:space="preserve"> passengers</w:t>
            </w:r>
          </w:p>
        </w:tc>
        <w:tc>
          <w:tcPr>
            <w:tcW w:w="1433" w:type="dxa"/>
            <w:tcBorders>
              <w:top w:val="nil"/>
              <w:left w:val="nil"/>
              <w:bottom w:val="nil"/>
              <w:right w:val="nil"/>
            </w:tcBorders>
          </w:tcPr>
          <w:p w:rsidR="009543DB" w:rsidRPr="00315D31" w:rsidRDefault="009543DB" w:rsidP="009543DB">
            <w:pPr>
              <w:spacing w:before="20" w:after="20"/>
              <w:rPr>
                <w:i/>
                <w:sz w:val="16"/>
              </w:rPr>
            </w:pPr>
            <w:r w:rsidRPr="00315D31">
              <w:rPr>
                <w:rFonts w:cs="Arial"/>
                <w:color w:val="943634" w:themeColor="accent2" w:themeShade="BF"/>
                <w:sz w:val="16"/>
              </w:rPr>
              <w:t>▲</w:t>
            </w:r>
          </w:p>
        </w:tc>
        <w:tc>
          <w:tcPr>
            <w:tcW w:w="1434" w:type="dxa"/>
            <w:tcBorders>
              <w:top w:val="nil"/>
              <w:left w:val="nil"/>
              <w:bottom w:val="nil"/>
              <w:right w:val="nil"/>
            </w:tcBorders>
          </w:tcPr>
          <w:p w:rsidR="009543DB" w:rsidRPr="00315D31" w:rsidRDefault="009543DB" w:rsidP="009543DB">
            <w:pPr>
              <w:spacing w:before="20" w:after="20"/>
              <w:rPr>
                <w:i/>
                <w:sz w:val="16"/>
              </w:rPr>
            </w:pPr>
            <w:r w:rsidRPr="00315D31">
              <w:rPr>
                <w:i/>
                <w:sz w:val="16"/>
              </w:rPr>
              <w:t>n/a</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4C7BF8" w:rsidRDefault="009543DB" w:rsidP="009543DB">
            <w:pPr>
              <w:spacing w:before="20" w:after="20"/>
              <w:rPr>
                <w:sz w:val="16"/>
              </w:rPr>
            </w:pPr>
            <w:r w:rsidRPr="004C7BF8">
              <w:rPr>
                <w:sz w:val="16"/>
              </w:rPr>
              <w:t>Findability of baggage trolleys</w:t>
            </w:r>
          </w:p>
        </w:tc>
        <w:tc>
          <w:tcPr>
            <w:tcW w:w="1701" w:type="dxa"/>
            <w:tcBorders>
              <w:top w:val="nil"/>
              <w:left w:val="nil"/>
              <w:bottom w:val="nil"/>
              <w:right w:val="nil"/>
            </w:tcBorders>
          </w:tcPr>
          <w:p w:rsidR="009543DB" w:rsidRPr="004C7BF8" w:rsidRDefault="009543DB" w:rsidP="009543DB">
            <w:pPr>
              <w:spacing w:before="20" w:after="20"/>
              <w:rPr>
                <w:sz w:val="16"/>
              </w:rPr>
            </w:pPr>
            <w:r w:rsidRPr="004C7BF8">
              <w:rPr>
                <w:sz w:val="16"/>
              </w:rPr>
              <w:t>Passenger survey</w:t>
            </w:r>
          </w:p>
        </w:tc>
        <w:tc>
          <w:tcPr>
            <w:tcW w:w="1559" w:type="dxa"/>
            <w:tcBorders>
              <w:top w:val="nil"/>
              <w:left w:val="nil"/>
              <w:bottom w:val="nil"/>
              <w:right w:val="nil"/>
            </w:tcBorders>
          </w:tcPr>
          <w:p w:rsidR="009543DB" w:rsidRPr="00962FAF" w:rsidRDefault="009543DB" w:rsidP="009543DB">
            <w:pPr>
              <w:spacing w:before="20" w:after="20"/>
              <w:rPr>
                <w:sz w:val="16"/>
              </w:rPr>
            </w:pPr>
            <w:r>
              <w:rPr>
                <w:sz w:val="16"/>
              </w:rPr>
              <w:t xml:space="preserve">Good </w:t>
            </w:r>
          </w:p>
        </w:tc>
        <w:tc>
          <w:tcPr>
            <w:tcW w:w="1433"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p>
        </w:tc>
      </w:tr>
      <w:tr w:rsidR="009543DB" w:rsidRPr="00962FAF" w:rsidTr="009543DB">
        <w:tc>
          <w:tcPr>
            <w:tcW w:w="1243" w:type="dxa"/>
            <w:tcBorders>
              <w:top w:val="nil"/>
              <w:left w:val="nil"/>
              <w:bottom w:val="single" w:sz="4" w:space="0" w:color="auto"/>
              <w:right w:val="nil"/>
            </w:tcBorders>
          </w:tcPr>
          <w:p w:rsidR="009543DB" w:rsidRPr="00962FAF" w:rsidRDefault="009543DB" w:rsidP="009543DB">
            <w:pPr>
              <w:spacing w:before="20" w:after="20"/>
              <w:rPr>
                <w:b/>
                <w:sz w:val="16"/>
                <w:highlight w:val="yellow"/>
              </w:rPr>
            </w:pPr>
          </w:p>
        </w:tc>
        <w:tc>
          <w:tcPr>
            <w:tcW w:w="6662" w:type="dxa"/>
            <w:tcBorders>
              <w:top w:val="nil"/>
              <w:left w:val="nil"/>
              <w:bottom w:val="single" w:sz="4" w:space="0" w:color="auto"/>
              <w:right w:val="nil"/>
            </w:tcBorders>
          </w:tcPr>
          <w:p w:rsidR="009543DB" w:rsidRPr="004C7BF8" w:rsidRDefault="009543DB" w:rsidP="009543DB">
            <w:pPr>
              <w:spacing w:before="20" w:after="20"/>
              <w:rPr>
                <w:i/>
                <w:sz w:val="16"/>
              </w:rPr>
            </w:pPr>
            <w:r w:rsidRPr="004C7BF8">
              <w:rPr>
                <w:i/>
                <w:sz w:val="16"/>
              </w:rPr>
              <w:t>Number of passengers per baggage trolley (peak hour)</w:t>
            </w:r>
          </w:p>
        </w:tc>
        <w:tc>
          <w:tcPr>
            <w:tcW w:w="1701" w:type="dxa"/>
            <w:tcBorders>
              <w:top w:val="nil"/>
              <w:left w:val="nil"/>
              <w:bottom w:val="single" w:sz="4" w:space="0" w:color="auto"/>
              <w:right w:val="nil"/>
            </w:tcBorders>
          </w:tcPr>
          <w:p w:rsidR="009543DB" w:rsidRPr="004C7BF8" w:rsidRDefault="009543DB" w:rsidP="009543DB">
            <w:pPr>
              <w:spacing w:before="20" w:after="20"/>
              <w:rPr>
                <w:i/>
                <w:sz w:val="16"/>
              </w:rPr>
            </w:pPr>
            <w:r w:rsidRPr="004C7BF8">
              <w:rPr>
                <w:i/>
                <w:sz w:val="16"/>
              </w:rPr>
              <w:t>Objective indicator</w:t>
            </w:r>
          </w:p>
        </w:tc>
        <w:tc>
          <w:tcPr>
            <w:tcW w:w="1559" w:type="dxa"/>
            <w:tcBorders>
              <w:top w:val="nil"/>
              <w:left w:val="nil"/>
              <w:bottom w:val="single" w:sz="4" w:space="0" w:color="auto"/>
              <w:right w:val="nil"/>
            </w:tcBorders>
          </w:tcPr>
          <w:p w:rsidR="009543DB" w:rsidRPr="004E4A85" w:rsidRDefault="009543DB" w:rsidP="009543DB">
            <w:pPr>
              <w:spacing w:before="20" w:after="20"/>
              <w:rPr>
                <w:i/>
                <w:sz w:val="16"/>
              </w:rPr>
            </w:pPr>
            <w:r w:rsidRPr="004E4A85">
              <w:rPr>
                <w:i/>
                <w:sz w:val="16"/>
              </w:rPr>
              <w:t>7.2 passengers</w:t>
            </w:r>
          </w:p>
        </w:tc>
        <w:tc>
          <w:tcPr>
            <w:tcW w:w="1433" w:type="dxa"/>
            <w:tcBorders>
              <w:top w:val="nil"/>
              <w:left w:val="nil"/>
              <w:bottom w:val="single" w:sz="4" w:space="0" w:color="auto"/>
              <w:right w:val="nil"/>
            </w:tcBorders>
          </w:tcPr>
          <w:p w:rsidR="009543DB" w:rsidRPr="00962FAF" w:rsidRDefault="009543DB" w:rsidP="009543DB">
            <w:pPr>
              <w:spacing w:before="20" w:after="20"/>
              <w:rPr>
                <w:sz w:val="16"/>
                <w:highlight w:val="yellow"/>
              </w:rPr>
            </w:pPr>
            <w:r w:rsidRPr="00962FAF">
              <w:rPr>
                <w:rFonts w:cs="Arial"/>
                <w:color w:val="F79646" w:themeColor="accent6"/>
                <w:sz w:val="16"/>
              </w:rPr>
              <w:t>▼</w:t>
            </w:r>
          </w:p>
        </w:tc>
        <w:tc>
          <w:tcPr>
            <w:tcW w:w="1434" w:type="dxa"/>
            <w:tcBorders>
              <w:top w:val="nil"/>
              <w:left w:val="nil"/>
              <w:bottom w:val="single" w:sz="4" w:space="0" w:color="auto"/>
              <w:right w:val="nil"/>
            </w:tcBorders>
          </w:tcPr>
          <w:p w:rsidR="009543DB" w:rsidRPr="00962FAF" w:rsidRDefault="009543DB" w:rsidP="009543DB">
            <w:pPr>
              <w:spacing w:before="20" w:after="20"/>
              <w:rPr>
                <w:sz w:val="16"/>
                <w:highlight w:val="yellow"/>
              </w:rPr>
            </w:pPr>
            <w:r w:rsidRPr="00962FAF">
              <w:rPr>
                <w:rFonts w:cs="Arial"/>
                <w:color w:val="F79646" w:themeColor="accent6"/>
                <w:sz w:val="16"/>
              </w:rPr>
              <w:t>▼</w:t>
            </w:r>
          </w:p>
        </w:tc>
      </w:tr>
      <w:tr w:rsidR="009543DB" w:rsidRPr="00962FAF" w:rsidTr="009543DB">
        <w:tc>
          <w:tcPr>
            <w:tcW w:w="1243" w:type="dxa"/>
            <w:tcBorders>
              <w:top w:val="single" w:sz="4" w:space="0" w:color="auto"/>
              <w:left w:val="nil"/>
              <w:bottom w:val="nil"/>
              <w:right w:val="nil"/>
            </w:tcBorders>
          </w:tcPr>
          <w:p w:rsidR="009543DB" w:rsidRPr="00962FAF" w:rsidRDefault="009543DB" w:rsidP="009543DB">
            <w:pPr>
              <w:spacing w:before="20" w:after="20"/>
              <w:rPr>
                <w:b/>
                <w:sz w:val="16"/>
              </w:rPr>
            </w:pPr>
            <w:r w:rsidRPr="00962FAF">
              <w:rPr>
                <w:b/>
                <w:sz w:val="16"/>
              </w:rPr>
              <w:t>Information</w:t>
            </w:r>
          </w:p>
        </w:tc>
        <w:tc>
          <w:tcPr>
            <w:tcW w:w="6662"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Flight information display screens</w:t>
            </w:r>
          </w:p>
        </w:tc>
        <w:tc>
          <w:tcPr>
            <w:tcW w:w="1701"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Passenger survey</w:t>
            </w:r>
          </w:p>
        </w:tc>
        <w:tc>
          <w:tcPr>
            <w:tcW w:w="1559"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Good</w:t>
            </w:r>
          </w:p>
        </w:tc>
        <w:tc>
          <w:tcPr>
            <w:tcW w:w="1433"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rFonts w:cs="Arial"/>
                <w:color w:val="F79646" w:themeColor="accent6"/>
                <w:sz w:val="16"/>
              </w:rPr>
              <w:t>▼</w:t>
            </w:r>
          </w:p>
        </w:tc>
        <w:tc>
          <w:tcPr>
            <w:tcW w:w="1434"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rFonts w:cs="Arial"/>
                <w:color w:val="4BACC6" w:themeColor="accent5"/>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5169D2" w:rsidRDefault="009543DB" w:rsidP="009543DB">
            <w:pPr>
              <w:spacing w:before="20" w:after="20"/>
              <w:rPr>
                <w:i/>
                <w:sz w:val="16"/>
              </w:rPr>
            </w:pPr>
            <w:r w:rsidRPr="005169D2">
              <w:rPr>
                <w:i/>
                <w:sz w:val="16"/>
              </w:rPr>
              <w:t>Number of passengers per flight information display screen (peak hour)</w:t>
            </w:r>
          </w:p>
        </w:tc>
        <w:tc>
          <w:tcPr>
            <w:tcW w:w="1701" w:type="dxa"/>
            <w:tcBorders>
              <w:top w:val="nil"/>
              <w:left w:val="nil"/>
              <w:bottom w:val="nil"/>
              <w:right w:val="nil"/>
            </w:tcBorders>
          </w:tcPr>
          <w:p w:rsidR="009543DB" w:rsidRPr="005169D2" w:rsidRDefault="009543DB" w:rsidP="009543DB">
            <w:pPr>
              <w:spacing w:before="20" w:after="20"/>
              <w:rPr>
                <w:i/>
                <w:sz w:val="16"/>
              </w:rPr>
            </w:pPr>
            <w:r w:rsidRPr="005169D2">
              <w:rPr>
                <w:i/>
                <w:sz w:val="16"/>
              </w:rPr>
              <w:t>Objective indicator</w:t>
            </w:r>
          </w:p>
        </w:tc>
        <w:tc>
          <w:tcPr>
            <w:tcW w:w="1559" w:type="dxa"/>
            <w:tcBorders>
              <w:top w:val="nil"/>
              <w:left w:val="nil"/>
              <w:bottom w:val="nil"/>
              <w:right w:val="nil"/>
            </w:tcBorders>
          </w:tcPr>
          <w:p w:rsidR="009543DB" w:rsidRPr="005169D2" w:rsidRDefault="009543DB" w:rsidP="009543DB">
            <w:pPr>
              <w:spacing w:before="20" w:after="20"/>
              <w:rPr>
                <w:i/>
                <w:sz w:val="16"/>
              </w:rPr>
            </w:pPr>
            <w:r w:rsidRPr="005169D2">
              <w:rPr>
                <w:i/>
                <w:sz w:val="16"/>
              </w:rPr>
              <w:t>11.3 passengers</w:t>
            </w:r>
          </w:p>
        </w:tc>
        <w:tc>
          <w:tcPr>
            <w:tcW w:w="1433" w:type="dxa"/>
            <w:tcBorders>
              <w:top w:val="nil"/>
              <w:left w:val="nil"/>
              <w:bottom w:val="nil"/>
              <w:right w:val="nil"/>
            </w:tcBorders>
          </w:tcPr>
          <w:p w:rsidR="009543DB" w:rsidRPr="00962FAF" w:rsidRDefault="009543DB" w:rsidP="009543DB">
            <w:pPr>
              <w:spacing w:before="20" w:after="20"/>
              <w:rPr>
                <w:sz w:val="16"/>
              </w:rPr>
            </w:pPr>
            <w:r w:rsidRPr="004E4A85">
              <w:rPr>
                <w:rFonts w:cs="Arial"/>
                <w:color w:val="943634" w:themeColor="accent2" w:themeShade="BF"/>
                <w:sz w:val="16"/>
              </w:rPr>
              <w:t>▲</w:t>
            </w:r>
          </w:p>
        </w:tc>
        <w:tc>
          <w:tcPr>
            <w:tcW w:w="1434" w:type="dxa"/>
            <w:tcBorders>
              <w:top w:val="nil"/>
              <w:left w:val="nil"/>
              <w:bottom w:val="nil"/>
              <w:right w:val="nil"/>
            </w:tcBorders>
          </w:tcPr>
          <w:p w:rsidR="009543DB" w:rsidRPr="00962FAF" w:rsidRDefault="009543DB" w:rsidP="009543DB">
            <w:pPr>
              <w:spacing w:before="20" w:after="20"/>
              <w:rPr>
                <w:sz w:val="16"/>
              </w:rPr>
            </w:pPr>
            <w:r w:rsidRPr="004E4A85">
              <w:rPr>
                <w:rFonts w:cs="Arial"/>
                <w:color w:val="943634" w:themeColor="accent2" w:themeShade="BF"/>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5169D2" w:rsidRDefault="009543DB" w:rsidP="009543DB">
            <w:pPr>
              <w:spacing w:before="20" w:after="20"/>
              <w:rPr>
                <w:i/>
                <w:sz w:val="16"/>
              </w:rPr>
            </w:pPr>
            <w:r w:rsidRPr="005169D2">
              <w:rPr>
                <w:i/>
                <w:sz w:val="16"/>
              </w:rPr>
              <w:t>Number of passengers per information point</w:t>
            </w:r>
          </w:p>
        </w:tc>
        <w:tc>
          <w:tcPr>
            <w:tcW w:w="1701" w:type="dxa"/>
            <w:tcBorders>
              <w:top w:val="nil"/>
              <w:left w:val="nil"/>
              <w:bottom w:val="nil"/>
              <w:right w:val="nil"/>
            </w:tcBorders>
          </w:tcPr>
          <w:p w:rsidR="009543DB" w:rsidRPr="005169D2" w:rsidRDefault="009543DB" w:rsidP="009543DB">
            <w:pPr>
              <w:spacing w:before="20" w:after="20"/>
              <w:rPr>
                <w:i/>
                <w:sz w:val="16"/>
              </w:rPr>
            </w:pPr>
            <w:r w:rsidRPr="005169D2">
              <w:rPr>
                <w:i/>
                <w:sz w:val="16"/>
              </w:rPr>
              <w:t>Objective indicator</w:t>
            </w:r>
          </w:p>
        </w:tc>
        <w:tc>
          <w:tcPr>
            <w:tcW w:w="1559" w:type="dxa"/>
            <w:tcBorders>
              <w:top w:val="nil"/>
              <w:left w:val="nil"/>
              <w:bottom w:val="nil"/>
              <w:right w:val="nil"/>
            </w:tcBorders>
          </w:tcPr>
          <w:p w:rsidR="009543DB" w:rsidRPr="005169D2" w:rsidRDefault="009543DB" w:rsidP="009543DB">
            <w:pPr>
              <w:spacing w:before="20" w:after="20"/>
              <w:rPr>
                <w:i/>
                <w:sz w:val="16"/>
              </w:rPr>
            </w:pPr>
            <w:r w:rsidRPr="005169D2">
              <w:rPr>
                <w:i/>
                <w:sz w:val="16"/>
              </w:rPr>
              <w:t>699.0 passengers</w:t>
            </w:r>
          </w:p>
        </w:tc>
        <w:tc>
          <w:tcPr>
            <w:tcW w:w="1433"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F79646" w:themeColor="accent6"/>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4E4A85">
              <w:rPr>
                <w:rFonts w:cs="Arial"/>
                <w:color w:val="943634" w:themeColor="accent2" w:themeShade="BF"/>
                <w:sz w:val="16"/>
              </w:rPr>
              <w:t>▲</w:t>
            </w:r>
          </w:p>
        </w:tc>
      </w:tr>
      <w:tr w:rsidR="009543DB" w:rsidRPr="00962FAF" w:rsidTr="009543DB">
        <w:tc>
          <w:tcPr>
            <w:tcW w:w="1243" w:type="dxa"/>
            <w:tcBorders>
              <w:top w:val="nil"/>
              <w:left w:val="nil"/>
              <w:bottom w:val="single" w:sz="4" w:space="0" w:color="auto"/>
              <w:right w:val="nil"/>
            </w:tcBorders>
          </w:tcPr>
          <w:p w:rsidR="009543DB" w:rsidRPr="00962FAF" w:rsidRDefault="009543DB" w:rsidP="009543DB">
            <w:pPr>
              <w:spacing w:before="20" w:after="20"/>
              <w:rPr>
                <w:b/>
                <w:sz w:val="16"/>
                <w:highlight w:val="yellow"/>
              </w:rPr>
            </w:pPr>
          </w:p>
        </w:tc>
        <w:tc>
          <w:tcPr>
            <w:tcW w:w="6662" w:type="dxa"/>
            <w:tcBorders>
              <w:top w:val="nil"/>
              <w:left w:val="nil"/>
              <w:bottom w:val="single" w:sz="4" w:space="0" w:color="auto"/>
              <w:right w:val="nil"/>
            </w:tcBorders>
          </w:tcPr>
          <w:p w:rsidR="009543DB" w:rsidRPr="005169D2" w:rsidRDefault="009543DB" w:rsidP="009543DB">
            <w:pPr>
              <w:tabs>
                <w:tab w:val="left" w:pos="2379"/>
              </w:tabs>
              <w:spacing w:before="20" w:after="20"/>
              <w:rPr>
                <w:sz w:val="16"/>
              </w:rPr>
            </w:pPr>
            <w:r w:rsidRPr="005169D2">
              <w:rPr>
                <w:sz w:val="16"/>
              </w:rPr>
              <w:t>Signage and wayfinding</w:t>
            </w:r>
            <w:r w:rsidRPr="005169D2">
              <w:rPr>
                <w:sz w:val="16"/>
              </w:rPr>
              <w:tab/>
            </w:r>
          </w:p>
        </w:tc>
        <w:tc>
          <w:tcPr>
            <w:tcW w:w="1701" w:type="dxa"/>
            <w:tcBorders>
              <w:top w:val="nil"/>
              <w:left w:val="nil"/>
              <w:bottom w:val="single" w:sz="4" w:space="0" w:color="auto"/>
              <w:right w:val="nil"/>
            </w:tcBorders>
          </w:tcPr>
          <w:p w:rsidR="009543DB" w:rsidRPr="005169D2" w:rsidRDefault="009543DB" w:rsidP="009543DB">
            <w:pPr>
              <w:spacing w:before="20" w:after="20"/>
              <w:rPr>
                <w:sz w:val="16"/>
              </w:rPr>
            </w:pPr>
            <w:r w:rsidRPr="005169D2">
              <w:rPr>
                <w:sz w:val="16"/>
              </w:rPr>
              <w:t>Passenger survey</w:t>
            </w:r>
          </w:p>
        </w:tc>
        <w:tc>
          <w:tcPr>
            <w:tcW w:w="1559" w:type="dxa"/>
            <w:tcBorders>
              <w:top w:val="nil"/>
              <w:left w:val="nil"/>
              <w:bottom w:val="single" w:sz="4" w:space="0" w:color="auto"/>
              <w:right w:val="nil"/>
            </w:tcBorders>
          </w:tcPr>
          <w:p w:rsidR="009543DB" w:rsidRPr="005169D2" w:rsidRDefault="009543DB" w:rsidP="009543DB">
            <w:pPr>
              <w:spacing w:before="20" w:after="20"/>
              <w:rPr>
                <w:sz w:val="16"/>
              </w:rPr>
            </w:pPr>
            <w:r w:rsidRPr="005169D2">
              <w:rPr>
                <w:sz w:val="16"/>
              </w:rPr>
              <w:t>Good</w:t>
            </w:r>
          </w:p>
        </w:tc>
        <w:tc>
          <w:tcPr>
            <w:tcW w:w="1433" w:type="dxa"/>
            <w:tcBorders>
              <w:top w:val="nil"/>
              <w:left w:val="nil"/>
              <w:bottom w:val="single" w:sz="4" w:space="0" w:color="auto"/>
              <w:right w:val="nil"/>
            </w:tcBorders>
          </w:tcPr>
          <w:p w:rsidR="009543DB" w:rsidRPr="00962FAF" w:rsidRDefault="009543DB" w:rsidP="009543DB">
            <w:pPr>
              <w:spacing w:before="20" w:after="20"/>
              <w:rPr>
                <w:sz w:val="16"/>
              </w:rPr>
            </w:pPr>
            <w:r w:rsidRPr="00962FAF">
              <w:rPr>
                <w:rFonts w:cs="Arial"/>
                <w:color w:val="F79646" w:themeColor="accent6"/>
                <w:sz w:val="16"/>
              </w:rPr>
              <w:t>▼</w:t>
            </w:r>
          </w:p>
        </w:tc>
        <w:tc>
          <w:tcPr>
            <w:tcW w:w="1434" w:type="dxa"/>
            <w:tcBorders>
              <w:top w:val="nil"/>
              <w:left w:val="nil"/>
              <w:bottom w:val="single" w:sz="4" w:space="0" w:color="auto"/>
              <w:right w:val="nil"/>
            </w:tcBorders>
          </w:tcPr>
          <w:p w:rsidR="009543DB" w:rsidRPr="00962FAF" w:rsidRDefault="009543DB" w:rsidP="009543DB">
            <w:pPr>
              <w:spacing w:before="20" w:after="20"/>
              <w:rPr>
                <w:sz w:val="16"/>
              </w:rPr>
            </w:pPr>
            <w:r w:rsidRPr="00962FAF">
              <w:rPr>
                <w:rFonts w:cs="Arial"/>
                <w:color w:val="4BACC6" w:themeColor="accent5"/>
                <w:sz w:val="16"/>
              </w:rPr>
              <w:t>▬</w:t>
            </w:r>
          </w:p>
        </w:tc>
      </w:tr>
      <w:tr w:rsidR="009543DB" w:rsidRPr="00962FAF" w:rsidTr="009543DB">
        <w:tc>
          <w:tcPr>
            <w:tcW w:w="1243" w:type="dxa"/>
            <w:tcBorders>
              <w:top w:val="single" w:sz="4" w:space="0" w:color="auto"/>
              <w:left w:val="nil"/>
              <w:bottom w:val="nil"/>
              <w:right w:val="nil"/>
            </w:tcBorders>
          </w:tcPr>
          <w:p w:rsidR="009543DB" w:rsidRPr="00962FAF" w:rsidRDefault="009543DB" w:rsidP="009543DB">
            <w:pPr>
              <w:spacing w:before="20" w:after="20"/>
              <w:rPr>
                <w:b/>
                <w:sz w:val="16"/>
              </w:rPr>
            </w:pPr>
            <w:r w:rsidRPr="00962FAF">
              <w:rPr>
                <w:b/>
                <w:sz w:val="16"/>
              </w:rPr>
              <w:t>Gate lounges</w:t>
            </w:r>
          </w:p>
        </w:tc>
        <w:tc>
          <w:tcPr>
            <w:tcW w:w="6662"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Seating in lounge area (quality and availability)</w:t>
            </w:r>
          </w:p>
        </w:tc>
        <w:tc>
          <w:tcPr>
            <w:tcW w:w="1701"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Passenger survey</w:t>
            </w:r>
          </w:p>
        </w:tc>
        <w:tc>
          <w:tcPr>
            <w:tcW w:w="1559"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sz w:val="16"/>
              </w:rPr>
              <w:t>Good</w:t>
            </w:r>
          </w:p>
        </w:tc>
        <w:tc>
          <w:tcPr>
            <w:tcW w:w="1433"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c>
          <w:tcPr>
            <w:tcW w:w="1434"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5169D2" w:rsidRDefault="009543DB" w:rsidP="009543DB">
            <w:pPr>
              <w:spacing w:before="20" w:after="20"/>
              <w:rPr>
                <w:i/>
                <w:sz w:val="16"/>
              </w:rPr>
            </w:pPr>
            <w:r w:rsidRPr="005169D2">
              <w:rPr>
                <w:i/>
                <w:sz w:val="16"/>
              </w:rPr>
              <w:t>Number of departing passengers per seat in gate lounges (peak hour)</w:t>
            </w:r>
          </w:p>
        </w:tc>
        <w:tc>
          <w:tcPr>
            <w:tcW w:w="1701" w:type="dxa"/>
            <w:tcBorders>
              <w:top w:val="nil"/>
              <w:left w:val="nil"/>
              <w:bottom w:val="nil"/>
              <w:right w:val="nil"/>
            </w:tcBorders>
          </w:tcPr>
          <w:p w:rsidR="009543DB" w:rsidRPr="005169D2" w:rsidRDefault="009543DB" w:rsidP="009543DB">
            <w:pPr>
              <w:spacing w:before="20" w:after="20"/>
              <w:rPr>
                <w:i/>
                <w:sz w:val="16"/>
              </w:rPr>
            </w:pPr>
            <w:r w:rsidRPr="005169D2">
              <w:rPr>
                <w:i/>
                <w:sz w:val="16"/>
              </w:rPr>
              <w:t>Objective indicator</w:t>
            </w:r>
          </w:p>
        </w:tc>
        <w:tc>
          <w:tcPr>
            <w:tcW w:w="1559" w:type="dxa"/>
            <w:tcBorders>
              <w:top w:val="nil"/>
              <w:left w:val="nil"/>
              <w:bottom w:val="nil"/>
              <w:right w:val="nil"/>
            </w:tcBorders>
          </w:tcPr>
          <w:p w:rsidR="009543DB" w:rsidRPr="00962FAF" w:rsidRDefault="009543DB" w:rsidP="009543DB">
            <w:pPr>
              <w:spacing w:before="20" w:after="20"/>
              <w:rPr>
                <w:i/>
                <w:sz w:val="16"/>
                <w:highlight w:val="yellow"/>
              </w:rPr>
            </w:pPr>
            <w:r w:rsidRPr="004E4A85">
              <w:rPr>
                <w:i/>
                <w:sz w:val="16"/>
              </w:rPr>
              <w:t>0.4 passengers</w:t>
            </w:r>
          </w:p>
        </w:tc>
        <w:tc>
          <w:tcPr>
            <w:tcW w:w="1433"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F79646" w:themeColor="accent6"/>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5169D2" w:rsidRDefault="009543DB" w:rsidP="009543DB">
            <w:pPr>
              <w:spacing w:before="20" w:after="20"/>
              <w:rPr>
                <w:sz w:val="16"/>
              </w:rPr>
            </w:pPr>
            <w:r w:rsidRPr="005169D2">
              <w:rPr>
                <w:sz w:val="16"/>
              </w:rPr>
              <w:t>Crowding in lounge area</w:t>
            </w:r>
          </w:p>
        </w:tc>
        <w:tc>
          <w:tcPr>
            <w:tcW w:w="1701" w:type="dxa"/>
            <w:tcBorders>
              <w:top w:val="nil"/>
              <w:left w:val="nil"/>
              <w:bottom w:val="nil"/>
              <w:right w:val="nil"/>
            </w:tcBorders>
          </w:tcPr>
          <w:p w:rsidR="009543DB" w:rsidRPr="005169D2" w:rsidRDefault="009543DB" w:rsidP="009543DB">
            <w:pPr>
              <w:spacing w:before="20" w:after="20"/>
              <w:rPr>
                <w:sz w:val="16"/>
              </w:rPr>
            </w:pPr>
            <w:r w:rsidRPr="005169D2">
              <w:rPr>
                <w:sz w:val="16"/>
              </w:rPr>
              <w:t>Passenger survey</w:t>
            </w:r>
          </w:p>
        </w:tc>
        <w:tc>
          <w:tcPr>
            <w:tcW w:w="1559" w:type="dxa"/>
            <w:tcBorders>
              <w:top w:val="nil"/>
              <w:left w:val="nil"/>
              <w:bottom w:val="nil"/>
              <w:right w:val="nil"/>
            </w:tcBorders>
          </w:tcPr>
          <w:p w:rsidR="009543DB" w:rsidRPr="00962FAF" w:rsidRDefault="009543DB" w:rsidP="009543DB">
            <w:pPr>
              <w:spacing w:before="20" w:after="20"/>
              <w:rPr>
                <w:sz w:val="16"/>
              </w:rPr>
            </w:pPr>
            <w:r w:rsidRPr="00962FAF">
              <w:rPr>
                <w:sz w:val="16"/>
              </w:rPr>
              <w:t>Good</w:t>
            </w:r>
          </w:p>
        </w:tc>
        <w:tc>
          <w:tcPr>
            <w:tcW w:w="1433" w:type="dxa"/>
            <w:tcBorders>
              <w:top w:val="nil"/>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c>
          <w:tcPr>
            <w:tcW w:w="1434" w:type="dxa"/>
            <w:tcBorders>
              <w:top w:val="nil"/>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r>
      <w:tr w:rsidR="009543DB" w:rsidRPr="00962FAF" w:rsidTr="009543DB">
        <w:tc>
          <w:tcPr>
            <w:tcW w:w="1243" w:type="dxa"/>
            <w:tcBorders>
              <w:top w:val="nil"/>
              <w:left w:val="nil"/>
              <w:bottom w:val="single" w:sz="4" w:space="0" w:color="auto"/>
              <w:right w:val="nil"/>
            </w:tcBorders>
          </w:tcPr>
          <w:p w:rsidR="009543DB" w:rsidRPr="00962FAF" w:rsidRDefault="009543DB" w:rsidP="009543DB">
            <w:pPr>
              <w:spacing w:before="20" w:after="20"/>
              <w:rPr>
                <w:b/>
                <w:sz w:val="16"/>
                <w:highlight w:val="yellow"/>
              </w:rPr>
            </w:pPr>
          </w:p>
        </w:tc>
        <w:tc>
          <w:tcPr>
            <w:tcW w:w="6662" w:type="dxa"/>
            <w:tcBorders>
              <w:top w:val="nil"/>
              <w:left w:val="nil"/>
              <w:bottom w:val="single" w:sz="4" w:space="0" w:color="auto"/>
              <w:right w:val="nil"/>
            </w:tcBorders>
          </w:tcPr>
          <w:p w:rsidR="009543DB" w:rsidRPr="005169D2" w:rsidRDefault="009543DB" w:rsidP="009543DB">
            <w:pPr>
              <w:spacing w:before="20" w:after="20"/>
              <w:rPr>
                <w:i/>
                <w:sz w:val="16"/>
              </w:rPr>
            </w:pPr>
            <w:r w:rsidRPr="005169D2">
              <w:rPr>
                <w:i/>
                <w:sz w:val="16"/>
              </w:rPr>
              <w:t>Number of departing passengers per m</w:t>
            </w:r>
            <w:r w:rsidRPr="005169D2">
              <w:rPr>
                <w:i/>
                <w:sz w:val="16"/>
                <w:vertAlign w:val="superscript"/>
              </w:rPr>
              <w:t xml:space="preserve">2 </w:t>
            </w:r>
            <w:r w:rsidRPr="005169D2">
              <w:rPr>
                <w:i/>
                <w:sz w:val="16"/>
              </w:rPr>
              <w:t>of lounge area (peak hour)</w:t>
            </w:r>
          </w:p>
        </w:tc>
        <w:tc>
          <w:tcPr>
            <w:tcW w:w="1701" w:type="dxa"/>
            <w:tcBorders>
              <w:top w:val="nil"/>
              <w:left w:val="nil"/>
              <w:bottom w:val="single" w:sz="4" w:space="0" w:color="auto"/>
              <w:right w:val="nil"/>
            </w:tcBorders>
          </w:tcPr>
          <w:p w:rsidR="009543DB" w:rsidRPr="005169D2" w:rsidRDefault="009543DB" w:rsidP="009543DB">
            <w:pPr>
              <w:spacing w:before="20" w:after="20"/>
              <w:rPr>
                <w:i/>
                <w:sz w:val="16"/>
              </w:rPr>
            </w:pPr>
            <w:r w:rsidRPr="005169D2">
              <w:rPr>
                <w:i/>
                <w:sz w:val="16"/>
              </w:rPr>
              <w:t>Objective indicator</w:t>
            </w:r>
          </w:p>
        </w:tc>
        <w:tc>
          <w:tcPr>
            <w:tcW w:w="1559" w:type="dxa"/>
            <w:tcBorders>
              <w:top w:val="nil"/>
              <w:left w:val="nil"/>
              <w:bottom w:val="single" w:sz="4" w:space="0" w:color="auto"/>
              <w:right w:val="nil"/>
            </w:tcBorders>
          </w:tcPr>
          <w:p w:rsidR="009543DB" w:rsidRPr="00876942" w:rsidRDefault="009543DB" w:rsidP="009543DB">
            <w:pPr>
              <w:spacing w:before="20" w:after="20"/>
              <w:rPr>
                <w:i/>
                <w:sz w:val="16"/>
              </w:rPr>
            </w:pPr>
            <w:r w:rsidRPr="00876942">
              <w:rPr>
                <w:i/>
                <w:sz w:val="16"/>
              </w:rPr>
              <w:t>0.1 passengers</w:t>
            </w:r>
          </w:p>
        </w:tc>
        <w:tc>
          <w:tcPr>
            <w:tcW w:w="1433" w:type="dxa"/>
            <w:tcBorders>
              <w:top w:val="nil"/>
              <w:left w:val="nil"/>
              <w:bottom w:val="single" w:sz="4" w:space="0" w:color="auto"/>
              <w:right w:val="nil"/>
            </w:tcBorders>
          </w:tcPr>
          <w:p w:rsidR="009543DB" w:rsidRPr="00962FAF" w:rsidRDefault="009543DB" w:rsidP="009543DB">
            <w:pPr>
              <w:spacing w:before="20" w:after="20"/>
              <w:rPr>
                <w:sz w:val="16"/>
                <w:highlight w:val="yellow"/>
              </w:rPr>
            </w:pPr>
            <w:r w:rsidRPr="00962FAF">
              <w:rPr>
                <w:rFonts w:cs="Arial"/>
                <w:color w:val="4BACC6" w:themeColor="accent5"/>
                <w:sz w:val="16"/>
              </w:rPr>
              <w:t>▬</w:t>
            </w:r>
          </w:p>
        </w:tc>
        <w:tc>
          <w:tcPr>
            <w:tcW w:w="1434" w:type="dxa"/>
            <w:tcBorders>
              <w:top w:val="nil"/>
              <w:left w:val="nil"/>
              <w:bottom w:val="single" w:sz="4" w:space="0" w:color="auto"/>
              <w:right w:val="nil"/>
            </w:tcBorders>
          </w:tcPr>
          <w:p w:rsidR="009543DB" w:rsidRPr="00962FAF" w:rsidRDefault="009543DB" w:rsidP="009543DB">
            <w:pPr>
              <w:spacing w:before="20" w:after="20"/>
              <w:rPr>
                <w:sz w:val="16"/>
                <w:highlight w:val="yellow"/>
              </w:rPr>
            </w:pPr>
            <w:r w:rsidRPr="00962FAF">
              <w:rPr>
                <w:rFonts w:cs="Arial"/>
                <w:color w:val="943634" w:themeColor="accent2" w:themeShade="BF"/>
                <w:sz w:val="16"/>
              </w:rPr>
              <w:t>▲</w:t>
            </w:r>
          </w:p>
        </w:tc>
      </w:tr>
      <w:tr w:rsidR="009543DB" w:rsidRPr="00962FAF" w:rsidTr="009543DB">
        <w:tc>
          <w:tcPr>
            <w:tcW w:w="1243" w:type="dxa"/>
            <w:tcBorders>
              <w:top w:val="single" w:sz="4" w:space="0" w:color="auto"/>
              <w:left w:val="nil"/>
              <w:bottom w:val="nil"/>
              <w:right w:val="nil"/>
            </w:tcBorders>
          </w:tcPr>
          <w:p w:rsidR="009543DB" w:rsidRPr="00962FAF" w:rsidRDefault="009543DB" w:rsidP="009543DB">
            <w:pPr>
              <w:spacing w:before="20" w:after="20"/>
              <w:rPr>
                <w:b/>
                <w:sz w:val="16"/>
                <w:highlight w:val="yellow"/>
              </w:rPr>
            </w:pPr>
            <w:r w:rsidRPr="00962FAF">
              <w:rPr>
                <w:b/>
                <w:sz w:val="16"/>
              </w:rPr>
              <w:t>Amenities</w:t>
            </w:r>
          </w:p>
        </w:tc>
        <w:tc>
          <w:tcPr>
            <w:tcW w:w="6662"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Standard of washrooms</w:t>
            </w:r>
          </w:p>
        </w:tc>
        <w:tc>
          <w:tcPr>
            <w:tcW w:w="1701"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Passenger survey</w:t>
            </w:r>
          </w:p>
        </w:tc>
        <w:tc>
          <w:tcPr>
            <w:tcW w:w="1559"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sz w:val="16"/>
              </w:rPr>
              <w:t>Good</w:t>
            </w:r>
          </w:p>
        </w:tc>
        <w:tc>
          <w:tcPr>
            <w:tcW w:w="1433"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rFonts w:cs="Arial"/>
                <w:color w:val="4BACC6" w:themeColor="accent5"/>
                <w:sz w:val="16"/>
              </w:rPr>
              <w:t>▬</w:t>
            </w:r>
          </w:p>
        </w:tc>
        <w:tc>
          <w:tcPr>
            <w:tcW w:w="1434" w:type="dxa"/>
            <w:tcBorders>
              <w:top w:val="single" w:sz="4" w:space="0" w:color="auto"/>
              <w:left w:val="nil"/>
              <w:bottom w:val="nil"/>
              <w:right w:val="nil"/>
            </w:tcBorders>
          </w:tcPr>
          <w:p w:rsidR="009543DB" w:rsidRPr="00962FAF" w:rsidRDefault="009543DB" w:rsidP="009543DB">
            <w:pPr>
              <w:spacing w:before="20" w:after="20"/>
              <w:rPr>
                <w:sz w:val="16"/>
              </w:rPr>
            </w:pPr>
            <w:r w:rsidRPr="00962FAF">
              <w:rPr>
                <w:rFonts w:cs="Arial"/>
                <w:color w:val="943634" w:themeColor="accent2" w:themeShade="BF"/>
                <w:sz w:val="16"/>
              </w:rPr>
              <w:t>▲</w:t>
            </w:r>
          </w:p>
        </w:tc>
      </w:tr>
      <w:tr w:rsidR="009543DB" w:rsidRPr="00962FAF" w:rsidTr="009543DB">
        <w:tc>
          <w:tcPr>
            <w:tcW w:w="1243" w:type="dxa"/>
            <w:tcBorders>
              <w:top w:val="nil"/>
              <w:left w:val="nil"/>
              <w:bottom w:val="single" w:sz="4" w:space="0" w:color="auto"/>
              <w:right w:val="nil"/>
            </w:tcBorders>
          </w:tcPr>
          <w:p w:rsidR="009543DB" w:rsidRPr="00962FAF" w:rsidRDefault="009543DB" w:rsidP="009543DB">
            <w:pPr>
              <w:spacing w:before="20" w:after="20"/>
              <w:rPr>
                <w:b/>
                <w:sz w:val="16"/>
                <w:highlight w:val="yellow"/>
              </w:rPr>
            </w:pPr>
          </w:p>
        </w:tc>
        <w:tc>
          <w:tcPr>
            <w:tcW w:w="6662" w:type="dxa"/>
            <w:tcBorders>
              <w:top w:val="nil"/>
              <w:left w:val="nil"/>
              <w:bottom w:val="single" w:sz="4" w:space="0" w:color="auto"/>
              <w:right w:val="nil"/>
            </w:tcBorders>
            <w:shd w:val="clear" w:color="auto" w:fill="auto"/>
          </w:tcPr>
          <w:p w:rsidR="009543DB" w:rsidRPr="005169D2" w:rsidRDefault="009543DB" w:rsidP="009543DB">
            <w:pPr>
              <w:spacing w:before="20" w:after="20"/>
              <w:rPr>
                <w:i/>
                <w:sz w:val="16"/>
              </w:rPr>
            </w:pPr>
            <w:r w:rsidRPr="005169D2">
              <w:rPr>
                <w:i/>
                <w:sz w:val="16"/>
              </w:rPr>
              <w:t>Number of departing passengers per washroom (peak hour)</w:t>
            </w:r>
          </w:p>
        </w:tc>
        <w:tc>
          <w:tcPr>
            <w:tcW w:w="1701" w:type="dxa"/>
            <w:tcBorders>
              <w:top w:val="nil"/>
              <w:left w:val="nil"/>
              <w:bottom w:val="single" w:sz="4" w:space="0" w:color="auto"/>
              <w:right w:val="nil"/>
            </w:tcBorders>
            <w:shd w:val="clear" w:color="auto" w:fill="auto"/>
          </w:tcPr>
          <w:p w:rsidR="009543DB" w:rsidRPr="005169D2" w:rsidRDefault="009543DB" w:rsidP="009543DB">
            <w:pPr>
              <w:spacing w:before="20" w:after="20"/>
              <w:rPr>
                <w:i/>
                <w:sz w:val="16"/>
              </w:rPr>
            </w:pPr>
            <w:r w:rsidRPr="005169D2">
              <w:rPr>
                <w:i/>
                <w:sz w:val="16"/>
              </w:rPr>
              <w:t>Objective indicator</w:t>
            </w:r>
          </w:p>
        </w:tc>
        <w:tc>
          <w:tcPr>
            <w:tcW w:w="1559" w:type="dxa"/>
            <w:tcBorders>
              <w:top w:val="nil"/>
              <w:left w:val="nil"/>
              <w:bottom w:val="single" w:sz="4" w:space="0" w:color="auto"/>
              <w:right w:val="nil"/>
            </w:tcBorders>
            <w:shd w:val="clear" w:color="auto" w:fill="auto"/>
          </w:tcPr>
          <w:p w:rsidR="009543DB" w:rsidRPr="002530B8" w:rsidRDefault="009543DB" w:rsidP="009543DB">
            <w:pPr>
              <w:spacing w:before="20" w:after="20"/>
              <w:rPr>
                <w:i/>
                <w:sz w:val="16"/>
              </w:rPr>
            </w:pPr>
            <w:r w:rsidRPr="002530B8">
              <w:rPr>
                <w:i/>
                <w:sz w:val="16"/>
              </w:rPr>
              <w:t>183.5 passengers</w:t>
            </w:r>
          </w:p>
        </w:tc>
        <w:tc>
          <w:tcPr>
            <w:tcW w:w="1433" w:type="dxa"/>
            <w:tcBorders>
              <w:top w:val="nil"/>
              <w:left w:val="nil"/>
              <w:bottom w:val="single" w:sz="4" w:space="0" w:color="auto"/>
              <w:right w:val="nil"/>
            </w:tcBorders>
          </w:tcPr>
          <w:p w:rsidR="009543DB" w:rsidRPr="00962FAF" w:rsidRDefault="009543DB" w:rsidP="009543DB">
            <w:pPr>
              <w:spacing w:before="20" w:after="20"/>
              <w:rPr>
                <w:i/>
                <w:sz w:val="16"/>
                <w:highlight w:val="yellow"/>
              </w:rPr>
            </w:pPr>
            <w:r w:rsidRPr="002530B8">
              <w:rPr>
                <w:rFonts w:cs="Arial"/>
                <w:color w:val="F79646" w:themeColor="accent6"/>
                <w:sz w:val="16"/>
              </w:rPr>
              <w:t>▼</w:t>
            </w:r>
          </w:p>
        </w:tc>
        <w:tc>
          <w:tcPr>
            <w:tcW w:w="1434" w:type="dxa"/>
            <w:tcBorders>
              <w:top w:val="nil"/>
              <w:left w:val="nil"/>
              <w:bottom w:val="single" w:sz="4" w:space="0" w:color="auto"/>
              <w:right w:val="nil"/>
            </w:tcBorders>
          </w:tcPr>
          <w:p w:rsidR="009543DB" w:rsidRPr="002530B8" w:rsidRDefault="009543DB" w:rsidP="009543DB">
            <w:pPr>
              <w:spacing w:before="20" w:after="20"/>
              <w:rPr>
                <w:i/>
                <w:sz w:val="16"/>
              </w:rPr>
            </w:pPr>
            <w:r w:rsidRPr="002530B8">
              <w:rPr>
                <w:i/>
                <w:sz w:val="16"/>
              </w:rPr>
              <w:t>n/a</w:t>
            </w:r>
          </w:p>
        </w:tc>
      </w:tr>
      <w:tr w:rsidR="009543DB" w:rsidRPr="00962FAF" w:rsidTr="009543DB">
        <w:tc>
          <w:tcPr>
            <w:tcW w:w="1243" w:type="dxa"/>
            <w:tcBorders>
              <w:top w:val="single" w:sz="4" w:space="0" w:color="auto"/>
              <w:left w:val="nil"/>
              <w:bottom w:val="nil"/>
              <w:right w:val="nil"/>
            </w:tcBorders>
          </w:tcPr>
          <w:p w:rsidR="009543DB" w:rsidRPr="00962FAF" w:rsidRDefault="009543DB" w:rsidP="009543DB">
            <w:pPr>
              <w:spacing w:before="20" w:after="20"/>
              <w:rPr>
                <w:b/>
                <w:sz w:val="16"/>
              </w:rPr>
            </w:pPr>
            <w:r w:rsidRPr="00962FAF">
              <w:rPr>
                <w:b/>
                <w:sz w:val="16"/>
              </w:rPr>
              <w:t>Aerobridges</w:t>
            </w:r>
          </w:p>
        </w:tc>
        <w:tc>
          <w:tcPr>
            <w:tcW w:w="6662" w:type="dxa"/>
            <w:tcBorders>
              <w:top w:val="single" w:sz="4" w:space="0" w:color="auto"/>
              <w:left w:val="nil"/>
              <w:bottom w:val="nil"/>
              <w:right w:val="nil"/>
            </w:tcBorders>
          </w:tcPr>
          <w:p w:rsidR="009543DB" w:rsidRPr="00275281" w:rsidRDefault="009543DB" w:rsidP="009543DB">
            <w:pPr>
              <w:spacing w:before="20" w:after="20"/>
              <w:rPr>
                <w:sz w:val="16"/>
              </w:rPr>
            </w:pPr>
            <w:r w:rsidRPr="00275281">
              <w:rPr>
                <w:sz w:val="16"/>
              </w:rPr>
              <w:t>Aerobridges availability</w:t>
            </w:r>
          </w:p>
        </w:tc>
        <w:tc>
          <w:tcPr>
            <w:tcW w:w="1701" w:type="dxa"/>
            <w:tcBorders>
              <w:top w:val="single" w:sz="4" w:space="0" w:color="auto"/>
              <w:left w:val="nil"/>
              <w:bottom w:val="nil"/>
              <w:right w:val="nil"/>
            </w:tcBorders>
          </w:tcPr>
          <w:p w:rsidR="009543DB" w:rsidRPr="00275281" w:rsidRDefault="009543DB" w:rsidP="009543DB">
            <w:pPr>
              <w:spacing w:before="20" w:after="20"/>
              <w:rPr>
                <w:sz w:val="16"/>
              </w:rPr>
            </w:pPr>
            <w:r w:rsidRPr="00275281">
              <w:rPr>
                <w:sz w:val="16"/>
              </w:rPr>
              <w:t>Airline survey</w:t>
            </w:r>
          </w:p>
        </w:tc>
        <w:tc>
          <w:tcPr>
            <w:tcW w:w="1559" w:type="dxa"/>
            <w:tcBorders>
              <w:top w:val="single" w:sz="4" w:space="0" w:color="auto"/>
              <w:left w:val="nil"/>
              <w:bottom w:val="nil"/>
              <w:right w:val="nil"/>
            </w:tcBorders>
          </w:tcPr>
          <w:p w:rsidR="009543DB" w:rsidRPr="00315D31" w:rsidRDefault="009543DB" w:rsidP="009543DB">
            <w:pPr>
              <w:spacing w:before="20" w:after="20"/>
              <w:rPr>
                <w:i/>
                <w:sz w:val="16"/>
              </w:rPr>
            </w:pPr>
            <w:r w:rsidRPr="00315D31">
              <w:rPr>
                <w:sz w:val="16"/>
              </w:rPr>
              <w:t>Satisfactory</w:t>
            </w:r>
          </w:p>
        </w:tc>
        <w:tc>
          <w:tcPr>
            <w:tcW w:w="1433" w:type="dxa"/>
            <w:tcBorders>
              <w:top w:val="single" w:sz="4" w:space="0" w:color="auto"/>
              <w:left w:val="nil"/>
              <w:bottom w:val="nil"/>
              <w:right w:val="nil"/>
            </w:tcBorders>
          </w:tcPr>
          <w:p w:rsidR="009543DB" w:rsidRPr="00315D31" w:rsidRDefault="009543DB" w:rsidP="009543DB">
            <w:pPr>
              <w:spacing w:before="20" w:after="20"/>
              <w:rPr>
                <w:sz w:val="16"/>
              </w:rPr>
            </w:pPr>
            <w:r w:rsidRPr="00315D31">
              <w:rPr>
                <w:rFonts w:cs="Arial"/>
                <w:color w:val="4BACC6" w:themeColor="accent5"/>
                <w:sz w:val="16"/>
              </w:rPr>
              <w:t>▬</w:t>
            </w:r>
          </w:p>
        </w:tc>
        <w:tc>
          <w:tcPr>
            <w:tcW w:w="1434" w:type="dxa"/>
            <w:tcBorders>
              <w:top w:val="single" w:sz="4" w:space="0" w:color="auto"/>
              <w:left w:val="nil"/>
              <w:bottom w:val="nil"/>
              <w:right w:val="nil"/>
            </w:tcBorders>
          </w:tcPr>
          <w:p w:rsidR="009543DB" w:rsidRPr="00315D31" w:rsidRDefault="009543DB" w:rsidP="009543DB">
            <w:pPr>
              <w:spacing w:before="20" w:after="20"/>
              <w:rPr>
                <w:sz w:val="16"/>
              </w:rPr>
            </w:pPr>
            <w:r w:rsidRPr="00315D31">
              <w:rPr>
                <w:rFonts w:cs="Arial"/>
                <w:color w:val="943634" w:themeColor="accent2" w:themeShade="BF"/>
                <w:sz w:val="16"/>
              </w:rPr>
              <w:t>▲</w:t>
            </w:r>
            <w:r w:rsidRPr="00315D31">
              <w:rPr>
                <w:rFonts w:cs="Arial"/>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275281" w:rsidRDefault="009543DB" w:rsidP="009543DB">
            <w:pPr>
              <w:spacing w:before="20" w:after="20"/>
              <w:rPr>
                <w:sz w:val="16"/>
              </w:rPr>
            </w:pPr>
            <w:r w:rsidRPr="00275281">
              <w:rPr>
                <w:sz w:val="16"/>
              </w:rPr>
              <w:t>Aerobridges standard</w:t>
            </w:r>
          </w:p>
        </w:tc>
        <w:tc>
          <w:tcPr>
            <w:tcW w:w="1701" w:type="dxa"/>
            <w:tcBorders>
              <w:top w:val="nil"/>
              <w:left w:val="nil"/>
              <w:bottom w:val="nil"/>
              <w:right w:val="nil"/>
            </w:tcBorders>
          </w:tcPr>
          <w:p w:rsidR="009543DB" w:rsidRPr="00275281" w:rsidRDefault="009543DB" w:rsidP="009543DB">
            <w:pPr>
              <w:spacing w:before="20" w:after="20"/>
              <w:rPr>
                <w:sz w:val="16"/>
              </w:rPr>
            </w:pPr>
            <w:r w:rsidRPr="00275281">
              <w:rPr>
                <w:sz w:val="16"/>
              </w:rPr>
              <w:t>Airline survey</w:t>
            </w:r>
          </w:p>
        </w:tc>
        <w:tc>
          <w:tcPr>
            <w:tcW w:w="1559" w:type="dxa"/>
            <w:tcBorders>
              <w:top w:val="nil"/>
              <w:left w:val="nil"/>
              <w:bottom w:val="nil"/>
              <w:right w:val="nil"/>
            </w:tcBorders>
          </w:tcPr>
          <w:p w:rsidR="009543DB" w:rsidRPr="00315D31" w:rsidRDefault="009543DB" w:rsidP="009543DB">
            <w:pPr>
              <w:spacing w:before="20" w:after="20"/>
              <w:rPr>
                <w:i/>
                <w:sz w:val="16"/>
              </w:rPr>
            </w:pPr>
            <w:r w:rsidRPr="00315D31">
              <w:rPr>
                <w:sz w:val="16"/>
              </w:rPr>
              <w:t>Satisfactory</w:t>
            </w:r>
          </w:p>
        </w:tc>
        <w:tc>
          <w:tcPr>
            <w:tcW w:w="1433" w:type="dxa"/>
            <w:tcBorders>
              <w:top w:val="nil"/>
              <w:left w:val="nil"/>
              <w:bottom w:val="nil"/>
              <w:right w:val="nil"/>
            </w:tcBorders>
          </w:tcPr>
          <w:p w:rsidR="009543DB" w:rsidRPr="00315D31" w:rsidRDefault="009543DB" w:rsidP="009543DB">
            <w:pPr>
              <w:spacing w:before="20" w:after="20"/>
              <w:rPr>
                <w:sz w:val="16"/>
              </w:rPr>
            </w:pPr>
            <w:r w:rsidRPr="00315D31">
              <w:rPr>
                <w:rFonts w:cs="Arial"/>
                <w:color w:val="4BACC6" w:themeColor="accent5"/>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315D31">
              <w:rPr>
                <w:rFonts w:cs="Arial"/>
                <w:color w:val="4BACC6" w:themeColor="accent5"/>
                <w:sz w:val="16"/>
              </w:rPr>
              <w:t>▬</w:t>
            </w:r>
          </w:p>
        </w:tc>
      </w:tr>
      <w:tr w:rsidR="009543DB" w:rsidRPr="00962FAF" w:rsidTr="009543DB">
        <w:tc>
          <w:tcPr>
            <w:tcW w:w="1243" w:type="dxa"/>
            <w:tcBorders>
              <w:top w:val="nil"/>
              <w:left w:val="nil"/>
              <w:bottom w:val="nil"/>
              <w:right w:val="nil"/>
            </w:tcBorders>
          </w:tcPr>
          <w:p w:rsidR="009543DB" w:rsidRPr="00962FAF" w:rsidRDefault="009543DB" w:rsidP="009543DB">
            <w:pPr>
              <w:spacing w:before="20" w:after="20"/>
              <w:rPr>
                <w:b/>
                <w:sz w:val="16"/>
                <w:highlight w:val="yellow"/>
              </w:rPr>
            </w:pPr>
          </w:p>
        </w:tc>
        <w:tc>
          <w:tcPr>
            <w:tcW w:w="6662" w:type="dxa"/>
            <w:tcBorders>
              <w:top w:val="nil"/>
              <w:left w:val="nil"/>
              <w:bottom w:val="nil"/>
              <w:right w:val="nil"/>
            </w:tcBorders>
          </w:tcPr>
          <w:p w:rsidR="009543DB" w:rsidRPr="00275281" w:rsidRDefault="009543DB" w:rsidP="009543DB">
            <w:pPr>
              <w:tabs>
                <w:tab w:val="left" w:pos="5272"/>
              </w:tabs>
              <w:spacing w:before="20" w:after="20"/>
              <w:rPr>
                <w:i/>
                <w:sz w:val="16"/>
              </w:rPr>
            </w:pPr>
            <w:r w:rsidRPr="00275281">
              <w:rPr>
                <w:i/>
                <w:sz w:val="16"/>
              </w:rPr>
              <w:t>Number of arriving domestic passengers per aerobridge (peak hour)</w:t>
            </w:r>
            <w:r w:rsidRPr="00275281">
              <w:rPr>
                <w:i/>
                <w:sz w:val="16"/>
              </w:rPr>
              <w:tab/>
            </w:r>
          </w:p>
        </w:tc>
        <w:tc>
          <w:tcPr>
            <w:tcW w:w="1701" w:type="dxa"/>
            <w:tcBorders>
              <w:top w:val="nil"/>
              <w:left w:val="nil"/>
              <w:bottom w:val="nil"/>
              <w:right w:val="nil"/>
            </w:tcBorders>
          </w:tcPr>
          <w:p w:rsidR="009543DB" w:rsidRPr="00275281" w:rsidRDefault="009543DB" w:rsidP="009543DB">
            <w:pPr>
              <w:spacing w:before="20" w:after="20"/>
              <w:rPr>
                <w:i/>
                <w:sz w:val="16"/>
              </w:rPr>
            </w:pPr>
            <w:r w:rsidRPr="00275281">
              <w:rPr>
                <w:i/>
                <w:sz w:val="16"/>
              </w:rPr>
              <w:t>Objective indicator</w:t>
            </w:r>
          </w:p>
        </w:tc>
        <w:tc>
          <w:tcPr>
            <w:tcW w:w="1559" w:type="dxa"/>
            <w:tcBorders>
              <w:top w:val="nil"/>
              <w:left w:val="nil"/>
              <w:bottom w:val="nil"/>
              <w:right w:val="nil"/>
            </w:tcBorders>
          </w:tcPr>
          <w:p w:rsidR="009543DB" w:rsidRPr="002530B8" w:rsidRDefault="009543DB" w:rsidP="009543DB">
            <w:pPr>
              <w:spacing w:before="20" w:after="20"/>
              <w:rPr>
                <w:i/>
                <w:sz w:val="16"/>
              </w:rPr>
            </w:pPr>
            <w:r w:rsidRPr="002530B8">
              <w:rPr>
                <w:i/>
                <w:sz w:val="16"/>
              </w:rPr>
              <w:t>66.4 passengers</w:t>
            </w:r>
          </w:p>
        </w:tc>
        <w:tc>
          <w:tcPr>
            <w:tcW w:w="1433" w:type="dxa"/>
            <w:tcBorders>
              <w:top w:val="nil"/>
              <w:left w:val="nil"/>
              <w:bottom w:val="nil"/>
              <w:right w:val="nil"/>
            </w:tcBorders>
          </w:tcPr>
          <w:p w:rsidR="009543DB" w:rsidRPr="00962FAF" w:rsidRDefault="009543DB" w:rsidP="009543DB">
            <w:pPr>
              <w:spacing w:before="20" w:after="20"/>
              <w:rPr>
                <w:sz w:val="16"/>
                <w:highlight w:val="yellow"/>
              </w:rPr>
            </w:pPr>
            <w:r w:rsidRPr="002530B8">
              <w:rPr>
                <w:rFonts w:cs="Arial"/>
                <w:color w:val="943634" w:themeColor="accent2" w:themeShade="BF"/>
                <w:sz w:val="16"/>
              </w:rPr>
              <w:t>▲</w:t>
            </w:r>
          </w:p>
        </w:tc>
        <w:tc>
          <w:tcPr>
            <w:tcW w:w="1434" w:type="dxa"/>
            <w:tcBorders>
              <w:top w:val="nil"/>
              <w:left w:val="nil"/>
              <w:bottom w:val="nil"/>
              <w:right w:val="nil"/>
            </w:tcBorders>
          </w:tcPr>
          <w:p w:rsidR="009543DB" w:rsidRPr="00962FAF" w:rsidRDefault="009543DB" w:rsidP="009543DB">
            <w:pPr>
              <w:spacing w:before="20" w:after="20"/>
              <w:rPr>
                <w:sz w:val="16"/>
                <w:highlight w:val="yellow"/>
              </w:rPr>
            </w:pPr>
            <w:r w:rsidRPr="002530B8">
              <w:rPr>
                <w:rFonts w:cs="Arial"/>
                <w:color w:val="943634" w:themeColor="accent2" w:themeShade="BF"/>
                <w:sz w:val="16"/>
              </w:rPr>
              <w:t>▲</w:t>
            </w:r>
          </w:p>
        </w:tc>
      </w:tr>
      <w:tr w:rsidR="009543DB" w:rsidRPr="00962FAF" w:rsidTr="009543DB">
        <w:tc>
          <w:tcPr>
            <w:tcW w:w="1243" w:type="dxa"/>
            <w:tcBorders>
              <w:top w:val="nil"/>
              <w:left w:val="nil"/>
              <w:bottom w:val="single" w:sz="4" w:space="0" w:color="auto"/>
              <w:right w:val="nil"/>
            </w:tcBorders>
          </w:tcPr>
          <w:p w:rsidR="009543DB" w:rsidRPr="00962FAF" w:rsidRDefault="009543DB" w:rsidP="009543DB">
            <w:pPr>
              <w:spacing w:before="20" w:after="20"/>
              <w:rPr>
                <w:b/>
                <w:sz w:val="16"/>
                <w:highlight w:val="yellow"/>
              </w:rPr>
            </w:pPr>
          </w:p>
        </w:tc>
        <w:tc>
          <w:tcPr>
            <w:tcW w:w="6662" w:type="dxa"/>
            <w:tcBorders>
              <w:top w:val="nil"/>
              <w:left w:val="nil"/>
              <w:bottom w:val="single" w:sz="4" w:space="0" w:color="auto"/>
              <w:right w:val="nil"/>
            </w:tcBorders>
          </w:tcPr>
          <w:p w:rsidR="009543DB" w:rsidRPr="00275281" w:rsidRDefault="009543DB" w:rsidP="009543DB">
            <w:pPr>
              <w:spacing w:before="20" w:after="20"/>
              <w:rPr>
                <w:i/>
                <w:sz w:val="16"/>
              </w:rPr>
            </w:pPr>
            <w:r w:rsidRPr="00275281">
              <w:rPr>
                <w:i/>
                <w:sz w:val="16"/>
              </w:rPr>
              <w:t>Number of departing domestic passengers per aerobridge (peak hour)</w:t>
            </w:r>
          </w:p>
        </w:tc>
        <w:tc>
          <w:tcPr>
            <w:tcW w:w="1701" w:type="dxa"/>
            <w:tcBorders>
              <w:top w:val="nil"/>
              <w:left w:val="nil"/>
              <w:bottom w:val="single" w:sz="4" w:space="0" w:color="auto"/>
              <w:right w:val="nil"/>
            </w:tcBorders>
          </w:tcPr>
          <w:p w:rsidR="009543DB" w:rsidRPr="00275281" w:rsidRDefault="009543DB" w:rsidP="009543DB">
            <w:pPr>
              <w:spacing w:before="20" w:after="20"/>
              <w:rPr>
                <w:i/>
                <w:sz w:val="16"/>
              </w:rPr>
            </w:pPr>
            <w:r w:rsidRPr="00275281">
              <w:rPr>
                <w:i/>
                <w:sz w:val="16"/>
              </w:rPr>
              <w:t>Objective indicator</w:t>
            </w:r>
          </w:p>
        </w:tc>
        <w:tc>
          <w:tcPr>
            <w:tcW w:w="1559" w:type="dxa"/>
            <w:tcBorders>
              <w:top w:val="nil"/>
              <w:left w:val="nil"/>
              <w:bottom w:val="single" w:sz="4" w:space="0" w:color="auto"/>
              <w:right w:val="nil"/>
            </w:tcBorders>
          </w:tcPr>
          <w:p w:rsidR="009543DB" w:rsidRPr="002530B8" w:rsidRDefault="009543DB" w:rsidP="009543DB">
            <w:pPr>
              <w:spacing w:before="20" w:after="20"/>
              <w:rPr>
                <w:i/>
                <w:sz w:val="16"/>
              </w:rPr>
            </w:pPr>
            <w:r w:rsidRPr="002530B8">
              <w:rPr>
                <w:i/>
                <w:sz w:val="16"/>
              </w:rPr>
              <w:t>73.4 passengers</w:t>
            </w:r>
          </w:p>
        </w:tc>
        <w:tc>
          <w:tcPr>
            <w:tcW w:w="1433" w:type="dxa"/>
            <w:tcBorders>
              <w:top w:val="nil"/>
              <w:left w:val="nil"/>
              <w:bottom w:val="single" w:sz="4" w:space="0" w:color="auto"/>
              <w:right w:val="nil"/>
            </w:tcBorders>
          </w:tcPr>
          <w:p w:rsidR="009543DB" w:rsidRPr="002530B8" w:rsidRDefault="009543DB" w:rsidP="009543DB">
            <w:pPr>
              <w:spacing w:before="20" w:after="20"/>
              <w:rPr>
                <w:sz w:val="16"/>
              </w:rPr>
            </w:pPr>
            <w:r w:rsidRPr="002530B8">
              <w:rPr>
                <w:rFonts w:cs="Arial"/>
                <w:color w:val="F79646" w:themeColor="accent6"/>
                <w:sz w:val="16"/>
              </w:rPr>
              <w:t>▼</w:t>
            </w:r>
          </w:p>
        </w:tc>
        <w:tc>
          <w:tcPr>
            <w:tcW w:w="1434" w:type="dxa"/>
            <w:tcBorders>
              <w:top w:val="nil"/>
              <w:left w:val="nil"/>
              <w:bottom w:val="single" w:sz="4" w:space="0" w:color="auto"/>
              <w:right w:val="nil"/>
            </w:tcBorders>
          </w:tcPr>
          <w:p w:rsidR="009543DB" w:rsidRPr="00962FAF" w:rsidRDefault="009543DB" w:rsidP="009543DB">
            <w:pPr>
              <w:spacing w:before="20" w:after="20"/>
              <w:rPr>
                <w:sz w:val="16"/>
                <w:highlight w:val="yellow"/>
              </w:rPr>
            </w:pPr>
            <w:r w:rsidRPr="002530B8">
              <w:rPr>
                <w:rFonts w:cs="Arial"/>
                <w:color w:val="943634" w:themeColor="accent2" w:themeShade="BF"/>
                <w:sz w:val="16"/>
              </w:rPr>
              <w:t>▲</w:t>
            </w:r>
          </w:p>
        </w:tc>
      </w:tr>
      <w:tr w:rsidR="009543DB" w:rsidRPr="00962FAF" w:rsidTr="009543DB">
        <w:tc>
          <w:tcPr>
            <w:tcW w:w="1243" w:type="dxa"/>
            <w:tcBorders>
              <w:top w:val="single" w:sz="4" w:space="0" w:color="auto"/>
              <w:left w:val="nil"/>
              <w:bottom w:val="nil"/>
              <w:right w:val="nil"/>
            </w:tcBorders>
          </w:tcPr>
          <w:p w:rsidR="009543DB" w:rsidRPr="00B42F46" w:rsidRDefault="009543DB" w:rsidP="009543DB">
            <w:pPr>
              <w:spacing w:before="20" w:after="20"/>
              <w:rPr>
                <w:b/>
                <w:sz w:val="16"/>
              </w:rPr>
            </w:pPr>
            <w:r w:rsidRPr="00B42F46">
              <w:rPr>
                <w:b/>
                <w:sz w:val="16"/>
              </w:rPr>
              <w:t>Security</w:t>
            </w:r>
          </w:p>
        </w:tc>
        <w:tc>
          <w:tcPr>
            <w:tcW w:w="6662"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Quality of security search process</w:t>
            </w:r>
          </w:p>
        </w:tc>
        <w:tc>
          <w:tcPr>
            <w:tcW w:w="1701" w:type="dxa"/>
            <w:tcBorders>
              <w:top w:val="single" w:sz="4" w:space="0" w:color="auto"/>
              <w:left w:val="nil"/>
              <w:bottom w:val="nil"/>
              <w:right w:val="nil"/>
            </w:tcBorders>
          </w:tcPr>
          <w:p w:rsidR="009543DB" w:rsidRPr="005169D2" w:rsidRDefault="009543DB" w:rsidP="009543DB">
            <w:pPr>
              <w:spacing w:before="20" w:after="20"/>
              <w:rPr>
                <w:sz w:val="16"/>
              </w:rPr>
            </w:pPr>
            <w:r w:rsidRPr="005169D2">
              <w:rPr>
                <w:sz w:val="16"/>
              </w:rPr>
              <w:t>Passenger survey</w:t>
            </w:r>
          </w:p>
        </w:tc>
        <w:tc>
          <w:tcPr>
            <w:tcW w:w="1559" w:type="dxa"/>
            <w:tcBorders>
              <w:top w:val="single" w:sz="4" w:space="0" w:color="auto"/>
              <w:left w:val="nil"/>
              <w:bottom w:val="nil"/>
              <w:right w:val="nil"/>
            </w:tcBorders>
          </w:tcPr>
          <w:p w:rsidR="009543DB" w:rsidRPr="00B42F46" w:rsidRDefault="009543DB" w:rsidP="009543DB">
            <w:pPr>
              <w:spacing w:before="20" w:after="20"/>
              <w:rPr>
                <w:sz w:val="16"/>
              </w:rPr>
            </w:pPr>
            <w:r w:rsidRPr="00B42F46">
              <w:rPr>
                <w:sz w:val="16"/>
              </w:rPr>
              <w:t>Good</w:t>
            </w:r>
          </w:p>
        </w:tc>
        <w:tc>
          <w:tcPr>
            <w:tcW w:w="1433" w:type="dxa"/>
            <w:tcBorders>
              <w:top w:val="single" w:sz="4" w:space="0" w:color="auto"/>
              <w:left w:val="nil"/>
              <w:bottom w:val="nil"/>
              <w:right w:val="nil"/>
            </w:tcBorders>
          </w:tcPr>
          <w:p w:rsidR="009543DB" w:rsidRPr="00B42F46" w:rsidRDefault="009543DB" w:rsidP="009543DB">
            <w:pPr>
              <w:spacing w:before="20" w:after="20"/>
              <w:rPr>
                <w:sz w:val="16"/>
              </w:rPr>
            </w:pPr>
            <w:r w:rsidRPr="00B42F46">
              <w:rPr>
                <w:rFonts w:cs="Arial"/>
                <w:color w:val="4BACC6" w:themeColor="accent5"/>
                <w:sz w:val="16"/>
              </w:rPr>
              <w:t>▬</w:t>
            </w:r>
          </w:p>
        </w:tc>
        <w:tc>
          <w:tcPr>
            <w:tcW w:w="1434" w:type="dxa"/>
            <w:tcBorders>
              <w:top w:val="single" w:sz="4" w:space="0" w:color="auto"/>
              <w:left w:val="nil"/>
              <w:bottom w:val="nil"/>
              <w:right w:val="nil"/>
            </w:tcBorders>
          </w:tcPr>
          <w:p w:rsidR="009543DB" w:rsidRPr="00B42F46" w:rsidRDefault="009543DB" w:rsidP="009543DB">
            <w:pPr>
              <w:spacing w:before="20" w:after="20"/>
              <w:rPr>
                <w:sz w:val="16"/>
              </w:rPr>
            </w:pPr>
            <w:r w:rsidRPr="00B42F46">
              <w:rPr>
                <w:rFonts w:cs="Arial"/>
                <w:color w:val="943634" w:themeColor="accent2" w:themeShade="BF"/>
                <w:sz w:val="16"/>
              </w:rPr>
              <w:t>▲</w:t>
            </w:r>
          </w:p>
        </w:tc>
      </w:tr>
      <w:tr w:rsidR="009543DB" w:rsidRPr="00962FAF" w:rsidTr="009543DB">
        <w:tc>
          <w:tcPr>
            <w:tcW w:w="1243" w:type="dxa"/>
            <w:tcBorders>
              <w:top w:val="nil"/>
              <w:left w:val="nil"/>
              <w:right w:val="nil"/>
            </w:tcBorders>
          </w:tcPr>
          <w:p w:rsidR="009543DB" w:rsidRPr="00962FAF" w:rsidRDefault="009543DB" w:rsidP="009543DB">
            <w:pPr>
              <w:spacing w:before="20" w:after="20"/>
              <w:rPr>
                <w:b/>
                <w:sz w:val="16"/>
                <w:highlight w:val="yellow"/>
              </w:rPr>
            </w:pPr>
          </w:p>
        </w:tc>
        <w:tc>
          <w:tcPr>
            <w:tcW w:w="6662" w:type="dxa"/>
            <w:tcBorders>
              <w:top w:val="nil"/>
              <w:left w:val="nil"/>
              <w:right w:val="nil"/>
            </w:tcBorders>
          </w:tcPr>
          <w:p w:rsidR="009543DB" w:rsidRPr="005169D2" w:rsidRDefault="009543DB" w:rsidP="009543DB">
            <w:pPr>
              <w:spacing w:before="20" w:after="20"/>
              <w:rPr>
                <w:i/>
                <w:sz w:val="16"/>
              </w:rPr>
            </w:pPr>
            <w:r w:rsidRPr="005169D2">
              <w:rPr>
                <w:i/>
                <w:sz w:val="16"/>
              </w:rPr>
              <w:t>Number of departing passengers per security clearance system (peak hour)</w:t>
            </w:r>
          </w:p>
        </w:tc>
        <w:tc>
          <w:tcPr>
            <w:tcW w:w="1701" w:type="dxa"/>
            <w:tcBorders>
              <w:top w:val="nil"/>
              <w:left w:val="nil"/>
              <w:right w:val="nil"/>
            </w:tcBorders>
          </w:tcPr>
          <w:p w:rsidR="009543DB" w:rsidRPr="005169D2" w:rsidRDefault="009543DB" w:rsidP="009543DB">
            <w:pPr>
              <w:spacing w:before="20" w:after="20"/>
              <w:rPr>
                <w:i/>
                <w:sz w:val="16"/>
              </w:rPr>
            </w:pPr>
            <w:r w:rsidRPr="005169D2">
              <w:rPr>
                <w:i/>
                <w:sz w:val="16"/>
              </w:rPr>
              <w:t>Objective indicator</w:t>
            </w:r>
          </w:p>
        </w:tc>
        <w:tc>
          <w:tcPr>
            <w:tcW w:w="1559" w:type="dxa"/>
            <w:tcBorders>
              <w:top w:val="nil"/>
              <w:left w:val="nil"/>
              <w:right w:val="nil"/>
            </w:tcBorders>
          </w:tcPr>
          <w:p w:rsidR="009543DB" w:rsidRPr="002530B8" w:rsidRDefault="009543DB" w:rsidP="009543DB">
            <w:pPr>
              <w:spacing w:before="20" w:after="20"/>
              <w:rPr>
                <w:i/>
                <w:sz w:val="16"/>
              </w:rPr>
            </w:pPr>
            <w:r w:rsidRPr="002530B8">
              <w:rPr>
                <w:i/>
                <w:sz w:val="16"/>
              </w:rPr>
              <w:t>91.8 passengers</w:t>
            </w:r>
          </w:p>
        </w:tc>
        <w:tc>
          <w:tcPr>
            <w:tcW w:w="1433" w:type="dxa"/>
            <w:tcBorders>
              <w:top w:val="nil"/>
              <w:left w:val="nil"/>
              <w:right w:val="nil"/>
            </w:tcBorders>
          </w:tcPr>
          <w:p w:rsidR="009543DB" w:rsidRPr="002530B8" w:rsidRDefault="009543DB" w:rsidP="009543DB">
            <w:pPr>
              <w:spacing w:before="20" w:after="20"/>
              <w:rPr>
                <w:sz w:val="16"/>
              </w:rPr>
            </w:pPr>
            <w:r w:rsidRPr="002530B8">
              <w:rPr>
                <w:rFonts w:cs="Arial"/>
                <w:color w:val="F79646" w:themeColor="accent6"/>
                <w:sz w:val="16"/>
              </w:rPr>
              <w:t>▼</w:t>
            </w:r>
          </w:p>
        </w:tc>
        <w:tc>
          <w:tcPr>
            <w:tcW w:w="1434" w:type="dxa"/>
            <w:tcBorders>
              <w:top w:val="nil"/>
              <w:left w:val="nil"/>
              <w:right w:val="nil"/>
            </w:tcBorders>
          </w:tcPr>
          <w:p w:rsidR="009543DB" w:rsidRPr="00962FAF" w:rsidRDefault="009543DB" w:rsidP="009543DB">
            <w:pPr>
              <w:spacing w:before="20" w:after="20"/>
              <w:rPr>
                <w:sz w:val="16"/>
                <w:highlight w:val="yellow"/>
              </w:rPr>
            </w:pPr>
            <w:r w:rsidRPr="00B42F46">
              <w:rPr>
                <w:rFonts w:cs="Arial"/>
                <w:color w:val="943634" w:themeColor="accent2" w:themeShade="BF"/>
                <w:sz w:val="16"/>
              </w:rPr>
              <w:t>▲</w:t>
            </w:r>
          </w:p>
        </w:tc>
      </w:tr>
    </w:tbl>
    <w:p w:rsidR="009543DB" w:rsidRDefault="009543DB" w:rsidP="009543DB">
      <w:pPr>
        <w:pStyle w:val="Sourceandnotes"/>
        <w:sectPr w:rsidR="009543DB" w:rsidSect="009543DB">
          <w:headerReference w:type="default" r:id="rId138"/>
          <w:footnotePr>
            <w:numStart w:val="93"/>
          </w:footnotePr>
          <w:pgSz w:w="16838" w:h="11906" w:orient="landscape"/>
          <w:pgMar w:top="1729" w:right="1440" w:bottom="1729" w:left="1582" w:header="709" w:footer="709" w:gutter="0"/>
          <w:cols w:space="708"/>
          <w:docGrid w:linePitch="360"/>
        </w:sectPr>
      </w:pPr>
      <w:r w:rsidRPr="00962FAF">
        <w:t>Notes:</w:t>
      </w:r>
      <w:r w:rsidRPr="00962FAF">
        <w:tab/>
        <w:t xml:space="preserve">The rating categories are: very poor, poor, satisfactory, good, and excellent.  For each indicator for the period specified: </w:t>
      </w:r>
      <w:r w:rsidRPr="00962FAF">
        <w:rPr>
          <w:rFonts w:eastAsia="Times New Roman" w:cs="Times New Roman"/>
          <w:color w:val="943634"/>
          <w:szCs w:val="24"/>
          <w:lang w:eastAsia="en-AU"/>
        </w:rPr>
        <w:t>▲</w:t>
      </w:r>
      <w:r w:rsidRPr="00962FAF">
        <w:rPr>
          <w:rFonts w:eastAsia="Times New Roman" w:cs="Times New Roman"/>
          <w:color w:val="943634"/>
          <w:sz w:val="18"/>
          <w:szCs w:val="24"/>
          <w:lang w:eastAsia="en-AU"/>
        </w:rPr>
        <w:t xml:space="preserve"> </w:t>
      </w:r>
      <w:r w:rsidRPr="00962FAF">
        <w:t>indicates an improvement;</w:t>
      </w:r>
      <w:r w:rsidRPr="00962FAF">
        <w:rPr>
          <w:rFonts w:eastAsia="Times New Roman" w:cs="Times New Roman"/>
          <w:color w:val="943634"/>
          <w:sz w:val="18"/>
          <w:szCs w:val="24"/>
          <w:lang w:eastAsia="en-AU"/>
        </w:rPr>
        <w:t xml:space="preserve"> </w:t>
      </w:r>
      <w:r w:rsidRPr="00962FAF">
        <w:rPr>
          <w:rFonts w:eastAsia="Times New Roman" w:cs="Times New Roman"/>
          <w:color w:val="F79646"/>
          <w:szCs w:val="24"/>
          <w:lang w:eastAsia="en-AU"/>
        </w:rPr>
        <w:t xml:space="preserve">▼ </w:t>
      </w:r>
      <w:r w:rsidRPr="00962FAF">
        <w:t>indicates a decline;</w:t>
      </w:r>
      <w:r w:rsidRPr="00962FAF">
        <w:rPr>
          <w:rFonts w:eastAsia="Times New Roman" w:cs="Times New Roman"/>
          <w:color w:val="F79646"/>
          <w:szCs w:val="24"/>
          <w:lang w:eastAsia="en-AU"/>
        </w:rPr>
        <w:t xml:space="preserve"> </w:t>
      </w:r>
      <w:r w:rsidRPr="00962FAF">
        <w:rPr>
          <w:rFonts w:cs="Arial"/>
          <w:color w:val="4BACC6"/>
        </w:rPr>
        <w:t>▬</w:t>
      </w:r>
      <w:r w:rsidRPr="00962FAF">
        <w:t xml:space="preserve"> indicates no change. *Rating changed by a category over the period. </w:t>
      </w:r>
    </w:p>
    <w:p w:rsidR="009543DB" w:rsidRDefault="009543DB" w:rsidP="00114E05">
      <w:pPr>
        <w:pStyle w:val="Numberedheading2"/>
      </w:pPr>
      <w:r>
        <w:lastRenderedPageBreak/>
        <w:t>Car parking services monitoring results</w:t>
      </w:r>
    </w:p>
    <w:p w:rsidR="009543DB" w:rsidRDefault="009543DB" w:rsidP="009543DB">
      <w:r w:rsidRPr="00EF5E46">
        <w:t xml:space="preserve">This section assesses </w:t>
      </w:r>
      <w:r>
        <w:t>Perth</w:t>
      </w:r>
      <w:r w:rsidRPr="00EF5E46">
        <w:t xml:space="preserve"> Airport’s car parking and landside services and facilities. </w:t>
      </w:r>
      <w:r>
        <w:t>It</w:t>
      </w:r>
      <w:r w:rsidRPr="00EF5E46">
        <w:t xml:space="preserve"> cover</w:t>
      </w:r>
      <w:r>
        <w:t>s</w:t>
      </w:r>
      <w:r w:rsidRPr="00EF5E46">
        <w:t xml:space="preserve"> car park pricing, revenues and margins</w:t>
      </w:r>
      <w:r>
        <w:t>,</w:t>
      </w:r>
      <w:r w:rsidRPr="00EF5E46">
        <w:t xml:space="preserve"> and quality of service outcomes.</w:t>
      </w:r>
    </w:p>
    <w:p w:rsidR="009543DB" w:rsidRDefault="009543DB" w:rsidP="009543DB">
      <w:pPr>
        <w:pStyle w:val="Numberedheading3"/>
      </w:pPr>
      <w:r>
        <w:t>Activity</w:t>
      </w:r>
    </w:p>
    <w:p w:rsidR="009543DB" w:rsidRDefault="009543DB" w:rsidP="009543DB">
      <w:r>
        <w:t>Table 4.4.1 outlines the number of car parking spaces available and the throughput of car parking facilities at Perth Airport from 2004</w:t>
      </w:r>
      <w:r>
        <w:noBreakHyphen/>
        <w:t>05 to 2014</w:t>
      </w:r>
      <w:r>
        <w:noBreakHyphen/>
        <w:t>15</w:t>
      </w:r>
    </w:p>
    <w:p w:rsidR="009543DB" w:rsidRDefault="009543DB" w:rsidP="009543DB">
      <w:r>
        <w:t xml:space="preserve">The total number of car parking spaces at Perth Airport increased by 16.7 per cent to 22 166 spaces during 2014-15. This increase was driven by the expansion of long term parking in the T1/T2 precinct which grew by 47.0 per cent to 9367 car park spaces. Short term spaces in the same precinct grew by 18.5 per cent to 1357 spaces during 2014-15. </w:t>
      </w:r>
    </w:p>
    <w:p w:rsidR="009543DB" w:rsidRDefault="009543DB" w:rsidP="009543DB">
      <w:proofErr w:type="gramStart"/>
      <w:r>
        <w:t>The average daily throughput of all car park facilities at Perth Airport declined by 1.6 per cent to 6061 cars during 2014-15.</w:t>
      </w:r>
      <w:proofErr w:type="gramEnd"/>
      <w:r>
        <w:t xml:space="preserve"> For the second consecutive year, both T3/T4 car parks had declines in daily throughput. T3/T4 short term car park declined by 5.1 per cent to 945 cars and the long term car park declined by 4.9 per cent to 2394 cars. </w:t>
      </w:r>
    </w:p>
    <w:p w:rsidR="009543DB" w:rsidRDefault="009543DB" w:rsidP="009543DB">
      <w:pPr>
        <w:sectPr w:rsidR="009543DB" w:rsidSect="009543DB">
          <w:footnotePr>
            <w:numStart w:val="93"/>
          </w:footnotePr>
          <w:pgSz w:w="11906" w:h="16838"/>
          <w:pgMar w:top="1440" w:right="1729" w:bottom="1582" w:left="1729" w:header="709" w:footer="709" w:gutter="0"/>
          <w:cols w:space="708"/>
          <w:docGrid w:linePitch="360"/>
        </w:sectPr>
      </w:pPr>
    </w:p>
    <w:p w:rsidR="009543DB" w:rsidRDefault="009543DB" w:rsidP="009543DB">
      <w:pPr>
        <w:pStyle w:val="Numberedcharttitle"/>
      </w:pPr>
      <w:r>
        <w:lastRenderedPageBreak/>
        <w:t>Table 4.4.1:</w:t>
      </w:r>
      <w:r>
        <w:tab/>
        <w:t>Perth Airport—number of car park spaces and average daily throughput: 2004-05 to 2014-15</w:t>
      </w: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9543DB" w:rsidTr="009543DB">
        <w:tc>
          <w:tcPr>
            <w:tcW w:w="1214" w:type="dxa"/>
            <w:tcBorders>
              <w:left w:val="nil"/>
              <w:bottom w:val="single" w:sz="4" w:space="0" w:color="auto"/>
              <w:right w:val="nil"/>
            </w:tcBorders>
            <w:shd w:val="clear" w:color="auto" w:fill="DFE0DC"/>
          </w:tcPr>
          <w:p w:rsidR="009543DB" w:rsidRDefault="009543DB" w:rsidP="009543DB">
            <w:pPr>
              <w:pStyle w:val="Tabletextleft"/>
            </w:pPr>
          </w:p>
        </w:tc>
        <w:tc>
          <w:tcPr>
            <w:tcW w:w="2296" w:type="dxa"/>
            <w:tcBorders>
              <w:left w:val="nil"/>
              <w:bottom w:val="single" w:sz="4" w:space="0" w:color="auto"/>
              <w:right w:val="nil"/>
            </w:tcBorders>
            <w:shd w:val="clear" w:color="auto" w:fill="DFE0DC"/>
          </w:tcPr>
          <w:p w:rsidR="009543DB" w:rsidRDefault="009543DB" w:rsidP="009543DB">
            <w:pPr>
              <w:pStyle w:val="Tabletextleft"/>
            </w:pP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2004-05</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2005-06</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2006-07</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2007-08</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2008-09</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2009-10</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2010-11</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2011-12</w:t>
            </w:r>
          </w:p>
        </w:tc>
        <w:tc>
          <w:tcPr>
            <w:tcW w:w="956" w:type="dxa"/>
            <w:tcBorders>
              <w:left w:val="nil"/>
              <w:bottom w:val="single" w:sz="4" w:space="0" w:color="auto"/>
              <w:right w:val="nil"/>
            </w:tcBorders>
            <w:shd w:val="clear" w:color="auto" w:fill="DFE0DC"/>
          </w:tcPr>
          <w:p w:rsidR="009543DB" w:rsidRDefault="009543DB" w:rsidP="009543DB">
            <w:pPr>
              <w:pStyle w:val="Tabletextheadingright"/>
            </w:pPr>
            <w:r>
              <w:t>2012-13</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2013-14</w:t>
            </w:r>
          </w:p>
        </w:tc>
        <w:tc>
          <w:tcPr>
            <w:tcW w:w="957" w:type="dxa"/>
            <w:tcBorders>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1214" w:type="dxa"/>
            <w:vMerge w:val="restart"/>
            <w:tcBorders>
              <w:left w:val="nil"/>
              <w:right w:val="nil"/>
            </w:tcBorders>
            <w:vAlign w:val="center"/>
          </w:tcPr>
          <w:p w:rsidR="009543DB" w:rsidRDefault="009543DB" w:rsidP="009543DB">
            <w:pPr>
              <w:pStyle w:val="Tabletextheadingcentre"/>
            </w:pPr>
            <w:r>
              <w:t>Number of car park spaces</w:t>
            </w:r>
          </w:p>
        </w:tc>
        <w:tc>
          <w:tcPr>
            <w:tcW w:w="2296" w:type="dxa"/>
            <w:tcBorders>
              <w:left w:val="nil"/>
              <w:right w:val="nil"/>
            </w:tcBorders>
          </w:tcPr>
          <w:p w:rsidR="009543DB" w:rsidRDefault="009543DB" w:rsidP="009543DB">
            <w:pPr>
              <w:pStyle w:val="Tabletextleft"/>
            </w:pPr>
            <w:r>
              <w:t>T3/T4 short-term</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645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207 </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207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377 </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377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719 </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719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769 </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714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714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714 </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T3/T4 long-term</w:t>
            </w:r>
          </w:p>
        </w:tc>
        <w:tc>
          <w:tcPr>
            <w:tcW w:w="956" w:type="dxa"/>
            <w:tcBorders>
              <w:left w:val="nil"/>
              <w:right w:val="nil"/>
            </w:tcBorders>
          </w:tcPr>
          <w:p w:rsidR="009543DB" w:rsidRPr="003046A9" w:rsidRDefault="009543DB" w:rsidP="009543DB">
            <w:pPr>
              <w:pStyle w:val="Tabletextright"/>
            </w:pPr>
            <w:r w:rsidRPr="003046A9">
              <w:t xml:space="preserve"> 614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542 </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907 </w:t>
            </w:r>
          </w:p>
        </w:tc>
        <w:tc>
          <w:tcPr>
            <w:tcW w:w="957" w:type="dxa"/>
            <w:tcBorders>
              <w:left w:val="nil"/>
              <w:right w:val="nil"/>
            </w:tcBorders>
          </w:tcPr>
          <w:p w:rsidR="009543DB" w:rsidRPr="003046A9" w:rsidRDefault="009543DB" w:rsidP="009543DB">
            <w:pPr>
              <w:pStyle w:val="Tabletextright"/>
            </w:pPr>
            <w:r w:rsidRPr="003046A9">
              <w:t xml:space="preserve"> 3</w:t>
            </w:r>
            <w:r>
              <w:t xml:space="preserve"> </w:t>
            </w:r>
            <w:r w:rsidRPr="003046A9">
              <w:t xml:space="preserve">997 </w:t>
            </w:r>
          </w:p>
        </w:tc>
        <w:tc>
          <w:tcPr>
            <w:tcW w:w="956" w:type="dxa"/>
            <w:tcBorders>
              <w:left w:val="nil"/>
              <w:right w:val="nil"/>
            </w:tcBorders>
          </w:tcPr>
          <w:p w:rsidR="009543DB" w:rsidRPr="003046A9" w:rsidRDefault="009543DB" w:rsidP="009543DB">
            <w:pPr>
              <w:pStyle w:val="Tabletextright"/>
            </w:pPr>
            <w:r w:rsidRPr="003046A9">
              <w:t xml:space="preserve"> 5</w:t>
            </w:r>
            <w:r>
              <w:t xml:space="preserve"> </w:t>
            </w:r>
            <w:r w:rsidRPr="003046A9">
              <w:t xml:space="preserve">670 </w:t>
            </w:r>
          </w:p>
        </w:tc>
        <w:tc>
          <w:tcPr>
            <w:tcW w:w="957" w:type="dxa"/>
            <w:tcBorders>
              <w:left w:val="nil"/>
              <w:right w:val="nil"/>
            </w:tcBorders>
          </w:tcPr>
          <w:p w:rsidR="009543DB" w:rsidRPr="003046A9" w:rsidRDefault="009543DB" w:rsidP="009543DB">
            <w:pPr>
              <w:pStyle w:val="Tabletextright"/>
            </w:pPr>
            <w:r w:rsidRPr="003046A9">
              <w:t xml:space="preserve"> 6</w:t>
            </w:r>
            <w:r>
              <w:t xml:space="preserve"> </w:t>
            </w:r>
            <w:r w:rsidRPr="003046A9">
              <w:t xml:space="preserve">055 </w:t>
            </w:r>
          </w:p>
        </w:tc>
        <w:tc>
          <w:tcPr>
            <w:tcW w:w="956" w:type="dxa"/>
            <w:tcBorders>
              <w:left w:val="nil"/>
              <w:right w:val="nil"/>
            </w:tcBorders>
          </w:tcPr>
          <w:p w:rsidR="009543DB" w:rsidRPr="003046A9" w:rsidRDefault="009543DB" w:rsidP="009543DB">
            <w:pPr>
              <w:pStyle w:val="Tabletextright"/>
            </w:pPr>
            <w:r w:rsidRPr="003046A9">
              <w:t xml:space="preserve"> 7</w:t>
            </w:r>
            <w:r>
              <w:t xml:space="preserve"> </w:t>
            </w:r>
            <w:r w:rsidRPr="003046A9">
              <w:t xml:space="preserve">082 </w:t>
            </w:r>
          </w:p>
        </w:tc>
        <w:tc>
          <w:tcPr>
            <w:tcW w:w="957" w:type="dxa"/>
            <w:tcBorders>
              <w:left w:val="nil"/>
              <w:right w:val="nil"/>
            </w:tcBorders>
          </w:tcPr>
          <w:p w:rsidR="009543DB" w:rsidRPr="003046A9" w:rsidRDefault="009543DB" w:rsidP="009543DB">
            <w:pPr>
              <w:pStyle w:val="Tabletextright"/>
            </w:pPr>
            <w:r w:rsidRPr="003046A9">
              <w:t xml:space="preserve"> 8</w:t>
            </w:r>
            <w:r>
              <w:t xml:space="preserve"> </w:t>
            </w:r>
            <w:r w:rsidRPr="003046A9">
              <w:t xml:space="preserve">485 </w:t>
            </w:r>
          </w:p>
        </w:tc>
        <w:tc>
          <w:tcPr>
            <w:tcW w:w="956" w:type="dxa"/>
            <w:tcBorders>
              <w:left w:val="nil"/>
              <w:right w:val="nil"/>
            </w:tcBorders>
          </w:tcPr>
          <w:p w:rsidR="009543DB" w:rsidRPr="003046A9" w:rsidRDefault="009543DB" w:rsidP="009543DB">
            <w:pPr>
              <w:pStyle w:val="Tabletextright"/>
            </w:pPr>
            <w:r w:rsidRPr="003046A9">
              <w:t xml:space="preserve"> 8</w:t>
            </w:r>
            <w:r>
              <w:t xml:space="preserve"> </w:t>
            </w:r>
            <w:r w:rsidRPr="003046A9">
              <w:t xml:space="preserve">796 </w:t>
            </w:r>
          </w:p>
        </w:tc>
        <w:tc>
          <w:tcPr>
            <w:tcW w:w="957" w:type="dxa"/>
            <w:tcBorders>
              <w:left w:val="nil"/>
              <w:right w:val="nil"/>
            </w:tcBorders>
          </w:tcPr>
          <w:p w:rsidR="009543DB" w:rsidRPr="003046A9" w:rsidRDefault="009543DB" w:rsidP="009543DB">
            <w:pPr>
              <w:pStyle w:val="Tabletextright"/>
            </w:pPr>
            <w:r w:rsidRPr="003046A9">
              <w:t xml:space="preserve"> 8</w:t>
            </w:r>
            <w:r>
              <w:t xml:space="preserve"> </w:t>
            </w:r>
            <w:r w:rsidRPr="003046A9">
              <w:t xml:space="preserve">796 </w:t>
            </w:r>
          </w:p>
        </w:tc>
        <w:tc>
          <w:tcPr>
            <w:tcW w:w="957" w:type="dxa"/>
            <w:tcBorders>
              <w:left w:val="nil"/>
              <w:right w:val="nil"/>
            </w:tcBorders>
          </w:tcPr>
          <w:p w:rsidR="009543DB" w:rsidRPr="003046A9" w:rsidRDefault="009543DB" w:rsidP="009543DB">
            <w:pPr>
              <w:pStyle w:val="Tabletextright"/>
            </w:pPr>
            <w:r w:rsidRPr="003046A9">
              <w:t xml:space="preserve"> 8</w:t>
            </w:r>
            <w:r>
              <w:t xml:space="preserve"> </w:t>
            </w:r>
            <w:r w:rsidRPr="003046A9">
              <w:t xml:space="preserve">756 </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T1/T2 short-term</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077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007 </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007 </w:t>
            </w:r>
          </w:p>
        </w:tc>
        <w:tc>
          <w:tcPr>
            <w:tcW w:w="957" w:type="dxa"/>
            <w:tcBorders>
              <w:left w:val="nil"/>
              <w:right w:val="nil"/>
            </w:tcBorders>
          </w:tcPr>
          <w:p w:rsidR="009543DB" w:rsidRPr="003046A9" w:rsidRDefault="009543DB" w:rsidP="009543DB">
            <w:pPr>
              <w:pStyle w:val="Tabletextright"/>
            </w:pPr>
            <w:r w:rsidRPr="003046A9">
              <w:t xml:space="preserve"> 663 </w:t>
            </w:r>
          </w:p>
        </w:tc>
        <w:tc>
          <w:tcPr>
            <w:tcW w:w="956" w:type="dxa"/>
            <w:tcBorders>
              <w:left w:val="nil"/>
              <w:right w:val="nil"/>
            </w:tcBorders>
          </w:tcPr>
          <w:p w:rsidR="009543DB" w:rsidRPr="003046A9" w:rsidRDefault="009543DB" w:rsidP="009543DB">
            <w:pPr>
              <w:pStyle w:val="Tabletextright"/>
            </w:pPr>
            <w:r w:rsidRPr="003046A9">
              <w:t xml:space="preserve"> 663 </w:t>
            </w:r>
          </w:p>
        </w:tc>
        <w:tc>
          <w:tcPr>
            <w:tcW w:w="957" w:type="dxa"/>
            <w:tcBorders>
              <w:left w:val="nil"/>
              <w:right w:val="nil"/>
            </w:tcBorders>
          </w:tcPr>
          <w:p w:rsidR="009543DB" w:rsidRPr="003046A9" w:rsidRDefault="009543DB" w:rsidP="009543DB">
            <w:pPr>
              <w:pStyle w:val="Tabletextright"/>
            </w:pPr>
            <w:r w:rsidRPr="003046A9">
              <w:t xml:space="preserve"> 663 </w:t>
            </w:r>
          </w:p>
        </w:tc>
        <w:tc>
          <w:tcPr>
            <w:tcW w:w="956" w:type="dxa"/>
            <w:tcBorders>
              <w:left w:val="nil"/>
              <w:right w:val="nil"/>
            </w:tcBorders>
          </w:tcPr>
          <w:p w:rsidR="009543DB" w:rsidRPr="003046A9" w:rsidRDefault="009543DB" w:rsidP="009543DB">
            <w:pPr>
              <w:pStyle w:val="Tabletextright"/>
            </w:pPr>
            <w:r w:rsidRPr="003046A9">
              <w:t xml:space="preserve"> 663 </w:t>
            </w:r>
          </w:p>
        </w:tc>
        <w:tc>
          <w:tcPr>
            <w:tcW w:w="957" w:type="dxa"/>
            <w:tcBorders>
              <w:left w:val="nil"/>
              <w:right w:val="nil"/>
            </w:tcBorders>
          </w:tcPr>
          <w:p w:rsidR="009543DB" w:rsidRPr="003046A9" w:rsidRDefault="009543DB" w:rsidP="009543DB">
            <w:pPr>
              <w:pStyle w:val="Tabletextright"/>
            </w:pPr>
            <w:r w:rsidRPr="003046A9">
              <w:t xml:space="preserve"> 663 </w:t>
            </w:r>
          </w:p>
        </w:tc>
        <w:tc>
          <w:tcPr>
            <w:tcW w:w="956" w:type="dxa"/>
            <w:tcBorders>
              <w:left w:val="nil"/>
              <w:right w:val="nil"/>
            </w:tcBorders>
          </w:tcPr>
          <w:p w:rsidR="009543DB" w:rsidRPr="003046A9" w:rsidRDefault="009543DB" w:rsidP="009543DB">
            <w:pPr>
              <w:pStyle w:val="Tabletextright"/>
            </w:pPr>
            <w:r w:rsidRPr="003046A9">
              <w:t xml:space="preserve"> 961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145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357 </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T1/T2 long-term</w:t>
            </w:r>
          </w:p>
        </w:tc>
        <w:tc>
          <w:tcPr>
            <w:tcW w:w="956" w:type="dxa"/>
            <w:tcBorders>
              <w:left w:val="nil"/>
              <w:right w:val="nil"/>
            </w:tcBorders>
          </w:tcPr>
          <w:p w:rsidR="009543DB" w:rsidRPr="003046A9" w:rsidRDefault="009543DB" w:rsidP="009543DB">
            <w:pPr>
              <w:pStyle w:val="Tabletextright"/>
            </w:pPr>
            <w:r w:rsidRPr="003046A9">
              <w:t xml:space="preserve"> NA </w:t>
            </w:r>
          </w:p>
        </w:tc>
        <w:tc>
          <w:tcPr>
            <w:tcW w:w="957" w:type="dxa"/>
            <w:tcBorders>
              <w:left w:val="nil"/>
              <w:right w:val="nil"/>
            </w:tcBorders>
          </w:tcPr>
          <w:p w:rsidR="009543DB" w:rsidRPr="003046A9" w:rsidRDefault="009543DB" w:rsidP="009543DB">
            <w:pPr>
              <w:pStyle w:val="Tabletextright"/>
            </w:pPr>
            <w:r w:rsidRPr="003046A9">
              <w:t xml:space="preserve"> NA </w:t>
            </w:r>
          </w:p>
        </w:tc>
        <w:tc>
          <w:tcPr>
            <w:tcW w:w="956" w:type="dxa"/>
            <w:tcBorders>
              <w:left w:val="nil"/>
              <w:right w:val="nil"/>
            </w:tcBorders>
          </w:tcPr>
          <w:p w:rsidR="009543DB" w:rsidRPr="003046A9" w:rsidRDefault="009543DB" w:rsidP="009543DB">
            <w:pPr>
              <w:pStyle w:val="Tabletextright"/>
            </w:pPr>
            <w:r w:rsidRPr="003046A9">
              <w:t xml:space="preserve"> NA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778 </w:t>
            </w:r>
          </w:p>
        </w:tc>
        <w:tc>
          <w:tcPr>
            <w:tcW w:w="956"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778 </w:t>
            </w:r>
          </w:p>
        </w:tc>
        <w:tc>
          <w:tcPr>
            <w:tcW w:w="957" w:type="dxa"/>
            <w:tcBorders>
              <w:left w:val="nil"/>
              <w:right w:val="nil"/>
            </w:tcBorders>
          </w:tcPr>
          <w:p w:rsidR="009543DB" w:rsidRPr="003046A9" w:rsidRDefault="009543DB" w:rsidP="009543DB">
            <w:pPr>
              <w:pStyle w:val="Tabletextright"/>
            </w:pPr>
            <w:r w:rsidRPr="003046A9">
              <w:t xml:space="preserve"> 1</w:t>
            </w:r>
            <w:r>
              <w:t xml:space="preserve"> </w:t>
            </w:r>
            <w:r w:rsidRPr="003046A9">
              <w:t xml:space="preserve">778 </w:t>
            </w:r>
          </w:p>
        </w:tc>
        <w:tc>
          <w:tcPr>
            <w:tcW w:w="956" w:type="dxa"/>
            <w:tcBorders>
              <w:left w:val="nil"/>
              <w:right w:val="nil"/>
            </w:tcBorders>
          </w:tcPr>
          <w:p w:rsidR="009543DB" w:rsidRPr="003046A9" w:rsidRDefault="009543DB" w:rsidP="009543DB">
            <w:pPr>
              <w:pStyle w:val="Tabletextright"/>
            </w:pPr>
            <w:r w:rsidRPr="003046A9">
              <w:t xml:space="preserve"> 3</w:t>
            </w:r>
            <w:r>
              <w:t xml:space="preserve"> </w:t>
            </w:r>
            <w:r w:rsidRPr="003046A9">
              <w:t xml:space="preserve">792 </w:t>
            </w:r>
          </w:p>
        </w:tc>
        <w:tc>
          <w:tcPr>
            <w:tcW w:w="957" w:type="dxa"/>
            <w:tcBorders>
              <w:left w:val="nil"/>
              <w:right w:val="nil"/>
            </w:tcBorders>
          </w:tcPr>
          <w:p w:rsidR="009543DB" w:rsidRPr="003046A9" w:rsidRDefault="009543DB" w:rsidP="009543DB">
            <w:pPr>
              <w:pStyle w:val="Tabletextright"/>
            </w:pPr>
            <w:r w:rsidRPr="003046A9">
              <w:t xml:space="preserve"> 3</w:t>
            </w:r>
            <w:r>
              <w:t xml:space="preserve"> </w:t>
            </w:r>
            <w:r w:rsidRPr="003046A9">
              <w:t xml:space="preserve">792 </w:t>
            </w:r>
          </w:p>
        </w:tc>
        <w:tc>
          <w:tcPr>
            <w:tcW w:w="956" w:type="dxa"/>
            <w:tcBorders>
              <w:left w:val="nil"/>
              <w:right w:val="nil"/>
            </w:tcBorders>
          </w:tcPr>
          <w:p w:rsidR="009543DB" w:rsidRPr="003046A9" w:rsidRDefault="009543DB" w:rsidP="009543DB">
            <w:pPr>
              <w:pStyle w:val="Tabletextright"/>
            </w:pPr>
            <w:r w:rsidRPr="003046A9">
              <w:t xml:space="preserve"> 4</w:t>
            </w:r>
            <w:r>
              <w:t xml:space="preserve"> </w:t>
            </w:r>
            <w:r w:rsidRPr="003046A9">
              <w:t xml:space="preserve">600 </w:t>
            </w:r>
          </w:p>
        </w:tc>
        <w:tc>
          <w:tcPr>
            <w:tcW w:w="957" w:type="dxa"/>
            <w:tcBorders>
              <w:left w:val="nil"/>
              <w:right w:val="nil"/>
            </w:tcBorders>
          </w:tcPr>
          <w:p w:rsidR="009543DB" w:rsidRPr="003046A9" w:rsidRDefault="009543DB" w:rsidP="009543DB">
            <w:pPr>
              <w:pStyle w:val="Tabletextright"/>
            </w:pPr>
            <w:r w:rsidRPr="003046A9">
              <w:t xml:space="preserve"> 6</w:t>
            </w:r>
            <w:r>
              <w:t xml:space="preserve"> </w:t>
            </w:r>
            <w:r w:rsidRPr="003046A9">
              <w:t xml:space="preserve">374 </w:t>
            </w:r>
          </w:p>
        </w:tc>
        <w:tc>
          <w:tcPr>
            <w:tcW w:w="957" w:type="dxa"/>
            <w:tcBorders>
              <w:left w:val="nil"/>
              <w:right w:val="nil"/>
            </w:tcBorders>
          </w:tcPr>
          <w:p w:rsidR="009543DB" w:rsidRPr="003046A9" w:rsidRDefault="009543DB" w:rsidP="009543DB">
            <w:pPr>
              <w:pStyle w:val="Tabletextright"/>
            </w:pPr>
            <w:r w:rsidRPr="003046A9">
              <w:t xml:space="preserve"> 9</w:t>
            </w:r>
            <w:r>
              <w:t xml:space="preserve"> </w:t>
            </w:r>
            <w:r w:rsidRPr="003046A9">
              <w:t xml:space="preserve">367 </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Staff</w:t>
            </w:r>
          </w:p>
        </w:tc>
        <w:tc>
          <w:tcPr>
            <w:tcW w:w="956" w:type="dxa"/>
            <w:tcBorders>
              <w:left w:val="nil"/>
              <w:right w:val="nil"/>
            </w:tcBorders>
          </w:tcPr>
          <w:p w:rsidR="009543DB" w:rsidRPr="003046A9" w:rsidRDefault="009543DB" w:rsidP="009543DB">
            <w:pPr>
              <w:pStyle w:val="Tabletextright"/>
            </w:pPr>
            <w:r w:rsidRPr="003046A9">
              <w:t xml:space="preserve"> 931 </w:t>
            </w:r>
          </w:p>
        </w:tc>
        <w:tc>
          <w:tcPr>
            <w:tcW w:w="957" w:type="dxa"/>
            <w:tcBorders>
              <w:left w:val="nil"/>
              <w:right w:val="nil"/>
            </w:tcBorders>
          </w:tcPr>
          <w:p w:rsidR="009543DB" w:rsidRPr="003046A9" w:rsidRDefault="009543DB" w:rsidP="009543DB">
            <w:pPr>
              <w:pStyle w:val="Tabletextright"/>
            </w:pPr>
            <w:r w:rsidRPr="003046A9">
              <w:t xml:space="preserve"> 991 </w:t>
            </w:r>
          </w:p>
        </w:tc>
        <w:tc>
          <w:tcPr>
            <w:tcW w:w="956" w:type="dxa"/>
            <w:tcBorders>
              <w:left w:val="nil"/>
              <w:right w:val="nil"/>
            </w:tcBorders>
          </w:tcPr>
          <w:p w:rsidR="009543DB" w:rsidRPr="003046A9" w:rsidRDefault="009543DB" w:rsidP="009543DB">
            <w:pPr>
              <w:pStyle w:val="Tabletextright"/>
            </w:pPr>
            <w:r w:rsidRPr="003046A9">
              <w:t xml:space="preserve"> 991 </w:t>
            </w:r>
          </w:p>
        </w:tc>
        <w:tc>
          <w:tcPr>
            <w:tcW w:w="957" w:type="dxa"/>
            <w:tcBorders>
              <w:left w:val="nil"/>
              <w:right w:val="nil"/>
            </w:tcBorders>
          </w:tcPr>
          <w:p w:rsidR="009543DB" w:rsidRPr="003046A9" w:rsidRDefault="009543DB" w:rsidP="009543DB">
            <w:pPr>
              <w:pStyle w:val="Tabletextright"/>
            </w:pPr>
            <w:r w:rsidRPr="003046A9">
              <w:t xml:space="preserve"> 991 </w:t>
            </w:r>
          </w:p>
        </w:tc>
        <w:tc>
          <w:tcPr>
            <w:tcW w:w="956" w:type="dxa"/>
            <w:tcBorders>
              <w:left w:val="nil"/>
              <w:right w:val="nil"/>
            </w:tcBorders>
          </w:tcPr>
          <w:p w:rsidR="009543DB" w:rsidRPr="003046A9" w:rsidRDefault="009543DB" w:rsidP="009543DB">
            <w:pPr>
              <w:pStyle w:val="Tabletextright"/>
            </w:pPr>
            <w:r w:rsidRPr="003046A9">
              <w:t xml:space="preserve"> 1,311 </w:t>
            </w:r>
          </w:p>
        </w:tc>
        <w:tc>
          <w:tcPr>
            <w:tcW w:w="957" w:type="dxa"/>
            <w:tcBorders>
              <w:left w:val="nil"/>
              <w:right w:val="nil"/>
            </w:tcBorders>
          </w:tcPr>
          <w:p w:rsidR="009543DB" w:rsidRPr="003046A9" w:rsidRDefault="009543DB" w:rsidP="009543DB">
            <w:pPr>
              <w:pStyle w:val="Tabletextright"/>
            </w:pPr>
            <w:r w:rsidRPr="003046A9">
              <w:t xml:space="preserve"> 1,311 </w:t>
            </w:r>
          </w:p>
        </w:tc>
        <w:tc>
          <w:tcPr>
            <w:tcW w:w="956" w:type="dxa"/>
            <w:tcBorders>
              <w:left w:val="nil"/>
              <w:right w:val="nil"/>
            </w:tcBorders>
          </w:tcPr>
          <w:p w:rsidR="009543DB" w:rsidRPr="003046A9" w:rsidRDefault="009543DB" w:rsidP="009543DB">
            <w:pPr>
              <w:pStyle w:val="Tabletextright"/>
            </w:pPr>
            <w:r w:rsidRPr="003046A9">
              <w:t xml:space="preserve"> 1,295 </w:t>
            </w:r>
          </w:p>
        </w:tc>
        <w:tc>
          <w:tcPr>
            <w:tcW w:w="957" w:type="dxa"/>
            <w:tcBorders>
              <w:left w:val="nil"/>
              <w:right w:val="nil"/>
            </w:tcBorders>
          </w:tcPr>
          <w:p w:rsidR="009543DB" w:rsidRPr="003046A9" w:rsidRDefault="009543DB" w:rsidP="009543DB">
            <w:pPr>
              <w:pStyle w:val="Tabletextright"/>
            </w:pPr>
            <w:r w:rsidRPr="003046A9">
              <w:t xml:space="preserve"> 917 </w:t>
            </w:r>
          </w:p>
        </w:tc>
        <w:tc>
          <w:tcPr>
            <w:tcW w:w="956" w:type="dxa"/>
            <w:tcBorders>
              <w:left w:val="nil"/>
              <w:right w:val="nil"/>
            </w:tcBorders>
          </w:tcPr>
          <w:p w:rsidR="009543DB" w:rsidRPr="003046A9" w:rsidRDefault="009543DB" w:rsidP="009543DB">
            <w:pPr>
              <w:pStyle w:val="Tabletextright"/>
            </w:pPr>
            <w:r w:rsidRPr="003046A9">
              <w:t xml:space="preserve"> 972 </w:t>
            </w:r>
          </w:p>
        </w:tc>
        <w:tc>
          <w:tcPr>
            <w:tcW w:w="957" w:type="dxa"/>
            <w:tcBorders>
              <w:left w:val="nil"/>
              <w:right w:val="nil"/>
            </w:tcBorders>
          </w:tcPr>
          <w:p w:rsidR="009543DB" w:rsidRPr="003046A9" w:rsidRDefault="009543DB" w:rsidP="009543DB">
            <w:pPr>
              <w:pStyle w:val="Tabletextright"/>
            </w:pPr>
            <w:r w:rsidRPr="003046A9">
              <w:t xml:space="preserve"> 972 </w:t>
            </w:r>
          </w:p>
        </w:tc>
        <w:tc>
          <w:tcPr>
            <w:tcW w:w="957" w:type="dxa"/>
            <w:tcBorders>
              <w:left w:val="nil"/>
              <w:right w:val="nil"/>
            </w:tcBorders>
          </w:tcPr>
          <w:p w:rsidR="009543DB" w:rsidRPr="003046A9" w:rsidRDefault="009543DB" w:rsidP="009543DB">
            <w:pPr>
              <w:pStyle w:val="Tabletextright"/>
            </w:pPr>
            <w:r w:rsidRPr="003046A9">
              <w:t xml:space="preserve"> 972 </w:t>
            </w:r>
          </w:p>
        </w:tc>
      </w:tr>
      <w:tr w:rsidR="009543DB" w:rsidTr="009543DB">
        <w:tc>
          <w:tcPr>
            <w:tcW w:w="1214" w:type="dxa"/>
            <w:vMerge/>
            <w:tcBorders>
              <w:left w:val="nil"/>
              <w:bottom w:val="single" w:sz="4" w:space="0" w:color="auto"/>
              <w:right w:val="nil"/>
            </w:tcBorders>
            <w:vAlign w:val="center"/>
          </w:tcPr>
          <w:p w:rsidR="009543DB" w:rsidRDefault="009543DB" w:rsidP="009543DB">
            <w:pPr>
              <w:pStyle w:val="Tabletextheadingcentre"/>
            </w:pPr>
          </w:p>
        </w:tc>
        <w:tc>
          <w:tcPr>
            <w:tcW w:w="2296" w:type="dxa"/>
            <w:tcBorders>
              <w:left w:val="nil"/>
              <w:bottom w:val="single" w:sz="4" w:space="0" w:color="auto"/>
              <w:right w:val="nil"/>
            </w:tcBorders>
          </w:tcPr>
          <w:p w:rsidR="009543DB" w:rsidRPr="00CF0A7F" w:rsidRDefault="009543DB" w:rsidP="009543DB">
            <w:pPr>
              <w:pStyle w:val="Tabletextheading"/>
            </w:pPr>
            <w:r w:rsidRPr="00CF0A7F">
              <w:t>Total airport</w:t>
            </w:r>
          </w:p>
        </w:tc>
        <w:tc>
          <w:tcPr>
            <w:tcW w:w="956" w:type="dxa"/>
            <w:tcBorders>
              <w:left w:val="nil"/>
              <w:bottom w:val="single" w:sz="4" w:space="0" w:color="auto"/>
              <w:right w:val="nil"/>
            </w:tcBorders>
          </w:tcPr>
          <w:p w:rsidR="009543DB" w:rsidRPr="00BE4049" w:rsidRDefault="009543DB" w:rsidP="009543DB">
            <w:pPr>
              <w:pStyle w:val="Tabletextheadingright"/>
            </w:pPr>
            <w:r w:rsidRPr="00BE4049">
              <w:t xml:space="preserve"> 4</w:t>
            </w:r>
            <w:r>
              <w:t xml:space="preserve"> </w:t>
            </w:r>
            <w:r w:rsidRPr="00BE4049">
              <w:t xml:space="preserve">267 </w:t>
            </w:r>
          </w:p>
        </w:tc>
        <w:tc>
          <w:tcPr>
            <w:tcW w:w="957" w:type="dxa"/>
            <w:tcBorders>
              <w:left w:val="nil"/>
              <w:bottom w:val="single" w:sz="4" w:space="0" w:color="auto"/>
              <w:right w:val="nil"/>
            </w:tcBorders>
          </w:tcPr>
          <w:p w:rsidR="009543DB" w:rsidRPr="00BE4049" w:rsidRDefault="009543DB" w:rsidP="009543DB">
            <w:pPr>
              <w:pStyle w:val="Tabletextheadingright"/>
            </w:pPr>
            <w:r w:rsidRPr="00BE4049">
              <w:t xml:space="preserve"> 4</w:t>
            </w:r>
            <w:r>
              <w:t xml:space="preserve"> </w:t>
            </w:r>
            <w:r w:rsidRPr="00BE4049">
              <w:t xml:space="preserve">747 </w:t>
            </w:r>
          </w:p>
        </w:tc>
        <w:tc>
          <w:tcPr>
            <w:tcW w:w="956" w:type="dxa"/>
            <w:tcBorders>
              <w:left w:val="nil"/>
              <w:bottom w:val="single" w:sz="4" w:space="0" w:color="auto"/>
              <w:right w:val="nil"/>
            </w:tcBorders>
          </w:tcPr>
          <w:p w:rsidR="009543DB" w:rsidRPr="00BE4049" w:rsidRDefault="009543DB" w:rsidP="009543DB">
            <w:pPr>
              <w:pStyle w:val="Tabletextheadingright"/>
            </w:pPr>
            <w:r w:rsidRPr="00BE4049">
              <w:t xml:space="preserve"> 5</w:t>
            </w:r>
            <w:r>
              <w:t xml:space="preserve"> </w:t>
            </w:r>
            <w:r w:rsidRPr="00BE4049">
              <w:t xml:space="preserve">112 </w:t>
            </w:r>
          </w:p>
        </w:tc>
        <w:tc>
          <w:tcPr>
            <w:tcW w:w="957" w:type="dxa"/>
            <w:tcBorders>
              <w:left w:val="nil"/>
              <w:bottom w:val="single" w:sz="4" w:space="0" w:color="auto"/>
              <w:right w:val="nil"/>
            </w:tcBorders>
          </w:tcPr>
          <w:p w:rsidR="009543DB" w:rsidRPr="00BE4049" w:rsidRDefault="009543DB" w:rsidP="009543DB">
            <w:pPr>
              <w:pStyle w:val="Tabletextheadingright"/>
            </w:pPr>
            <w:r w:rsidRPr="00BE4049">
              <w:t xml:space="preserve"> 8</w:t>
            </w:r>
            <w:r>
              <w:t xml:space="preserve"> </w:t>
            </w:r>
            <w:r w:rsidRPr="00BE4049">
              <w:t xml:space="preserve">806 </w:t>
            </w:r>
          </w:p>
        </w:tc>
        <w:tc>
          <w:tcPr>
            <w:tcW w:w="956" w:type="dxa"/>
            <w:tcBorders>
              <w:left w:val="nil"/>
              <w:bottom w:val="single" w:sz="4" w:space="0" w:color="auto"/>
              <w:right w:val="nil"/>
            </w:tcBorders>
          </w:tcPr>
          <w:p w:rsidR="009543DB" w:rsidRPr="00BE4049" w:rsidRDefault="009543DB" w:rsidP="009543DB">
            <w:pPr>
              <w:pStyle w:val="Tabletextheadingright"/>
            </w:pPr>
            <w:r w:rsidRPr="00BE4049">
              <w:t xml:space="preserve"> 10</w:t>
            </w:r>
            <w:r>
              <w:t xml:space="preserve"> </w:t>
            </w:r>
            <w:r w:rsidRPr="00BE4049">
              <w:t xml:space="preserve">799 </w:t>
            </w:r>
          </w:p>
        </w:tc>
        <w:tc>
          <w:tcPr>
            <w:tcW w:w="957" w:type="dxa"/>
            <w:tcBorders>
              <w:left w:val="nil"/>
              <w:bottom w:val="single" w:sz="4" w:space="0" w:color="auto"/>
              <w:right w:val="nil"/>
            </w:tcBorders>
          </w:tcPr>
          <w:p w:rsidR="009543DB" w:rsidRPr="00BE4049" w:rsidRDefault="009543DB" w:rsidP="009543DB">
            <w:pPr>
              <w:pStyle w:val="Tabletextheadingright"/>
            </w:pPr>
            <w:r w:rsidRPr="00BE4049">
              <w:t xml:space="preserve"> 11</w:t>
            </w:r>
            <w:r>
              <w:t xml:space="preserve"> </w:t>
            </w:r>
            <w:r w:rsidRPr="00BE4049">
              <w:t xml:space="preserve">526 </w:t>
            </w:r>
          </w:p>
        </w:tc>
        <w:tc>
          <w:tcPr>
            <w:tcW w:w="956" w:type="dxa"/>
            <w:tcBorders>
              <w:left w:val="nil"/>
              <w:bottom w:val="single" w:sz="4" w:space="0" w:color="auto"/>
              <w:right w:val="nil"/>
            </w:tcBorders>
          </w:tcPr>
          <w:p w:rsidR="009543DB" w:rsidRPr="00BE4049" w:rsidRDefault="009543DB" w:rsidP="009543DB">
            <w:pPr>
              <w:pStyle w:val="Tabletextheadingright"/>
            </w:pPr>
            <w:r w:rsidRPr="00BE4049">
              <w:t xml:space="preserve"> 14</w:t>
            </w:r>
            <w:r>
              <w:t xml:space="preserve"> </w:t>
            </w:r>
            <w:r w:rsidRPr="00BE4049">
              <w:t xml:space="preserve">551 </w:t>
            </w:r>
          </w:p>
        </w:tc>
        <w:tc>
          <w:tcPr>
            <w:tcW w:w="957" w:type="dxa"/>
            <w:tcBorders>
              <w:left w:val="nil"/>
              <w:bottom w:val="single" w:sz="4" w:space="0" w:color="auto"/>
              <w:right w:val="nil"/>
            </w:tcBorders>
          </w:tcPr>
          <w:p w:rsidR="009543DB" w:rsidRPr="00BE4049" w:rsidRDefault="009543DB" w:rsidP="009543DB">
            <w:pPr>
              <w:pStyle w:val="Tabletextheadingright"/>
            </w:pPr>
            <w:r w:rsidRPr="00BE4049">
              <w:t xml:space="preserve"> 15</w:t>
            </w:r>
            <w:r>
              <w:t xml:space="preserve"> </w:t>
            </w:r>
            <w:r w:rsidRPr="00BE4049">
              <w:t xml:space="preserve">626 </w:t>
            </w:r>
          </w:p>
        </w:tc>
        <w:tc>
          <w:tcPr>
            <w:tcW w:w="956" w:type="dxa"/>
            <w:tcBorders>
              <w:left w:val="nil"/>
              <w:bottom w:val="single" w:sz="4" w:space="0" w:color="auto"/>
              <w:right w:val="nil"/>
            </w:tcBorders>
          </w:tcPr>
          <w:p w:rsidR="009543DB" w:rsidRPr="00BE4049" w:rsidRDefault="009543DB" w:rsidP="009543DB">
            <w:pPr>
              <w:pStyle w:val="Tabletextheadingright"/>
            </w:pPr>
            <w:r w:rsidRPr="00BE4049">
              <w:t xml:space="preserve"> 17</w:t>
            </w:r>
            <w:r>
              <w:t xml:space="preserve"> </w:t>
            </w:r>
            <w:r w:rsidRPr="00BE4049">
              <w:t xml:space="preserve">043 </w:t>
            </w:r>
          </w:p>
        </w:tc>
        <w:tc>
          <w:tcPr>
            <w:tcW w:w="957" w:type="dxa"/>
            <w:tcBorders>
              <w:left w:val="nil"/>
              <w:bottom w:val="single" w:sz="4" w:space="0" w:color="auto"/>
              <w:right w:val="nil"/>
            </w:tcBorders>
          </w:tcPr>
          <w:p w:rsidR="009543DB" w:rsidRPr="00BE4049" w:rsidRDefault="009543DB" w:rsidP="009543DB">
            <w:pPr>
              <w:pStyle w:val="Tabletextheadingright"/>
            </w:pPr>
            <w:r w:rsidRPr="00BE4049">
              <w:t xml:space="preserve"> 19</w:t>
            </w:r>
            <w:r>
              <w:t xml:space="preserve"> </w:t>
            </w:r>
            <w:r w:rsidRPr="00BE4049">
              <w:t xml:space="preserve">001 </w:t>
            </w:r>
          </w:p>
        </w:tc>
        <w:tc>
          <w:tcPr>
            <w:tcW w:w="957" w:type="dxa"/>
            <w:tcBorders>
              <w:left w:val="nil"/>
              <w:bottom w:val="single" w:sz="4" w:space="0" w:color="auto"/>
              <w:right w:val="nil"/>
            </w:tcBorders>
          </w:tcPr>
          <w:p w:rsidR="009543DB" w:rsidRDefault="009543DB" w:rsidP="009543DB">
            <w:pPr>
              <w:pStyle w:val="Tabletextheadingright"/>
            </w:pPr>
            <w:r w:rsidRPr="00BE4049">
              <w:t xml:space="preserve"> 22</w:t>
            </w:r>
            <w:r>
              <w:t xml:space="preserve"> </w:t>
            </w:r>
            <w:r w:rsidRPr="00BE4049">
              <w:t xml:space="preserve">166 </w:t>
            </w:r>
          </w:p>
        </w:tc>
      </w:tr>
    </w:tbl>
    <w:p w:rsidR="009543DB" w:rsidRDefault="009543DB" w:rsidP="009543DB">
      <w:pPr>
        <w:pStyle w:val="Tabletextheadingcentre"/>
        <w:sectPr w:rsidR="009543DB" w:rsidSect="009543DB">
          <w:headerReference w:type="even" r:id="rId139"/>
          <w:headerReference w:type="default" r:id="rId140"/>
          <w:footnotePr>
            <w:numStart w:val="93"/>
          </w:footnotePr>
          <w:pgSz w:w="16838" w:h="11906" w:orient="landscape"/>
          <w:pgMar w:top="1729" w:right="1440" w:bottom="1729" w:left="1582" w:header="709" w:footer="709" w:gutter="0"/>
          <w:cols w:space="708"/>
          <w:docGrid w:linePitch="360"/>
        </w:sectPr>
      </w:pPr>
    </w:p>
    <w:tbl>
      <w:tblPr>
        <w:tblStyle w:val="TableGrid"/>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9543DB" w:rsidTr="009543DB">
        <w:tc>
          <w:tcPr>
            <w:tcW w:w="1214" w:type="dxa"/>
            <w:vMerge w:val="restart"/>
            <w:tcBorders>
              <w:top w:val="nil"/>
              <w:left w:val="nil"/>
              <w:right w:val="nil"/>
            </w:tcBorders>
            <w:vAlign w:val="center"/>
          </w:tcPr>
          <w:p w:rsidR="009543DB" w:rsidRDefault="009543DB" w:rsidP="009543DB">
            <w:pPr>
              <w:pStyle w:val="Tabletextheadingcentre"/>
            </w:pPr>
            <w:r>
              <w:lastRenderedPageBreak/>
              <w:t>Annual throughput of car park facilities (thousand)</w:t>
            </w:r>
            <w:r>
              <w:rPr>
                <w:rStyle w:val="FootnoteReference"/>
              </w:rPr>
              <w:footnoteReference w:id="117"/>
            </w:r>
          </w:p>
        </w:tc>
        <w:tc>
          <w:tcPr>
            <w:tcW w:w="2296" w:type="dxa"/>
            <w:tcBorders>
              <w:top w:val="nil"/>
              <w:left w:val="nil"/>
              <w:right w:val="nil"/>
            </w:tcBorders>
          </w:tcPr>
          <w:p w:rsidR="009543DB" w:rsidRDefault="009543DB" w:rsidP="009543DB">
            <w:pPr>
              <w:pStyle w:val="Tabletextleft"/>
            </w:pPr>
            <w:r>
              <w:t>T3/T4 short-term</w:t>
            </w:r>
          </w:p>
        </w:tc>
        <w:tc>
          <w:tcPr>
            <w:tcW w:w="956" w:type="dxa"/>
            <w:tcBorders>
              <w:top w:val="nil"/>
              <w:left w:val="nil"/>
              <w:right w:val="nil"/>
            </w:tcBorders>
            <w:vAlign w:val="bottom"/>
          </w:tcPr>
          <w:p w:rsidR="009543DB" w:rsidRPr="003046A9" w:rsidRDefault="009543DB" w:rsidP="009543DB">
            <w:pPr>
              <w:pStyle w:val="Tabletextright"/>
            </w:pPr>
            <w:r w:rsidRPr="003046A9">
              <w:t>950</w:t>
            </w:r>
          </w:p>
        </w:tc>
        <w:tc>
          <w:tcPr>
            <w:tcW w:w="957" w:type="dxa"/>
            <w:tcBorders>
              <w:top w:val="nil"/>
              <w:left w:val="nil"/>
              <w:right w:val="nil"/>
            </w:tcBorders>
            <w:vAlign w:val="bottom"/>
          </w:tcPr>
          <w:p w:rsidR="009543DB" w:rsidRPr="003046A9" w:rsidRDefault="009543DB" w:rsidP="009543DB">
            <w:pPr>
              <w:pStyle w:val="Tabletextright"/>
            </w:pPr>
            <w:r w:rsidRPr="003046A9">
              <w:t>947</w:t>
            </w:r>
          </w:p>
        </w:tc>
        <w:tc>
          <w:tcPr>
            <w:tcW w:w="956" w:type="dxa"/>
            <w:tcBorders>
              <w:top w:val="nil"/>
              <w:left w:val="nil"/>
              <w:right w:val="nil"/>
            </w:tcBorders>
            <w:vAlign w:val="bottom"/>
          </w:tcPr>
          <w:p w:rsidR="009543DB" w:rsidRPr="003046A9" w:rsidRDefault="009543DB" w:rsidP="009543DB">
            <w:pPr>
              <w:pStyle w:val="Tabletextright"/>
            </w:pPr>
            <w:r w:rsidRPr="003046A9">
              <w:t>997</w:t>
            </w:r>
          </w:p>
        </w:tc>
        <w:tc>
          <w:tcPr>
            <w:tcW w:w="957" w:type="dxa"/>
            <w:tcBorders>
              <w:top w:val="nil"/>
              <w:left w:val="nil"/>
              <w:right w:val="nil"/>
            </w:tcBorders>
            <w:vAlign w:val="bottom"/>
          </w:tcPr>
          <w:p w:rsidR="009543DB" w:rsidRPr="003046A9" w:rsidRDefault="009543DB" w:rsidP="009543DB">
            <w:pPr>
              <w:pStyle w:val="Tabletextright"/>
            </w:pPr>
            <w:r w:rsidRPr="003046A9">
              <w:t>961</w:t>
            </w:r>
          </w:p>
        </w:tc>
        <w:tc>
          <w:tcPr>
            <w:tcW w:w="956" w:type="dxa"/>
            <w:tcBorders>
              <w:top w:val="nil"/>
              <w:left w:val="nil"/>
              <w:right w:val="nil"/>
            </w:tcBorders>
            <w:vAlign w:val="bottom"/>
          </w:tcPr>
          <w:p w:rsidR="009543DB" w:rsidRPr="003046A9" w:rsidRDefault="009543DB" w:rsidP="009543DB">
            <w:pPr>
              <w:pStyle w:val="Tabletextright"/>
            </w:pPr>
            <w:r w:rsidRPr="003046A9">
              <w:t>1</w:t>
            </w:r>
            <w:r>
              <w:t xml:space="preserve"> </w:t>
            </w:r>
            <w:r w:rsidRPr="003046A9">
              <w:t>019</w:t>
            </w:r>
          </w:p>
        </w:tc>
        <w:tc>
          <w:tcPr>
            <w:tcW w:w="957" w:type="dxa"/>
            <w:tcBorders>
              <w:top w:val="nil"/>
              <w:left w:val="nil"/>
              <w:right w:val="nil"/>
            </w:tcBorders>
            <w:vAlign w:val="bottom"/>
          </w:tcPr>
          <w:p w:rsidR="009543DB" w:rsidRPr="003046A9" w:rsidRDefault="009543DB" w:rsidP="009543DB">
            <w:pPr>
              <w:pStyle w:val="Tabletextright"/>
            </w:pPr>
            <w:r w:rsidRPr="003046A9">
              <w:t>990</w:t>
            </w:r>
          </w:p>
        </w:tc>
        <w:tc>
          <w:tcPr>
            <w:tcW w:w="956" w:type="dxa"/>
            <w:tcBorders>
              <w:top w:val="nil"/>
              <w:left w:val="nil"/>
              <w:right w:val="nil"/>
            </w:tcBorders>
            <w:vAlign w:val="bottom"/>
          </w:tcPr>
          <w:p w:rsidR="009543DB" w:rsidRPr="003046A9" w:rsidRDefault="009543DB" w:rsidP="009543DB">
            <w:pPr>
              <w:pStyle w:val="Tabletextright"/>
            </w:pPr>
            <w:r w:rsidRPr="003046A9">
              <w:t>1</w:t>
            </w:r>
            <w:r>
              <w:t xml:space="preserve"> </w:t>
            </w:r>
            <w:r w:rsidRPr="003046A9">
              <w:t>054</w:t>
            </w:r>
          </w:p>
        </w:tc>
        <w:tc>
          <w:tcPr>
            <w:tcW w:w="957" w:type="dxa"/>
            <w:tcBorders>
              <w:top w:val="nil"/>
              <w:left w:val="nil"/>
              <w:right w:val="nil"/>
            </w:tcBorders>
            <w:vAlign w:val="bottom"/>
          </w:tcPr>
          <w:p w:rsidR="009543DB" w:rsidRPr="003046A9" w:rsidRDefault="009543DB" w:rsidP="009543DB">
            <w:pPr>
              <w:pStyle w:val="Tabletextright"/>
            </w:pPr>
            <w:r w:rsidRPr="003046A9">
              <w:t>1</w:t>
            </w:r>
            <w:r>
              <w:t xml:space="preserve"> </w:t>
            </w:r>
            <w:r w:rsidRPr="003046A9">
              <w:t>054</w:t>
            </w:r>
          </w:p>
        </w:tc>
        <w:tc>
          <w:tcPr>
            <w:tcW w:w="956" w:type="dxa"/>
            <w:tcBorders>
              <w:top w:val="nil"/>
              <w:left w:val="nil"/>
              <w:right w:val="nil"/>
            </w:tcBorders>
            <w:vAlign w:val="bottom"/>
          </w:tcPr>
          <w:p w:rsidR="009543DB" w:rsidRPr="003046A9" w:rsidRDefault="009543DB" w:rsidP="009543DB">
            <w:pPr>
              <w:pStyle w:val="Tabletextright"/>
            </w:pPr>
            <w:r w:rsidRPr="003046A9">
              <w:t>1</w:t>
            </w:r>
            <w:r>
              <w:t xml:space="preserve"> </w:t>
            </w:r>
            <w:r w:rsidRPr="003046A9">
              <w:t>030</w:t>
            </w:r>
          </w:p>
        </w:tc>
        <w:tc>
          <w:tcPr>
            <w:tcW w:w="957" w:type="dxa"/>
            <w:tcBorders>
              <w:top w:val="nil"/>
              <w:left w:val="nil"/>
              <w:right w:val="nil"/>
            </w:tcBorders>
            <w:vAlign w:val="bottom"/>
          </w:tcPr>
          <w:p w:rsidR="009543DB" w:rsidRPr="003046A9" w:rsidRDefault="009543DB" w:rsidP="009543DB">
            <w:pPr>
              <w:pStyle w:val="Tabletextright"/>
            </w:pPr>
            <w:r w:rsidRPr="003046A9">
              <w:t>902</w:t>
            </w:r>
          </w:p>
        </w:tc>
        <w:tc>
          <w:tcPr>
            <w:tcW w:w="957" w:type="dxa"/>
            <w:tcBorders>
              <w:top w:val="nil"/>
              <w:left w:val="nil"/>
              <w:right w:val="nil"/>
            </w:tcBorders>
            <w:vAlign w:val="bottom"/>
          </w:tcPr>
          <w:p w:rsidR="009543DB" w:rsidRPr="003046A9" w:rsidRDefault="009543DB" w:rsidP="009543DB">
            <w:pPr>
              <w:pStyle w:val="Tabletextright"/>
            </w:pPr>
            <w:r w:rsidRPr="003046A9">
              <w:t>857</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T3/T4 long-term</w:t>
            </w:r>
          </w:p>
        </w:tc>
        <w:tc>
          <w:tcPr>
            <w:tcW w:w="956" w:type="dxa"/>
            <w:tcBorders>
              <w:left w:val="nil"/>
              <w:right w:val="nil"/>
            </w:tcBorders>
            <w:vAlign w:val="bottom"/>
          </w:tcPr>
          <w:p w:rsidR="009543DB" w:rsidRPr="003046A9" w:rsidRDefault="009543DB" w:rsidP="009543DB">
            <w:pPr>
              <w:pStyle w:val="Tabletextright"/>
            </w:pPr>
            <w:r w:rsidRPr="003046A9">
              <w:t>0</w:t>
            </w:r>
          </w:p>
        </w:tc>
        <w:tc>
          <w:tcPr>
            <w:tcW w:w="957" w:type="dxa"/>
            <w:tcBorders>
              <w:left w:val="nil"/>
              <w:right w:val="nil"/>
            </w:tcBorders>
            <w:vAlign w:val="bottom"/>
          </w:tcPr>
          <w:p w:rsidR="009543DB" w:rsidRPr="003046A9" w:rsidRDefault="009543DB" w:rsidP="009543DB">
            <w:pPr>
              <w:pStyle w:val="Tabletextright"/>
            </w:pPr>
            <w:r w:rsidRPr="003046A9">
              <w:t>75</w:t>
            </w:r>
          </w:p>
        </w:tc>
        <w:tc>
          <w:tcPr>
            <w:tcW w:w="956" w:type="dxa"/>
            <w:tcBorders>
              <w:left w:val="nil"/>
              <w:right w:val="nil"/>
            </w:tcBorders>
            <w:vAlign w:val="bottom"/>
          </w:tcPr>
          <w:p w:rsidR="009543DB" w:rsidRPr="003046A9" w:rsidRDefault="009543DB" w:rsidP="009543DB">
            <w:pPr>
              <w:pStyle w:val="Tabletextright"/>
            </w:pPr>
            <w:r w:rsidRPr="003046A9">
              <w:t>87</w:t>
            </w:r>
          </w:p>
        </w:tc>
        <w:tc>
          <w:tcPr>
            <w:tcW w:w="957" w:type="dxa"/>
            <w:tcBorders>
              <w:left w:val="nil"/>
              <w:right w:val="nil"/>
            </w:tcBorders>
            <w:vAlign w:val="bottom"/>
          </w:tcPr>
          <w:p w:rsidR="009543DB" w:rsidRPr="003046A9" w:rsidRDefault="009543DB" w:rsidP="009543DB">
            <w:pPr>
              <w:pStyle w:val="Tabletextright"/>
            </w:pPr>
            <w:r w:rsidRPr="003046A9">
              <w:t>84</w:t>
            </w:r>
          </w:p>
        </w:tc>
        <w:tc>
          <w:tcPr>
            <w:tcW w:w="956" w:type="dxa"/>
            <w:tcBorders>
              <w:left w:val="nil"/>
              <w:right w:val="nil"/>
            </w:tcBorders>
            <w:vAlign w:val="bottom"/>
          </w:tcPr>
          <w:p w:rsidR="009543DB" w:rsidRPr="003046A9" w:rsidRDefault="009543DB" w:rsidP="009543DB">
            <w:pPr>
              <w:pStyle w:val="Tabletextright"/>
            </w:pPr>
            <w:r w:rsidRPr="003046A9">
              <w:t>121</w:t>
            </w:r>
          </w:p>
        </w:tc>
        <w:tc>
          <w:tcPr>
            <w:tcW w:w="957" w:type="dxa"/>
            <w:tcBorders>
              <w:left w:val="nil"/>
              <w:right w:val="nil"/>
            </w:tcBorders>
            <w:vAlign w:val="bottom"/>
          </w:tcPr>
          <w:p w:rsidR="009543DB" w:rsidRPr="003046A9" w:rsidRDefault="009543DB" w:rsidP="009543DB">
            <w:pPr>
              <w:pStyle w:val="Tabletextright"/>
            </w:pPr>
            <w:r w:rsidRPr="003046A9">
              <w:t>173</w:t>
            </w:r>
          </w:p>
        </w:tc>
        <w:tc>
          <w:tcPr>
            <w:tcW w:w="956" w:type="dxa"/>
            <w:tcBorders>
              <w:left w:val="nil"/>
              <w:right w:val="nil"/>
            </w:tcBorders>
            <w:vAlign w:val="bottom"/>
          </w:tcPr>
          <w:p w:rsidR="009543DB" w:rsidRPr="003046A9" w:rsidRDefault="009543DB" w:rsidP="009543DB">
            <w:pPr>
              <w:pStyle w:val="Tabletextright"/>
            </w:pPr>
            <w:r w:rsidRPr="003046A9">
              <w:t>230</w:t>
            </w:r>
          </w:p>
        </w:tc>
        <w:tc>
          <w:tcPr>
            <w:tcW w:w="957" w:type="dxa"/>
            <w:tcBorders>
              <w:left w:val="nil"/>
              <w:right w:val="nil"/>
            </w:tcBorders>
            <w:vAlign w:val="bottom"/>
          </w:tcPr>
          <w:p w:rsidR="009543DB" w:rsidRPr="003046A9" w:rsidRDefault="009543DB" w:rsidP="009543DB">
            <w:pPr>
              <w:pStyle w:val="Tabletextright"/>
            </w:pPr>
            <w:r w:rsidRPr="003046A9">
              <w:t>343</w:t>
            </w:r>
          </w:p>
        </w:tc>
        <w:tc>
          <w:tcPr>
            <w:tcW w:w="956" w:type="dxa"/>
            <w:tcBorders>
              <w:left w:val="nil"/>
              <w:right w:val="nil"/>
            </w:tcBorders>
            <w:vAlign w:val="bottom"/>
          </w:tcPr>
          <w:p w:rsidR="009543DB" w:rsidRPr="003046A9" w:rsidRDefault="009543DB" w:rsidP="009543DB">
            <w:pPr>
              <w:pStyle w:val="Tabletextright"/>
            </w:pPr>
            <w:r w:rsidRPr="003046A9">
              <w:t>387</w:t>
            </w:r>
          </w:p>
        </w:tc>
        <w:tc>
          <w:tcPr>
            <w:tcW w:w="957" w:type="dxa"/>
            <w:tcBorders>
              <w:left w:val="nil"/>
              <w:right w:val="nil"/>
            </w:tcBorders>
            <w:vAlign w:val="bottom"/>
          </w:tcPr>
          <w:p w:rsidR="009543DB" w:rsidRPr="003046A9" w:rsidRDefault="009543DB" w:rsidP="009543DB">
            <w:pPr>
              <w:pStyle w:val="Tabletextright"/>
            </w:pPr>
            <w:r w:rsidRPr="003046A9">
              <w:t>363</w:t>
            </w:r>
          </w:p>
        </w:tc>
        <w:tc>
          <w:tcPr>
            <w:tcW w:w="957" w:type="dxa"/>
            <w:tcBorders>
              <w:left w:val="nil"/>
              <w:right w:val="nil"/>
            </w:tcBorders>
            <w:vAlign w:val="bottom"/>
          </w:tcPr>
          <w:p w:rsidR="009543DB" w:rsidRPr="003046A9" w:rsidRDefault="009543DB" w:rsidP="009543DB">
            <w:pPr>
              <w:pStyle w:val="Tabletextright"/>
            </w:pPr>
            <w:r w:rsidRPr="003046A9">
              <w:t>345</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T1/T2 short-term</w:t>
            </w:r>
          </w:p>
        </w:tc>
        <w:tc>
          <w:tcPr>
            <w:tcW w:w="956" w:type="dxa"/>
            <w:tcBorders>
              <w:left w:val="nil"/>
              <w:right w:val="nil"/>
            </w:tcBorders>
            <w:vAlign w:val="bottom"/>
          </w:tcPr>
          <w:p w:rsidR="009543DB" w:rsidRPr="003046A9" w:rsidRDefault="009543DB" w:rsidP="009543DB">
            <w:pPr>
              <w:pStyle w:val="Tabletextright"/>
            </w:pPr>
            <w:r w:rsidRPr="003046A9">
              <w:t>680</w:t>
            </w:r>
          </w:p>
        </w:tc>
        <w:tc>
          <w:tcPr>
            <w:tcW w:w="957" w:type="dxa"/>
            <w:tcBorders>
              <w:left w:val="nil"/>
              <w:right w:val="nil"/>
            </w:tcBorders>
            <w:vAlign w:val="bottom"/>
          </w:tcPr>
          <w:p w:rsidR="009543DB" w:rsidRPr="003046A9" w:rsidRDefault="009543DB" w:rsidP="009543DB">
            <w:pPr>
              <w:pStyle w:val="Tabletextright"/>
            </w:pPr>
            <w:r w:rsidRPr="003046A9">
              <w:t>667</w:t>
            </w:r>
          </w:p>
        </w:tc>
        <w:tc>
          <w:tcPr>
            <w:tcW w:w="956" w:type="dxa"/>
            <w:tcBorders>
              <w:left w:val="nil"/>
              <w:right w:val="nil"/>
            </w:tcBorders>
            <w:vAlign w:val="bottom"/>
          </w:tcPr>
          <w:p w:rsidR="009543DB" w:rsidRPr="003046A9" w:rsidRDefault="009543DB" w:rsidP="009543DB">
            <w:pPr>
              <w:pStyle w:val="Tabletextright"/>
            </w:pPr>
            <w:r w:rsidRPr="003046A9">
              <w:t>666</w:t>
            </w:r>
          </w:p>
        </w:tc>
        <w:tc>
          <w:tcPr>
            <w:tcW w:w="957" w:type="dxa"/>
            <w:tcBorders>
              <w:left w:val="nil"/>
              <w:right w:val="nil"/>
            </w:tcBorders>
            <w:vAlign w:val="bottom"/>
          </w:tcPr>
          <w:p w:rsidR="009543DB" w:rsidRPr="003046A9" w:rsidRDefault="009543DB" w:rsidP="009543DB">
            <w:pPr>
              <w:pStyle w:val="Tabletextright"/>
            </w:pPr>
            <w:r w:rsidRPr="003046A9">
              <w:t>647</w:t>
            </w:r>
          </w:p>
        </w:tc>
        <w:tc>
          <w:tcPr>
            <w:tcW w:w="956" w:type="dxa"/>
            <w:tcBorders>
              <w:left w:val="nil"/>
              <w:right w:val="nil"/>
            </w:tcBorders>
            <w:vAlign w:val="bottom"/>
          </w:tcPr>
          <w:p w:rsidR="009543DB" w:rsidRPr="003046A9" w:rsidRDefault="009543DB" w:rsidP="009543DB">
            <w:pPr>
              <w:pStyle w:val="Tabletextright"/>
            </w:pPr>
            <w:r w:rsidRPr="003046A9">
              <w:t>685</w:t>
            </w:r>
          </w:p>
        </w:tc>
        <w:tc>
          <w:tcPr>
            <w:tcW w:w="957" w:type="dxa"/>
            <w:tcBorders>
              <w:left w:val="nil"/>
              <w:right w:val="nil"/>
            </w:tcBorders>
            <w:vAlign w:val="bottom"/>
          </w:tcPr>
          <w:p w:rsidR="009543DB" w:rsidRPr="003046A9" w:rsidRDefault="009543DB" w:rsidP="009543DB">
            <w:pPr>
              <w:pStyle w:val="Tabletextright"/>
            </w:pPr>
            <w:r w:rsidRPr="003046A9">
              <w:t>715</w:t>
            </w:r>
          </w:p>
        </w:tc>
        <w:tc>
          <w:tcPr>
            <w:tcW w:w="956" w:type="dxa"/>
            <w:tcBorders>
              <w:left w:val="nil"/>
              <w:right w:val="nil"/>
            </w:tcBorders>
            <w:vAlign w:val="bottom"/>
          </w:tcPr>
          <w:p w:rsidR="009543DB" w:rsidRPr="003046A9" w:rsidRDefault="009543DB" w:rsidP="009543DB">
            <w:pPr>
              <w:pStyle w:val="Tabletextright"/>
            </w:pPr>
            <w:r w:rsidRPr="003046A9">
              <w:t>733</w:t>
            </w:r>
          </w:p>
        </w:tc>
        <w:tc>
          <w:tcPr>
            <w:tcW w:w="957" w:type="dxa"/>
            <w:tcBorders>
              <w:left w:val="nil"/>
              <w:right w:val="nil"/>
            </w:tcBorders>
            <w:vAlign w:val="bottom"/>
          </w:tcPr>
          <w:p w:rsidR="009543DB" w:rsidRPr="003046A9" w:rsidRDefault="009543DB" w:rsidP="009543DB">
            <w:pPr>
              <w:pStyle w:val="Tabletextright"/>
            </w:pPr>
            <w:r w:rsidRPr="003046A9">
              <w:t>720</w:t>
            </w:r>
          </w:p>
        </w:tc>
        <w:tc>
          <w:tcPr>
            <w:tcW w:w="956" w:type="dxa"/>
            <w:tcBorders>
              <w:left w:val="nil"/>
              <w:right w:val="nil"/>
            </w:tcBorders>
            <w:vAlign w:val="bottom"/>
          </w:tcPr>
          <w:p w:rsidR="009543DB" w:rsidRPr="003046A9" w:rsidRDefault="009543DB" w:rsidP="009543DB">
            <w:pPr>
              <w:pStyle w:val="Tabletextright"/>
            </w:pPr>
            <w:r w:rsidRPr="003046A9">
              <w:t>747</w:t>
            </w:r>
          </w:p>
        </w:tc>
        <w:tc>
          <w:tcPr>
            <w:tcW w:w="957" w:type="dxa"/>
            <w:tcBorders>
              <w:left w:val="nil"/>
              <w:right w:val="nil"/>
            </w:tcBorders>
            <w:vAlign w:val="bottom"/>
          </w:tcPr>
          <w:p w:rsidR="009543DB" w:rsidRPr="003046A9" w:rsidRDefault="009543DB" w:rsidP="009543DB">
            <w:pPr>
              <w:pStyle w:val="Tabletextright"/>
            </w:pPr>
            <w:r w:rsidRPr="003046A9">
              <w:t>847</w:t>
            </w:r>
          </w:p>
        </w:tc>
        <w:tc>
          <w:tcPr>
            <w:tcW w:w="957" w:type="dxa"/>
            <w:tcBorders>
              <w:left w:val="nil"/>
              <w:right w:val="nil"/>
            </w:tcBorders>
            <w:vAlign w:val="bottom"/>
          </w:tcPr>
          <w:p w:rsidR="009543DB" w:rsidRPr="003046A9" w:rsidRDefault="009543DB" w:rsidP="009543DB">
            <w:pPr>
              <w:pStyle w:val="Tabletextright"/>
            </w:pPr>
            <w:r w:rsidRPr="003046A9">
              <w:t>874</w:t>
            </w:r>
          </w:p>
        </w:tc>
      </w:tr>
      <w:tr w:rsidR="009543DB" w:rsidTr="009543DB">
        <w:tc>
          <w:tcPr>
            <w:tcW w:w="1214" w:type="dxa"/>
            <w:vMerge/>
            <w:tcBorders>
              <w:left w:val="nil"/>
              <w:right w:val="nil"/>
            </w:tcBorders>
            <w:vAlign w:val="center"/>
          </w:tcPr>
          <w:p w:rsidR="009543DB" w:rsidRDefault="009543DB" w:rsidP="009543DB">
            <w:pPr>
              <w:pStyle w:val="Tabletextheadingcentre"/>
            </w:pPr>
          </w:p>
        </w:tc>
        <w:tc>
          <w:tcPr>
            <w:tcW w:w="2296" w:type="dxa"/>
            <w:tcBorders>
              <w:left w:val="nil"/>
              <w:right w:val="nil"/>
            </w:tcBorders>
          </w:tcPr>
          <w:p w:rsidR="009543DB" w:rsidRDefault="009543DB" w:rsidP="009543DB">
            <w:pPr>
              <w:pStyle w:val="Tabletextleft"/>
            </w:pPr>
            <w:r>
              <w:t>T1/T2 long-term</w:t>
            </w:r>
          </w:p>
        </w:tc>
        <w:tc>
          <w:tcPr>
            <w:tcW w:w="956" w:type="dxa"/>
            <w:tcBorders>
              <w:left w:val="nil"/>
              <w:right w:val="nil"/>
            </w:tcBorders>
            <w:vAlign w:val="bottom"/>
          </w:tcPr>
          <w:p w:rsidR="009543DB" w:rsidRPr="003046A9" w:rsidRDefault="009543DB" w:rsidP="009543DB">
            <w:pPr>
              <w:pStyle w:val="Tabletextright"/>
            </w:pPr>
            <w:r w:rsidRPr="003046A9">
              <w:t>0</w:t>
            </w:r>
          </w:p>
        </w:tc>
        <w:tc>
          <w:tcPr>
            <w:tcW w:w="957" w:type="dxa"/>
            <w:tcBorders>
              <w:left w:val="nil"/>
              <w:right w:val="nil"/>
            </w:tcBorders>
            <w:vAlign w:val="bottom"/>
          </w:tcPr>
          <w:p w:rsidR="009543DB" w:rsidRPr="003046A9" w:rsidRDefault="009543DB" w:rsidP="009543DB">
            <w:pPr>
              <w:pStyle w:val="Tabletextright"/>
            </w:pPr>
            <w:r w:rsidRPr="003046A9">
              <w:t>0</w:t>
            </w:r>
          </w:p>
        </w:tc>
        <w:tc>
          <w:tcPr>
            <w:tcW w:w="956" w:type="dxa"/>
            <w:tcBorders>
              <w:left w:val="nil"/>
              <w:right w:val="nil"/>
            </w:tcBorders>
            <w:vAlign w:val="bottom"/>
          </w:tcPr>
          <w:p w:rsidR="009543DB" w:rsidRPr="003046A9" w:rsidRDefault="009543DB" w:rsidP="009543DB">
            <w:pPr>
              <w:pStyle w:val="Tabletextright"/>
            </w:pPr>
            <w:r w:rsidRPr="003046A9">
              <w:t>0</w:t>
            </w:r>
          </w:p>
        </w:tc>
        <w:tc>
          <w:tcPr>
            <w:tcW w:w="957" w:type="dxa"/>
            <w:tcBorders>
              <w:left w:val="nil"/>
              <w:right w:val="nil"/>
            </w:tcBorders>
            <w:vAlign w:val="bottom"/>
          </w:tcPr>
          <w:p w:rsidR="009543DB" w:rsidRPr="003046A9" w:rsidRDefault="009543DB" w:rsidP="009543DB">
            <w:pPr>
              <w:pStyle w:val="Tabletextright"/>
            </w:pPr>
            <w:r w:rsidRPr="003046A9">
              <w:t>29</w:t>
            </w:r>
          </w:p>
        </w:tc>
        <w:tc>
          <w:tcPr>
            <w:tcW w:w="956" w:type="dxa"/>
            <w:tcBorders>
              <w:left w:val="nil"/>
              <w:right w:val="nil"/>
            </w:tcBorders>
            <w:vAlign w:val="bottom"/>
          </w:tcPr>
          <w:p w:rsidR="009543DB" w:rsidRPr="003046A9" w:rsidRDefault="009543DB" w:rsidP="009543DB">
            <w:pPr>
              <w:pStyle w:val="Tabletextright"/>
            </w:pPr>
            <w:r w:rsidRPr="003046A9">
              <w:t>32</w:t>
            </w:r>
          </w:p>
        </w:tc>
        <w:tc>
          <w:tcPr>
            <w:tcW w:w="957" w:type="dxa"/>
            <w:tcBorders>
              <w:left w:val="nil"/>
              <w:right w:val="nil"/>
            </w:tcBorders>
            <w:vAlign w:val="bottom"/>
          </w:tcPr>
          <w:p w:rsidR="009543DB" w:rsidRPr="003046A9" w:rsidRDefault="009543DB" w:rsidP="009543DB">
            <w:pPr>
              <w:pStyle w:val="Tabletextright"/>
            </w:pPr>
            <w:r w:rsidRPr="003046A9">
              <w:t>48</w:t>
            </w:r>
          </w:p>
        </w:tc>
        <w:tc>
          <w:tcPr>
            <w:tcW w:w="956" w:type="dxa"/>
            <w:tcBorders>
              <w:left w:val="nil"/>
              <w:right w:val="nil"/>
            </w:tcBorders>
            <w:vAlign w:val="bottom"/>
          </w:tcPr>
          <w:p w:rsidR="009543DB" w:rsidRPr="003046A9" w:rsidRDefault="009543DB" w:rsidP="009543DB">
            <w:pPr>
              <w:pStyle w:val="Tabletextright"/>
            </w:pPr>
            <w:r w:rsidRPr="003046A9">
              <w:t>66</w:t>
            </w:r>
          </w:p>
        </w:tc>
        <w:tc>
          <w:tcPr>
            <w:tcW w:w="957" w:type="dxa"/>
            <w:tcBorders>
              <w:left w:val="nil"/>
              <w:right w:val="nil"/>
            </w:tcBorders>
            <w:vAlign w:val="bottom"/>
          </w:tcPr>
          <w:p w:rsidR="009543DB" w:rsidRPr="003046A9" w:rsidRDefault="009543DB" w:rsidP="009543DB">
            <w:pPr>
              <w:pStyle w:val="Tabletextright"/>
            </w:pPr>
            <w:r w:rsidRPr="003046A9">
              <w:t>67</w:t>
            </w:r>
          </w:p>
        </w:tc>
        <w:tc>
          <w:tcPr>
            <w:tcW w:w="956" w:type="dxa"/>
            <w:tcBorders>
              <w:left w:val="nil"/>
              <w:right w:val="nil"/>
            </w:tcBorders>
            <w:vAlign w:val="bottom"/>
          </w:tcPr>
          <w:p w:rsidR="009543DB" w:rsidRPr="003046A9" w:rsidRDefault="009543DB" w:rsidP="009543DB">
            <w:pPr>
              <w:pStyle w:val="Tabletextright"/>
            </w:pPr>
            <w:r w:rsidRPr="003046A9">
              <w:t>93</w:t>
            </w:r>
          </w:p>
        </w:tc>
        <w:tc>
          <w:tcPr>
            <w:tcW w:w="957" w:type="dxa"/>
            <w:tcBorders>
              <w:left w:val="nil"/>
              <w:right w:val="nil"/>
            </w:tcBorders>
            <w:vAlign w:val="bottom"/>
          </w:tcPr>
          <w:p w:rsidR="009543DB" w:rsidRPr="003046A9" w:rsidRDefault="009543DB" w:rsidP="009543DB">
            <w:pPr>
              <w:pStyle w:val="Tabletextright"/>
            </w:pPr>
            <w:r w:rsidRPr="003046A9">
              <w:t>138</w:t>
            </w:r>
          </w:p>
        </w:tc>
        <w:tc>
          <w:tcPr>
            <w:tcW w:w="957" w:type="dxa"/>
            <w:tcBorders>
              <w:left w:val="nil"/>
              <w:right w:val="nil"/>
            </w:tcBorders>
            <w:vAlign w:val="bottom"/>
          </w:tcPr>
          <w:p w:rsidR="009543DB" w:rsidRPr="003046A9" w:rsidRDefault="009543DB" w:rsidP="009543DB">
            <w:pPr>
              <w:pStyle w:val="Tabletextright"/>
            </w:pPr>
            <w:r w:rsidRPr="003046A9">
              <w:t>137</w:t>
            </w:r>
          </w:p>
        </w:tc>
      </w:tr>
      <w:tr w:rsidR="009543DB" w:rsidTr="009543DB">
        <w:tc>
          <w:tcPr>
            <w:tcW w:w="1214" w:type="dxa"/>
            <w:vMerge/>
            <w:tcBorders>
              <w:left w:val="nil"/>
              <w:bottom w:val="single" w:sz="4" w:space="0" w:color="auto"/>
              <w:right w:val="nil"/>
            </w:tcBorders>
            <w:vAlign w:val="center"/>
          </w:tcPr>
          <w:p w:rsidR="009543DB" w:rsidRDefault="009543DB" w:rsidP="009543DB">
            <w:pPr>
              <w:pStyle w:val="Tabletextheadingcentre"/>
            </w:pPr>
          </w:p>
        </w:tc>
        <w:tc>
          <w:tcPr>
            <w:tcW w:w="2296" w:type="dxa"/>
            <w:tcBorders>
              <w:left w:val="nil"/>
              <w:bottom w:val="single" w:sz="4" w:space="0" w:color="auto"/>
              <w:right w:val="nil"/>
            </w:tcBorders>
          </w:tcPr>
          <w:p w:rsidR="009543DB" w:rsidRDefault="009543DB" w:rsidP="009543DB">
            <w:pPr>
              <w:pStyle w:val="Tabletextheading"/>
            </w:pPr>
            <w:r>
              <w:t>Total airport</w:t>
            </w:r>
          </w:p>
        </w:tc>
        <w:tc>
          <w:tcPr>
            <w:tcW w:w="956" w:type="dxa"/>
            <w:tcBorders>
              <w:left w:val="nil"/>
              <w:bottom w:val="single" w:sz="4" w:space="0" w:color="auto"/>
              <w:right w:val="nil"/>
            </w:tcBorders>
            <w:vAlign w:val="bottom"/>
          </w:tcPr>
          <w:p w:rsidR="009543DB" w:rsidRPr="003046A9" w:rsidRDefault="009543DB" w:rsidP="009543DB">
            <w:pPr>
              <w:pStyle w:val="Tabletextheadingright"/>
            </w:pPr>
            <w:r w:rsidRPr="003046A9">
              <w:t>1</w:t>
            </w:r>
            <w:r>
              <w:t xml:space="preserve"> </w:t>
            </w:r>
            <w:r w:rsidRPr="003046A9">
              <w:t>630</w:t>
            </w:r>
          </w:p>
        </w:tc>
        <w:tc>
          <w:tcPr>
            <w:tcW w:w="957" w:type="dxa"/>
            <w:tcBorders>
              <w:left w:val="nil"/>
              <w:bottom w:val="single" w:sz="4" w:space="0" w:color="auto"/>
              <w:right w:val="nil"/>
            </w:tcBorders>
            <w:vAlign w:val="bottom"/>
          </w:tcPr>
          <w:p w:rsidR="009543DB" w:rsidRPr="003046A9" w:rsidRDefault="009543DB" w:rsidP="009543DB">
            <w:pPr>
              <w:pStyle w:val="Tabletextheadingright"/>
            </w:pPr>
            <w:r w:rsidRPr="003046A9">
              <w:t>1</w:t>
            </w:r>
            <w:r>
              <w:t xml:space="preserve"> </w:t>
            </w:r>
            <w:r w:rsidRPr="003046A9">
              <w:t>689</w:t>
            </w:r>
          </w:p>
        </w:tc>
        <w:tc>
          <w:tcPr>
            <w:tcW w:w="956" w:type="dxa"/>
            <w:tcBorders>
              <w:left w:val="nil"/>
              <w:bottom w:val="single" w:sz="4" w:space="0" w:color="auto"/>
              <w:right w:val="nil"/>
            </w:tcBorders>
            <w:vAlign w:val="bottom"/>
          </w:tcPr>
          <w:p w:rsidR="009543DB" w:rsidRPr="003046A9" w:rsidRDefault="009543DB" w:rsidP="009543DB">
            <w:pPr>
              <w:pStyle w:val="Tabletextheadingright"/>
            </w:pPr>
            <w:r w:rsidRPr="003046A9">
              <w:t>1</w:t>
            </w:r>
            <w:r>
              <w:t xml:space="preserve"> </w:t>
            </w:r>
            <w:r w:rsidRPr="003046A9">
              <w:t>750</w:t>
            </w:r>
          </w:p>
        </w:tc>
        <w:tc>
          <w:tcPr>
            <w:tcW w:w="957" w:type="dxa"/>
            <w:tcBorders>
              <w:left w:val="nil"/>
              <w:bottom w:val="single" w:sz="4" w:space="0" w:color="auto"/>
              <w:right w:val="nil"/>
            </w:tcBorders>
            <w:vAlign w:val="bottom"/>
          </w:tcPr>
          <w:p w:rsidR="009543DB" w:rsidRPr="003046A9" w:rsidRDefault="009543DB" w:rsidP="009543DB">
            <w:pPr>
              <w:pStyle w:val="Tabletextheadingright"/>
            </w:pPr>
            <w:r w:rsidRPr="003046A9">
              <w:t>1</w:t>
            </w:r>
            <w:r>
              <w:t xml:space="preserve"> </w:t>
            </w:r>
            <w:r w:rsidRPr="003046A9">
              <w:t>721</w:t>
            </w:r>
          </w:p>
        </w:tc>
        <w:tc>
          <w:tcPr>
            <w:tcW w:w="956" w:type="dxa"/>
            <w:tcBorders>
              <w:left w:val="nil"/>
              <w:bottom w:val="single" w:sz="4" w:space="0" w:color="auto"/>
              <w:right w:val="nil"/>
            </w:tcBorders>
            <w:vAlign w:val="bottom"/>
          </w:tcPr>
          <w:p w:rsidR="009543DB" w:rsidRPr="003046A9" w:rsidRDefault="009543DB" w:rsidP="009543DB">
            <w:pPr>
              <w:pStyle w:val="Tabletextheadingright"/>
            </w:pPr>
            <w:r w:rsidRPr="003046A9">
              <w:t>1</w:t>
            </w:r>
            <w:r>
              <w:t xml:space="preserve"> </w:t>
            </w:r>
            <w:r w:rsidRPr="003046A9">
              <w:t>858</w:t>
            </w:r>
          </w:p>
        </w:tc>
        <w:tc>
          <w:tcPr>
            <w:tcW w:w="957" w:type="dxa"/>
            <w:tcBorders>
              <w:left w:val="nil"/>
              <w:bottom w:val="single" w:sz="4" w:space="0" w:color="auto"/>
              <w:right w:val="nil"/>
            </w:tcBorders>
            <w:vAlign w:val="bottom"/>
          </w:tcPr>
          <w:p w:rsidR="009543DB" w:rsidRPr="003046A9" w:rsidRDefault="009543DB" w:rsidP="009543DB">
            <w:pPr>
              <w:pStyle w:val="Tabletextheadingright"/>
            </w:pPr>
            <w:r w:rsidRPr="003046A9">
              <w:t>1</w:t>
            </w:r>
            <w:r>
              <w:t xml:space="preserve"> </w:t>
            </w:r>
            <w:r w:rsidRPr="003046A9">
              <w:t>926</w:t>
            </w:r>
          </w:p>
        </w:tc>
        <w:tc>
          <w:tcPr>
            <w:tcW w:w="956" w:type="dxa"/>
            <w:tcBorders>
              <w:left w:val="nil"/>
              <w:bottom w:val="single" w:sz="4" w:space="0" w:color="auto"/>
              <w:right w:val="nil"/>
            </w:tcBorders>
            <w:vAlign w:val="bottom"/>
          </w:tcPr>
          <w:p w:rsidR="009543DB" w:rsidRPr="003046A9" w:rsidRDefault="009543DB" w:rsidP="009543DB">
            <w:pPr>
              <w:pStyle w:val="Tabletextheadingright"/>
            </w:pPr>
            <w:r w:rsidRPr="003046A9">
              <w:t>2</w:t>
            </w:r>
            <w:r>
              <w:t xml:space="preserve"> </w:t>
            </w:r>
            <w:r w:rsidRPr="003046A9">
              <w:t>083</w:t>
            </w:r>
          </w:p>
        </w:tc>
        <w:tc>
          <w:tcPr>
            <w:tcW w:w="957" w:type="dxa"/>
            <w:tcBorders>
              <w:left w:val="nil"/>
              <w:bottom w:val="single" w:sz="4" w:space="0" w:color="auto"/>
              <w:right w:val="nil"/>
            </w:tcBorders>
            <w:vAlign w:val="bottom"/>
          </w:tcPr>
          <w:p w:rsidR="009543DB" w:rsidRPr="003046A9" w:rsidRDefault="009543DB" w:rsidP="009543DB">
            <w:pPr>
              <w:pStyle w:val="Tabletextheadingright"/>
            </w:pPr>
            <w:r w:rsidRPr="003046A9">
              <w:t>2</w:t>
            </w:r>
            <w:r>
              <w:t xml:space="preserve"> </w:t>
            </w:r>
            <w:r w:rsidRPr="003046A9">
              <w:t>185</w:t>
            </w:r>
          </w:p>
        </w:tc>
        <w:tc>
          <w:tcPr>
            <w:tcW w:w="956" w:type="dxa"/>
            <w:tcBorders>
              <w:left w:val="nil"/>
              <w:bottom w:val="single" w:sz="4" w:space="0" w:color="auto"/>
              <w:right w:val="nil"/>
            </w:tcBorders>
            <w:vAlign w:val="bottom"/>
          </w:tcPr>
          <w:p w:rsidR="009543DB" w:rsidRPr="003046A9" w:rsidRDefault="009543DB" w:rsidP="009543DB">
            <w:pPr>
              <w:pStyle w:val="Tabletextheadingright"/>
            </w:pPr>
            <w:r w:rsidRPr="003046A9">
              <w:t>2</w:t>
            </w:r>
            <w:r>
              <w:t xml:space="preserve"> </w:t>
            </w:r>
            <w:r w:rsidRPr="003046A9">
              <w:t>257</w:t>
            </w:r>
          </w:p>
        </w:tc>
        <w:tc>
          <w:tcPr>
            <w:tcW w:w="957" w:type="dxa"/>
            <w:tcBorders>
              <w:left w:val="nil"/>
              <w:bottom w:val="single" w:sz="4" w:space="0" w:color="auto"/>
              <w:right w:val="nil"/>
            </w:tcBorders>
            <w:vAlign w:val="bottom"/>
          </w:tcPr>
          <w:p w:rsidR="009543DB" w:rsidRPr="003046A9" w:rsidRDefault="009543DB" w:rsidP="009543DB">
            <w:pPr>
              <w:pStyle w:val="Tabletextheadingright"/>
            </w:pPr>
            <w:r w:rsidRPr="003046A9">
              <w:t>2</w:t>
            </w:r>
            <w:r>
              <w:t xml:space="preserve"> </w:t>
            </w:r>
            <w:r w:rsidRPr="003046A9">
              <w:t>249</w:t>
            </w:r>
          </w:p>
        </w:tc>
        <w:tc>
          <w:tcPr>
            <w:tcW w:w="957" w:type="dxa"/>
            <w:tcBorders>
              <w:left w:val="nil"/>
              <w:bottom w:val="single" w:sz="4" w:space="0" w:color="auto"/>
              <w:right w:val="nil"/>
            </w:tcBorders>
            <w:vAlign w:val="bottom"/>
          </w:tcPr>
          <w:p w:rsidR="009543DB" w:rsidRPr="003046A9" w:rsidRDefault="009543DB" w:rsidP="009543DB">
            <w:pPr>
              <w:pStyle w:val="Tabletextheadingright"/>
            </w:pPr>
            <w:r w:rsidRPr="003046A9">
              <w:t>2</w:t>
            </w:r>
            <w:r>
              <w:t xml:space="preserve"> </w:t>
            </w:r>
            <w:r w:rsidRPr="003046A9">
              <w:t>212</w:t>
            </w:r>
          </w:p>
        </w:tc>
      </w:tr>
      <w:tr w:rsidR="009543DB" w:rsidTr="009543DB">
        <w:tc>
          <w:tcPr>
            <w:tcW w:w="1214" w:type="dxa"/>
            <w:vMerge w:val="restart"/>
            <w:tcBorders>
              <w:left w:val="nil"/>
              <w:right w:val="nil"/>
            </w:tcBorders>
            <w:vAlign w:val="center"/>
          </w:tcPr>
          <w:p w:rsidR="009543DB" w:rsidRDefault="009543DB" w:rsidP="009543DB">
            <w:pPr>
              <w:pStyle w:val="Tabletextheadingcentre"/>
            </w:pPr>
            <w:r>
              <w:t>Average daily throughput of car park facilities</w:t>
            </w:r>
          </w:p>
        </w:tc>
        <w:tc>
          <w:tcPr>
            <w:tcW w:w="2296" w:type="dxa"/>
            <w:tcBorders>
              <w:left w:val="nil"/>
              <w:right w:val="nil"/>
            </w:tcBorders>
          </w:tcPr>
          <w:p w:rsidR="009543DB" w:rsidRDefault="009543DB" w:rsidP="009543DB">
            <w:pPr>
              <w:pStyle w:val="Tabletextleft"/>
            </w:pPr>
            <w:r>
              <w:t>T3/T4 short-term</w:t>
            </w:r>
          </w:p>
        </w:tc>
        <w:tc>
          <w:tcPr>
            <w:tcW w:w="956" w:type="dxa"/>
            <w:tcBorders>
              <w:left w:val="nil"/>
              <w:right w:val="nil"/>
            </w:tcBorders>
          </w:tcPr>
          <w:p w:rsidR="009543DB" w:rsidRPr="003046A9" w:rsidRDefault="009543DB" w:rsidP="009543DB">
            <w:pPr>
              <w:pStyle w:val="Tabletextright"/>
            </w:pPr>
            <w:r w:rsidRPr="003046A9">
              <w:t>2</w:t>
            </w:r>
            <w:r>
              <w:t xml:space="preserve"> </w:t>
            </w:r>
            <w:r w:rsidRPr="003046A9">
              <w:t>602</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595</w:t>
            </w:r>
          </w:p>
        </w:tc>
        <w:tc>
          <w:tcPr>
            <w:tcW w:w="956" w:type="dxa"/>
            <w:tcBorders>
              <w:left w:val="nil"/>
              <w:right w:val="nil"/>
            </w:tcBorders>
          </w:tcPr>
          <w:p w:rsidR="009543DB" w:rsidRPr="003046A9" w:rsidRDefault="009543DB" w:rsidP="009543DB">
            <w:pPr>
              <w:pStyle w:val="Tabletextright"/>
            </w:pPr>
            <w:r w:rsidRPr="003046A9">
              <w:t>2</w:t>
            </w:r>
            <w:r>
              <w:t xml:space="preserve"> </w:t>
            </w:r>
            <w:r w:rsidRPr="003046A9">
              <w:t>731</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626</w:t>
            </w:r>
          </w:p>
        </w:tc>
        <w:tc>
          <w:tcPr>
            <w:tcW w:w="956" w:type="dxa"/>
            <w:tcBorders>
              <w:left w:val="nil"/>
              <w:right w:val="nil"/>
            </w:tcBorders>
          </w:tcPr>
          <w:p w:rsidR="009543DB" w:rsidRPr="003046A9" w:rsidRDefault="009543DB" w:rsidP="009543DB">
            <w:pPr>
              <w:pStyle w:val="Tabletextright"/>
            </w:pPr>
            <w:r w:rsidRPr="003046A9">
              <w:t>2</w:t>
            </w:r>
            <w:r>
              <w:t xml:space="preserve"> </w:t>
            </w:r>
            <w:r w:rsidRPr="003046A9">
              <w:t>792</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712</w:t>
            </w:r>
          </w:p>
        </w:tc>
        <w:tc>
          <w:tcPr>
            <w:tcW w:w="956" w:type="dxa"/>
            <w:tcBorders>
              <w:left w:val="nil"/>
              <w:right w:val="nil"/>
            </w:tcBorders>
          </w:tcPr>
          <w:p w:rsidR="009543DB" w:rsidRPr="003046A9" w:rsidRDefault="009543DB" w:rsidP="009543DB">
            <w:pPr>
              <w:pStyle w:val="Tabletextright"/>
            </w:pPr>
            <w:r w:rsidRPr="003046A9">
              <w:t>2</w:t>
            </w:r>
            <w:r>
              <w:t xml:space="preserve"> </w:t>
            </w:r>
            <w:r w:rsidRPr="003046A9">
              <w:t>888</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879</w:t>
            </w:r>
          </w:p>
        </w:tc>
        <w:tc>
          <w:tcPr>
            <w:tcW w:w="956" w:type="dxa"/>
            <w:tcBorders>
              <w:left w:val="nil"/>
              <w:right w:val="nil"/>
            </w:tcBorders>
          </w:tcPr>
          <w:p w:rsidR="009543DB" w:rsidRPr="003046A9" w:rsidRDefault="009543DB" w:rsidP="009543DB">
            <w:pPr>
              <w:pStyle w:val="Tabletextright"/>
            </w:pPr>
            <w:r w:rsidRPr="003046A9">
              <w:t>2</w:t>
            </w:r>
            <w:r>
              <w:t xml:space="preserve"> </w:t>
            </w:r>
            <w:r w:rsidRPr="003046A9">
              <w:t>822</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472</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347</w:t>
            </w:r>
          </w:p>
        </w:tc>
      </w:tr>
      <w:tr w:rsidR="009543DB" w:rsidTr="009543DB">
        <w:tc>
          <w:tcPr>
            <w:tcW w:w="1214" w:type="dxa"/>
            <w:vMerge/>
            <w:tcBorders>
              <w:left w:val="nil"/>
              <w:right w:val="nil"/>
            </w:tcBorders>
          </w:tcPr>
          <w:p w:rsidR="009543DB" w:rsidRDefault="009543DB" w:rsidP="009543DB">
            <w:pPr>
              <w:pStyle w:val="Tabletextheading"/>
            </w:pPr>
          </w:p>
        </w:tc>
        <w:tc>
          <w:tcPr>
            <w:tcW w:w="2296" w:type="dxa"/>
            <w:tcBorders>
              <w:left w:val="nil"/>
              <w:right w:val="nil"/>
            </w:tcBorders>
          </w:tcPr>
          <w:p w:rsidR="009543DB" w:rsidRDefault="009543DB" w:rsidP="009543DB">
            <w:pPr>
              <w:pStyle w:val="Tabletextleft"/>
            </w:pPr>
            <w:r>
              <w:t>T3/T4 long-term</w:t>
            </w:r>
          </w:p>
        </w:tc>
        <w:tc>
          <w:tcPr>
            <w:tcW w:w="956" w:type="dxa"/>
            <w:tcBorders>
              <w:left w:val="nil"/>
              <w:right w:val="nil"/>
            </w:tcBorders>
          </w:tcPr>
          <w:p w:rsidR="009543DB" w:rsidRPr="003046A9" w:rsidRDefault="009543DB" w:rsidP="009543DB">
            <w:pPr>
              <w:pStyle w:val="Tabletextright"/>
            </w:pPr>
            <w:r w:rsidRPr="003046A9">
              <w:t>0</w:t>
            </w:r>
          </w:p>
        </w:tc>
        <w:tc>
          <w:tcPr>
            <w:tcW w:w="957" w:type="dxa"/>
            <w:tcBorders>
              <w:left w:val="nil"/>
              <w:right w:val="nil"/>
            </w:tcBorders>
          </w:tcPr>
          <w:p w:rsidR="009543DB" w:rsidRPr="003046A9" w:rsidRDefault="009543DB" w:rsidP="009543DB">
            <w:pPr>
              <w:pStyle w:val="Tabletextright"/>
            </w:pPr>
            <w:r w:rsidRPr="003046A9">
              <w:t>205</w:t>
            </w:r>
          </w:p>
        </w:tc>
        <w:tc>
          <w:tcPr>
            <w:tcW w:w="956" w:type="dxa"/>
            <w:tcBorders>
              <w:left w:val="nil"/>
              <w:right w:val="nil"/>
            </w:tcBorders>
          </w:tcPr>
          <w:p w:rsidR="009543DB" w:rsidRPr="003046A9" w:rsidRDefault="009543DB" w:rsidP="009543DB">
            <w:pPr>
              <w:pStyle w:val="Tabletextright"/>
            </w:pPr>
            <w:r w:rsidRPr="003046A9">
              <w:t>237</w:t>
            </w:r>
          </w:p>
        </w:tc>
        <w:tc>
          <w:tcPr>
            <w:tcW w:w="957" w:type="dxa"/>
            <w:tcBorders>
              <w:left w:val="nil"/>
              <w:right w:val="nil"/>
            </w:tcBorders>
          </w:tcPr>
          <w:p w:rsidR="009543DB" w:rsidRPr="003046A9" w:rsidRDefault="009543DB" w:rsidP="009543DB">
            <w:pPr>
              <w:pStyle w:val="Tabletextright"/>
            </w:pPr>
            <w:r w:rsidRPr="003046A9">
              <w:t>230</w:t>
            </w:r>
          </w:p>
        </w:tc>
        <w:tc>
          <w:tcPr>
            <w:tcW w:w="956" w:type="dxa"/>
            <w:tcBorders>
              <w:left w:val="nil"/>
              <w:right w:val="nil"/>
            </w:tcBorders>
          </w:tcPr>
          <w:p w:rsidR="009543DB" w:rsidRPr="003046A9" w:rsidRDefault="009543DB" w:rsidP="009543DB">
            <w:pPr>
              <w:pStyle w:val="Tabletextright"/>
            </w:pPr>
            <w:r w:rsidRPr="003046A9">
              <w:t>333</w:t>
            </w:r>
          </w:p>
        </w:tc>
        <w:tc>
          <w:tcPr>
            <w:tcW w:w="957" w:type="dxa"/>
            <w:tcBorders>
              <w:left w:val="nil"/>
              <w:right w:val="nil"/>
            </w:tcBorders>
          </w:tcPr>
          <w:p w:rsidR="009543DB" w:rsidRPr="003046A9" w:rsidRDefault="009543DB" w:rsidP="009543DB">
            <w:pPr>
              <w:pStyle w:val="Tabletextright"/>
            </w:pPr>
            <w:r w:rsidRPr="003046A9">
              <w:t>475</w:t>
            </w:r>
          </w:p>
        </w:tc>
        <w:tc>
          <w:tcPr>
            <w:tcW w:w="956" w:type="dxa"/>
            <w:tcBorders>
              <w:left w:val="nil"/>
              <w:right w:val="nil"/>
            </w:tcBorders>
          </w:tcPr>
          <w:p w:rsidR="009543DB" w:rsidRPr="003046A9" w:rsidRDefault="009543DB" w:rsidP="009543DB">
            <w:pPr>
              <w:pStyle w:val="Tabletextright"/>
            </w:pPr>
            <w:r w:rsidRPr="003046A9">
              <w:t>630</w:t>
            </w:r>
          </w:p>
        </w:tc>
        <w:tc>
          <w:tcPr>
            <w:tcW w:w="957" w:type="dxa"/>
            <w:tcBorders>
              <w:left w:val="nil"/>
              <w:right w:val="nil"/>
            </w:tcBorders>
          </w:tcPr>
          <w:p w:rsidR="009543DB" w:rsidRPr="003046A9" w:rsidRDefault="009543DB" w:rsidP="009543DB">
            <w:pPr>
              <w:pStyle w:val="Tabletextright"/>
            </w:pPr>
            <w:r w:rsidRPr="003046A9">
              <w:t>938</w:t>
            </w:r>
          </w:p>
        </w:tc>
        <w:tc>
          <w:tcPr>
            <w:tcW w:w="956" w:type="dxa"/>
            <w:tcBorders>
              <w:left w:val="nil"/>
              <w:right w:val="nil"/>
            </w:tcBorders>
          </w:tcPr>
          <w:p w:rsidR="009543DB" w:rsidRPr="003046A9" w:rsidRDefault="009543DB" w:rsidP="009543DB">
            <w:pPr>
              <w:pStyle w:val="Tabletextright"/>
            </w:pPr>
            <w:r w:rsidRPr="003046A9">
              <w:t>1060</w:t>
            </w:r>
          </w:p>
        </w:tc>
        <w:tc>
          <w:tcPr>
            <w:tcW w:w="957" w:type="dxa"/>
            <w:tcBorders>
              <w:left w:val="nil"/>
              <w:right w:val="nil"/>
            </w:tcBorders>
          </w:tcPr>
          <w:p w:rsidR="009543DB" w:rsidRPr="003046A9" w:rsidRDefault="009543DB" w:rsidP="009543DB">
            <w:pPr>
              <w:pStyle w:val="Tabletextright"/>
            </w:pPr>
            <w:r w:rsidRPr="003046A9">
              <w:t>994</w:t>
            </w:r>
          </w:p>
        </w:tc>
        <w:tc>
          <w:tcPr>
            <w:tcW w:w="957" w:type="dxa"/>
            <w:tcBorders>
              <w:left w:val="nil"/>
              <w:right w:val="nil"/>
            </w:tcBorders>
          </w:tcPr>
          <w:p w:rsidR="009543DB" w:rsidRPr="003046A9" w:rsidRDefault="009543DB" w:rsidP="009543DB">
            <w:pPr>
              <w:pStyle w:val="Tabletextright"/>
            </w:pPr>
            <w:r w:rsidRPr="003046A9">
              <w:t>945</w:t>
            </w:r>
          </w:p>
        </w:tc>
      </w:tr>
      <w:tr w:rsidR="009543DB" w:rsidTr="009543DB">
        <w:tc>
          <w:tcPr>
            <w:tcW w:w="1214" w:type="dxa"/>
            <w:vMerge/>
            <w:tcBorders>
              <w:left w:val="nil"/>
              <w:right w:val="nil"/>
            </w:tcBorders>
          </w:tcPr>
          <w:p w:rsidR="009543DB" w:rsidRDefault="009543DB" w:rsidP="009543DB">
            <w:pPr>
              <w:pStyle w:val="Tabletextheading"/>
            </w:pPr>
          </w:p>
        </w:tc>
        <w:tc>
          <w:tcPr>
            <w:tcW w:w="2296" w:type="dxa"/>
            <w:tcBorders>
              <w:left w:val="nil"/>
              <w:right w:val="nil"/>
            </w:tcBorders>
          </w:tcPr>
          <w:p w:rsidR="009543DB" w:rsidRDefault="009543DB" w:rsidP="009543DB">
            <w:pPr>
              <w:pStyle w:val="Tabletextleft"/>
            </w:pPr>
            <w:r>
              <w:t>T1/T2 short-term</w:t>
            </w:r>
          </w:p>
        </w:tc>
        <w:tc>
          <w:tcPr>
            <w:tcW w:w="956" w:type="dxa"/>
            <w:tcBorders>
              <w:left w:val="nil"/>
              <w:right w:val="nil"/>
            </w:tcBorders>
          </w:tcPr>
          <w:p w:rsidR="009543DB" w:rsidRPr="003046A9" w:rsidRDefault="009543DB" w:rsidP="009543DB">
            <w:pPr>
              <w:pStyle w:val="Tabletextright"/>
            </w:pPr>
            <w:r w:rsidRPr="003046A9">
              <w:t>1</w:t>
            </w:r>
            <w:r>
              <w:t xml:space="preserve"> </w:t>
            </w:r>
            <w:r w:rsidRPr="003046A9">
              <w:t>862</w:t>
            </w:r>
          </w:p>
        </w:tc>
        <w:tc>
          <w:tcPr>
            <w:tcW w:w="957" w:type="dxa"/>
            <w:tcBorders>
              <w:left w:val="nil"/>
              <w:right w:val="nil"/>
            </w:tcBorders>
          </w:tcPr>
          <w:p w:rsidR="009543DB" w:rsidRPr="003046A9" w:rsidRDefault="009543DB" w:rsidP="009543DB">
            <w:pPr>
              <w:pStyle w:val="Tabletextright"/>
            </w:pPr>
            <w:r w:rsidRPr="003046A9">
              <w:t>1</w:t>
            </w:r>
            <w:r>
              <w:t xml:space="preserve"> </w:t>
            </w:r>
            <w:r w:rsidRPr="003046A9">
              <w:t>828</w:t>
            </w:r>
          </w:p>
        </w:tc>
        <w:tc>
          <w:tcPr>
            <w:tcW w:w="956" w:type="dxa"/>
            <w:tcBorders>
              <w:left w:val="nil"/>
              <w:right w:val="nil"/>
            </w:tcBorders>
          </w:tcPr>
          <w:p w:rsidR="009543DB" w:rsidRPr="003046A9" w:rsidRDefault="009543DB" w:rsidP="009543DB">
            <w:pPr>
              <w:pStyle w:val="Tabletextright"/>
            </w:pPr>
            <w:r w:rsidRPr="003046A9">
              <w:t>1</w:t>
            </w:r>
            <w:r>
              <w:t xml:space="preserve"> </w:t>
            </w:r>
            <w:r w:rsidRPr="003046A9">
              <w:t>825</w:t>
            </w:r>
          </w:p>
        </w:tc>
        <w:tc>
          <w:tcPr>
            <w:tcW w:w="957" w:type="dxa"/>
            <w:tcBorders>
              <w:left w:val="nil"/>
              <w:right w:val="nil"/>
            </w:tcBorders>
          </w:tcPr>
          <w:p w:rsidR="009543DB" w:rsidRPr="003046A9" w:rsidRDefault="009543DB" w:rsidP="009543DB">
            <w:pPr>
              <w:pStyle w:val="Tabletextright"/>
            </w:pPr>
            <w:r w:rsidRPr="003046A9">
              <w:t>1</w:t>
            </w:r>
            <w:r>
              <w:t xml:space="preserve"> </w:t>
            </w:r>
            <w:r w:rsidRPr="003046A9">
              <w:t>766</w:t>
            </w:r>
          </w:p>
        </w:tc>
        <w:tc>
          <w:tcPr>
            <w:tcW w:w="956" w:type="dxa"/>
            <w:tcBorders>
              <w:left w:val="nil"/>
              <w:right w:val="nil"/>
            </w:tcBorders>
          </w:tcPr>
          <w:p w:rsidR="009543DB" w:rsidRPr="003046A9" w:rsidRDefault="009543DB" w:rsidP="009543DB">
            <w:pPr>
              <w:pStyle w:val="Tabletextright"/>
            </w:pPr>
            <w:r w:rsidRPr="003046A9">
              <w:t>1</w:t>
            </w:r>
            <w:r>
              <w:t xml:space="preserve"> </w:t>
            </w:r>
            <w:r w:rsidRPr="003046A9">
              <w:t>876</w:t>
            </w:r>
          </w:p>
        </w:tc>
        <w:tc>
          <w:tcPr>
            <w:tcW w:w="957" w:type="dxa"/>
            <w:tcBorders>
              <w:left w:val="nil"/>
              <w:right w:val="nil"/>
            </w:tcBorders>
          </w:tcPr>
          <w:p w:rsidR="009543DB" w:rsidRPr="003046A9" w:rsidRDefault="009543DB" w:rsidP="009543DB">
            <w:pPr>
              <w:pStyle w:val="Tabletextright"/>
            </w:pPr>
            <w:r w:rsidRPr="003046A9">
              <w:t>1</w:t>
            </w:r>
            <w:r>
              <w:t xml:space="preserve"> </w:t>
            </w:r>
            <w:r w:rsidRPr="003046A9">
              <w:t>959</w:t>
            </w:r>
          </w:p>
        </w:tc>
        <w:tc>
          <w:tcPr>
            <w:tcW w:w="956" w:type="dxa"/>
            <w:tcBorders>
              <w:left w:val="nil"/>
              <w:right w:val="nil"/>
            </w:tcBorders>
          </w:tcPr>
          <w:p w:rsidR="009543DB" w:rsidRPr="003046A9" w:rsidRDefault="009543DB" w:rsidP="009543DB">
            <w:pPr>
              <w:pStyle w:val="Tabletextright"/>
            </w:pPr>
            <w:r w:rsidRPr="003046A9">
              <w:t>2</w:t>
            </w:r>
            <w:r>
              <w:t xml:space="preserve"> </w:t>
            </w:r>
            <w:r w:rsidRPr="003046A9">
              <w:t>007</w:t>
            </w:r>
          </w:p>
        </w:tc>
        <w:tc>
          <w:tcPr>
            <w:tcW w:w="957" w:type="dxa"/>
            <w:tcBorders>
              <w:left w:val="nil"/>
              <w:right w:val="nil"/>
            </w:tcBorders>
          </w:tcPr>
          <w:p w:rsidR="009543DB" w:rsidRPr="003046A9" w:rsidRDefault="009543DB" w:rsidP="009543DB">
            <w:pPr>
              <w:pStyle w:val="Tabletextright"/>
            </w:pPr>
            <w:r w:rsidRPr="003046A9">
              <w:t>1</w:t>
            </w:r>
            <w:r>
              <w:t xml:space="preserve"> </w:t>
            </w:r>
            <w:r w:rsidRPr="003046A9">
              <w:t>968</w:t>
            </w:r>
          </w:p>
        </w:tc>
        <w:tc>
          <w:tcPr>
            <w:tcW w:w="956" w:type="dxa"/>
            <w:tcBorders>
              <w:left w:val="nil"/>
              <w:right w:val="nil"/>
            </w:tcBorders>
          </w:tcPr>
          <w:p w:rsidR="009543DB" w:rsidRPr="003046A9" w:rsidRDefault="009543DB" w:rsidP="009543DB">
            <w:pPr>
              <w:pStyle w:val="Tabletextright"/>
            </w:pPr>
            <w:r w:rsidRPr="003046A9">
              <w:t>2</w:t>
            </w:r>
            <w:r>
              <w:t xml:space="preserve"> </w:t>
            </w:r>
            <w:r w:rsidRPr="003046A9">
              <w:t>047</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320</w:t>
            </w:r>
          </w:p>
        </w:tc>
        <w:tc>
          <w:tcPr>
            <w:tcW w:w="957" w:type="dxa"/>
            <w:tcBorders>
              <w:left w:val="nil"/>
              <w:right w:val="nil"/>
            </w:tcBorders>
          </w:tcPr>
          <w:p w:rsidR="009543DB" w:rsidRPr="003046A9" w:rsidRDefault="009543DB" w:rsidP="009543DB">
            <w:pPr>
              <w:pStyle w:val="Tabletextright"/>
            </w:pPr>
            <w:r w:rsidRPr="003046A9">
              <w:t>2</w:t>
            </w:r>
            <w:r>
              <w:t xml:space="preserve"> </w:t>
            </w:r>
            <w:r w:rsidRPr="003046A9">
              <w:t>394</w:t>
            </w:r>
          </w:p>
        </w:tc>
      </w:tr>
      <w:tr w:rsidR="009543DB" w:rsidTr="009543DB">
        <w:tc>
          <w:tcPr>
            <w:tcW w:w="1214" w:type="dxa"/>
            <w:vMerge/>
            <w:tcBorders>
              <w:left w:val="nil"/>
              <w:right w:val="nil"/>
            </w:tcBorders>
          </w:tcPr>
          <w:p w:rsidR="009543DB" w:rsidRDefault="009543DB" w:rsidP="009543DB">
            <w:pPr>
              <w:pStyle w:val="Tabletextheading"/>
            </w:pPr>
          </w:p>
        </w:tc>
        <w:tc>
          <w:tcPr>
            <w:tcW w:w="2296" w:type="dxa"/>
            <w:tcBorders>
              <w:left w:val="nil"/>
              <w:right w:val="nil"/>
            </w:tcBorders>
          </w:tcPr>
          <w:p w:rsidR="009543DB" w:rsidRDefault="009543DB" w:rsidP="009543DB">
            <w:pPr>
              <w:pStyle w:val="Tabletextleft"/>
            </w:pPr>
            <w:r>
              <w:t>T1/T2 long-term</w:t>
            </w:r>
          </w:p>
        </w:tc>
        <w:tc>
          <w:tcPr>
            <w:tcW w:w="956" w:type="dxa"/>
            <w:tcBorders>
              <w:left w:val="nil"/>
              <w:right w:val="nil"/>
            </w:tcBorders>
          </w:tcPr>
          <w:p w:rsidR="009543DB" w:rsidRPr="003046A9" w:rsidRDefault="009543DB" w:rsidP="009543DB">
            <w:pPr>
              <w:pStyle w:val="Tabletextright"/>
            </w:pPr>
            <w:r w:rsidRPr="003046A9">
              <w:t>0</w:t>
            </w:r>
          </w:p>
        </w:tc>
        <w:tc>
          <w:tcPr>
            <w:tcW w:w="957" w:type="dxa"/>
            <w:tcBorders>
              <w:left w:val="nil"/>
              <w:right w:val="nil"/>
            </w:tcBorders>
          </w:tcPr>
          <w:p w:rsidR="009543DB" w:rsidRPr="003046A9" w:rsidRDefault="009543DB" w:rsidP="009543DB">
            <w:pPr>
              <w:pStyle w:val="Tabletextright"/>
            </w:pPr>
            <w:r w:rsidRPr="003046A9">
              <w:t>0</w:t>
            </w:r>
          </w:p>
        </w:tc>
        <w:tc>
          <w:tcPr>
            <w:tcW w:w="956" w:type="dxa"/>
            <w:tcBorders>
              <w:left w:val="nil"/>
              <w:right w:val="nil"/>
            </w:tcBorders>
          </w:tcPr>
          <w:p w:rsidR="009543DB" w:rsidRPr="003046A9" w:rsidRDefault="009543DB" w:rsidP="009543DB">
            <w:pPr>
              <w:pStyle w:val="Tabletextright"/>
            </w:pPr>
            <w:r w:rsidRPr="003046A9">
              <w:t>0</w:t>
            </w:r>
          </w:p>
        </w:tc>
        <w:tc>
          <w:tcPr>
            <w:tcW w:w="957" w:type="dxa"/>
            <w:tcBorders>
              <w:left w:val="nil"/>
              <w:right w:val="nil"/>
            </w:tcBorders>
          </w:tcPr>
          <w:p w:rsidR="009543DB" w:rsidRPr="003046A9" w:rsidRDefault="009543DB" w:rsidP="009543DB">
            <w:pPr>
              <w:pStyle w:val="Tabletextright"/>
            </w:pPr>
            <w:r w:rsidRPr="003046A9">
              <w:t>80</w:t>
            </w:r>
          </w:p>
        </w:tc>
        <w:tc>
          <w:tcPr>
            <w:tcW w:w="956" w:type="dxa"/>
            <w:tcBorders>
              <w:left w:val="nil"/>
              <w:right w:val="nil"/>
            </w:tcBorders>
          </w:tcPr>
          <w:p w:rsidR="009543DB" w:rsidRPr="003046A9" w:rsidRDefault="009543DB" w:rsidP="009543DB">
            <w:pPr>
              <w:pStyle w:val="Tabletextright"/>
            </w:pPr>
            <w:r w:rsidRPr="003046A9">
              <w:t>89</w:t>
            </w:r>
          </w:p>
        </w:tc>
        <w:tc>
          <w:tcPr>
            <w:tcW w:w="957" w:type="dxa"/>
            <w:tcBorders>
              <w:left w:val="nil"/>
              <w:right w:val="nil"/>
            </w:tcBorders>
          </w:tcPr>
          <w:p w:rsidR="009543DB" w:rsidRPr="003046A9" w:rsidRDefault="009543DB" w:rsidP="009543DB">
            <w:pPr>
              <w:pStyle w:val="Tabletextright"/>
            </w:pPr>
            <w:r w:rsidRPr="003046A9">
              <w:t>130</w:t>
            </w:r>
          </w:p>
        </w:tc>
        <w:tc>
          <w:tcPr>
            <w:tcW w:w="956" w:type="dxa"/>
            <w:tcBorders>
              <w:left w:val="nil"/>
              <w:right w:val="nil"/>
            </w:tcBorders>
          </w:tcPr>
          <w:p w:rsidR="009543DB" w:rsidRPr="003046A9" w:rsidRDefault="009543DB" w:rsidP="009543DB">
            <w:pPr>
              <w:pStyle w:val="Tabletextright"/>
            </w:pPr>
            <w:r w:rsidRPr="003046A9">
              <w:t>181</w:t>
            </w:r>
          </w:p>
        </w:tc>
        <w:tc>
          <w:tcPr>
            <w:tcW w:w="957" w:type="dxa"/>
            <w:tcBorders>
              <w:left w:val="nil"/>
              <w:right w:val="nil"/>
            </w:tcBorders>
          </w:tcPr>
          <w:p w:rsidR="009543DB" w:rsidRPr="003046A9" w:rsidRDefault="009543DB" w:rsidP="009543DB">
            <w:pPr>
              <w:pStyle w:val="Tabletextright"/>
            </w:pPr>
            <w:r w:rsidRPr="003046A9">
              <w:t>184</w:t>
            </w:r>
          </w:p>
        </w:tc>
        <w:tc>
          <w:tcPr>
            <w:tcW w:w="956" w:type="dxa"/>
            <w:tcBorders>
              <w:left w:val="nil"/>
              <w:right w:val="nil"/>
            </w:tcBorders>
          </w:tcPr>
          <w:p w:rsidR="009543DB" w:rsidRPr="003046A9" w:rsidRDefault="009543DB" w:rsidP="009543DB">
            <w:pPr>
              <w:pStyle w:val="Tabletextright"/>
            </w:pPr>
            <w:r w:rsidRPr="003046A9">
              <w:t>254</w:t>
            </w:r>
          </w:p>
        </w:tc>
        <w:tc>
          <w:tcPr>
            <w:tcW w:w="957" w:type="dxa"/>
            <w:tcBorders>
              <w:left w:val="nil"/>
              <w:right w:val="nil"/>
            </w:tcBorders>
          </w:tcPr>
          <w:p w:rsidR="009543DB" w:rsidRPr="003046A9" w:rsidRDefault="009543DB" w:rsidP="009543DB">
            <w:pPr>
              <w:pStyle w:val="Tabletextright"/>
            </w:pPr>
            <w:r w:rsidRPr="003046A9">
              <w:t>377</w:t>
            </w:r>
          </w:p>
        </w:tc>
        <w:tc>
          <w:tcPr>
            <w:tcW w:w="957" w:type="dxa"/>
            <w:tcBorders>
              <w:left w:val="nil"/>
              <w:right w:val="nil"/>
            </w:tcBorders>
          </w:tcPr>
          <w:p w:rsidR="009543DB" w:rsidRPr="003046A9" w:rsidRDefault="009543DB" w:rsidP="009543DB">
            <w:pPr>
              <w:pStyle w:val="Tabletextright"/>
            </w:pPr>
            <w:r w:rsidRPr="003046A9">
              <w:t>375</w:t>
            </w:r>
          </w:p>
        </w:tc>
      </w:tr>
      <w:tr w:rsidR="009543DB" w:rsidTr="009543DB">
        <w:tc>
          <w:tcPr>
            <w:tcW w:w="1214" w:type="dxa"/>
            <w:vMerge/>
            <w:tcBorders>
              <w:left w:val="nil"/>
              <w:right w:val="nil"/>
            </w:tcBorders>
          </w:tcPr>
          <w:p w:rsidR="009543DB" w:rsidRDefault="009543DB" w:rsidP="009543DB">
            <w:pPr>
              <w:pStyle w:val="Tabletextheading"/>
            </w:pPr>
          </w:p>
        </w:tc>
        <w:tc>
          <w:tcPr>
            <w:tcW w:w="2296" w:type="dxa"/>
            <w:tcBorders>
              <w:left w:val="nil"/>
              <w:right w:val="nil"/>
            </w:tcBorders>
          </w:tcPr>
          <w:p w:rsidR="009543DB" w:rsidRDefault="009543DB" w:rsidP="009543DB">
            <w:pPr>
              <w:pStyle w:val="Tabletextheading"/>
            </w:pPr>
            <w:r>
              <w:t>Total airport</w:t>
            </w:r>
          </w:p>
        </w:tc>
        <w:tc>
          <w:tcPr>
            <w:tcW w:w="956" w:type="dxa"/>
            <w:tcBorders>
              <w:left w:val="nil"/>
              <w:right w:val="nil"/>
            </w:tcBorders>
          </w:tcPr>
          <w:p w:rsidR="009543DB" w:rsidRPr="003046A9" w:rsidRDefault="009543DB" w:rsidP="009543DB">
            <w:pPr>
              <w:pStyle w:val="Tabletextheadingright"/>
            </w:pPr>
            <w:r w:rsidRPr="003046A9">
              <w:t>4</w:t>
            </w:r>
            <w:r>
              <w:t xml:space="preserve"> </w:t>
            </w:r>
            <w:r w:rsidRPr="003046A9">
              <w:t>464</w:t>
            </w:r>
          </w:p>
        </w:tc>
        <w:tc>
          <w:tcPr>
            <w:tcW w:w="957" w:type="dxa"/>
            <w:tcBorders>
              <w:left w:val="nil"/>
              <w:right w:val="nil"/>
            </w:tcBorders>
          </w:tcPr>
          <w:p w:rsidR="009543DB" w:rsidRPr="003046A9" w:rsidRDefault="009543DB" w:rsidP="009543DB">
            <w:pPr>
              <w:pStyle w:val="Tabletextheadingright"/>
            </w:pPr>
            <w:r w:rsidRPr="003046A9">
              <w:t>4</w:t>
            </w:r>
            <w:r>
              <w:t xml:space="preserve"> </w:t>
            </w:r>
            <w:r w:rsidRPr="003046A9">
              <w:t>628</w:t>
            </w:r>
          </w:p>
        </w:tc>
        <w:tc>
          <w:tcPr>
            <w:tcW w:w="956" w:type="dxa"/>
            <w:tcBorders>
              <w:left w:val="nil"/>
              <w:right w:val="nil"/>
            </w:tcBorders>
          </w:tcPr>
          <w:p w:rsidR="009543DB" w:rsidRPr="003046A9" w:rsidRDefault="009543DB" w:rsidP="009543DB">
            <w:pPr>
              <w:pStyle w:val="Tabletextheadingright"/>
            </w:pPr>
            <w:r w:rsidRPr="003046A9">
              <w:t>4</w:t>
            </w:r>
            <w:r>
              <w:t xml:space="preserve"> </w:t>
            </w:r>
            <w:r w:rsidRPr="003046A9">
              <w:t>793</w:t>
            </w:r>
          </w:p>
        </w:tc>
        <w:tc>
          <w:tcPr>
            <w:tcW w:w="957" w:type="dxa"/>
            <w:tcBorders>
              <w:left w:val="nil"/>
              <w:right w:val="nil"/>
            </w:tcBorders>
          </w:tcPr>
          <w:p w:rsidR="009543DB" w:rsidRPr="003046A9" w:rsidRDefault="009543DB" w:rsidP="009543DB">
            <w:pPr>
              <w:pStyle w:val="Tabletextheadingright"/>
            </w:pPr>
            <w:r w:rsidRPr="003046A9">
              <w:t>4</w:t>
            </w:r>
            <w:r>
              <w:t xml:space="preserve"> </w:t>
            </w:r>
            <w:r w:rsidRPr="003046A9">
              <w:t>702</w:t>
            </w:r>
          </w:p>
        </w:tc>
        <w:tc>
          <w:tcPr>
            <w:tcW w:w="956" w:type="dxa"/>
            <w:tcBorders>
              <w:left w:val="nil"/>
              <w:right w:val="nil"/>
            </w:tcBorders>
          </w:tcPr>
          <w:p w:rsidR="009543DB" w:rsidRPr="003046A9" w:rsidRDefault="009543DB" w:rsidP="009543DB">
            <w:pPr>
              <w:pStyle w:val="Tabletextheadingright"/>
            </w:pPr>
            <w:r w:rsidRPr="003046A9">
              <w:t>5</w:t>
            </w:r>
            <w:r>
              <w:t xml:space="preserve"> </w:t>
            </w:r>
            <w:r w:rsidRPr="003046A9">
              <w:t>089</w:t>
            </w:r>
          </w:p>
        </w:tc>
        <w:tc>
          <w:tcPr>
            <w:tcW w:w="957" w:type="dxa"/>
            <w:tcBorders>
              <w:left w:val="nil"/>
              <w:right w:val="nil"/>
            </w:tcBorders>
          </w:tcPr>
          <w:p w:rsidR="009543DB" w:rsidRPr="003046A9" w:rsidRDefault="009543DB" w:rsidP="009543DB">
            <w:pPr>
              <w:pStyle w:val="Tabletextheadingright"/>
            </w:pPr>
            <w:r w:rsidRPr="003046A9">
              <w:t>5</w:t>
            </w:r>
            <w:r>
              <w:t xml:space="preserve"> </w:t>
            </w:r>
            <w:r w:rsidRPr="003046A9">
              <w:t>276</w:t>
            </w:r>
          </w:p>
        </w:tc>
        <w:tc>
          <w:tcPr>
            <w:tcW w:w="956" w:type="dxa"/>
            <w:tcBorders>
              <w:left w:val="nil"/>
              <w:right w:val="nil"/>
            </w:tcBorders>
          </w:tcPr>
          <w:p w:rsidR="009543DB" w:rsidRPr="003046A9" w:rsidRDefault="009543DB" w:rsidP="009543DB">
            <w:pPr>
              <w:pStyle w:val="Tabletextheadingright"/>
            </w:pPr>
            <w:r w:rsidRPr="003046A9">
              <w:t>5</w:t>
            </w:r>
            <w:r>
              <w:t xml:space="preserve"> </w:t>
            </w:r>
            <w:r w:rsidRPr="003046A9">
              <w:t>706</w:t>
            </w:r>
          </w:p>
        </w:tc>
        <w:tc>
          <w:tcPr>
            <w:tcW w:w="957" w:type="dxa"/>
            <w:tcBorders>
              <w:left w:val="nil"/>
              <w:right w:val="nil"/>
            </w:tcBorders>
          </w:tcPr>
          <w:p w:rsidR="009543DB" w:rsidRPr="003046A9" w:rsidRDefault="009543DB" w:rsidP="009543DB">
            <w:pPr>
              <w:pStyle w:val="Tabletextheadingright"/>
            </w:pPr>
            <w:r w:rsidRPr="003046A9">
              <w:t>5</w:t>
            </w:r>
            <w:r>
              <w:t xml:space="preserve"> </w:t>
            </w:r>
            <w:r w:rsidRPr="003046A9">
              <w:t>970</w:t>
            </w:r>
          </w:p>
        </w:tc>
        <w:tc>
          <w:tcPr>
            <w:tcW w:w="956" w:type="dxa"/>
            <w:tcBorders>
              <w:left w:val="nil"/>
              <w:right w:val="nil"/>
            </w:tcBorders>
          </w:tcPr>
          <w:p w:rsidR="009543DB" w:rsidRPr="003046A9" w:rsidRDefault="009543DB" w:rsidP="009543DB">
            <w:pPr>
              <w:pStyle w:val="Tabletextheadingright"/>
            </w:pPr>
            <w:r w:rsidRPr="003046A9">
              <w:t>6</w:t>
            </w:r>
            <w:r>
              <w:t xml:space="preserve"> </w:t>
            </w:r>
            <w:r w:rsidRPr="003046A9">
              <w:t>182</w:t>
            </w:r>
          </w:p>
        </w:tc>
        <w:tc>
          <w:tcPr>
            <w:tcW w:w="957" w:type="dxa"/>
            <w:tcBorders>
              <w:left w:val="nil"/>
              <w:right w:val="nil"/>
            </w:tcBorders>
          </w:tcPr>
          <w:p w:rsidR="009543DB" w:rsidRPr="003046A9" w:rsidRDefault="009543DB" w:rsidP="009543DB">
            <w:pPr>
              <w:pStyle w:val="Tabletextheadingright"/>
            </w:pPr>
            <w:r w:rsidRPr="003046A9">
              <w:t>6</w:t>
            </w:r>
            <w:r>
              <w:t xml:space="preserve"> </w:t>
            </w:r>
            <w:r w:rsidRPr="003046A9">
              <w:t>162</w:t>
            </w:r>
          </w:p>
        </w:tc>
        <w:tc>
          <w:tcPr>
            <w:tcW w:w="957" w:type="dxa"/>
            <w:tcBorders>
              <w:left w:val="nil"/>
              <w:right w:val="nil"/>
            </w:tcBorders>
          </w:tcPr>
          <w:p w:rsidR="009543DB" w:rsidRPr="003046A9" w:rsidRDefault="009543DB" w:rsidP="009543DB">
            <w:pPr>
              <w:pStyle w:val="Tabletextheadingright"/>
            </w:pPr>
            <w:r w:rsidRPr="003046A9">
              <w:t>6</w:t>
            </w:r>
            <w:r>
              <w:t xml:space="preserve"> </w:t>
            </w:r>
            <w:r w:rsidRPr="003046A9">
              <w:t>061</w:t>
            </w:r>
          </w:p>
        </w:tc>
      </w:tr>
    </w:tbl>
    <w:p w:rsidR="009543DB" w:rsidRDefault="009543DB" w:rsidP="009543DB">
      <w:pPr>
        <w:sectPr w:rsidR="009543DB" w:rsidSect="009543DB">
          <w:type w:val="continuous"/>
          <w:pgSz w:w="16838" w:h="11906" w:orient="landscape"/>
          <w:pgMar w:top="1729" w:right="1440" w:bottom="1729" w:left="1582" w:header="709" w:footer="709" w:gutter="0"/>
          <w:cols w:space="708"/>
          <w:docGrid w:linePitch="360"/>
        </w:sectPr>
      </w:pPr>
    </w:p>
    <w:p w:rsidR="009543DB" w:rsidRDefault="009543DB" w:rsidP="009543DB">
      <w:pPr>
        <w:pStyle w:val="Numberedheading3"/>
      </w:pPr>
      <w:r>
        <w:lastRenderedPageBreak/>
        <w:t>Prices</w:t>
      </w:r>
    </w:p>
    <w:p w:rsidR="009543DB" w:rsidRDefault="009543DB" w:rsidP="009543DB">
      <w:r w:rsidRPr="00A3286A">
        <w:t xml:space="preserve">The following section assess the trend in </w:t>
      </w:r>
      <w:r>
        <w:t>Perth</w:t>
      </w:r>
      <w:r w:rsidRPr="00A3286A">
        <w:t xml:space="preserve"> Airport’s </w:t>
      </w:r>
      <w:r>
        <w:t>‘</w:t>
      </w:r>
      <w:r w:rsidRPr="00A3286A">
        <w:t>drive-up</w:t>
      </w:r>
      <w:r>
        <w:t>’</w:t>
      </w:r>
      <w:r w:rsidRPr="00A3286A">
        <w:t xml:space="preserve"> car parking charges in real terms from 2004</w:t>
      </w:r>
      <w:r>
        <w:t>-</w:t>
      </w:r>
      <w:r w:rsidRPr="00A3286A">
        <w:t>05 to 2014</w:t>
      </w:r>
      <w:r>
        <w:t>-</w:t>
      </w:r>
      <w:r w:rsidRPr="00A3286A">
        <w:t xml:space="preserve">15. The ACCC notes that </w:t>
      </w:r>
      <w:r>
        <w:t xml:space="preserve">Perth </w:t>
      </w:r>
      <w:r w:rsidRPr="00A3286A">
        <w:t>Airport also provide</w:t>
      </w:r>
      <w:r>
        <w:t>d</w:t>
      </w:r>
      <w:r w:rsidRPr="00A3286A">
        <w:t xml:space="preserve"> </w:t>
      </w:r>
      <w:r>
        <w:t xml:space="preserve">some </w:t>
      </w:r>
      <w:r w:rsidRPr="00A3286A">
        <w:t xml:space="preserve">online car park </w:t>
      </w:r>
      <w:r>
        <w:t xml:space="preserve">offers </w:t>
      </w:r>
      <w:r w:rsidRPr="00A3286A">
        <w:t xml:space="preserve">which provide customers with access to charges that are at a discount to </w:t>
      </w:r>
      <w:r>
        <w:t>Perth</w:t>
      </w:r>
      <w:r w:rsidRPr="00A3286A">
        <w:t xml:space="preserve"> Airport’s ‘drive up’ charges. </w:t>
      </w:r>
      <w:r>
        <w:t xml:space="preserve">However, Perth Airport declined to provide online data so that the </w:t>
      </w:r>
      <w:r w:rsidRPr="00A3286A">
        <w:t xml:space="preserve">ACCC </w:t>
      </w:r>
      <w:r>
        <w:t xml:space="preserve">could </w:t>
      </w:r>
      <w:r w:rsidRPr="00A3286A">
        <w:t xml:space="preserve">compare </w:t>
      </w:r>
      <w:r>
        <w:t>‘</w:t>
      </w:r>
      <w:r w:rsidRPr="00A3286A">
        <w:t>drive-up</w:t>
      </w:r>
      <w:r>
        <w:t>’</w:t>
      </w:r>
      <w:r w:rsidRPr="00A3286A">
        <w:t>, online, and the average charges that customers pa</w:t>
      </w:r>
      <w:r>
        <w:t>i</w:t>
      </w:r>
      <w:r w:rsidRPr="00A3286A">
        <w:t xml:space="preserve">d </w:t>
      </w:r>
      <w:r>
        <w:t xml:space="preserve">for </w:t>
      </w:r>
      <w:r w:rsidRPr="00A3286A">
        <w:t xml:space="preserve">car parking facilities </w:t>
      </w:r>
      <w:r>
        <w:t>during</w:t>
      </w:r>
      <w:r w:rsidRPr="00A3286A">
        <w:t xml:space="preserve"> 2014</w:t>
      </w:r>
      <w:r>
        <w:t>-</w:t>
      </w:r>
      <w:r w:rsidRPr="00A3286A">
        <w:t>15.</w:t>
      </w:r>
    </w:p>
    <w:p w:rsidR="009543DB" w:rsidRDefault="009543DB" w:rsidP="009543DB">
      <w:r>
        <w:t xml:space="preserve">Chart 4.4.1 shows that Perth Airport increased in real terms all short term car parking charges at the T1/T2 and T3/T4 precincts. Increases in other charges ranged from a low of 0.8 per cent for 8-24 hours to a high of 14.7 per cent in real terms for additional days after 1 to 2 days.  </w:t>
      </w:r>
    </w:p>
    <w:p w:rsidR="009543DB" w:rsidRDefault="009543DB" w:rsidP="009543DB">
      <w:r>
        <w:t>Over the period from 2004-05 to 2014-15, the largest increases occurred with the 8-24 hour and 1 to 2 days charges which both increased by 84.6 per cent in real terms respectively.</w:t>
      </w:r>
    </w:p>
    <w:p w:rsidR="009543DB" w:rsidRPr="00A3286A" w:rsidRDefault="009543DB" w:rsidP="009543DB">
      <w:pPr>
        <w:keepNext/>
        <w:spacing w:before="240" w:after="200" w:line="276" w:lineRule="auto"/>
        <w:ind w:left="1440" w:hanging="1440"/>
        <w:outlineLvl w:val="3"/>
        <w:rPr>
          <w:b/>
          <w:color w:val="51626F"/>
        </w:rPr>
      </w:pPr>
      <w:r w:rsidRPr="00A3286A">
        <w:rPr>
          <w:b/>
          <w:color w:val="51626F"/>
        </w:rPr>
        <w:t>Chart 4.4.1:</w:t>
      </w:r>
      <w:r w:rsidRPr="00A3286A">
        <w:rPr>
          <w:b/>
          <w:color w:val="51626F"/>
        </w:rPr>
        <w:tab/>
        <w:t>Perth Airport—</w:t>
      </w:r>
      <w:r>
        <w:rPr>
          <w:b/>
          <w:color w:val="51626F"/>
        </w:rPr>
        <w:t xml:space="preserve">selected </w:t>
      </w:r>
      <w:r w:rsidRPr="00A3286A">
        <w:rPr>
          <w:b/>
          <w:color w:val="51626F"/>
        </w:rPr>
        <w:t>prices at shor</w:t>
      </w:r>
      <w:r>
        <w:rPr>
          <w:b/>
          <w:color w:val="51626F"/>
        </w:rPr>
        <w:t>t</w:t>
      </w:r>
      <w:r w:rsidRPr="00A3286A">
        <w:rPr>
          <w:b/>
          <w:color w:val="51626F"/>
        </w:rPr>
        <w:t xml:space="preserve">-term car parks in real terms: </w:t>
      </w:r>
      <w:r w:rsidRPr="00A3286A">
        <w:rPr>
          <w:b/>
          <w:color w:val="51626F"/>
        </w:rPr>
        <w:br/>
      </w:r>
      <w:r>
        <w:rPr>
          <w:b/>
          <w:color w:val="51626F"/>
        </w:rPr>
        <w:t xml:space="preserve">30 June 2005 </w:t>
      </w:r>
      <w:r w:rsidRPr="00A3286A">
        <w:rPr>
          <w:b/>
          <w:color w:val="51626F"/>
        </w:rPr>
        <w:t xml:space="preserve">to </w:t>
      </w:r>
      <w:r>
        <w:rPr>
          <w:b/>
          <w:color w:val="51626F"/>
        </w:rPr>
        <w:t>30 June 2015</w:t>
      </w:r>
    </w:p>
    <w:p w:rsidR="009543DB" w:rsidRDefault="009543DB" w:rsidP="009543DB">
      <w:r w:rsidRPr="00DC5010">
        <w:rPr>
          <w:noProof/>
          <w:lang w:eastAsia="en-AU"/>
        </w:rPr>
        <w:drawing>
          <wp:inline distT="0" distB="0" distL="0" distR="0" wp14:anchorId="6A648819" wp14:editId="2DC6245D">
            <wp:extent cx="5364480" cy="2928482"/>
            <wp:effectExtent l="0" t="0" r="7620" b="571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64480" cy="2928482"/>
                    </a:xfrm>
                    <a:prstGeom prst="rect">
                      <a:avLst/>
                    </a:prstGeom>
                    <a:noFill/>
                    <a:ln>
                      <a:noFill/>
                    </a:ln>
                  </pic:spPr>
                </pic:pic>
              </a:graphicData>
            </a:graphic>
          </wp:inline>
        </w:drawing>
      </w:r>
    </w:p>
    <w:p w:rsidR="009543DB" w:rsidRPr="00A85951" w:rsidRDefault="009543DB" w:rsidP="009543DB">
      <w:pPr>
        <w:spacing w:before="120"/>
        <w:ind w:left="720" w:hanging="720"/>
        <w:contextualSpacing/>
        <w:rPr>
          <w:sz w:val="16"/>
          <w:szCs w:val="16"/>
        </w:rPr>
      </w:pPr>
      <w:r w:rsidRPr="00A85951">
        <w:rPr>
          <w:sz w:val="16"/>
          <w:szCs w:val="16"/>
        </w:rPr>
        <w:t>Note:</w:t>
      </w:r>
      <w:r w:rsidRPr="00A85951">
        <w:rPr>
          <w:sz w:val="16"/>
          <w:szCs w:val="16"/>
        </w:rPr>
        <w:tab/>
        <w:t>Real values in 201</w:t>
      </w:r>
      <w:r>
        <w:rPr>
          <w:sz w:val="16"/>
          <w:szCs w:val="16"/>
        </w:rPr>
        <w:t>4</w:t>
      </w:r>
      <w:r w:rsidRPr="00A85951">
        <w:rPr>
          <w:sz w:val="16"/>
          <w:szCs w:val="16"/>
        </w:rPr>
        <w:t>-1</w:t>
      </w:r>
      <w:r>
        <w:rPr>
          <w:sz w:val="16"/>
          <w:szCs w:val="16"/>
        </w:rPr>
        <w:t>5</w:t>
      </w:r>
      <w:r w:rsidRPr="00A85951">
        <w:rPr>
          <w:sz w:val="16"/>
          <w:szCs w:val="16"/>
        </w:rPr>
        <w:t xml:space="preserve"> dollars</w:t>
      </w:r>
    </w:p>
    <w:p w:rsidR="009543DB" w:rsidRDefault="009543DB" w:rsidP="009543DB"/>
    <w:p w:rsidR="009543DB" w:rsidRDefault="009543DB" w:rsidP="009543DB">
      <w:r>
        <w:t xml:space="preserve">Chart 4.4.2 shows that Perth Airport increased in real terms all long term car parking price charges at both terminal precincts during 2014-15. The ‘additional days’ after charge was unchanged in nominal terms. Real increases in prices ranged from a low of 4.9 per cent for 6 to 7 days and a high of 13.1 per cent for all number of charges between 30 minutes to 2 days. </w:t>
      </w:r>
    </w:p>
    <w:p w:rsidR="009543DB" w:rsidRDefault="009543DB" w:rsidP="009543DB"/>
    <w:p w:rsidR="009543DB" w:rsidRDefault="009543DB" w:rsidP="009543DB">
      <w:pPr>
        <w:pStyle w:val="Numberedcharttitle"/>
      </w:pPr>
      <w:r>
        <w:lastRenderedPageBreak/>
        <w:t>Chart 4.4.2:</w:t>
      </w:r>
      <w:r>
        <w:tab/>
        <w:t>Perth Airport—selected prices at long term car parks in real terms</w:t>
      </w:r>
      <w:proofErr w:type="gramStart"/>
      <w:r>
        <w:t>:</w:t>
      </w:r>
      <w:proofErr w:type="gramEnd"/>
      <w:r>
        <w:br/>
        <w:t>30 June 2005 to 30 June 2015</w:t>
      </w:r>
    </w:p>
    <w:p w:rsidR="009543DB" w:rsidRDefault="009543DB" w:rsidP="009543DB">
      <w:pPr>
        <w:pStyle w:val="Numberedcharttitle"/>
      </w:pPr>
      <w:r w:rsidRPr="00E2793C">
        <w:rPr>
          <w:noProof/>
          <w:lang w:eastAsia="en-AU"/>
        </w:rPr>
        <w:drawing>
          <wp:inline distT="0" distB="0" distL="0" distR="0" wp14:anchorId="256DD23D" wp14:editId="01272875">
            <wp:extent cx="5364480" cy="2928482"/>
            <wp:effectExtent l="0" t="0" r="7620" b="571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64480" cy="2928482"/>
                    </a:xfrm>
                    <a:prstGeom prst="rect">
                      <a:avLst/>
                    </a:prstGeom>
                    <a:noFill/>
                    <a:ln>
                      <a:noFill/>
                    </a:ln>
                  </pic:spPr>
                </pic:pic>
              </a:graphicData>
            </a:graphic>
          </wp:inline>
        </w:drawing>
      </w:r>
    </w:p>
    <w:p w:rsidR="009543DB" w:rsidRDefault="009543DB" w:rsidP="009543DB">
      <w:pPr>
        <w:spacing w:before="120"/>
        <w:ind w:left="720" w:hanging="720"/>
        <w:contextualSpacing/>
        <w:rPr>
          <w:sz w:val="16"/>
          <w:szCs w:val="16"/>
        </w:rPr>
      </w:pPr>
      <w:r w:rsidRPr="00A85951">
        <w:rPr>
          <w:sz w:val="16"/>
          <w:szCs w:val="16"/>
        </w:rPr>
        <w:t>Note:</w:t>
      </w:r>
      <w:r w:rsidRPr="00A85951">
        <w:rPr>
          <w:sz w:val="16"/>
          <w:szCs w:val="16"/>
        </w:rPr>
        <w:tab/>
        <w:t>Real values in 201</w:t>
      </w:r>
      <w:r>
        <w:rPr>
          <w:sz w:val="16"/>
          <w:szCs w:val="16"/>
        </w:rPr>
        <w:t>4</w:t>
      </w:r>
      <w:r w:rsidRPr="00A85951">
        <w:rPr>
          <w:sz w:val="16"/>
          <w:szCs w:val="16"/>
        </w:rPr>
        <w:t>-1</w:t>
      </w:r>
      <w:r>
        <w:rPr>
          <w:sz w:val="16"/>
          <w:szCs w:val="16"/>
        </w:rPr>
        <w:t>5</w:t>
      </w:r>
      <w:r w:rsidRPr="00A85951">
        <w:rPr>
          <w:sz w:val="16"/>
          <w:szCs w:val="16"/>
        </w:rPr>
        <w:t xml:space="preserve"> dollars</w:t>
      </w:r>
    </w:p>
    <w:p w:rsidR="009543DB" w:rsidRDefault="009543DB" w:rsidP="009543DB">
      <w:pPr>
        <w:spacing w:before="120"/>
        <w:ind w:left="720" w:hanging="720"/>
        <w:contextualSpacing/>
        <w:rPr>
          <w:sz w:val="16"/>
          <w:szCs w:val="16"/>
        </w:rPr>
      </w:pPr>
    </w:p>
    <w:p w:rsidR="009543DB" w:rsidRDefault="009543DB" w:rsidP="009543DB">
      <w:r>
        <w:t xml:space="preserve">Over the period from 2004-05 to 2014-15, the largest real increase occurred with the 6 to 7 days charge which increased by 44.0 per cent in real terms. The 5 to 6 day charge had the second highest increase of 34.3 per cent real terms since 2004-05. The 2 to 3 day charge reported the lowest real increase over the same period with a rise of 0.6 per cent. </w:t>
      </w:r>
    </w:p>
    <w:p w:rsidR="009543DB" w:rsidRDefault="009543DB" w:rsidP="009543DB">
      <w:pPr>
        <w:pStyle w:val="Numberedheading3"/>
      </w:pPr>
      <w:r>
        <w:t>Revenues, costs and profits</w:t>
      </w:r>
    </w:p>
    <w:p w:rsidR="009543DB" w:rsidRDefault="009543DB" w:rsidP="009543DB">
      <w:r w:rsidRPr="004B4A4D">
        <w:t xml:space="preserve">Table </w:t>
      </w:r>
      <w:r>
        <w:t>4</w:t>
      </w:r>
      <w:r w:rsidRPr="004B4A4D">
        <w:t>.4.</w:t>
      </w:r>
      <w:r>
        <w:t>2</w:t>
      </w:r>
      <w:r w:rsidRPr="004B4A4D">
        <w:t xml:space="preserve"> outlines </w:t>
      </w:r>
      <w:r>
        <w:t>Perth</w:t>
      </w:r>
      <w:r w:rsidRPr="004B4A4D">
        <w:t xml:space="preserve"> Airport’s revenues, operating expenses and </w:t>
      </w:r>
      <w:r>
        <w:t>aggregate</w:t>
      </w:r>
      <w:r w:rsidRPr="004B4A4D">
        <w:t xml:space="preserve"> margin for car parking and total airport services from 2004</w:t>
      </w:r>
      <w:r>
        <w:t>-</w:t>
      </w:r>
      <w:r w:rsidRPr="004B4A4D">
        <w:t>05 to 2014</w:t>
      </w:r>
      <w:r>
        <w:t>-</w:t>
      </w:r>
      <w:r w:rsidRPr="004B4A4D">
        <w:t>15.</w:t>
      </w:r>
    </w:p>
    <w:p w:rsidR="009543DB" w:rsidRPr="00C3366F" w:rsidRDefault="009543DB" w:rsidP="009543DB">
      <w:r w:rsidRPr="00C3366F">
        <w:t>In 2014</w:t>
      </w:r>
      <w:r w:rsidRPr="00C3366F">
        <w:noBreakHyphen/>
        <w:t xml:space="preserve">15, </w:t>
      </w:r>
      <w:r>
        <w:t xml:space="preserve">Perth </w:t>
      </w:r>
      <w:r w:rsidRPr="00C3366F">
        <w:t xml:space="preserve">Airport’s car parking revenue </w:t>
      </w:r>
      <w:r>
        <w:t>decreased by 1.2</w:t>
      </w:r>
      <w:r w:rsidRPr="00C3366F">
        <w:t> per cent in real terms to $</w:t>
      </w:r>
      <w:r>
        <w:t>65.1</w:t>
      </w:r>
      <w:r w:rsidRPr="00C3366F">
        <w:t xml:space="preserve"> million. </w:t>
      </w:r>
      <w:r>
        <w:t>Perth Airport was the only monitored airport to report a reduction in car parking revenue. However, s</w:t>
      </w:r>
      <w:r w:rsidRPr="00C3366F">
        <w:t>ince 2004</w:t>
      </w:r>
      <w:r w:rsidRPr="00C3366F">
        <w:noBreakHyphen/>
        <w:t xml:space="preserve">05, car parking revenue has increased by an average of </w:t>
      </w:r>
      <w:r>
        <w:t>14.4</w:t>
      </w:r>
      <w:r w:rsidRPr="00C3366F">
        <w:t> per cent per year in real terms.</w:t>
      </w:r>
    </w:p>
    <w:p w:rsidR="009543DB" w:rsidRPr="00C3366F" w:rsidRDefault="009543DB" w:rsidP="009543DB">
      <w:proofErr w:type="gramStart"/>
      <w:r w:rsidRPr="00C3366F">
        <w:t xml:space="preserve">Car parking operating expenses </w:t>
      </w:r>
      <w:r>
        <w:t xml:space="preserve">increased by 14.9 </w:t>
      </w:r>
      <w:r w:rsidRPr="00C3366F">
        <w:t>per cen</w:t>
      </w:r>
      <w:r>
        <w:t>t in real terms during 2014-15.</w:t>
      </w:r>
      <w:proofErr w:type="gramEnd"/>
      <w:r>
        <w:t xml:space="preserve"> Partly as a result of the increase in expenses, the car parking aggregate margin decreased by 8.5 per cent in real terms to $41.5 million during 2014-15. Perth was the only airport to report a decrease in car parking aggregate margin. The car parking aggregate margin increased s</w:t>
      </w:r>
      <w:r w:rsidRPr="00C3366F">
        <w:t>ince 2004</w:t>
      </w:r>
      <w:r w:rsidRPr="00C3366F">
        <w:noBreakHyphen/>
        <w:t>05</w:t>
      </w:r>
      <w:r>
        <w:t xml:space="preserve"> </w:t>
      </w:r>
      <w:r w:rsidRPr="00C3366F">
        <w:t xml:space="preserve">by an average of </w:t>
      </w:r>
      <w:r>
        <w:t xml:space="preserve">13.3 </w:t>
      </w:r>
      <w:r w:rsidRPr="00C3366F">
        <w:t>per cent per year in real terms.</w:t>
      </w:r>
      <w:r>
        <w:t xml:space="preserve"> The airport made a profit of 63.7 cents for each dollar in car parking revenue in 2014-15.</w:t>
      </w:r>
    </w:p>
    <w:p w:rsidR="009543DB" w:rsidRPr="00A044F5" w:rsidRDefault="009543DB" w:rsidP="009543DB">
      <w:proofErr w:type="gramStart"/>
      <w:r>
        <w:t>Revenue per car park space decreased b</w:t>
      </w:r>
      <w:r w:rsidRPr="00C3366F">
        <w:t xml:space="preserve">y </w:t>
      </w:r>
      <w:r>
        <w:t>15.3</w:t>
      </w:r>
      <w:r w:rsidRPr="00C3366F">
        <w:t> per cent in real terms</w:t>
      </w:r>
      <w:r>
        <w:t xml:space="preserve"> to $2937.</w:t>
      </w:r>
      <w:proofErr w:type="gramEnd"/>
      <w:r>
        <w:t xml:space="preserve"> O</w:t>
      </w:r>
      <w:r w:rsidRPr="00C3366F">
        <w:t xml:space="preserve">perating expenses per car park </w:t>
      </w:r>
      <w:r>
        <w:t xml:space="preserve">declined 1.5 per cent in real terms to $1066. </w:t>
      </w:r>
      <w:proofErr w:type="gramStart"/>
      <w:r w:rsidRPr="00C3366F">
        <w:t>Car parking</w:t>
      </w:r>
      <w:r>
        <w:t xml:space="preserve"> aggregate</w:t>
      </w:r>
      <w:r w:rsidRPr="00C3366F">
        <w:t xml:space="preserve"> margin per car park space </w:t>
      </w:r>
      <w:r>
        <w:t>decreased by 21.6</w:t>
      </w:r>
      <w:r w:rsidRPr="00C3366F">
        <w:t> per cent in real terms during 2014</w:t>
      </w:r>
      <w:r w:rsidRPr="00C3366F">
        <w:noBreakHyphen/>
        <w:t>15 to $</w:t>
      </w:r>
      <w:r>
        <w:t>1871</w:t>
      </w:r>
      <w:r w:rsidRPr="00C3366F">
        <w:t xml:space="preserve"> per car park space.</w:t>
      </w:r>
      <w:proofErr w:type="gramEnd"/>
      <w:r>
        <w:t xml:space="preserve"> The increase in car parking </w:t>
      </w:r>
      <w:r w:rsidRPr="00A044F5">
        <w:t>spaces of 16.7 per cent (as noted in section 4.4.1) was the m</w:t>
      </w:r>
      <w:r>
        <w:t>ain</w:t>
      </w:r>
      <w:r w:rsidRPr="00A044F5">
        <w:t xml:space="preserve"> cause of the decline in these per car park space measures. </w:t>
      </w:r>
    </w:p>
    <w:p w:rsidR="009543DB" w:rsidRDefault="009543DB" w:rsidP="009543DB">
      <w:pPr>
        <w:sectPr w:rsidR="009543DB" w:rsidSect="009543DB">
          <w:headerReference w:type="even" r:id="rId143"/>
          <w:headerReference w:type="default" r:id="rId144"/>
          <w:footnotePr>
            <w:numStart w:val="93"/>
          </w:footnotePr>
          <w:pgSz w:w="11906" w:h="16838"/>
          <w:pgMar w:top="1440" w:right="1729" w:bottom="1582" w:left="1729" w:header="709" w:footer="709" w:gutter="0"/>
          <w:cols w:space="708"/>
          <w:docGrid w:linePitch="360"/>
        </w:sectPr>
      </w:pPr>
    </w:p>
    <w:p w:rsidR="009543DB" w:rsidRDefault="009543DB" w:rsidP="009543DB">
      <w:pPr>
        <w:pStyle w:val="Numberedcharttitle"/>
      </w:pPr>
      <w:r>
        <w:lastRenderedPageBreak/>
        <w:t>Table 4.4.2:</w:t>
      </w:r>
      <w:r>
        <w:tab/>
        <w:t>Perth Airport—revenues, operating expenses and aggregate margins for car parking and total airport services in real terms: 2004</w:t>
      </w:r>
      <w:r>
        <w:noBreakHyphen/>
        <w:t>05 to 2014</w:t>
      </w:r>
      <w:r>
        <w:noBreakHyphen/>
        <w:t>15</w:t>
      </w:r>
    </w:p>
    <w:tbl>
      <w:tblPr>
        <w:tblStyle w:val="TableGrid"/>
        <w:tblW w:w="0" w:type="auto"/>
        <w:tblLook w:val="04A0" w:firstRow="1" w:lastRow="0" w:firstColumn="1" w:lastColumn="0" w:noHBand="0" w:noVBand="1"/>
      </w:tblPr>
      <w:tblGrid>
        <w:gridCol w:w="1243"/>
        <w:gridCol w:w="1984"/>
        <w:gridCol w:w="982"/>
        <w:gridCol w:w="982"/>
        <w:gridCol w:w="982"/>
        <w:gridCol w:w="983"/>
        <w:gridCol w:w="982"/>
        <w:gridCol w:w="982"/>
        <w:gridCol w:w="982"/>
        <w:gridCol w:w="983"/>
        <w:gridCol w:w="982"/>
        <w:gridCol w:w="982"/>
        <w:gridCol w:w="983"/>
      </w:tblGrid>
      <w:tr w:rsidR="009543DB" w:rsidTr="009543DB">
        <w:tc>
          <w:tcPr>
            <w:tcW w:w="1243" w:type="dxa"/>
            <w:tcBorders>
              <w:left w:val="nil"/>
              <w:bottom w:val="single" w:sz="4" w:space="0" w:color="auto"/>
              <w:right w:val="nil"/>
            </w:tcBorders>
            <w:shd w:val="clear" w:color="auto" w:fill="DFE0DC"/>
          </w:tcPr>
          <w:p w:rsidR="009543DB" w:rsidRDefault="009543DB" w:rsidP="009543DB">
            <w:pPr>
              <w:pStyle w:val="Tabletextheading"/>
            </w:pPr>
          </w:p>
        </w:tc>
        <w:tc>
          <w:tcPr>
            <w:tcW w:w="1984" w:type="dxa"/>
            <w:tcBorders>
              <w:left w:val="nil"/>
              <w:bottom w:val="single" w:sz="4" w:space="0" w:color="auto"/>
              <w:right w:val="nil"/>
            </w:tcBorders>
            <w:shd w:val="clear" w:color="auto" w:fill="DFE0DC"/>
          </w:tcPr>
          <w:p w:rsidR="009543DB" w:rsidRDefault="009543DB" w:rsidP="009543DB">
            <w:pPr>
              <w:pStyle w:val="Tabletextheadingright"/>
            </w:pP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2004-05</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2005-06</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2006-07</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2007-08</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2008-09</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2009-10</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2010-11</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2011-12</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2012-13</w:t>
            </w:r>
          </w:p>
        </w:tc>
        <w:tc>
          <w:tcPr>
            <w:tcW w:w="982" w:type="dxa"/>
            <w:tcBorders>
              <w:left w:val="nil"/>
              <w:bottom w:val="single" w:sz="4" w:space="0" w:color="auto"/>
              <w:right w:val="nil"/>
            </w:tcBorders>
            <w:shd w:val="clear" w:color="auto" w:fill="DFE0DC"/>
          </w:tcPr>
          <w:p w:rsidR="009543DB" w:rsidRDefault="009543DB" w:rsidP="009543DB">
            <w:pPr>
              <w:pStyle w:val="Tabletextheadingright"/>
            </w:pPr>
            <w:r>
              <w:t>2013-14</w:t>
            </w:r>
          </w:p>
        </w:tc>
        <w:tc>
          <w:tcPr>
            <w:tcW w:w="983" w:type="dxa"/>
            <w:tcBorders>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1243" w:type="dxa"/>
            <w:vMerge w:val="restart"/>
            <w:tcBorders>
              <w:left w:val="nil"/>
              <w:right w:val="nil"/>
            </w:tcBorders>
            <w:vAlign w:val="center"/>
          </w:tcPr>
          <w:p w:rsidR="009543DB" w:rsidRDefault="009543DB" w:rsidP="009543DB">
            <w:pPr>
              <w:pStyle w:val="Tabletextheadingcentre"/>
            </w:pPr>
            <w:r>
              <w:t>Revenue ($million)</w:t>
            </w:r>
          </w:p>
        </w:tc>
        <w:tc>
          <w:tcPr>
            <w:tcW w:w="1984" w:type="dxa"/>
            <w:tcBorders>
              <w:left w:val="nil"/>
              <w:right w:val="nil"/>
            </w:tcBorders>
          </w:tcPr>
          <w:p w:rsidR="009543DB" w:rsidRPr="004B4A4D" w:rsidRDefault="009543DB" w:rsidP="009543DB">
            <w:pPr>
              <w:pStyle w:val="Tabletextleft"/>
            </w:pPr>
            <w:r w:rsidRPr="004B4A4D">
              <w:t>Car parking</w:t>
            </w:r>
          </w:p>
        </w:tc>
        <w:tc>
          <w:tcPr>
            <w:tcW w:w="982" w:type="dxa"/>
            <w:tcBorders>
              <w:left w:val="nil"/>
              <w:right w:val="nil"/>
            </w:tcBorders>
            <w:vAlign w:val="center"/>
          </w:tcPr>
          <w:p w:rsidR="009543DB" w:rsidRPr="004B4A4D" w:rsidRDefault="009543DB" w:rsidP="009543DB">
            <w:pPr>
              <w:pStyle w:val="Tabletextright"/>
            </w:pPr>
            <w:r w:rsidRPr="004B4A4D">
              <w:t>16.9</w:t>
            </w:r>
          </w:p>
        </w:tc>
        <w:tc>
          <w:tcPr>
            <w:tcW w:w="982" w:type="dxa"/>
            <w:tcBorders>
              <w:left w:val="nil"/>
              <w:right w:val="nil"/>
            </w:tcBorders>
            <w:vAlign w:val="center"/>
          </w:tcPr>
          <w:p w:rsidR="009543DB" w:rsidRPr="004B4A4D" w:rsidRDefault="009543DB" w:rsidP="009543DB">
            <w:pPr>
              <w:pStyle w:val="Tabletextright"/>
            </w:pPr>
            <w:r w:rsidRPr="004B4A4D">
              <w:t>20.1</w:t>
            </w:r>
          </w:p>
        </w:tc>
        <w:tc>
          <w:tcPr>
            <w:tcW w:w="982" w:type="dxa"/>
            <w:tcBorders>
              <w:left w:val="nil"/>
              <w:right w:val="nil"/>
            </w:tcBorders>
            <w:vAlign w:val="center"/>
          </w:tcPr>
          <w:p w:rsidR="009543DB" w:rsidRPr="004B4A4D" w:rsidRDefault="009543DB" w:rsidP="009543DB">
            <w:pPr>
              <w:pStyle w:val="Tabletextright"/>
            </w:pPr>
            <w:r w:rsidRPr="004B4A4D">
              <w:t>22.4</w:t>
            </w:r>
          </w:p>
        </w:tc>
        <w:tc>
          <w:tcPr>
            <w:tcW w:w="983" w:type="dxa"/>
            <w:tcBorders>
              <w:left w:val="nil"/>
              <w:right w:val="nil"/>
            </w:tcBorders>
            <w:vAlign w:val="center"/>
          </w:tcPr>
          <w:p w:rsidR="009543DB" w:rsidRPr="004B4A4D" w:rsidRDefault="009543DB" w:rsidP="009543DB">
            <w:pPr>
              <w:pStyle w:val="Tabletextright"/>
            </w:pPr>
            <w:r w:rsidRPr="004B4A4D">
              <w:t>28.6</w:t>
            </w:r>
          </w:p>
        </w:tc>
        <w:tc>
          <w:tcPr>
            <w:tcW w:w="982" w:type="dxa"/>
            <w:tcBorders>
              <w:left w:val="nil"/>
              <w:right w:val="nil"/>
            </w:tcBorders>
            <w:vAlign w:val="center"/>
          </w:tcPr>
          <w:p w:rsidR="009543DB" w:rsidRPr="004B4A4D" w:rsidRDefault="009543DB" w:rsidP="009543DB">
            <w:pPr>
              <w:pStyle w:val="Tabletextright"/>
            </w:pPr>
            <w:r w:rsidRPr="004B4A4D">
              <w:t>33.6</w:t>
            </w:r>
          </w:p>
        </w:tc>
        <w:tc>
          <w:tcPr>
            <w:tcW w:w="982" w:type="dxa"/>
            <w:tcBorders>
              <w:left w:val="nil"/>
              <w:right w:val="nil"/>
            </w:tcBorders>
            <w:vAlign w:val="center"/>
          </w:tcPr>
          <w:p w:rsidR="009543DB" w:rsidRPr="004B4A4D" w:rsidRDefault="009543DB" w:rsidP="009543DB">
            <w:pPr>
              <w:pStyle w:val="Tabletextright"/>
            </w:pPr>
            <w:r w:rsidRPr="004B4A4D">
              <w:t>37.5</w:t>
            </w:r>
          </w:p>
        </w:tc>
        <w:tc>
          <w:tcPr>
            <w:tcW w:w="982" w:type="dxa"/>
            <w:tcBorders>
              <w:left w:val="nil"/>
              <w:right w:val="nil"/>
            </w:tcBorders>
            <w:vAlign w:val="center"/>
          </w:tcPr>
          <w:p w:rsidR="009543DB" w:rsidRPr="004B4A4D" w:rsidRDefault="009543DB" w:rsidP="009543DB">
            <w:pPr>
              <w:pStyle w:val="Tabletextright"/>
            </w:pPr>
            <w:r w:rsidRPr="004B4A4D">
              <w:t>44.9</w:t>
            </w:r>
          </w:p>
        </w:tc>
        <w:tc>
          <w:tcPr>
            <w:tcW w:w="983" w:type="dxa"/>
            <w:tcBorders>
              <w:left w:val="nil"/>
              <w:right w:val="nil"/>
            </w:tcBorders>
            <w:vAlign w:val="center"/>
          </w:tcPr>
          <w:p w:rsidR="009543DB" w:rsidRPr="004B4A4D" w:rsidRDefault="009543DB" w:rsidP="009543DB">
            <w:pPr>
              <w:pStyle w:val="Tabletextright"/>
            </w:pPr>
            <w:r w:rsidRPr="004B4A4D">
              <w:t>54.1</w:t>
            </w:r>
          </w:p>
        </w:tc>
        <w:tc>
          <w:tcPr>
            <w:tcW w:w="982" w:type="dxa"/>
            <w:tcBorders>
              <w:left w:val="nil"/>
              <w:right w:val="nil"/>
            </w:tcBorders>
            <w:vAlign w:val="center"/>
          </w:tcPr>
          <w:p w:rsidR="009543DB" w:rsidRPr="004B4A4D" w:rsidRDefault="009543DB" w:rsidP="009543DB">
            <w:pPr>
              <w:pStyle w:val="Tabletextright"/>
            </w:pPr>
            <w:r w:rsidRPr="004B4A4D">
              <w:t>61.1</w:t>
            </w:r>
          </w:p>
        </w:tc>
        <w:tc>
          <w:tcPr>
            <w:tcW w:w="982" w:type="dxa"/>
            <w:tcBorders>
              <w:left w:val="nil"/>
              <w:right w:val="nil"/>
            </w:tcBorders>
            <w:vAlign w:val="center"/>
          </w:tcPr>
          <w:p w:rsidR="009543DB" w:rsidRPr="004B4A4D" w:rsidRDefault="009543DB" w:rsidP="009543DB">
            <w:pPr>
              <w:pStyle w:val="Tabletextright"/>
            </w:pPr>
            <w:r w:rsidRPr="004B4A4D">
              <w:t>65.9</w:t>
            </w:r>
          </w:p>
        </w:tc>
        <w:tc>
          <w:tcPr>
            <w:tcW w:w="983" w:type="dxa"/>
            <w:tcBorders>
              <w:left w:val="nil"/>
              <w:right w:val="nil"/>
            </w:tcBorders>
            <w:vAlign w:val="center"/>
          </w:tcPr>
          <w:p w:rsidR="009543DB" w:rsidRPr="004B4A4D" w:rsidRDefault="009543DB" w:rsidP="009543DB">
            <w:pPr>
              <w:pStyle w:val="Tabletextright"/>
            </w:pPr>
            <w:r w:rsidRPr="004B4A4D">
              <w:t>65.1</w:t>
            </w:r>
          </w:p>
        </w:tc>
      </w:tr>
      <w:tr w:rsidR="009543DB" w:rsidTr="009543DB">
        <w:tc>
          <w:tcPr>
            <w:tcW w:w="1243" w:type="dxa"/>
            <w:vMerge/>
            <w:tcBorders>
              <w:left w:val="nil"/>
              <w:right w:val="nil"/>
            </w:tcBorders>
          </w:tcPr>
          <w:p w:rsidR="009543DB" w:rsidRDefault="009543DB" w:rsidP="009543DB">
            <w:pPr>
              <w:pStyle w:val="Tabletextheading"/>
            </w:pPr>
          </w:p>
        </w:tc>
        <w:tc>
          <w:tcPr>
            <w:tcW w:w="1984" w:type="dxa"/>
            <w:tcBorders>
              <w:left w:val="nil"/>
              <w:right w:val="nil"/>
            </w:tcBorders>
          </w:tcPr>
          <w:p w:rsidR="009543DB" w:rsidRDefault="009543DB" w:rsidP="009543DB">
            <w:pPr>
              <w:pStyle w:val="Tabletextheading"/>
            </w:pPr>
            <w:r>
              <w:t>Total airport</w:t>
            </w:r>
          </w:p>
        </w:tc>
        <w:tc>
          <w:tcPr>
            <w:tcW w:w="982" w:type="dxa"/>
            <w:tcBorders>
              <w:left w:val="nil"/>
              <w:right w:val="nil"/>
            </w:tcBorders>
            <w:vAlign w:val="center"/>
          </w:tcPr>
          <w:p w:rsidR="009543DB" w:rsidRPr="00C3366F" w:rsidRDefault="009543DB" w:rsidP="009543DB">
            <w:pPr>
              <w:pStyle w:val="Tabletextright"/>
              <w:rPr>
                <w:b/>
              </w:rPr>
            </w:pPr>
            <w:r w:rsidRPr="00C3366F">
              <w:rPr>
                <w:b/>
              </w:rPr>
              <w:t>184.0</w:t>
            </w:r>
          </w:p>
        </w:tc>
        <w:tc>
          <w:tcPr>
            <w:tcW w:w="982" w:type="dxa"/>
            <w:tcBorders>
              <w:left w:val="nil"/>
              <w:right w:val="nil"/>
            </w:tcBorders>
            <w:vAlign w:val="center"/>
          </w:tcPr>
          <w:p w:rsidR="009543DB" w:rsidRPr="00C3366F" w:rsidRDefault="009543DB" w:rsidP="009543DB">
            <w:pPr>
              <w:pStyle w:val="Tabletextright"/>
              <w:rPr>
                <w:b/>
              </w:rPr>
            </w:pPr>
            <w:r w:rsidRPr="00C3366F">
              <w:rPr>
                <w:b/>
              </w:rPr>
              <w:t>218.8</w:t>
            </w:r>
          </w:p>
        </w:tc>
        <w:tc>
          <w:tcPr>
            <w:tcW w:w="982" w:type="dxa"/>
            <w:tcBorders>
              <w:left w:val="nil"/>
              <w:right w:val="nil"/>
            </w:tcBorders>
            <w:vAlign w:val="center"/>
          </w:tcPr>
          <w:p w:rsidR="009543DB" w:rsidRPr="00C3366F" w:rsidRDefault="009543DB" w:rsidP="009543DB">
            <w:pPr>
              <w:pStyle w:val="Tabletextright"/>
              <w:rPr>
                <w:b/>
              </w:rPr>
            </w:pPr>
            <w:r w:rsidRPr="00C3366F">
              <w:rPr>
                <w:b/>
              </w:rPr>
              <w:t>294.9</w:t>
            </w:r>
          </w:p>
        </w:tc>
        <w:tc>
          <w:tcPr>
            <w:tcW w:w="983" w:type="dxa"/>
            <w:tcBorders>
              <w:left w:val="nil"/>
              <w:right w:val="nil"/>
            </w:tcBorders>
            <w:vAlign w:val="center"/>
          </w:tcPr>
          <w:p w:rsidR="009543DB" w:rsidRPr="00C3366F" w:rsidRDefault="009543DB" w:rsidP="009543DB">
            <w:pPr>
              <w:pStyle w:val="Tabletextright"/>
              <w:rPr>
                <w:b/>
              </w:rPr>
            </w:pPr>
            <w:r w:rsidRPr="00C3366F">
              <w:rPr>
                <w:b/>
              </w:rPr>
              <w:t>245.0</w:t>
            </w:r>
          </w:p>
        </w:tc>
        <w:tc>
          <w:tcPr>
            <w:tcW w:w="982" w:type="dxa"/>
            <w:tcBorders>
              <w:left w:val="nil"/>
              <w:right w:val="nil"/>
            </w:tcBorders>
            <w:vAlign w:val="center"/>
          </w:tcPr>
          <w:p w:rsidR="009543DB" w:rsidRPr="00C3366F" w:rsidRDefault="009543DB" w:rsidP="009543DB">
            <w:pPr>
              <w:pStyle w:val="Tabletextright"/>
              <w:rPr>
                <w:b/>
              </w:rPr>
            </w:pPr>
            <w:r w:rsidRPr="00C3366F">
              <w:rPr>
                <w:b/>
              </w:rPr>
              <w:t>196.0</w:t>
            </w:r>
          </w:p>
        </w:tc>
        <w:tc>
          <w:tcPr>
            <w:tcW w:w="982" w:type="dxa"/>
            <w:tcBorders>
              <w:left w:val="nil"/>
              <w:right w:val="nil"/>
            </w:tcBorders>
            <w:vAlign w:val="center"/>
          </w:tcPr>
          <w:p w:rsidR="009543DB" w:rsidRPr="00C3366F" w:rsidRDefault="009543DB" w:rsidP="009543DB">
            <w:pPr>
              <w:pStyle w:val="Tabletextright"/>
              <w:rPr>
                <w:b/>
              </w:rPr>
            </w:pPr>
            <w:r w:rsidRPr="00C3366F">
              <w:rPr>
                <w:b/>
              </w:rPr>
              <w:t>279.1</w:t>
            </w:r>
          </w:p>
        </w:tc>
        <w:tc>
          <w:tcPr>
            <w:tcW w:w="982" w:type="dxa"/>
            <w:tcBorders>
              <w:left w:val="nil"/>
              <w:right w:val="nil"/>
            </w:tcBorders>
            <w:vAlign w:val="center"/>
          </w:tcPr>
          <w:p w:rsidR="009543DB" w:rsidRPr="00C3366F" w:rsidRDefault="009543DB" w:rsidP="009543DB">
            <w:pPr>
              <w:pStyle w:val="Tabletextright"/>
              <w:rPr>
                <w:b/>
              </w:rPr>
            </w:pPr>
            <w:r w:rsidRPr="00C3366F">
              <w:rPr>
                <w:b/>
              </w:rPr>
              <w:t>323.7</w:t>
            </w:r>
          </w:p>
        </w:tc>
        <w:tc>
          <w:tcPr>
            <w:tcW w:w="983" w:type="dxa"/>
            <w:tcBorders>
              <w:left w:val="nil"/>
              <w:right w:val="nil"/>
            </w:tcBorders>
            <w:vAlign w:val="center"/>
          </w:tcPr>
          <w:p w:rsidR="009543DB" w:rsidRPr="00C3366F" w:rsidRDefault="009543DB" w:rsidP="009543DB">
            <w:pPr>
              <w:pStyle w:val="Tabletextright"/>
              <w:rPr>
                <w:b/>
              </w:rPr>
            </w:pPr>
            <w:r w:rsidRPr="00C3366F">
              <w:rPr>
                <w:b/>
              </w:rPr>
              <w:t>771.3</w:t>
            </w:r>
          </w:p>
        </w:tc>
        <w:tc>
          <w:tcPr>
            <w:tcW w:w="982" w:type="dxa"/>
            <w:tcBorders>
              <w:left w:val="nil"/>
              <w:right w:val="nil"/>
            </w:tcBorders>
            <w:vAlign w:val="center"/>
          </w:tcPr>
          <w:p w:rsidR="009543DB" w:rsidRPr="00C3366F" w:rsidRDefault="009543DB" w:rsidP="009543DB">
            <w:pPr>
              <w:pStyle w:val="Tabletextright"/>
              <w:rPr>
                <w:b/>
              </w:rPr>
            </w:pPr>
            <w:r w:rsidRPr="00C3366F">
              <w:rPr>
                <w:b/>
              </w:rPr>
              <w:t>687.8</w:t>
            </w:r>
          </w:p>
        </w:tc>
        <w:tc>
          <w:tcPr>
            <w:tcW w:w="982" w:type="dxa"/>
            <w:tcBorders>
              <w:left w:val="nil"/>
              <w:right w:val="nil"/>
            </w:tcBorders>
            <w:vAlign w:val="center"/>
          </w:tcPr>
          <w:p w:rsidR="009543DB" w:rsidRPr="00C3366F" w:rsidRDefault="009543DB" w:rsidP="009543DB">
            <w:pPr>
              <w:pStyle w:val="Tabletextright"/>
              <w:rPr>
                <w:b/>
              </w:rPr>
            </w:pPr>
            <w:r w:rsidRPr="00C3366F">
              <w:rPr>
                <w:b/>
              </w:rPr>
              <w:t>388.3</w:t>
            </w:r>
          </w:p>
        </w:tc>
        <w:tc>
          <w:tcPr>
            <w:tcW w:w="983" w:type="dxa"/>
            <w:tcBorders>
              <w:left w:val="nil"/>
              <w:right w:val="nil"/>
            </w:tcBorders>
            <w:vAlign w:val="center"/>
          </w:tcPr>
          <w:p w:rsidR="009543DB" w:rsidRPr="00C3366F" w:rsidRDefault="009543DB" w:rsidP="009543DB">
            <w:pPr>
              <w:pStyle w:val="Tabletextright"/>
              <w:rPr>
                <w:b/>
              </w:rPr>
            </w:pPr>
            <w:r w:rsidRPr="00C3366F">
              <w:rPr>
                <w:b/>
              </w:rPr>
              <w:t>429.3</w:t>
            </w:r>
          </w:p>
        </w:tc>
      </w:tr>
      <w:tr w:rsidR="009543DB" w:rsidTr="009543DB">
        <w:tc>
          <w:tcPr>
            <w:tcW w:w="1243" w:type="dxa"/>
            <w:vMerge/>
            <w:tcBorders>
              <w:left w:val="nil"/>
              <w:right w:val="nil"/>
            </w:tcBorders>
          </w:tcPr>
          <w:p w:rsidR="009543DB" w:rsidRDefault="009543DB" w:rsidP="009543DB">
            <w:pPr>
              <w:pStyle w:val="Tabletextheading"/>
            </w:pPr>
          </w:p>
        </w:tc>
        <w:tc>
          <w:tcPr>
            <w:tcW w:w="1984" w:type="dxa"/>
            <w:tcBorders>
              <w:left w:val="nil"/>
              <w:right w:val="nil"/>
            </w:tcBorders>
          </w:tcPr>
          <w:p w:rsidR="009543DB" w:rsidRDefault="009543DB" w:rsidP="009543DB">
            <w:pPr>
              <w:pStyle w:val="Tabletextleft"/>
            </w:pPr>
            <w:r>
              <w:t>Car parking % of total</w:t>
            </w:r>
          </w:p>
        </w:tc>
        <w:tc>
          <w:tcPr>
            <w:tcW w:w="982" w:type="dxa"/>
            <w:tcBorders>
              <w:left w:val="nil"/>
              <w:right w:val="nil"/>
            </w:tcBorders>
            <w:vAlign w:val="center"/>
          </w:tcPr>
          <w:p w:rsidR="009543DB" w:rsidRPr="004B4A4D" w:rsidRDefault="009543DB" w:rsidP="009543DB">
            <w:pPr>
              <w:pStyle w:val="Tabletextright"/>
            </w:pPr>
            <w:r w:rsidRPr="004B4A4D">
              <w:t>9.2</w:t>
            </w:r>
          </w:p>
        </w:tc>
        <w:tc>
          <w:tcPr>
            <w:tcW w:w="982" w:type="dxa"/>
            <w:tcBorders>
              <w:left w:val="nil"/>
              <w:right w:val="nil"/>
            </w:tcBorders>
            <w:vAlign w:val="center"/>
          </w:tcPr>
          <w:p w:rsidR="009543DB" w:rsidRPr="004B4A4D" w:rsidRDefault="009543DB" w:rsidP="009543DB">
            <w:pPr>
              <w:pStyle w:val="Tabletextright"/>
            </w:pPr>
            <w:r w:rsidRPr="004B4A4D">
              <w:t>9.2</w:t>
            </w:r>
          </w:p>
        </w:tc>
        <w:tc>
          <w:tcPr>
            <w:tcW w:w="982" w:type="dxa"/>
            <w:tcBorders>
              <w:left w:val="nil"/>
              <w:right w:val="nil"/>
            </w:tcBorders>
            <w:vAlign w:val="center"/>
          </w:tcPr>
          <w:p w:rsidR="009543DB" w:rsidRPr="004B4A4D" w:rsidRDefault="009543DB" w:rsidP="009543DB">
            <w:pPr>
              <w:pStyle w:val="Tabletextright"/>
            </w:pPr>
            <w:r w:rsidRPr="004B4A4D">
              <w:t>7.6</w:t>
            </w:r>
          </w:p>
        </w:tc>
        <w:tc>
          <w:tcPr>
            <w:tcW w:w="983" w:type="dxa"/>
            <w:tcBorders>
              <w:left w:val="nil"/>
              <w:right w:val="nil"/>
            </w:tcBorders>
            <w:vAlign w:val="center"/>
          </w:tcPr>
          <w:p w:rsidR="009543DB" w:rsidRPr="004B4A4D" w:rsidRDefault="009543DB" w:rsidP="009543DB">
            <w:pPr>
              <w:pStyle w:val="Tabletextright"/>
            </w:pPr>
            <w:r w:rsidRPr="004B4A4D">
              <w:t>11.7</w:t>
            </w:r>
          </w:p>
        </w:tc>
        <w:tc>
          <w:tcPr>
            <w:tcW w:w="982" w:type="dxa"/>
            <w:tcBorders>
              <w:left w:val="nil"/>
              <w:right w:val="nil"/>
            </w:tcBorders>
            <w:vAlign w:val="center"/>
          </w:tcPr>
          <w:p w:rsidR="009543DB" w:rsidRPr="004B4A4D" w:rsidRDefault="009543DB" w:rsidP="009543DB">
            <w:pPr>
              <w:pStyle w:val="Tabletextright"/>
            </w:pPr>
            <w:r w:rsidRPr="004B4A4D">
              <w:t>17.2</w:t>
            </w:r>
          </w:p>
        </w:tc>
        <w:tc>
          <w:tcPr>
            <w:tcW w:w="982" w:type="dxa"/>
            <w:tcBorders>
              <w:left w:val="nil"/>
              <w:right w:val="nil"/>
            </w:tcBorders>
            <w:vAlign w:val="center"/>
          </w:tcPr>
          <w:p w:rsidR="009543DB" w:rsidRPr="004B4A4D" w:rsidRDefault="009543DB" w:rsidP="009543DB">
            <w:pPr>
              <w:pStyle w:val="Tabletextright"/>
            </w:pPr>
            <w:r w:rsidRPr="004B4A4D">
              <w:t>13.4</w:t>
            </w:r>
          </w:p>
        </w:tc>
        <w:tc>
          <w:tcPr>
            <w:tcW w:w="982" w:type="dxa"/>
            <w:tcBorders>
              <w:left w:val="nil"/>
              <w:right w:val="nil"/>
            </w:tcBorders>
            <w:vAlign w:val="center"/>
          </w:tcPr>
          <w:p w:rsidR="009543DB" w:rsidRPr="004B4A4D" w:rsidRDefault="009543DB" w:rsidP="009543DB">
            <w:pPr>
              <w:pStyle w:val="Tabletextright"/>
            </w:pPr>
            <w:r w:rsidRPr="004B4A4D">
              <w:t>13.9</w:t>
            </w:r>
          </w:p>
        </w:tc>
        <w:tc>
          <w:tcPr>
            <w:tcW w:w="983" w:type="dxa"/>
            <w:tcBorders>
              <w:left w:val="nil"/>
              <w:right w:val="nil"/>
            </w:tcBorders>
            <w:vAlign w:val="center"/>
          </w:tcPr>
          <w:p w:rsidR="009543DB" w:rsidRPr="004B4A4D" w:rsidRDefault="009543DB" w:rsidP="009543DB">
            <w:pPr>
              <w:pStyle w:val="Tabletextright"/>
            </w:pPr>
            <w:r w:rsidRPr="004B4A4D">
              <w:t>7.0</w:t>
            </w:r>
          </w:p>
        </w:tc>
        <w:tc>
          <w:tcPr>
            <w:tcW w:w="982" w:type="dxa"/>
            <w:tcBorders>
              <w:left w:val="nil"/>
              <w:right w:val="nil"/>
            </w:tcBorders>
            <w:vAlign w:val="center"/>
          </w:tcPr>
          <w:p w:rsidR="009543DB" w:rsidRPr="004B4A4D" w:rsidRDefault="009543DB" w:rsidP="009543DB">
            <w:pPr>
              <w:pStyle w:val="Tabletextright"/>
            </w:pPr>
            <w:r w:rsidRPr="004B4A4D">
              <w:t>8.9</w:t>
            </w:r>
          </w:p>
        </w:tc>
        <w:tc>
          <w:tcPr>
            <w:tcW w:w="982" w:type="dxa"/>
            <w:tcBorders>
              <w:left w:val="nil"/>
              <w:right w:val="nil"/>
            </w:tcBorders>
            <w:vAlign w:val="center"/>
          </w:tcPr>
          <w:p w:rsidR="009543DB" w:rsidRPr="004B4A4D" w:rsidRDefault="009543DB" w:rsidP="009543DB">
            <w:pPr>
              <w:pStyle w:val="Tabletextright"/>
            </w:pPr>
            <w:r w:rsidRPr="004B4A4D">
              <w:t>17.0</w:t>
            </w:r>
          </w:p>
        </w:tc>
        <w:tc>
          <w:tcPr>
            <w:tcW w:w="983" w:type="dxa"/>
            <w:tcBorders>
              <w:left w:val="nil"/>
              <w:right w:val="nil"/>
            </w:tcBorders>
            <w:vAlign w:val="center"/>
          </w:tcPr>
          <w:p w:rsidR="009543DB" w:rsidRPr="004B4A4D" w:rsidRDefault="009543DB" w:rsidP="009543DB">
            <w:pPr>
              <w:pStyle w:val="Tabletextright"/>
            </w:pPr>
            <w:r w:rsidRPr="004B4A4D">
              <w:t>15.2</w:t>
            </w:r>
          </w:p>
        </w:tc>
      </w:tr>
      <w:tr w:rsidR="009543DB" w:rsidTr="009543DB">
        <w:tc>
          <w:tcPr>
            <w:tcW w:w="1243" w:type="dxa"/>
            <w:vMerge w:val="restart"/>
            <w:tcBorders>
              <w:left w:val="nil"/>
              <w:right w:val="nil"/>
            </w:tcBorders>
          </w:tcPr>
          <w:p w:rsidR="009543DB" w:rsidRDefault="009543DB" w:rsidP="009543DB">
            <w:pPr>
              <w:pStyle w:val="Tabletextheading"/>
            </w:pPr>
            <w:r>
              <w:t>Operating expenses ($million)</w:t>
            </w:r>
          </w:p>
        </w:tc>
        <w:tc>
          <w:tcPr>
            <w:tcW w:w="1984" w:type="dxa"/>
            <w:tcBorders>
              <w:left w:val="nil"/>
              <w:right w:val="nil"/>
            </w:tcBorders>
          </w:tcPr>
          <w:p w:rsidR="009543DB" w:rsidRDefault="009543DB" w:rsidP="009543DB">
            <w:pPr>
              <w:pStyle w:val="Tabletextleft"/>
            </w:pPr>
            <w:r>
              <w:t>Car parking</w:t>
            </w:r>
          </w:p>
        </w:tc>
        <w:tc>
          <w:tcPr>
            <w:tcW w:w="982" w:type="dxa"/>
            <w:tcBorders>
              <w:left w:val="nil"/>
              <w:right w:val="nil"/>
            </w:tcBorders>
            <w:vAlign w:val="center"/>
          </w:tcPr>
          <w:p w:rsidR="009543DB" w:rsidRPr="004B4A4D" w:rsidRDefault="009543DB" w:rsidP="009543DB">
            <w:pPr>
              <w:pStyle w:val="Tabletextright"/>
            </w:pPr>
            <w:r w:rsidRPr="004B4A4D">
              <w:t>5.0</w:t>
            </w:r>
          </w:p>
        </w:tc>
        <w:tc>
          <w:tcPr>
            <w:tcW w:w="982" w:type="dxa"/>
            <w:tcBorders>
              <w:left w:val="nil"/>
              <w:right w:val="nil"/>
            </w:tcBorders>
            <w:vAlign w:val="center"/>
          </w:tcPr>
          <w:p w:rsidR="009543DB" w:rsidRPr="004B4A4D" w:rsidRDefault="009543DB" w:rsidP="009543DB">
            <w:pPr>
              <w:pStyle w:val="Tabletextright"/>
            </w:pPr>
            <w:r w:rsidRPr="004B4A4D">
              <w:t>6.1</w:t>
            </w:r>
          </w:p>
        </w:tc>
        <w:tc>
          <w:tcPr>
            <w:tcW w:w="982" w:type="dxa"/>
            <w:tcBorders>
              <w:left w:val="nil"/>
              <w:right w:val="nil"/>
            </w:tcBorders>
            <w:vAlign w:val="center"/>
          </w:tcPr>
          <w:p w:rsidR="009543DB" w:rsidRPr="004B4A4D" w:rsidRDefault="009543DB" w:rsidP="009543DB">
            <w:pPr>
              <w:pStyle w:val="Tabletextright"/>
            </w:pPr>
            <w:r w:rsidRPr="004B4A4D">
              <w:t>9.3</w:t>
            </w:r>
          </w:p>
        </w:tc>
        <w:tc>
          <w:tcPr>
            <w:tcW w:w="983" w:type="dxa"/>
            <w:tcBorders>
              <w:left w:val="nil"/>
              <w:right w:val="nil"/>
            </w:tcBorders>
            <w:vAlign w:val="center"/>
          </w:tcPr>
          <w:p w:rsidR="009543DB" w:rsidRPr="004B4A4D" w:rsidRDefault="009543DB" w:rsidP="009543DB">
            <w:pPr>
              <w:pStyle w:val="Tabletextright"/>
            </w:pPr>
            <w:r w:rsidRPr="004B4A4D">
              <w:t>8.0</w:t>
            </w:r>
          </w:p>
        </w:tc>
        <w:tc>
          <w:tcPr>
            <w:tcW w:w="982" w:type="dxa"/>
            <w:tcBorders>
              <w:left w:val="nil"/>
              <w:right w:val="nil"/>
            </w:tcBorders>
            <w:vAlign w:val="center"/>
          </w:tcPr>
          <w:p w:rsidR="009543DB" w:rsidRPr="004B4A4D" w:rsidRDefault="009543DB" w:rsidP="009543DB">
            <w:pPr>
              <w:pStyle w:val="Tabletextright"/>
            </w:pPr>
            <w:r w:rsidRPr="004B4A4D">
              <w:t>12.1</w:t>
            </w:r>
          </w:p>
        </w:tc>
        <w:tc>
          <w:tcPr>
            <w:tcW w:w="982" w:type="dxa"/>
            <w:tcBorders>
              <w:left w:val="nil"/>
              <w:right w:val="nil"/>
            </w:tcBorders>
            <w:vAlign w:val="center"/>
          </w:tcPr>
          <w:p w:rsidR="009543DB" w:rsidRPr="004B4A4D" w:rsidRDefault="009543DB" w:rsidP="009543DB">
            <w:pPr>
              <w:pStyle w:val="Tabletextright"/>
            </w:pPr>
            <w:r w:rsidRPr="004B4A4D">
              <w:t>12.1</w:t>
            </w:r>
          </w:p>
        </w:tc>
        <w:tc>
          <w:tcPr>
            <w:tcW w:w="982" w:type="dxa"/>
            <w:tcBorders>
              <w:left w:val="nil"/>
              <w:right w:val="nil"/>
            </w:tcBorders>
            <w:vAlign w:val="center"/>
          </w:tcPr>
          <w:p w:rsidR="009543DB" w:rsidRPr="004B4A4D" w:rsidRDefault="009543DB" w:rsidP="009543DB">
            <w:pPr>
              <w:pStyle w:val="Tabletextright"/>
            </w:pPr>
            <w:r w:rsidRPr="004B4A4D">
              <w:t>14.9</w:t>
            </w:r>
          </w:p>
        </w:tc>
        <w:tc>
          <w:tcPr>
            <w:tcW w:w="983" w:type="dxa"/>
            <w:tcBorders>
              <w:left w:val="nil"/>
              <w:right w:val="nil"/>
            </w:tcBorders>
            <w:vAlign w:val="center"/>
          </w:tcPr>
          <w:p w:rsidR="009543DB" w:rsidRPr="004B4A4D" w:rsidRDefault="009543DB" w:rsidP="009543DB">
            <w:pPr>
              <w:pStyle w:val="Tabletextright"/>
            </w:pPr>
            <w:r w:rsidRPr="004B4A4D">
              <w:t>17.6</w:t>
            </w:r>
          </w:p>
        </w:tc>
        <w:tc>
          <w:tcPr>
            <w:tcW w:w="982" w:type="dxa"/>
            <w:tcBorders>
              <w:left w:val="nil"/>
              <w:right w:val="nil"/>
            </w:tcBorders>
            <w:vAlign w:val="center"/>
          </w:tcPr>
          <w:p w:rsidR="009543DB" w:rsidRPr="004B4A4D" w:rsidRDefault="009543DB" w:rsidP="009543DB">
            <w:pPr>
              <w:pStyle w:val="Tabletextright"/>
            </w:pPr>
            <w:r w:rsidRPr="004B4A4D">
              <w:t>19.6</w:t>
            </w:r>
          </w:p>
        </w:tc>
        <w:tc>
          <w:tcPr>
            <w:tcW w:w="982" w:type="dxa"/>
            <w:tcBorders>
              <w:left w:val="nil"/>
              <w:right w:val="nil"/>
            </w:tcBorders>
            <w:vAlign w:val="center"/>
          </w:tcPr>
          <w:p w:rsidR="009543DB" w:rsidRPr="004B4A4D" w:rsidRDefault="009543DB" w:rsidP="009543DB">
            <w:pPr>
              <w:pStyle w:val="Tabletextright"/>
            </w:pPr>
            <w:r w:rsidRPr="004B4A4D">
              <w:t>20.6</w:t>
            </w:r>
          </w:p>
        </w:tc>
        <w:tc>
          <w:tcPr>
            <w:tcW w:w="983" w:type="dxa"/>
            <w:tcBorders>
              <w:left w:val="nil"/>
              <w:right w:val="nil"/>
            </w:tcBorders>
            <w:vAlign w:val="center"/>
          </w:tcPr>
          <w:p w:rsidR="009543DB" w:rsidRPr="004B4A4D" w:rsidRDefault="009543DB" w:rsidP="009543DB">
            <w:pPr>
              <w:pStyle w:val="Tabletextright"/>
            </w:pPr>
            <w:r w:rsidRPr="004B4A4D">
              <w:t>23.6</w:t>
            </w:r>
          </w:p>
        </w:tc>
      </w:tr>
      <w:tr w:rsidR="009543DB" w:rsidRPr="00C3366F" w:rsidTr="009543DB">
        <w:tc>
          <w:tcPr>
            <w:tcW w:w="1243" w:type="dxa"/>
            <w:vMerge/>
            <w:tcBorders>
              <w:left w:val="nil"/>
              <w:right w:val="nil"/>
            </w:tcBorders>
          </w:tcPr>
          <w:p w:rsidR="009543DB" w:rsidRDefault="009543DB" w:rsidP="009543DB">
            <w:pPr>
              <w:pStyle w:val="Tabletextheading"/>
            </w:pPr>
          </w:p>
        </w:tc>
        <w:tc>
          <w:tcPr>
            <w:tcW w:w="1984" w:type="dxa"/>
            <w:tcBorders>
              <w:left w:val="nil"/>
              <w:right w:val="nil"/>
            </w:tcBorders>
            <w:vAlign w:val="center"/>
          </w:tcPr>
          <w:p w:rsidR="009543DB" w:rsidRDefault="009543DB" w:rsidP="009543DB">
            <w:pPr>
              <w:pStyle w:val="Tabletextleft-centred"/>
            </w:pPr>
            <w:r>
              <w:t>Total airport</w:t>
            </w:r>
          </w:p>
        </w:tc>
        <w:tc>
          <w:tcPr>
            <w:tcW w:w="982" w:type="dxa"/>
            <w:tcBorders>
              <w:left w:val="nil"/>
              <w:right w:val="nil"/>
            </w:tcBorders>
            <w:vAlign w:val="center"/>
          </w:tcPr>
          <w:p w:rsidR="009543DB" w:rsidRPr="00C3366F" w:rsidRDefault="009543DB" w:rsidP="009543DB">
            <w:pPr>
              <w:pStyle w:val="Tabletextright"/>
              <w:rPr>
                <w:b/>
              </w:rPr>
            </w:pPr>
            <w:r w:rsidRPr="00C3366F">
              <w:rPr>
                <w:b/>
              </w:rPr>
              <w:t>97.2</w:t>
            </w:r>
          </w:p>
        </w:tc>
        <w:tc>
          <w:tcPr>
            <w:tcW w:w="982" w:type="dxa"/>
            <w:tcBorders>
              <w:left w:val="nil"/>
              <w:right w:val="nil"/>
            </w:tcBorders>
            <w:vAlign w:val="center"/>
          </w:tcPr>
          <w:p w:rsidR="009543DB" w:rsidRPr="00C3366F" w:rsidRDefault="009543DB" w:rsidP="009543DB">
            <w:pPr>
              <w:pStyle w:val="Tabletextright"/>
              <w:rPr>
                <w:b/>
              </w:rPr>
            </w:pPr>
            <w:r w:rsidRPr="00C3366F">
              <w:rPr>
                <w:b/>
              </w:rPr>
              <w:t>88.1</w:t>
            </w:r>
          </w:p>
        </w:tc>
        <w:tc>
          <w:tcPr>
            <w:tcW w:w="982" w:type="dxa"/>
            <w:tcBorders>
              <w:left w:val="nil"/>
              <w:right w:val="nil"/>
            </w:tcBorders>
            <w:vAlign w:val="center"/>
          </w:tcPr>
          <w:p w:rsidR="009543DB" w:rsidRPr="00C3366F" w:rsidRDefault="009543DB" w:rsidP="009543DB">
            <w:pPr>
              <w:pStyle w:val="Tabletextright"/>
              <w:rPr>
                <w:b/>
              </w:rPr>
            </w:pPr>
            <w:r w:rsidRPr="00C3366F">
              <w:rPr>
                <w:b/>
              </w:rPr>
              <w:t>102.1</w:t>
            </w:r>
          </w:p>
        </w:tc>
        <w:tc>
          <w:tcPr>
            <w:tcW w:w="983" w:type="dxa"/>
            <w:tcBorders>
              <w:left w:val="nil"/>
              <w:right w:val="nil"/>
            </w:tcBorders>
            <w:vAlign w:val="center"/>
          </w:tcPr>
          <w:p w:rsidR="009543DB" w:rsidRPr="00C3366F" w:rsidRDefault="009543DB" w:rsidP="009543DB">
            <w:pPr>
              <w:pStyle w:val="Tabletextright"/>
              <w:rPr>
                <w:b/>
              </w:rPr>
            </w:pPr>
            <w:r w:rsidRPr="00C3366F">
              <w:rPr>
                <w:b/>
              </w:rPr>
              <w:t>80.9</w:t>
            </w:r>
          </w:p>
        </w:tc>
        <w:tc>
          <w:tcPr>
            <w:tcW w:w="982" w:type="dxa"/>
            <w:tcBorders>
              <w:left w:val="nil"/>
              <w:right w:val="nil"/>
            </w:tcBorders>
            <w:vAlign w:val="center"/>
          </w:tcPr>
          <w:p w:rsidR="009543DB" w:rsidRPr="00C3366F" w:rsidRDefault="009543DB" w:rsidP="009543DB">
            <w:pPr>
              <w:pStyle w:val="Tabletextright"/>
              <w:rPr>
                <w:b/>
              </w:rPr>
            </w:pPr>
            <w:r w:rsidRPr="00C3366F">
              <w:rPr>
                <w:b/>
              </w:rPr>
              <w:t>107.8</w:t>
            </w:r>
          </w:p>
        </w:tc>
        <w:tc>
          <w:tcPr>
            <w:tcW w:w="982" w:type="dxa"/>
            <w:tcBorders>
              <w:left w:val="nil"/>
              <w:right w:val="nil"/>
            </w:tcBorders>
            <w:vAlign w:val="center"/>
          </w:tcPr>
          <w:p w:rsidR="009543DB" w:rsidRPr="00C3366F" w:rsidRDefault="009543DB" w:rsidP="009543DB">
            <w:pPr>
              <w:pStyle w:val="Tabletextright"/>
              <w:rPr>
                <w:b/>
              </w:rPr>
            </w:pPr>
            <w:r w:rsidRPr="00C3366F">
              <w:rPr>
                <w:b/>
              </w:rPr>
              <w:t>118.6</w:t>
            </w:r>
          </w:p>
        </w:tc>
        <w:tc>
          <w:tcPr>
            <w:tcW w:w="982" w:type="dxa"/>
            <w:tcBorders>
              <w:left w:val="nil"/>
              <w:right w:val="nil"/>
            </w:tcBorders>
            <w:vAlign w:val="center"/>
          </w:tcPr>
          <w:p w:rsidR="009543DB" w:rsidRPr="00C3366F" w:rsidRDefault="009543DB" w:rsidP="009543DB">
            <w:pPr>
              <w:pStyle w:val="Tabletextright"/>
              <w:rPr>
                <w:b/>
              </w:rPr>
            </w:pPr>
            <w:r w:rsidRPr="00C3366F">
              <w:rPr>
                <w:b/>
              </w:rPr>
              <w:t>134.9</w:t>
            </w:r>
          </w:p>
        </w:tc>
        <w:tc>
          <w:tcPr>
            <w:tcW w:w="983" w:type="dxa"/>
            <w:tcBorders>
              <w:left w:val="nil"/>
              <w:right w:val="nil"/>
            </w:tcBorders>
            <w:vAlign w:val="center"/>
          </w:tcPr>
          <w:p w:rsidR="009543DB" w:rsidRPr="00C3366F" w:rsidRDefault="009543DB" w:rsidP="009543DB">
            <w:pPr>
              <w:pStyle w:val="Tabletextright"/>
              <w:rPr>
                <w:b/>
              </w:rPr>
            </w:pPr>
            <w:r w:rsidRPr="00C3366F">
              <w:rPr>
                <w:b/>
              </w:rPr>
              <w:t>155.7</w:t>
            </w:r>
          </w:p>
        </w:tc>
        <w:tc>
          <w:tcPr>
            <w:tcW w:w="982" w:type="dxa"/>
            <w:tcBorders>
              <w:left w:val="nil"/>
              <w:right w:val="nil"/>
            </w:tcBorders>
            <w:vAlign w:val="center"/>
          </w:tcPr>
          <w:p w:rsidR="009543DB" w:rsidRPr="00C3366F" w:rsidRDefault="009543DB" w:rsidP="009543DB">
            <w:pPr>
              <w:pStyle w:val="Tabletextright"/>
              <w:rPr>
                <w:b/>
              </w:rPr>
            </w:pPr>
            <w:r w:rsidRPr="00C3366F">
              <w:rPr>
                <w:b/>
              </w:rPr>
              <w:t>181.9</w:t>
            </w:r>
          </w:p>
        </w:tc>
        <w:tc>
          <w:tcPr>
            <w:tcW w:w="982" w:type="dxa"/>
            <w:tcBorders>
              <w:left w:val="nil"/>
              <w:right w:val="nil"/>
            </w:tcBorders>
            <w:vAlign w:val="center"/>
          </w:tcPr>
          <w:p w:rsidR="009543DB" w:rsidRPr="00C3366F" w:rsidRDefault="009543DB" w:rsidP="009543DB">
            <w:pPr>
              <w:pStyle w:val="Tabletextright"/>
              <w:rPr>
                <w:b/>
              </w:rPr>
            </w:pPr>
            <w:r w:rsidRPr="00C3366F">
              <w:rPr>
                <w:b/>
              </w:rPr>
              <w:t>194.1</w:t>
            </w:r>
          </w:p>
        </w:tc>
        <w:tc>
          <w:tcPr>
            <w:tcW w:w="983" w:type="dxa"/>
            <w:tcBorders>
              <w:left w:val="nil"/>
              <w:right w:val="nil"/>
            </w:tcBorders>
            <w:vAlign w:val="center"/>
          </w:tcPr>
          <w:p w:rsidR="009543DB" w:rsidRPr="00C3366F" w:rsidRDefault="009543DB" w:rsidP="009543DB">
            <w:pPr>
              <w:pStyle w:val="Tabletextright"/>
              <w:rPr>
                <w:b/>
              </w:rPr>
            </w:pPr>
            <w:r w:rsidRPr="00C3366F">
              <w:rPr>
                <w:b/>
              </w:rPr>
              <w:t>203.6</w:t>
            </w:r>
          </w:p>
        </w:tc>
      </w:tr>
      <w:tr w:rsidR="009543DB" w:rsidTr="009543DB">
        <w:tc>
          <w:tcPr>
            <w:tcW w:w="1243" w:type="dxa"/>
            <w:vMerge w:val="restart"/>
            <w:tcBorders>
              <w:left w:val="nil"/>
              <w:right w:val="nil"/>
            </w:tcBorders>
          </w:tcPr>
          <w:p w:rsidR="009543DB" w:rsidRDefault="009543DB" w:rsidP="009543DB">
            <w:pPr>
              <w:pStyle w:val="Tabletextheading"/>
            </w:pPr>
            <w:r>
              <w:t>Aggregate margin ($million)</w:t>
            </w:r>
          </w:p>
        </w:tc>
        <w:tc>
          <w:tcPr>
            <w:tcW w:w="1984" w:type="dxa"/>
            <w:tcBorders>
              <w:left w:val="nil"/>
              <w:right w:val="nil"/>
            </w:tcBorders>
          </w:tcPr>
          <w:p w:rsidR="009543DB" w:rsidRDefault="009543DB" w:rsidP="009543DB">
            <w:pPr>
              <w:pStyle w:val="Tabletextleft"/>
            </w:pPr>
            <w:r>
              <w:t>Car parking</w:t>
            </w:r>
          </w:p>
        </w:tc>
        <w:tc>
          <w:tcPr>
            <w:tcW w:w="982" w:type="dxa"/>
            <w:tcBorders>
              <w:left w:val="nil"/>
              <w:right w:val="nil"/>
            </w:tcBorders>
            <w:vAlign w:val="center"/>
          </w:tcPr>
          <w:p w:rsidR="009543DB" w:rsidRPr="004B4A4D" w:rsidRDefault="009543DB" w:rsidP="009543DB">
            <w:pPr>
              <w:pStyle w:val="Tabletextright"/>
            </w:pPr>
            <w:r w:rsidRPr="004B4A4D">
              <w:t>11.9</w:t>
            </w:r>
          </w:p>
        </w:tc>
        <w:tc>
          <w:tcPr>
            <w:tcW w:w="982" w:type="dxa"/>
            <w:tcBorders>
              <w:left w:val="nil"/>
              <w:right w:val="nil"/>
            </w:tcBorders>
            <w:vAlign w:val="center"/>
          </w:tcPr>
          <w:p w:rsidR="009543DB" w:rsidRPr="004B4A4D" w:rsidRDefault="009543DB" w:rsidP="009543DB">
            <w:pPr>
              <w:pStyle w:val="Tabletextright"/>
            </w:pPr>
            <w:r w:rsidRPr="004B4A4D">
              <w:t>14.0</w:t>
            </w:r>
          </w:p>
        </w:tc>
        <w:tc>
          <w:tcPr>
            <w:tcW w:w="982" w:type="dxa"/>
            <w:tcBorders>
              <w:left w:val="nil"/>
              <w:right w:val="nil"/>
            </w:tcBorders>
            <w:vAlign w:val="center"/>
          </w:tcPr>
          <w:p w:rsidR="009543DB" w:rsidRPr="004B4A4D" w:rsidRDefault="009543DB" w:rsidP="009543DB">
            <w:pPr>
              <w:pStyle w:val="Tabletextright"/>
            </w:pPr>
            <w:r w:rsidRPr="004B4A4D">
              <w:t>13.1</w:t>
            </w:r>
          </w:p>
        </w:tc>
        <w:tc>
          <w:tcPr>
            <w:tcW w:w="983" w:type="dxa"/>
            <w:tcBorders>
              <w:left w:val="nil"/>
              <w:right w:val="nil"/>
            </w:tcBorders>
            <w:vAlign w:val="center"/>
          </w:tcPr>
          <w:p w:rsidR="009543DB" w:rsidRPr="004B4A4D" w:rsidRDefault="009543DB" w:rsidP="009543DB">
            <w:pPr>
              <w:pStyle w:val="Tabletextright"/>
            </w:pPr>
            <w:r w:rsidRPr="004B4A4D">
              <w:t>20.6</w:t>
            </w:r>
          </w:p>
        </w:tc>
        <w:tc>
          <w:tcPr>
            <w:tcW w:w="982" w:type="dxa"/>
            <w:tcBorders>
              <w:left w:val="nil"/>
              <w:right w:val="nil"/>
            </w:tcBorders>
            <w:vAlign w:val="center"/>
          </w:tcPr>
          <w:p w:rsidR="009543DB" w:rsidRPr="004B4A4D" w:rsidRDefault="009543DB" w:rsidP="009543DB">
            <w:pPr>
              <w:pStyle w:val="Tabletextright"/>
            </w:pPr>
            <w:r w:rsidRPr="004B4A4D">
              <w:t>21.5</w:t>
            </w:r>
          </w:p>
        </w:tc>
        <w:tc>
          <w:tcPr>
            <w:tcW w:w="982" w:type="dxa"/>
            <w:tcBorders>
              <w:left w:val="nil"/>
              <w:right w:val="nil"/>
            </w:tcBorders>
            <w:vAlign w:val="center"/>
          </w:tcPr>
          <w:p w:rsidR="009543DB" w:rsidRPr="004B4A4D" w:rsidRDefault="009543DB" w:rsidP="009543DB">
            <w:pPr>
              <w:pStyle w:val="Tabletextright"/>
            </w:pPr>
            <w:r w:rsidRPr="004B4A4D">
              <w:t>25.4</w:t>
            </w:r>
          </w:p>
        </w:tc>
        <w:tc>
          <w:tcPr>
            <w:tcW w:w="982" w:type="dxa"/>
            <w:tcBorders>
              <w:left w:val="nil"/>
              <w:right w:val="nil"/>
            </w:tcBorders>
            <w:vAlign w:val="center"/>
          </w:tcPr>
          <w:p w:rsidR="009543DB" w:rsidRPr="004B4A4D" w:rsidRDefault="009543DB" w:rsidP="009543DB">
            <w:pPr>
              <w:pStyle w:val="Tabletextright"/>
            </w:pPr>
            <w:r w:rsidRPr="004B4A4D">
              <w:t>30.0</w:t>
            </w:r>
          </w:p>
        </w:tc>
        <w:tc>
          <w:tcPr>
            <w:tcW w:w="983" w:type="dxa"/>
            <w:tcBorders>
              <w:left w:val="nil"/>
              <w:right w:val="nil"/>
            </w:tcBorders>
            <w:vAlign w:val="center"/>
          </w:tcPr>
          <w:p w:rsidR="009543DB" w:rsidRPr="004B4A4D" w:rsidRDefault="009543DB" w:rsidP="009543DB">
            <w:pPr>
              <w:pStyle w:val="Tabletextright"/>
            </w:pPr>
            <w:r w:rsidRPr="004B4A4D">
              <w:t>36.5</w:t>
            </w:r>
          </w:p>
        </w:tc>
        <w:tc>
          <w:tcPr>
            <w:tcW w:w="982" w:type="dxa"/>
            <w:tcBorders>
              <w:left w:val="nil"/>
              <w:right w:val="nil"/>
            </w:tcBorders>
            <w:vAlign w:val="center"/>
          </w:tcPr>
          <w:p w:rsidR="009543DB" w:rsidRPr="004B4A4D" w:rsidRDefault="009543DB" w:rsidP="009543DB">
            <w:pPr>
              <w:pStyle w:val="Tabletextright"/>
            </w:pPr>
            <w:r w:rsidRPr="004B4A4D">
              <w:t>41.5</w:t>
            </w:r>
          </w:p>
        </w:tc>
        <w:tc>
          <w:tcPr>
            <w:tcW w:w="982" w:type="dxa"/>
            <w:tcBorders>
              <w:left w:val="nil"/>
              <w:right w:val="nil"/>
            </w:tcBorders>
            <w:vAlign w:val="center"/>
          </w:tcPr>
          <w:p w:rsidR="009543DB" w:rsidRPr="004B4A4D" w:rsidRDefault="009543DB" w:rsidP="009543DB">
            <w:pPr>
              <w:pStyle w:val="Tabletextright"/>
            </w:pPr>
            <w:r w:rsidRPr="004B4A4D">
              <w:t>45.3</w:t>
            </w:r>
          </w:p>
        </w:tc>
        <w:tc>
          <w:tcPr>
            <w:tcW w:w="983" w:type="dxa"/>
            <w:tcBorders>
              <w:left w:val="nil"/>
              <w:right w:val="nil"/>
            </w:tcBorders>
            <w:vAlign w:val="center"/>
          </w:tcPr>
          <w:p w:rsidR="009543DB" w:rsidRPr="004B4A4D" w:rsidRDefault="009543DB" w:rsidP="009543DB">
            <w:pPr>
              <w:pStyle w:val="Tabletextright"/>
            </w:pPr>
            <w:r w:rsidRPr="004B4A4D">
              <w:t>41.5</w:t>
            </w:r>
          </w:p>
        </w:tc>
      </w:tr>
      <w:tr w:rsidR="009543DB" w:rsidTr="009543DB">
        <w:tc>
          <w:tcPr>
            <w:tcW w:w="1243" w:type="dxa"/>
            <w:vMerge/>
            <w:tcBorders>
              <w:left w:val="nil"/>
              <w:right w:val="nil"/>
            </w:tcBorders>
          </w:tcPr>
          <w:p w:rsidR="009543DB" w:rsidRDefault="009543DB" w:rsidP="009543DB">
            <w:pPr>
              <w:pStyle w:val="Tabletextheading"/>
            </w:pPr>
          </w:p>
        </w:tc>
        <w:tc>
          <w:tcPr>
            <w:tcW w:w="1984" w:type="dxa"/>
            <w:tcBorders>
              <w:left w:val="nil"/>
              <w:right w:val="nil"/>
            </w:tcBorders>
            <w:vAlign w:val="center"/>
          </w:tcPr>
          <w:p w:rsidR="009543DB" w:rsidRDefault="009543DB" w:rsidP="009543DB">
            <w:pPr>
              <w:pStyle w:val="Tabletextleft-centred"/>
            </w:pPr>
            <w:r>
              <w:t>Total airport</w:t>
            </w:r>
          </w:p>
        </w:tc>
        <w:tc>
          <w:tcPr>
            <w:tcW w:w="982" w:type="dxa"/>
            <w:tcBorders>
              <w:left w:val="nil"/>
              <w:right w:val="nil"/>
            </w:tcBorders>
            <w:vAlign w:val="center"/>
          </w:tcPr>
          <w:p w:rsidR="009543DB" w:rsidRPr="00C3366F" w:rsidRDefault="009543DB" w:rsidP="009543DB">
            <w:pPr>
              <w:pStyle w:val="Tabletextright"/>
              <w:rPr>
                <w:b/>
              </w:rPr>
            </w:pPr>
            <w:r w:rsidRPr="00C3366F">
              <w:rPr>
                <w:b/>
              </w:rPr>
              <w:t>86.8</w:t>
            </w:r>
          </w:p>
        </w:tc>
        <w:tc>
          <w:tcPr>
            <w:tcW w:w="982" w:type="dxa"/>
            <w:tcBorders>
              <w:left w:val="nil"/>
              <w:right w:val="nil"/>
            </w:tcBorders>
            <w:vAlign w:val="center"/>
          </w:tcPr>
          <w:p w:rsidR="009543DB" w:rsidRPr="00C3366F" w:rsidRDefault="009543DB" w:rsidP="009543DB">
            <w:pPr>
              <w:pStyle w:val="Tabletextright"/>
              <w:rPr>
                <w:b/>
              </w:rPr>
            </w:pPr>
            <w:r w:rsidRPr="00C3366F">
              <w:rPr>
                <w:b/>
              </w:rPr>
              <w:t>130.7</w:t>
            </w:r>
          </w:p>
        </w:tc>
        <w:tc>
          <w:tcPr>
            <w:tcW w:w="982" w:type="dxa"/>
            <w:tcBorders>
              <w:left w:val="nil"/>
              <w:right w:val="nil"/>
            </w:tcBorders>
            <w:vAlign w:val="center"/>
          </w:tcPr>
          <w:p w:rsidR="009543DB" w:rsidRPr="00C3366F" w:rsidRDefault="009543DB" w:rsidP="009543DB">
            <w:pPr>
              <w:pStyle w:val="Tabletextright"/>
              <w:rPr>
                <w:b/>
              </w:rPr>
            </w:pPr>
            <w:r w:rsidRPr="00C3366F">
              <w:rPr>
                <w:b/>
              </w:rPr>
              <w:t>192.9</w:t>
            </w:r>
          </w:p>
        </w:tc>
        <w:tc>
          <w:tcPr>
            <w:tcW w:w="983" w:type="dxa"/>
            <w:tcBorders>
              <w:left w:val="nil"/>
              <w:right w:val="nil"/>
            </w:tcBorders>
            <w:vAlign w:val="center"/>
          </w:tcPr>
          <w:p w:rsidR="009543DB" w:rsidRPr="00C3366F" w:rsidRDefault="009543DB" w:rsidP="009543DB">
            <w:pPr>
              <w:pStyle w:val="Tabletextright"/>
              <w:rPr>
                <w:b/>
              </w:rPr>
            </w:pPr>
            <w:r w:rsidRPr="00C3366F">
              <w:rPr>
                <w:b/>
              </w:rPr>
              <w:t>164.1</w:t>
            </w:r>
          </w:p>
        </w:tc>
        <w:tc>
          <w:tcPr>
            <w:tcW w:w="982" w:type="dxa"/>
            <w:tcBorders>
              <w:left w:val="nil"/>
              <w:right w:val="nil"/>
            </w:tcBorders>
            <w:vAlign w:val="center"/>
          </w:tcPr>
          <w:p w:rsidR="009543DB" w:rsidRPr="00C3366F" w:rsidRDefault="009543DB" w:rsidP="009543DB">
            <w:pPr>
              <w:pStyle w:val="Tabletextright"/>
              <w:rPr>
                <w:b/>
              </w:rPr>
            </w:pPr>
            <w:r w:rsidRPr="00C3366F">
              <w:rPr>
                <w:b/>
              </w:rPr>
              <w:t>88.2</w:t>
            </w:r>
          </w:p>
        </w:tc>
        <w:tc>
          <w:tcPr>
            <w:tcW w:w="982" w:type="dxa"/>
            <w:tcBorders>
              <w:left w:val="nil"/>
              <w:right w:val="nil"/>
            </w:tcBorders>
            <w:vAlign w:val="center"/>
          </w:tcPr>
          <w:p w:rsidR="009543DB" w:rsidRPr="00C3366F" w:rsidRDefault="009543DB" w:rsidP="009543DB">
            <w:pPr>
              <w:pStyle w:val="Tabletextright"/>
              <w:rPr>
                <w:b/>
              </w:rPr>
            </w:pPr>
            <w:r w:rsidRPr="00C3366F">
              <w:rPr>
                <w:b/>
              </w:rPr>
              <w:t>160.5</w:t>
            </w:r>
          </w:p>
        </w:tc>
        <w:tc>
          <w:tcPr>
            <w:tcW w:w="982" w:type="dxa"/>
            <w:tcBorders>
              <w:left w:val="nil"/>
              <w:right w:val="nil"/>
            </w:tcBorders>
            <w:vAlign w:val="center"/>
          </w:tcPr>
          <w:p w:rsidR="009543DB" w:rsidRPr="00C3366F" w:rsidRDefault="009543DB" w:rsidP="009543DB">
            <w:pPr>
              <w:pStyle w:val="Tabletextright"/>
              <w:rPr>
                <w:b/>
              </w:rPr>
            </w:pPr>
            <w:r w:rsidRPr="00C3366F">
              <w:rPr>
                <w:b/>
              </w:rPr>
              <w:t>188.8</w:t>
            </w:r>
          </w:p>
        </w:tc>
        <w:tc>
          <w:tcPr>
            <w:tcW w:w="983" w:type="dxa"/>
            <w:tcBorders>
              <w:left w:val="nil"/>
              <w:right w:val="nil"/>
            </w:tcBorders>
            <w:vAlign w:val="center"/>
          </w:tcPr>
          <w:p w:rsidR="009543DB" w:rsidRPr="00C3366F" w:rsidRDefault="009543DB" w:rsidP="009543DB">
            <w:pPr>
              <w:pStyle w:val="Tabletextright"/>
              <w:rPr>
                <w:b/>
              </w:rPr>
            </w:pPr>
            <w:r w:rsidRPr="00C3366F">
              <w:rPr>
                <w:b/>
              </w:rPr>
              <w:t>615.6</w:t>
            </w:r>
          </w:p>
        </w:tc>
        <w:tc>
          <w:tcPr>
            <w:tcW w:w="982" w:type="dxa"/>
            <w:tcBorders>
              <w:left w:val="nil"/>
              <w:right w:val="nil"/>
            </w:tcBorders>
            <w:vAlign w:val="center"/>
          </w:tcPr>
          <w:p w:rsidR="009543DB" w:rsidRPr="00C3366F" w:rsidRDefault="009543DB" w:rsidP="009543DB">
            <w:pPr>
              <w:pStyle w:val="Tabletextright"/>
              <w:rPr>
                <w:b/>
              </w:rPr>
            </w:pPr>
            <w:r w:rsidRPr="00C3366F">
              <w:rPr>
                <w:b/>
              </w:rPr>
              <w:t>505.9</w:t>
            </w:r>
          </w:p>
        </w:tc>
        <w:tc>
          <w:tcPr>
            <w:tcW w:w="982" w:type="dxa"/>
            <w:tcBorders>
              <w:left w:val="nil"/>
              <w:right w:val="nil"/>
            </w:tcBorders>
            <w:vAlign w:val="center"/>
          </w:tcPr>
          <w:p w:rsidR="009543DB" w:rsidRPr="00C3366F" w:rsidRDefault="009543DB" w:rsidP="009543DB">
            <w:pPr>
              <w:pStyle w:val="Tabletextright"/>
              <w:rPr>
                <w:b/>
              </w:rPr>
            </w:pPr>
            <w:r w:rsidRPr="00C3366F">
              <w:rPr>
                <w:b/>
              </w:rPr>
              <w:t>194.1</w:t>
            </w:r>
          </w:p>
        </w:tc>
        <w:tc>
          <w:tcPr>
            <w:tcW w:w="983" w:type="dxa"/>
            <w:tcBorders>
              <w:left w:val="nil"/>
              <w:right w:val="nil"/>
            </w:tcBorders>
            <w:vAlign w:val="center"/>
          </w:tcPr>
          <w:p w:rsidR="009543DB" w:rsidRPr="00C3366F" w:rsidRDefault="009543DB" w:rsidP="009543DB">
            <w:pPr>
              <w:pStyle w:val="Tabletextright"/>
              <w:rPr>
                <w:b/>
              </w:rPr>
            </w:pPr>
            <w:r w:rsidRPr="00C3366F">
              <w:rPr>
                <w:b/>
              </w:rPr>
              <w:t>225.8</w:t>
            </w:r>
          </w:p>
        </w:tc>
      </w:tr>
      <w:tr w:rsidR="009543DB" w:rsidTr="009543DB">
        <w:tc>
          <w:tcPr>
            <w:tcW w:w="1243" w:type="dxa"/>
            <w:vMerge w:val="restart"/>
            <w:tcBorders>
              <w:left w:val="nil"/>
              <w:right w:val="nil"/>
            </w:tcBorders>
          </w:tcPr>
          <w:p w:rsidR="009543DB" w:rsidRDefault="009543DB" w:rsidP="009543DB">
            <w:pPr>
              <w:pStyle w:val="Tabletextheading"/>
            </w:pPr>
            <w:r>
              <w:t>Aggregate margin % of revenue</w:t>
            </w:r>
          </w:p>
        </w:tc>
        <w:tc>
          <w:tcPr>
            <w:tcW w:w="1984" w:type="dxa"/>
            <w:tcBorders>
              <w:left w:val="nil"/>
              <w:right w:val="nil"/>
            </w:tcBorders>
          </w:tcPr>
          <w:p w:rsidR="009543DB" w:rsidRDefault="009543DB" w:rsidP="009543DB">
            <w:pPr>
              <w:pStyle w:val="Tabletextleft"/>
            </w:pPr>
            <w:r>
              <w:t>Car parking</w:t>
            </w:r>
          </w:p>
        </w:tc>
        <w:tc>
          <w:tcPr>
            <w:tcW w:w="982" w:type="dxa"/>
            <w:tcBorders>
              <w:left w:val="nil"/>
              <w:right w:val="nil"/>
            </w:tcBorders>
            <w:vAlign w:val="center"/>
          </w:tcPr>
          <w:p w:rsidR="009543DB" w:rsidRPr="004B4A4D" w:rsidRDefault="009543DB" w:rsidP="009543DB">
            <w:pPr>
              <w:pStyle w:val="Tabletextright"/>
            </w:pPr>
            <w:r w:rsidRPr="004B4A4D">
              <w:t>70.5</w:t>
            </w:r>
          </w:p>
        </w:tc>
        <w:tc>
          <w:tcPr>
            <w:tcW w:w="982" w:type="dxa"/>
            <w:tcBorders>
              <w:left w:val="nil"/>
              <w:right w:val="nil"/>
            </w:tcBorders>
            <w:vAlign w:val="center"/>
          </w:tcPr>
          <w:p w:rsidR="009543DB" w:rsidRPr="004B4A4D" w:rsidRDefault="009543DB" w:rsidP="009543DB">
            <w:pPr>
              <w:pStyle w:val="Tabletextright"/>
            </w:pPr>
            <w:r w:rsidRPr="004B4A4D">
              <w:t>69.7</w:t>
            </w:r>
          </w:p>
        </w:tc>
        <w:tc>
          <w:tcPr>
            <w:tcW w:w="982" w:type="dxa"/>
            <w:tcBorders>
              <w:left w:val="nil"/>
              <w:right w:val="nil"/>
            </w:tcBorders>
            <w:vAlign w:val="center"/>
          </w:tcPr>
          <w:p w:rsidR="009543DB" w:rsidRPr="004B4A4D" w:rsidRDefault="009543DB" w:rsidP="009543DB">
            <w:pPr>
              <w:pStyle w:val="Tabletextright"/>
            </w:pPr>
            <w:r w:rsidRPr="004B4A4D">
              <w:t>58.5</w:t>
            </w:r>
          </w:p>
        </w:tc>
        <w:tc>
          <w:tcPr>
            <w:tcW w:w="983" w:type="dxa"/>
            <w:tcBorders>
              <w:left w:val="nil"/>
              <w:right w:val="nil"/>
            </w:tcBorders>
            <w:vAlign w:val="center"/>
          </w:tcPr>
          <w:p w:rsidR="009543DB" w:rsidRPr="004B4A4D" w:rsidRDefault="009543DB" w:rsidP="009543DB">
            <w:pPr>
              <w:pStyle w:val="Tabletextright"/>
            </w:pPr>
            <w:r w:rsidRPr="004B4A4D">
              <w:t>72.0</w:t>
            </w:r>
          </w:p>
        </w:tc>
        <w:tc>
          <w:tcPr>
            <w:tcW w:w="982" w:type="dxa"/>
            <w:tcBorders>
              <w:left w:val="nil"/>
              <w:right w:val="nil"/>
            </w:tcBorders>
            <w:vAlign w:val="center"/>
          </w:tcPr>
          <w:p w:rsidR="009543DB" w:rsidRPr="004B4A4D" w:rsidRDefault="009543DB" w:rsidP="009543DB">
            <w:pPr>
              <w:pStyle w:val="Tabletextright"/>
            </w:pPr>
            <w:r w:rsidRPr="004B4A4D">
              <w:t>63.9</w:t>
            </w:r>
          </w:p>
        </w:tc>
        <w:tc>
          <w:tcPr>
            <w:tcW w:w="982" w:type="dxa"/>
            <w:tcBorders>
              <w:left w:val="nil"/>
              <w:right w:val="nil"/>
            </w:tcBorders>
            <w:vAlign w:val="center"/>
          </w:tcPr>
          <w:p w:rsidR="009543DB" w:rsidRPr="004B4A4D" w:rsidRDefault="009543DB" w:rsidP="009543DB">
            <w:pPr>
              <w:pStyle w:val="Tabletextright"/>
            </w:pPr>
            <w:r w:rsidRPr="004B4A4D">
              <w:t>67.8</w:t>
            </w:r>
          </w:p>
        </w:tc>
        <w:tc>
          <w:tcPr>
            <w:tcW w:w="982" w:type="dxa"/>
            <w:tcBorders>
              <w:left w:val="nil"/>
              <w:right w:val="nil"/>
            </w:tcBorders>
            <w:vAlign w:val="center"/>
          </w:tcPr>
          <w:p w:rsidR="009543DB" w:rsidRPr="004B4A4D" w:rsidRDefault="009543DB" w:rsidP="009543DB">
            <w:pPr>
              <w:pStyle w:val="Tabletextright"/>
            </w:pPr>
            <w:r w:rsidRPr="004B4A4D">
              <w:t>66.9</w:t>
            </w:r>
          </w:p>
        </w:tc>
        <w:tc>
          <w:tcPr>
            <w:tcW w:w="983" w:type="dxa"/>
            <w:tcBorders>
              <w:left w:val="nil"/>
              <w:right w:val="nil"/>
            </w:tcBorders>
            <w:vAlign w:val="center"/>
          </w:tcPr>
          <w:p w:rsidR="009543DB" w:rsidRPr="004B4A4D" w:rsidRDefault="009543DB" w:rsidP="009543DB">
            <w:pPr>
              <w:pStyle w:val="Tabletextright"/>
            </w:pPr>
            <w:r w:rsidRPr="004B4A4D">
              <w:t>67.5</w:t>
            </w:r>
          </w:p>
        </w:tc>
        <w:tc>
          <w:tcPr>
            <w:tcW w:w="982" w:type="dxa"/>
            <w:tcBorders>
              <w:left w:val="nil"/>
              <w:right w:val="nil"/>
            </w:tcBorders>
            <w:vAlign w:val="center"/>
          </w:tcPr>
          <w:p w:rsidR="009543DB" w:rsidRPr="004B4A4D" w:rsidRDefault="009543DB" w:rsidP="009543DB">
            <w:pPr>
              <w:pStyle w:val="Tabletextright"/>
            </w:pPr>
            <w:r w:rsidRPr="004B4A4D">
              <w:t>67.9</w:t>
            </w:r>
          </w:p>
        </w:tc>
        <w:tc>
          <w:tcPr>
            <w:tcW w:w="982" w:type="dxa"/>
            <w:tcBorders>
              <w:left w:val="nil"/>
              <w:right w:val="nil"/>
            </w:tcBorders>
            <w:vAlign w:val="center"/>
          </w:tcPr>
          <w:p w:rsidR="009543DB" w:rsidRPr="004B4A4D" w:rsidRDefault="009543DB" w:rsidP="009543DB">
            <w:pPr>
              <w:pStyle w:val="Tabletextright"/>
            </w:pPr>
            <w:r w:rsidRPr="004B4A4D">
              <w:t>68.8</w:t>
            </w:r>
          </w:p>
        </w:tc>
        <w:tc>
          <w:tcPr>
            <w:tcW w:w="983" w:type="dxa"/>
            <w:tcBorders>
              <w:left w:val="nil"/>
              <w:right w:val="nil"/>
            </w:tcBorders>
            <w:vAlign w:val="center"/>
          </w:tcPr>
          <w:p w:rsidR="009543DB" w:rsidRPr="004B4A4D" w:rsidRDefault="009543DB" w:rsidP="009543DB">
            <w:pPr>
              <w:pStyle w:val="Tabletextright"/>
            </w:pPr>
            <w:r w:rsidRPr="004B4A4D">
              <w:t>63.7</w:t>
            </w:r>
          </w:p>
        </w:tc>
      </w:tr>
      <w:tr w:rsidR="009543DB" w:rsidRPr="00C3366F" w:rsidTr="009543DB">
        <w:tc>
          <w:tcPr>
            <w:tcW w:w="1243" w:type="dxa"/>
            <w:vMerge/>
            <w:tcBorders>
              <w:left w:val="nil"/>
              <w:bottom w:val="double" w:sz="4" w:space="0" w:color="auto"/>
              <w:right w:val="nil"/>
            </w:tcBorders>
          </w:tcPr>
          <w:p w:rsidR="009543DB" w:rsidRDefault="009543DB" w:rsidP="009543DB">
            <w:pPr>
              <w:pStyle w:val="Tabletextheading"/>
            </w:pPr>
          </w:p>
        </w:tc>
        <w:tc>
          <w:tcPr>
            <w:tcW w:w="1984" w:type="dxa"/>
            <w:tcBorders>
              <w:left w:val="nil"/>
              <w:bottom w:val="double" w:sz="4" w:space="0" w:color="auto"/>
              <w:right w:val="nil"/>
            </w:tcBorders>
            <w:vAlign w:val="center"/>
          </w:tcPr>
          <w:p w:rsidR="009543DB" w:rsidRDefault="009543DB" w:rsidP="009543DB">
            <w:pPr>
              <w:pStyle w:val="Tabletextleft-centred"/>
            </w:pPr>
            <w:r>
              <w:t>Total airport</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47.2</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59.7</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65.4</w:t>
            </w:r>
          </w:p>
        </w:tc>
        <w:tc>
          <w:tcPr>
            <w:tcW w:w="983"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67.0</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45.0</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57.5</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58.3</w:t>
            </w:r>
          </w:p>
        </w:tc>
        <w:tc>
          <w:tcPr>
            <w:tcW w:w="983"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79.8</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73.5</w:t>
            </w:r>
          </w:p>
        </w:tc>
        <w:tc>
          <w:tcPr>
            <w:tcW w:w="982"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50.0</w:t>
            </w:r>
          </w:p>
        </w:tc>
        <w:tc>
          <w:tcPr>
            <w:tcW w:w="983" w:type="dxa"/>
            <w:tcBorders>
              <w:left w:val="nil"/>
              <w:bottom w:val="double" w:sz="4" w:space="0" w:color="auto"/>
              <w:right w:val="nil"/>
            </w:tcBorders>
            <w:vAlign w:val="center"/>
          </w:tcPr>
          <w:p w:rsidR="009543DB" w:rsidRPr="00C3366F" w:rsidRDefault="009543DB" w:rsidP="009543DB">
            <w:pPr>
              <w:pStyle w:val="Tabletextright"/>
              <w:rPr>
                <w:b/>
              </w:rPr>
            </w:pPr>
            <w:r w:rsidRPr="00C3366F">
              <w:rPr>
                <w:b/>
              </w:rPr>
              <w:t>52.6</w:t>
            </w:r>
          </w:p>
        </w:tc>
      </w:tr>
      <w:tr w:rsidR="009543DB" w:rsidRPr="00C3366F" w:rsidTr="009543DB">
        <w:tc>
          <w:tcPr>
            <w:tcW w:w="3227" w:type="dxa"/>
            <w:gridSpan w:val="2"/>
            <w:tcBorders>
              <w:top w:val="double" w:sz="4" w:space="0" w:color="auto"/>
              <w:left w:val="nil"/>
              <w:bottom w:val="double" w:sz="4" w:space="0" w:color="auto"/>
              <w:right w:val="nil"/>
            </w:tcBorders>
          </w:tcPr>
          <w:p w:rsidR="009543DB" w:rsidRDefault="009543DB" w:rsidP="009543DB">
            <w:pPr>
              <w:pStyle w:val="Tabletextheading"/>
            </w:pPr>
            <w:r>
              <w:t>Revenue per space ($)</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4 625</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6 280</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6 991</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3 253</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3 114</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3 254</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3 086</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3 460</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3 586</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3 467</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2 937</w:t>
            </w:r>
          </w:p>
        </w:tc>
      </w:tr>
      <w:tr w:rsidR="009543DB" w:rsidRPr="004B4A4D" w:rsidTr="009543DB">
        <w:tc>
          <w:tcPr>
            <w:tcW w:w="3227" w:type="dxa"/>
            <w:gridSpan w:val="2"/>
            <w:tcBorders>
              <w:top w:val="double" w:sz="4" w:space="0" w:color="auto"/>
              <w:left w:val="nil"/>
              <w:bottom w:val="double" w:sz="4" w:space="0" w:color="auto"/>
              <w:right w:val="nil"/>
            </w:tcBorders>
          </w:tcPr>
          <w:p w:rsidR="009543DB" w:rsidRDefault="009543DB" w:rsidP="009543DB">
            <w:pPr>
              <w:pStyle w:val="Tabletextheading"/>
            </w:pPr>
            <w:r>
              <w:t>Operating expenses per space ($)</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1 363</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1 906</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2 903</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910</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1 125</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1 048</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1 022</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1 124</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1 153</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1 082</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1 066</w:t>
            </w:r>
          </w:p>
        </w:tc>
      </w:tr>
      <w:tr w:rsidR="009543DB" w:rsidRPr="004B4A4D" w:rsidTr="009543DB">
        <w:tc>
          <w:tcPr>
            <w:tcW w:w="3227" w:type="dxa"/>
            <w:gridSpan w:val="2"/>
            <w:tcBorders>
              <w:top w:val="double" w:sz="4" w:space="0" w:color="auto"/>
              <w:left w:val="nil"/>
              <w:bottom w:val="double" w:sz="4" w:space="0" w:color="auto"/>
              <w:right w:val="nil"/>
            </w:tcBorders>
          </w:tcPr>
          <w:p w:rsidR="009543DB" w:rsidRDefault="009543DB" w:rsidP="009543DB">
            <w:pPr>
              <w:pStyle w:val="Tabletextheading"/>
            </w:pPr>
            <w:r>
              <w:t>Aggregate margin per space ($)</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3 262</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4 374</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4 088</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2 343</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1 989</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2 205</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2 065</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2 337</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2 433</w:t>
            </w:r>
          </w:p>
        </w:tc>
        <w:tc>
          <w:tcPr>
            <w:tcW w:w="982"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2 385</w:t>
            </w:r>
          </w:p>
        </w:tc>
        <w:tc>
          <w:tcPr>
            <w:tcW w:w="983" w:type="dxa"/>
            <w:tcBorders>
              <w:top w:val="double" w:sz="4" w:space="0" w:color="auto"/>
              <w:left w:val="nil"/>
              <w:bottom w:val="double" w:sz="4" w:space="0" w:color="auto"/>
              <w:right w:val="nil"/>
            </w:tcBorders>
            <w:vAlign w:val="center"/>
          </w:tcPr>
          <w:p w:rsidR="009543DB" w:rsidRPr="009B2BC0" w:rsidRDefault="009543DB" w:rsidP="009543DB">
            <w:pPr>
              <w:pStyle w:val="Tabletextright"/>
            </w:pPr>
            <w:r w:rsidRPr="009B2BC0">
              <w:t>1 871</w:t>
            </w:r>
          </w:p>
        </w:tc>
      </w:tr>
    </w:tbl>
    <w:p w:rsidR="009543DB" w:rsidRDefault="009543DB" w:rsidP="009543DB">
      <w:pPr>
        <w:pStyle w:val="Sourceandnotes"/>
      </w:pPr>
      <w:r>
        <w:t>Note:</w:t>
      </w:r>
      <w:r>
        <w:tab/>
        <w:t>Real values in 2014-15 dollars</w:t>
      </w:r>
    </w:p>
    <w:p w:rsidR="009543DB" w:rsidRDefault="009543DB" w:rsidP="009543DB">
      <w:pPr>
        <w:sectPr w:rsidR="009543DB" w:rsidSect="009543DB">
          <w:headerReference w:type="even" r:id="rId145"/>
          <w:footnotePr>
            <w:numStart w:val="93"/>
          </w:footnotePr>
          <w:pgSz w:w="16838" w:h="11906" w:orient="landscape"/>
          <w:pgMar w:top="1729" w:right="1440" w:bottom="1729" w:left="1582" w:header="709" w:footer="709" w:gutter="0"/>
          <w:cols w:space="708"/>
          <w:docGrid w:linePitch="360"/>
        </w:sectPr>
      </w:pPr>
    </w:p>
    <w:p w:rsidR="009543DB" w:rsidRDefault="009543DB" w:rsidP="009543DB">
      <w:pPr>
        <w:pStyle w:val="Numberedheading3"/>
      </w:pPr>
      <w:r>
        <w:lastRenderedPageBreak/>
        <w:t>Quality of car parking facilities</w:t>
      </w:r>
    </w:p>
    <w:p w:rsidR="009543DB" w:rsidRDefault="009543DB" w:rsidP="009543DB">
      <w:r>
        <w:t xml:space="preserve">Chart 4.4.3 shows that </w:t>
      </w:r>
      <w:r w:rsidRPr="005A5AF0">
        <w:t xml:space="preserve">T1/T2 passenger ratings of parking availability, standard and time taken to enter remained at </w:t>
      </w:r>
      <w:r>
        <w:t>‘</w:t>
      </w:r>
      <w:r w:rsidRPr="005A5AF0">
        <w:t>good</w:t>
      </w:r>
      <w:r>
        <w:t>’</w:t>
      </w:r>
      <w:r w:rsidRPr="005A5AF0">
        <w:t xml:space="preserve"> during 2014-15. There were slight increases within the ‘good’ category for parking standard and time take</w:t>
      </w:r>
      <w:r>
        <w:t>n</w:t>
      </w:r>
      <w:r w:rsidRPr="005A5AF0">
        <w:t xml:space="preserve"> to enter.</w:t>
      </w:r>
    </w:p>
    <w:p w:rsidR="009543DB" w:rsidRDefault="009543DB" w:rsidP="009543DB">
      <w:pPr>
        <w:pStyle w:val="Numberedcharttitle"/>
      </w:pPr>
      <w:r>
        <w:t>Chart 4.4.3:</w:t>
      </w:r>
      <w:r>
        <w:tab/>
        <w:t>Perth Airport—T1/T2 precinct passenger survey ratings of the quality of car parking facilities: 2004-05 to 2014</w:t>
      </w:r>
      <w:r>
        <w:noBreakHyphen/>
        <w:t>15</w:t>
      </w:r>
    </w:p>
    <w:p w:rsidR="009543DB" w:rsidRDefault="009543DB" w:rsidP="009543DB">
      <w:r w:rsidRPr="005A5AF0">
        <w:rPr>
          <w:noProof/>
          <w:lang w:eastAsia="en-AU"/>
        </w:rPr>
        <w:drawing>
          <wp:inline distT="0" distB="0" distL="0" distR="0" wp14:anchorId="5647D01E" wp14:editId="1C07F0E9">
            <wp:extent cx="5367130" cy="2759103"/>
            <wp:effectExtent l="0" t="0" r="5080"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64480" cy="2757741"/>
                    </a:xfrm>
                    <a:prstGeom prst="rect">
                      <a:avLst/>
                    </a:prstGeom>
                    <a:noFill/>
                    <a:ln>
                      <a:noFill/>
                    </a:ln>
                  </pic:spPr>
                </pic:pic>
              </a:graphicData>
            </a:graphic>
          </wp:inline>
        </w:drawing>
      </w:r>
    </w:p>
    <w:p w:rsidR="009543DB" w:rsidRPr="003C60BA" w:rsidRDefault="009543DB" w:rsidP="009543DB">
      <w:pPr>
        <w:rPr>
          <w:sz w:val="16"/>
          <w:szCs w:val="16"/>
        </w:rPr>
      </w:pPr>
      <w:r w:rsidRPr="003C60BA">
        <w:rPr>
          <w:sz w:val="16"/>
          <w:szCs w:val="16"/>
        </w:rPr>
        <w:t>Source:</w:t>
      </w:r>
      <w:r w:rsidRPr="003C60BA">
        <w:rPr>
          <w:sz w:val="16"/>
          <w:szCs w:val="16"/>
        </w:rPr>
        <w:tab/>
        <w:t>Passenger surveys</w:t>
      </w:r>
    </w:p>
    <w:p w:rsidR="009543DB" w:rsidRDefault="009543DB" w:rsidP="009543DB">
      <w:pPr>
        <w:spacing w:before="120"/>
      </w:pPr>
      <w:r>
        <w:t xml:space="preserve">Chart 4.4.4 shows </w:t>
      </w:r>
      <w:proofErr w:type="gramStart"/>
      <w:r>
        <w:t>that T3/T4 passenger ratings</w:t>
      </w:r>
      <w:proofErr w:type="gramEnd"/>
      <w:r>
        <w:t xml:space="preserve"> of car park availability, standard, and the time taken to enter car parks increased slightly within the ‘good’ category. </w:t>
      </w:r>
    </w:p>
    <w:p w:rsidR="009543DB" w:rsidRPr="009B6EE1" w:rsidRDefault="009543DB" w:rsidP="009543DB">
      <w:pPr>
        <w:keepNext/>
        <w:spacing w:before="240" w:after="200" w:line="276" w:lineRule="auto"/>
        <w:ind w:left="1440" w:hanging="1440"/>
        <w:outlineLvl w:val="3"/>
        <w:rPr>
          <w:b/>
          <w:color w:val="51626F"/>
        </w:rPr>
      </w:pPr>
      <w:r w:rsidRPr="009B6EE1">
        <w:rPr>
          <w:b/>
          <w:color w:val="51626F"/>
        </w:rPr>
        <w:t>Chart 4.4.4:</w:t>
      </w:r>
      <w:r w:rsidRPr="009B6EE1">
        <w:rPr>
          <w:b/>
          <w:color w:val="51626F"/>
        </w:rPr>
        <w:tab/>
        <w:t>Perth Airport—T3/T4 precinct passenger survey ratings of the quality of car parking facilities: 200</w:t>
      </w:r>
      <w:r>
        <w:rPr>
          <w:b/>
          <w:color w:val="51626F"/>
        </w:rPr>
        <w:t>4</w:t>
      </w:r>
      <w:r w:rsidRPr="009B6EE1">
        <w:rPr>
          <w:b/>
          <w:color w:val="51626F"/>
        </w:rPr>
        <w:noBreakHyphen/>
        <w:t>0</w:t>
      </w:r>
      <w:r>
        <w:rPr>
          <w:b/>
          <w:color w:val="51626F"/>
        </w:rPr>
        <w:t>5</w:t>
      </w:r>
      <w:r w:rsidRPr="009B6EE1">
        <w:rPr>
          <w:b/>
          <w:color w:val="51626F"/>
        </w:rPr>
        <w:t xml:space="preserve"> to 201</w:t>
      </w:r>
      <w:r>
        <w:rPr>
          <w:b/>
          <w:color w:val="51626F"/>
        </w:rPr>
        <w:t>4</w:t>
      </w:r>
      <w:r w:rsidRPr="009B6EE1">
        <w:rPr>
          <w:b/>
          <w:color w:val="51626F"/>
        </w:rPr>
        <w:noBreakHyphen/>
        <w:t>1</w:t>
      </w:r>
      <w:r>
        <w:rPr>
          <w:b/>
          <w:color w:val="51626F"/>
        </w:rPr>
        <w:t>5</w:t>
      </w:r>
    </w:p>
    <w:p w:rsidR="009543DB" w:rsidRDefault="009543DB" w:rsidP="009543DB">
      <w:r w:rsidRPr="003C60BA">
        <w:rPr>
          <w:noProof/>
          <w:lang w:eastAsia="en-AU"/>
        </w:rPr>
        <w:drawing>
          <wp:inline distT="0" distB="0" distL="0" distR="0" wp14:anchorId="77B1C9B2" wp14:editId="7A93B48F">
            <wp:extent cx="5367130" cy="2727298"/>
            <wp:effectExtent l="0" t="0" r="508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64480" cy="2725951"/>
                    </a:xfrm>
                    <a:prstGeom prst="rect">
                      <a:avLst/>
                    </a:prstGeom>
                    <a:noFill/>
                    <a:ln>
                      <a:noFill/>
                    </a:ln>
                  </pic:spPr>
                </pic:pic>
              </a:graphicData>
            </a:graphic>
          </wp:inline>
        </w:drawing>
      </w:r>
    </w:p>
    <w:p w:rsidR="009543DB" w:rsidRPr="003C60BA" w:rsidRDefault="009543DB" w:rsidP="009543DB">
      <w:pPr>
        <w:rPr>
          <w:sz w:val="16"/>
          <w:szCs w:val="16"/>
        </w:rPr>
      </w:pPr>
      <w:r w:rsidRPr="003C60BA">
        <w:rPr>
          <w:sz w:val="16"/>
          <w:szCs w:val="16"/>
        </w:rPr>
        <w:t>Source:</w:t>
      </w:r>
      <w:r w:rsidRPr="003C60BA">
        <w:rPr>
          <w:sz w:val="16"/>
          <w:szCs w:val="16"/>
        </w:rPr>
        <w:tab/>
        <w:t>Passenger surveys</w:t>
      </w:r>
    </w:p>
    <w:p w:rsidR="009543DB" w:rsidRDefault="009543DB" w:rsidP="009543DB">
      <w:pPr>
        <w:pStyle w:val="Numberedheading3"/>
      </w:pPr>
      <w:r>
        <w:lastRenderedPageBreak/>
        <w:t>Other transport options</w:t>
      </w:r>
    </w:p>
    <w:p w:rsidR="009543DB" w:rsidRPr="00484FD8" w:rsidRDefault="009543DB" w:rsidP="009543DB">
      <w:r>
        <w:t xml:space="preserve">Airport passengers have a number of alternative options in addition to airport car parking. These include </w:t>
      </w:r>
      <w:r w:rsidRPr="00484FD8">
        <w:t>public and private buses, taxis</w:t>
      </w:r>
      <w:r>
        <w:t xml:space="preserve"> and </w:t>
      </w:r>
      <w:r w:rsidRPr="00484FD8">
        <w:t xml:space="preserve">private </w:t>
      </w:r>
      <w:r>
        <w:t xml:space="preserve">hire </w:t>
      </w:r>
      <w:r w:rsidRPr="00484FD8">
        <w:t>cars. Perth Airport imposes a landside access charge on some of these alternative transport options.</w:t>
      </w:r>
    </w:p>
    <w:p w:rsidR="009543DB" w:rsidRPr="00484FD8" w:rsidRDefault="009543DB" w:rsidP="009543DB">
      <w:r w:rsidRPr="00484FD8">
        <w:t>Table 4.4.3 outlines the 201</w:t>
      </w:r>
      <w:r>
        <w:t>4</w:t>
      </w:r>
      <w:r w:rsidRPr="00484FD8">
        <w:noBreakHyphen/>
        <w:t>1</w:t>
      </w:r>
      <w:r>
        <w:t>5</w:t>
      </w:r>
      <w:r w:rsidRPr="00484FD8">
        <w:t xml:space="preserve"> landside access charges, as well as the indexed average list prices between 20</w:t>
      </w:r>
      <w:r>
        <w:t>10</w:t>
      </w:r>
      <w:r w:rsidRPr="00484FD8">
        <w:noBreakHyphen/>
        <w:t>1</w:t>
      </w:r>
      <w:r>
        <w:t>1</w:t>
      </w:r>
      <w:r w:rsidRPr="00484FD8">
        <w:t xml:space="preserve"> and 201</w:t>
      </w:r>
      <w:r>
        <w:t>4</w:t>
      </w:r>
      <w:r w:rsidRPr="00484FD8">
        <w:noBreakHyphen/>
        <w:t>1</w:t>
      </w:r>
      <w:r>
        <w:t>5</w:t>
      </w:r>
      <w:r w:rsidRPr="00484FD8">
        <w:t xml:space="preserve">. </w:t>
      </w:r>
    </w:p>
    <w:p w:rsidR="009543DB" w:rsidRDefault="009543DB" w:rsidP="009543DB">
      <w:pPr>
        <w:pStyle w:val="Numberedcharttitle"/>
      </w:pPr>
      <w:r>
        <w:t>Table 4.4.3:</w:t>
      </w:r>
      <w:r>
        <w:tab/>
        <w:t>Perth Airport—landside access charges in 2014</w:t>
      </w:r>
      <w:r>
        <w:noBreakHyphen/>
        <w:t>15 and indexed average access charges in real terms: 2010</w:t>
      </w:r>
      <w:r>
        <w:noBreakHyphen/>
        <w:t>11 to 2014</w:t>
      </w:r>
      <w:r>
        <w:noBreakHyphen/>
        <w:t>15</w:t>
      </w:r>
    </w:p>
    <w:tbl>
      <w:tblPr>
        <w:tblStyle w:val="TableGrid"/>
        <w:tblW w:w="0" w:type="auto"/>
        <w:tblLook w:val="04A0" w:firstRow="1" w:lastRow="0" w:firstColumn="1" w:lastColumn="0" w:noHBand="0" w:noVBand="1"/>
      </w:tblPr>
      <w:tblGrid>
        <w:gridCol w:w="2830"/>
        <w:gridCol w:w="1247"/>
        <w:gridCol w:w="917"/>
        <w:gridCol w:w="917"/>
        <w:gridCol w:w="918"/>
        <w:gridCol w:w="917"/>
        <w:gridCol w:w="918"/>
      </w:tblGrid>
      <w:tr w:rsidR="009543DB" w:rsidTr="009543DB">
        <w:trPr>
          <w:trHeight w:val="629"/>
        </w:trPr>
        <w:tc>
          <w:tcPr>
            <w:tcW w:w="2830" w:type="dxa"/>
            <w:tcBorders>
              <w:left w:val="nil"/>
              <w:bottom w:val="nil"/>
              <w:right w:val="nil"/>
            </w:tcBorders>
            <w:shd w:val="clear" w:color="auto" w:fill="DFE0DC"/>
          </w:tcPr>
          <w:p w:rsidR="009543DB" w:rsidRDefault="009543DB" w:rsidP="009543DB">
            <w:pPr>
              <w:pStyle w:val="Tabletextheading"/>
            </w:pPr>
            <w:r>
              <w:t>Transport option</w:t>
            </w:r>
          </w:p>
        </w:tc>
        <w:tc>
          <w:tcPr>
            <w:tcW w:w="1247" w:type="dxa"/>
            <w:vMerge w:val="restart"/>
            <w:tcBorders>
              <w:left w:val="nil"/>
              <w:bottom w:val="single" w:sz="4" w:space="0" w:color="auto"/>
              <w:right w:val="single" w:sz="4" w:space="0" w:color="auto"/>
            </w:tcBorders>
            <w:shd w:val="clear" w:color="auto" w:fill="DFE0DC"/>
          </w:tcPr>
          <w:p w:rsidR="009543DB" w:rsidRDefault="009543DB" w:rsidP="009543DB">
            <w:pPr>
              <w:pStyle w:val="Tabletextheadingright"/>
            </w:pPr>
            <w:r>
              <w:t>Average list prices</w:t>
            </w:r>
            <w:r>
              <w:br/>
              <w:t>($)</w:t>
            </w:r>
            <w:r>
              <w:br/>
              <w:t>2014-15</w:t>
            </w:r>
          </w:p>
        </w:tc>
        <w:tc>
          <w:tcPr>
            <w:tcW w:w="4587" w:type="dxa"/>
            <w:gridSpan w:val="5"/>
            <w:tcBorders>
              <w:left w:val="single" w:sz="4" w:space="0" w:color="auto"/>
              <w:bottom w:val="nil"/>
              <w:right w:val="nil"/>
            </w:tcBorders>
            <w:shd w:val="clear" w:color="auto" w:fill="DFE0DC"/>
          </w:tcPr>
          <w:p w:rsidR="009543DB" w:rsidRDefault="009543DB" w:rsidP="009543DB">
            <w:pPr>
              <w:pStyle w:val="Tabletextheadingcentre"/>
            </w:pPr>
            <w:r>
              <w:t>Indexed average list prices</w:t>
            </w:r>
            <w:r>
              <w:br/>
              <w:t>(2014-15 base year = 100)</w:t>
            </w:r>
          </w:p>
        </w:tc>
      </w:tr>
      <w:tr w:rsidR="009543DB" w:rsidTr="009543DB">
        <w:tc>
          <w:tcPr>
            <w:tcW w:w="2830" w:type="dxa"/>
            <w:tcBorders>
              <w:top w:val="nil"/>
              <w:left w:val="nil"/>
              <w:bottom w:val="single" w:sz="4" w:space="0" w:color="auto"/>
              <w:right w:val="nil"/>
            </w:tcBorders>
            <w:shd w:val="clear" w:color="auto" w:fill="DFE0DC"/>
          </w:tcPr>
          <w:p w:rsidR="009543DB" w:rsidRPr="0078295A" w:rsidRDefault="009543DB" w:rsidP="009543DB">
            <w:pPr>
              <w:pStyle w:val="Tabletextleft"/>
            </w:pPr>
          </w:p>
        </w:tc>
        <w:tc>
          <w:tcPr>
            <w:tcW w:w="1247" w:type="dxa"/>
            <w:vMerge/>
            <w:tcBorders>
              <w:top w:val="nil"/>
              <w:left w:val="nil"/>
              <w:bottom w:val="single" w:sz="4" w:space="0" w:color="auto"/>
              <w:right w:val="single" w:sz="4" w:space="0" w:color="auto"/>
            </w:tcBorders>
            <w:shd w:val="clear" w:color="auto" w:fill="DFE0DC"/>
          </w:tcPr>
          <w:p w:rsidR="009543DB" w:rsidRDefault="009543DB" w:rsidP="009543DB">
            <w:pPr>
              <w:pStyle w:val="Tabletextleft"/>
            </w:pPr>
          </w:p>
        </w:tc>
        <w:tc>
          <w:tcPr>
            <w:tcW w:w="917" w:type="dxa"/>
            <w:tcBorders>
              <w:top w:val="nil"/>
              <w:left w:val="single" w:sz="4" w:space="0" w:color="auto"/>
              <w:bottom w:val="single" w:sz="4" w:space="0" w:color="auto"/>
              <w:right w:val="nil"/>
            </w:tcBorders>
            <w:shd w:val="clear" w:color="auto" w:fill="DFE0DC"/>
          </w:tcPr>
          <w:p w:rsidR="009543DB" w:rsidRDefault="009543DB" w:rsidP="009543DB">
            <w:pPr>
              <w:pStyle w:val="Tabletextheadingright"/>
            </w:pPr>
            <w:r>
              <w:t>2010-11</w:t>
            </w:r>
          </w:p>
        </w:tc>
        <w:tc>
          <w:tcPr>
            <w:tcW w:w="917" w:type="dxa"/>
            <w:tcBorders>
              <w:top w:val="nil"/>
              <w:left w:val="nil"/>
              <w:bottom w:val="single" w:sz="4" w:space="0" w:color="auto"/>
              <w:right w:val="nil"/>
            </w:tcBorders>
            <w:shd w:val="clear" w:color="auto" w:fill="DFE0DC"/>
          </w:tcPr>
          <w:p w:rsidR="009543DB" w:rsidRDefault="009543DB" w:rsidP="009543DB">
            <w:pPr>
              <w:pStyle w:val="Tabletextheadingright"/>
            </w:pPr>
            <w:r>
              <w:t>2011-12</w:t>
            </w:r>
          </w:p>
        </w:tc>
        <w:tc>
          <w:tcPr>
            <w:tcW w:w="918" w:type="dxa"/>
            <w:tcBorders>
              <w:top w:val="nil"/>
              <w:left w:val="nil"/>
              <w:bottom w:val="single" w:sz="4" w:space="0" w:color="auto"/>
              <w:right w:val="nil"/>
            </w:tcBorders>
            <w:shd w:val="clear" w:color="auto" w:fill="DFE0DC"/>
          </w:tcPr>
          <w:p w:rsidR="009543DB" w:rsidRDefault="009543DB" w:rsidP="009543DB">
            <w:pPr>
              <w:pStyle w:val="Tabletextheadingright"/>
            </w:pPr>
            <w:r>
              <w:t>2012-13</w:t>
            </w:r>
          </w:p>
        </w:tc>
        <w:tc>
          <w:tcPr>
            <w:tcW w:w="917" w:type="dxa"/>
            <w:tcBorders>
              <w:top w:val="nil"/>
              <w:left w:val="nil"/>
              <w:bottom w:val="single" w:sz="4" w:space="0" w:color="auto"/>
              <w:right w:val="nil"/>
            </w:tcBorders>
            <w:shd w:val="clear" w:color="auto" w:fill="DFE0DC"/>
          </w:tcPr>
          <w:p w:rsidR="009543DB" w:rsidRDefault="009543DB" w:rsidP="009543DB">
            <w:pPr>
              <w:pStyle w:val="Tabletextheadingright"/>
            </w:pPr>
            <w:r>
              <w:t>2013-14</w:t>
            </w:r>
          </w:p>
        </w:tc>
        <w:tc>
          <w:tcPr>
            <w:tcW w:w="918" w:type="dxa"/>
            <w:tcBorders>
              <w:top w:val="nil"/>
              <w:left w:val="nil"/>
              <w:bottom w:val="single" w:sz="4" w:space="0" w:color="auto"/>
              <w:right w:val="nil"/>
            </w:tcBorders>
            <w:shd w:val="clear" w:color="auto" w:fill="DFE0DC"/>
          </w:tcPr>
          <w:p w:rsidR="009543DB" w:rsidRDefault="009543DB" w:rsidP="009543DB">
            <w:pPr>
              <w:pStyle w:val="Tabletextheadingright"/>
            </w:pPr>
            <w:r>
              <w:t>2014-15</w:t>
            </w:r>
          </w:p>
        </w:tc>
      </w:tr>
      <w:tr w:rsidR="009543DB" w:rsidTr="009543DB">
        <w:tc>
          <w:tcPr>
            <w:tcW w:w="2830" w:type="dxa"/>
            <w:tcBorders>
              <w:left w:val="nil"/>
              <w:bottom w:val="single" w:sz="4" w:space="0" w:color="auto"/>
              <w:right w:val="nil"/>
            </w:tcBorders>
            <w:shd w:val="clear" w:color="auto" w:fill="auto"/>
          </w:tcPr>
          <w:p w:rsidR="009543DB" w:rsidRDefault="009543DB" w:rsidP="009543DB">
            <w:pPr>
              <w:pStyle w:val="Tabletextleft"/>
            </w:pPr>
            <w:r>
              <w:t>Public bus</w:t>
            </w:r>
          </w:p>
        </w:tc>
        <w:tc>
          <w:tcPr>
            <w:tcW w:w="1247" w:type="dxa"/>
            <w:tcBorders>
              <w:left w:val="nil"/>
              <w:bottom w:val="single" w:sz="4" w:space="0" w:color="auto"/>
            </w:tcBorders>
            <w:shd w:val="clear" w:color="auto" w:fill="auto"/>
          </w:tcPr>
          <w:p w:rsidR="009543DB" w:rsidRDefault="009543DB" w:rsidP="009543DB">
            <w:pPr>
              <w:pStyle w:val="Tabletextright"/>
            </w:pPr>
            <w:r>
              <w:t>No charge</w:t>
            </w:r>
          </w:p>
        </w:tc>
        <w:tc>
          <w:tcPr>
            <w:tcW w:w="917" w:type="dxa"/>
            <w:tcBorders>
              <w:bottom w:val="single" w:sz="4" w:space="0" w:color="auto"/>
              <w:right w:val="nil"/>
            </w:tcBorders>
            <w:shd w:val="clear" w:color="auto" w:fill="auto"/>
          </w:tcPr>
          <w:p w:rsidR="009543DB" w:rsidRDefault="009543DB" w:rsidP="009543DB">
            <w:pPr>
              <w:pStyle w:val="Tabletextright"/>
              <w:keepNext/>
            </w:pPr>
            <w:r>
              <w:t>NA</w:t>
            </w:r>
          </w:p>
        </w:tc>
        <w:tc>
          <w:tcPr>
            <w:tcW w:w="917" w:type="dxa"/>
            <w:tcBorders>
              <w:left w:val="nil"/>
              <w:bottom w:val="single" w:sz="4" w:space="0" w:color="auto"/>
              <w:right w:val="nil"/>
            </w:tcBorders>
            <w:shd w:val="clear" w:color="auto" w:fill="auto"/>
          </w:tcPr>
          <w:p w:rsidR="009543DB" w:rsidRDefault="009543DB" w:rsidP="009543DB">
            <w:pPr>
              <w:pStyle w:val="Tabletextright"/>
              <w:keepNext/>
            </w:pPr>
            <w:r>
              <w:t>NA</w:t>
            </w:r>
          </w:p>
        </w:tc>
        <w:tc>
          <w:tcPr>
            <w:tcW w:w="918" w:type="dxa"/>
            <w:tcBorders>
              <w:left w:val="nil"/>
              <w:bottom w:val="single" w:sz="4" w:space="0" w:color="auto"/>
              <w:right w:val="nil"/>
            </w:tcBorders>
            <w:shd w:val="clear" w:color="auto" w:fill="auto"/>
          </w:tcPr>
          <w:p w:rsidR="009543DB" w:rsidRDefault="009543DB" w:rsidP="009543DB">
            <w:pPr>
              <w:pStyle w:val="Tabletextright"/>
              <w:keepNext/>
            </w:pPr>
            <w:r>
              <w:t>NA</w:t>
            </w:r>
          </w:p>
        </w:tc>
        <w:tc>
          <w:tcPr>
            <w:tcW w:w="917" w:type="dxa"/>
            <w:tcBorders>
              <w:left w:val="nil"/>
              <w:bottom w:val="single" w:sz="4" w:space="0" w:color="auto"/>
              <w:right w:val="nil"/>
            </w:tcBorders>
            <w:shd w:val="clear" w:color="auto" w:fill="auto"/>
          </w:tcPr>
          <w:p w:rsidR="009543DB" w:rsidRDefault="009543DB" w:rsidP="009543DB">
            <w:pPr>
              <w:pStyle w:val="Tabletextright"/>
              <w:keepNext/>
            </w:pPr>
            <w:r>
              <w:t>NA</w:t>
            </w:r>
          </w:p>
        </w:tc>
        <w:tc>
          <w:tcPr>
            <w:tcW w:w="918" w:type="dxa"/>
            <w:tcBorders>
              <w:left w:val="nil"/>
              <w:bottom w:val="single" w:sz="4" w:space="0" w:color="auto"/>
              <w:right w:val="nil"/>
            </w:tcBorders>
            <w:shd w:val="clear" w:color="auto" w:fill="auto"/>
          </w:tcPr>
          <w:p w:rsidR="009543DB" w:rsidRDefault="009543DB" w:rsidP="009543DB">
            <w:pPr>
              <w:pStyle w:val="Tabletextright"/>
              <w:keepNext/>
            </w:pPr>
            <w:r>
              <w:t>NA</w:t>
            </w:r>
          </w:p>
        </w:tc>
      </w:tr>
      <w:tr w:rsidR="009543DB" w:rsidTr="009543DB">
        <w:tc>
          <w:tcPr>
            <w:tcW w:w="2830" w:type="dxa"/>
            <w:tcBorders>
              <w:top w:val="single" w:sz="4" w:space="0" w:color="auto"/>
              <w:left w:val="nil"/>
              <w:bottom w:val="single" w:sz="4" w:space="0" w:color="auto"/>
              <w:right w:val="nil"/>
            </w:tcBorders>
          </w:tcPr>
          <w:p w:rsidR="009543DB" w:rsidRDefault="009543DB" w:rsidP="009543DB">
            <w:pPr>
              <w:pStyle w:val="Tabletextleft"/>
            </w:pPr>
            <w:r>
              <w:t>Private bus</w:t>
            </w:r>
          </w:p>
        </w:tc>
        <w:tc>
          <w:tcPr>
            <w:tcW w:w="1247" w:type="dxa"/>
            <w:tcBorders>
              <w:top w:val="single" w:sz="4" w:space="0" w:color="auto"/>
              <w:left w:val="nil"/>
              <w:bottom w:val="single" w:sz="4" w:space="0" w:color="auto"/>
            </w:tcBorders>
          </w:tcPr>
          <w:p w:rsidR="009543DB" w:rsidRDefault="009543DB" w:rsidP="009543DB">
            <w:pPr>
              <w:pStyle w:val="Tabletextright"/>
            </w:pPr>
            <w:r>
              <w:t>No charge</w:t>
            </w:r>
          </w:p>
        </w:tc>
        <w:tc>
          <w:tcPr>
            <w:tcW w:w="917" w:type="dxa"/>
            <w:tcBorders>
              <w:top w:val="single" w:sz="4" w:space="0" w:color="auto"/>
              <w:bottom w:val="single" w:sz="4" w:space="0" w:color="auto"/>
              <w:right w:val="nil"/>
            </w:tcBorders>
          </w:tcPr>
          <w:p w:rsidR="009543DB" w:rsidRDefault="009543DB" w:rsidP="009543DB">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9543DB">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9543DB">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9543DB">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9543DB">
            <w:pPr>
              <w:pStyle w:val="Tabletextright"/>
              <w:keepNext/>
            </w:pPr>
            <w:r>
              <w:t>NA</w:t>
            </w:r>
          </w:p>
        </w:tc>
      </w:tr>
      <w:tr w:rsidR="009543DB" w:rsidTr="009543DB">
        <w:tc>
          <w:tcPr>
            <w:tcW w:w="2830" w:type="dxa"/>
            <w:tcBorders>
              <w:top w:val="single" w:sz="4" w:space="0" w:color="auto"/>
              <w:left w:val="nil"/>
              <w:bottom w:val="single" w:sz="4" w:space="0" w:color="auto"/>
              <w:right w:val="nil"/>
            </w:tcBorders>
          </w:tcPr>
          <w:p w:rsidR="009543DB" w:rsidRDefault="009543DB" w:rsidP="009543DB">
            <w:pPr>
              <w:pStyle w:val="Tabletextleft"/>
            </w:pPr>
            <w:r>
              <w:t>Off-airport car parking</w:t>
            </w:r>
          </w:p>
        </w:tc>
        <w:tc>
          <w:tcPr>
            <w:tcW w:w="1247" w:type="dxa"/>
            <w:tcBorders>
              <w:top w:val="single" w:sz="4" w:space="0" w:color="auto"/>
              <w:left w:val="nil"/>
              <w:bottom w:val="single" w:sz="4" w:space="0" w:color="auto"/>
            </w:tcBorders>
          </w:tcPr>
          <w:p w:rsidR="009543DB" w:rsidRDefault="009543DB" w:rsidP="009543DB">
            <w:pPr>
              <w:pStyle w:val="Tabletextright"/>
            </w:pPr>
            <w:r>
              <w:t>No charge</w:t>
            </w:r>
          </w:p>
        </w:tc>
        <w:tc>
          <w:tcPr>
            <w:tcW w:w="917" w:type="dxa"/>
            <w:tcBorders>
              <w:top w:val="single" w:sz="4" w:space="0" w:color="auto"/>
              <w:bottom w:val="single" w:sz="4" w:space="0" w:color="auto"/>
              <w:right w:val="nil"/>
            </w:tcBorders>
          </w:tcPr>
          <w:p w:rsidR="009543DB" w:rsidRDefault="009543DB" w:rsidP="009543DB">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9543DB">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9543DB">
            <w:pPr>
              <w:pStyle w:val="Tabletextright"/>
              <w:keepNext/>
            </w:pPr>
            <w:r>
              <w:t>NA</w:t>
            </w:r>
          </w:p>
        </w:tc>
        <w:tc>
          <w:tcPr>
            <w:tcW w:w="917" w:type="dxa"/>
            <w:tcBorders>
              <w:top w:val="single" w:sz="4" w:space="0" w:color="auto"/>
              <w:left w:val="nil"/>
              <w:bottom w:val="single" w:sz="4" w:space="0" w:color="auto"/>
              <w:right w:val="nil"/>
            </w:tcBorders>
          </w:tcPr>
          <w:p w:rsidR="009543DB" w:rsidRDefault="009543DB" w:rsidP="009543DB">
            <w:pPr>
              <w:pStyle w:val="Tabletextright"/>
              <w:keepNext/>
            </w:pPr>
            <w:r>
              <w:t>NA</w:t>
            </w:r>
          </w:p>
        </w:tc>
        <w:tc>
          <w:tcPr>
            <w:tcW w:w="918" w:type="dxa"/>
            <w:tcBorders>
              <w:top w:val="single" w:sz="4" w:space="0" w:color="auto"/>
              <w:left w:val="nil"/>
              <w:bottom w:val="single" w:sz="4" w:space="0" w:color="auto"/>
              <w:right w:val="nil"/>
            </w:tcBorders>
          </w:tcPr>
          <w:p w:rsidR="009543DB" w:rsidRDefault="009543DB" w:rsidP="009543DB">
            <w:pPr>
              <w:pStyle w:val="Tabletextright"/>
              <w:keepNext/>
            </w:pPr>
            <w:r>
              <w:t>NA</w:t>
            </w:r>
          </w:p>
        </w:tc>
      </w:tr>
      <w:tr w:rsidR="009543DB" w:rsidRPr="00DC64DD" w:rsidTr="009543DB">
        <w:tc>
          <w:tcPr>
            <w:tcW w:w="2830" w:type="dxa"/>
            <w:tcBorders>
              <w:top w:val="single" w:sz="4" w:space="0" w:color="auto"/>
              <w:left w:val="nil"/>
              <w:bottom w:val="single" w:sz="4" w:space="0" w:color="auto"/>
              <w:right w:val="nil"/>
            </w:tcBorders>
          </w:tcPr>
          <w:p w:rsidR="009543DB" w:rsidRDefault="009543DB" w:rsidP="009543DB">
            <w:pPr>
              <w:pStyle w:val="Tabletextleft"/>
            </w:pPr>
            <w:r>
              <w:t>Taxis (per pick-up)</w:t>
            </w:r>
          </w:p>
        </w:tc>
        <w:tc>
          <w:tcPr>
            <w:tcW w:w="1247" w:type="dxa"/>
            <w:tcBorders>
              <w:top w:val="single" w:sz="4" w:space="0" w:color="auto"/>
              <w:left w:val="nil"/>
              <w:bottom w:val="single" w:sz="4" w:space="0" w:color="auto"/>
            </w:tcBorders>
          </w:tcPr>
          <w:p w:rsidR="009543DB" w:rsidRDefault="009543DB" w:rsidP="009543DB">
            <w:pPr>
              <w:pStyle w:val="Tabletextright"/>
            </w:pPr>
            <w:r>
              <w:t>2.00</w:t>
            </w:r>
          </w:p>
        </w:tc>
        <w:tc>
          <w:tcPr>
            <w:tcW w:w="917" w:type="dxa"/>
            <w:tcBorders>
              <w:top w:val="single" w:sz="4" w:space="0" w:color="auto"/>
              <w:bottom w:val="single" w:sz="4" w:space="0" w:color="auto"/>
              <w:right w:val="nil"/>
            </w:tcBorders>
            <w:vAlign w:val="bottom"/>
          </w:tcPr>
          <w:p w:rsidR="009543DB" w:rsidRPr="00DC64DD" w:rsidRDefault="009543DB" w:rsidP="009543DB">
            <w:pPr>
              <w:pStyle w:val="Tabletextright"/>
              <w:keepNext/>
            </w:pPr>
            <w:r w:rsidRPr="00DC64DD">
              <w:t>109.3</w:t>
            </w:r>
          </w:p>
        </w:tc>
        <w:tc>
          <w:tcPr>
            <w:tcW w:w="917"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106.9</w:t>
            </w:r>
          </w:p>
        </w:tc>
        <w:tc>
          <w:tcPr>
            <w:tcW w:w="918"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104.5</w:t>
            </w:r>
          </w:p>
        </w:tc>
        <w:tc>
          <w:tcPr>
            <w:tcW w:w="917"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101.7</w:t>
            </w:r>
          </w:p>
        </w:tc>
        <w:tc>
          <w:tcPr>
            <w:tcW w:w="918"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100.0</w:t>
            </w:r>
          </w:p>
        </w:tc>
      </w:tr>
      <w:tr w:rsidR="009543DB" w:rsidRPr="00DC64DD" w:rsidTr="009543DB">
        <w:tc>
          <w:tcPr>
            <w:tcW w:w="2830" w:type="dxa"/>
            <w:tcBorders>
              <w:top w:val="single" w:sz="4" w:space="0" w:color="auto"/>
              <w:left w:val="nil"/>
              <w:bottom w:val="single" w:sz="4" w:space="0" w:color="auto"/>
              <w:right w:val="nil"/>
            </w:tcBorders>
          </w:tcPr>
          <w:p w:rsidR="009543DB" w:rsidRDefault="009543DB" w:rsidP="009543DB">
            <w:pPr>
              <w:pStyle w:val="Tabletextleft"/>
            </w:pPr>
            <w:r>
              <w:t>Private car (per entry)</w:t>
            </w:r>
          </w:p>
        </w:tc>
        <w:tc>
          <w:tcPr>
            <w:tcW w:w="1247" w:type="dxa"/>
            <w:tcBorders>
              <w:top w:val="single" w:sz="4" w:space="0" w:color="auto"/>
              <w:left w:val="nil"/>
              <w:bottom w:val="single" w:sz="4" w:space="0" w:color="auto"/>
            </w:tcBorders>
          </w:tcPr>
          <w:p w:rsidR="009543DB" w:rsidRDefault="009543DB" w:rsidP="009543DB">
            <w:pPr>
              <w:pStyle w:val="Tabletextright"/>
            </w:pPr>
            <w:r>
              <w:t>3.00</w:t>
            </w:r>
          </w:p>
        </w:tc>
        <w:tc>
          <w:tcPr>
            <w:tcW w:w="917" w:type="dxa"/>
            <w:tcBorders>
              <w:top w:val="single" w:sz="4" w:space="0" w:color="auto"/>
              <w:bottom w:val="single" w:sz="4" w:space="0" w:color="auto"/>
              <w:right w:val="nil"/>
            </w:tcBorders>
            <w:vAlign w:val="bottom"/>
          </w:tcPr>
          <w:p w:rsidR="009543DB" w:rsidRPr="00DC64DD" w:rsidRDefault="009543DB" w:rsidP="009543DB">
            <w:pPr>
              <w:pStyle w:val="Tabletextright"/>
              <w:keepNext/>
            </w:pPr>
            <w:r w:rsidRPr="00DC64DD">
              <w:t>80.2</w:t>
            </w:r>
          </w:p>
        </w:tc>
        <w:tc>
          <w:tcPr>
            <w:tcW w:w="917"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106.9</w:t>
            </w:r>
          </w:p>
        </w:tc>
        <w:tc>
          <w:tcPr>
            <w:tcW w:w="918"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104.5</w:t>
            </w:r>
          </w:p>
        </w:tc>
        <w:tc>
          <w:tcPr>
            <w:tcW w:w="917"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101.7</w:t>
            </w:r>
          </w:p>
        </w:tc>
        <w:tc>
          <w:tcPr>
            <w:tcW w:w="918" w:type="dxa"/>
            <w:tcBorders>
              <w:top w:val="single" w:sz="4" w:space="0" w:color="auto"/>
              <w:left w:val="nil"/>
              <w:bottom w:val="single" w:sz="4" w:space="0" w:color="auto"/>
              <w:right w:val="nil"/>
            </w:tcBorders>
            <w:vAlign w:val="bottom"/>
          </w:tcPr>
          <w:p w:rsidR="009543DB" w:rsidRPr="00DC64DD" w:rsidRDefault="009543DB" w:rsidP="009543DB">
            <w:pPr>
              <w:pStyle w:val="Tabletextright"/>
              <w:keepNext/>
            </w:pPr>
            <w:r w:rsidRPr="00DC64DD">
              <w:t>100.0</w:t>
            </w:r>
          </w:p>
        </w:tc>
      </w:tr>
    </w:tbl>
    <w:p w:rsidR="009543DB" w:rsidRDefault="009543DB" w:rsidP="009543DB">
      <w:pPr>
        <w:pStyle w:val="Sourceandnotes"/>
      </w:pPr>
      <w:r>
        <w:t>Note:</w:t>
      </w:r>
      <w:r>
        <w:tab/>
        <w:t>Real prices in 2014-15 dollars</w:t>
      </w:r>
    </w:p>
    <w:p w:rsidR="009543DB" w:rsidRPr="00585146" w:rsidRDefault="009543DB" w:rsidP="009543DB">
      <w:pPr>
        <w:rPr>
          <w:i/>
          <w:iCs/>
        </w:rPr>
      </w:pPr>
      <w:r>
        <w:rPr>
          <w:i/>
          <w:iCs/>
        </w:rPr>
        <w:t>Terminal drop-off and pick-up</w:t>
      </w:r>
    </w:p>
    <w:p w:rsidR="009543DB" w:rsidRDefault="009543DB" w:rsidP="009543DB">
      <w:pPr>
        <w:spacing w:after="0"/>
      </w:pPr>
      <w:r>
        <w:t>Perth Airport provides p</w:t>
      </w:r>
      <w:r w:rsidRPr="00585146">
        <w:t>ublic drop</w:t>
      </w:r>
      <w:r w:rsidRPr="00585146">
        <w:noBreakHyphen/>
        <w:t>off and pick</w:t>
      </w:r>
      <w:r w:rsidRPr="00585146">
        <w:noBreakHyphen/>
        <w:t xml:space="preserve">up areas at all terminals, </w:t>
      </w:r>
      <w:r>
        <w:t>with 55 designated spaces in the T1/T2 precinct and 50 designated spaces in the T3/T4 precinct. Perth Airport also has two ‘</w:t>
      </w:r>
      <w:r w:rsidRPr="00585146">
        <w:t>Park and Wait’ areas</w:t>
      </w:r>
      <w:r>
        <w:t xml:space="preserve"> where occupied vehicles can wait up to </w:t>
      </w:r>
      <w:r w:rsidRPr="00585146">
        <w:t>90 minutes for a gold coin donation.</w:t>
      </w:r>
    </w:p>
    <w:p w:rsidR="009543DB" w:rsidRDefault="009543DB" w:rsidP="009543DB">
      <w:pPr>
        <w:spacing w:after="0"/>
        <w:rPr>
          <w:i/>
          <w:iCs/>
        </w:rPr>
      </w:pPr>
    </w:p>
    <w:p w:rsidR="009543DB" w:rsidRPr="00585146" w:rsidRDefault="009543DB" w:rsidP="009543DB">
      <w:pPr>
        <w:rPr>
          <w:i/>
          <w:iCs/>
        </w:rPr>
      </w:pPr>
      <w:r w:rsidRPr="00585146">
        <w:rPr>
          <w:i/>
          <w:iCs/>
        </w:rPr>
        <w:t>Priv</w:t>
      </w:r>
      <w:r>
        <w:rPr>
          <w:i/>
          <w:iCs/>
        </w:rPr>
        <w:t>a</w:t>
      </w:r>
      <w:r w:rsidRPr="00585146">
        <w:rPr>
          <w:i/>
          <w:iCs/>
        </w:rPr>
        <w:t>te and public buses</w:t>
      </w:r>
    </w:p>
    <w:p w:rsidR="00164A1F" w:rsidRDefault="009543DB" w:rsidP="009543DB">
      <w:pPr>
        <w:spacing w:after="0"/>
        <w:sectPr w:rsidR="00164A1F" w:rsidSect="009F0A92">
          <w:footnotePr>
            <w:numStart w:val="93"/>
          </w:footnotePr>
          <w:pgSz w:w="11906" w:h="16838"/>
          <w:pgMar w:top="1440" w:right="1729" w:bottom="1582" w:left="1729" w:header="709" w:footer="709" w:gutter="0"/>
          <w:cols w:space="708"/>
          <w:docGrid w:linePitch="360"/>
        </w:sectPr>
      </w:pPr>
      <w:r>
        <w:t xml:space="preserve">Perth Airport has two </w:t>
      </w:r>
      <w:r w:rsidRPr="00204BAB">
        <w:t xml:space="preserve">public bus routes that </w:t>
      </w:r>
      <w:r>
        <w:t xml:space="preserve">service the </w:t>
      </w:r>
      <w:r w:rsidRPr="00204BAB">
        <w:t>T3/T4 precinct</w:t>
      </w:r>
      <w:r>
        <w:t xml:space="preserve"> which originate</w:t>
      </w:r>
      <w:r w:rsidRPr="00204BAB">
        <w:t xml:space="preserve"> from Kings Park and the Esplanade Bus Port. Bus fares depend on the number of public transport zones travelled.</w:t>
      </w:r>
      <w:r>
        <w:t xml:space="preserve"> </w:t>
      </w:r>
    </w:p>
    <w:p w:rsidR="009543DB" w:rsidRDefault="009543DB" w:rsidP="009543DB">
      <w:pPr>
        <w:spacing w:after="0"/>
      </w:pPr>
      <w:r w:rsidRPr="00204BAB">
        <w:rPr>
          <w:vertAlign w:val="superscript"/>
        </w:rPr>
        <w:lastRenderedPageBreak/>
        <w:footnoteReference w:id="118"/>
      </w:r>
      <w:r w:rsidRPr="00204BAB">
        <w:t xml:space="preserve"> Travelling to the airport from Perth’s CBD requires a zone 1 and 2 ticket that </w:t>
      </w:r>
      <w:r>
        <w:t>increased to $4.50 on 1 July 2015</w:t>
      </w:r>
      <w:r w:rsidRPr="00204BAB">
        <w:t>.</w:t>
      </w:r>
      <w:r w:rsidRPr="00204BAB">
        <w:rPr>
          <w:vertAlign w:val="superscript"/>
        </w:rPr>
        <w:footnoteReference w:id="119"/>
      </w:r>
      <w:r w:rsidRPr="00204BAB">
        <w:t xml:space="preserve"> </w:t>
      </w:r>
      <w:r>
        <w:t>The T1/T2 precinct is currently not serviced by public buses, although there are plans for a new service. T</w:t>
      </w:r>
      <w:r w:rsidRPr="00F31469">
        <w:t xml:space="preserve">here are also several private bus operators connecting the airport to Perth CBD. </w:t>
      </w:r>
      <w:r>
        <w:t>For example, the Perth Airport Shuttle charges $15.00 one way to five locations around the city.</w:t>
      </w:r>
      <w:r>
        <w:rPr>
          <w:rStyle w:val="FootnoteReference"/>
        </w:rPr>
        <w:footnoteReference w:id="120"/>
      </w:r>
      <w:r>
        <w:t xml:space="preserve">  </w:t>
      </w:r>
    </w:p>
    <w:p w:rsidR="009543DB" w:rsidRPr="00204BAB" w:rsidRDefault="009543DB" w:rsidP="009543DB">
      <w:pPr>
        <w:spacing w:after="0"/>
      </w:pPr>
    </w:p>
    <w:p w:rsidR="009543DB" w:rsidRPr="00585146" w:rsidRDefault="009543DB" w:rsidP="009543DB">
      <w:pPr>
        <w:rPr>
          <w:i/>
          <w:iCs/>
        </w:rPr>
      </w:pPr>
      <w:r w:rsidRPr="00585146">
        <w:rPr>
          <w:i/>
          <w:iCs/>
        </w:rPr>
        <w:t>Off-airport car parking operators</w:t>
      </w:r>
    </w:p>
    <w:p w:rsidR="009543DB" w:rsidRPr="00585146" w:rsidRDefault="009543DB" w:rsidP="009543DB">
      <w:pPr>
        <w:rPr>
          <w:iCs/>
        </w:rPr>
      </w:pPr>
      <w:r>
        <w:rPr>
          <w:iCs/>
        </w:rPr>
        <w:t xml:space="preserve">There are a number of </w:t>
      </w:r>
      <w:r w:rsidRPr="00585146">
        <w:rPr>
          <w:iCs/>
        </w:rPr>
        <w:t>off</w:t>
      </w:r>
      <w:r w:rsidRPr="00585146">
        <w:rPr>
          <w:iCs/>
        </w:rPr>
        <w:noBreakHyphen/>
      </w:r>
      <w:r>
        <w:rPr>
          <w:iCs/>
        </w:rPr>
        <w:t xml:space="preserve">airport car parking operators that provide alternatives to the airport’s car parks. </w:t>
      </w:r>
      <w:r w:rsidRPr="00585146">
        <w:rPr>
          <w:iCs/>
        </w:rPr>
        <w:t>Off-airport parking prices sampled by the ACCC ranged from $18</w:t>
      </w:r>
      <w:r>
        <w:rPr>
          <w:iCs/>
        </w:rPr>
        <w:t>.00</w:t>
      </w:r>
      <w:r w:rsidRPr="00585146">
        <w:rPr>
          <w:iCs/>
        </w:rPr>
        <w:t xml:space="preserve"> to $</w:t>
      </w:r>
      <w:r>
        <w:rPr>
          <w:iCs/>
        </w:rPr>
        <w:t>35.00</w:t>
      </w:r>
      <w:r w:rsidRPr="00585146">
        <w:rPr>
          <w:iCs/>
        </w:rPr>
        <w:t xml:space="preserve"> for one day parking and $</w:t>
      </w:r>
      <w:r>
        <w:rPr>
          <w:iCs/>
        </w:rPr>
        <w:t xml:space="preserve">35.00 </w:t>
      </w:r>
      <w:r w:rsidRPr="00585146">
        <w:rPr>
          <w:iCs/>
        </w:rPr>
        <w:t>to $</w:t>
      </w:r>
      <w:r>
        <w:rPr>
          <w:iCs/>
        </w:rPr>
        <w:t xml:space="preserve">85.50 </w:t>
      </w:r>
      <w:r w:rsidRPr="00585146">
        <w:rPr>
          <w:iCs/>
        </w:rPr>
        <w:t>for three days parking.</w:t>
      </w:r>
      <w:r w:rsidRPr="00585146">
        <w:rPr>
          <w:iCs/>
          <w:vertAlign w:val="superscript"/>
        </w:rPr>
        <w:footnoteReference w:id="121"/>
      </w:r>
      <w:r>
        <w:rPr>
          <w:iCs/>
        </w:rPr>
        <w:t xml:space="preserve"> </w:t>
      </w:r>
    </w:p>
    <w:p w:rsidR="009543DB" w:rsidRPr="00585146" w:rsidRDefault="009543DB" w:rsidP="009543DB">
      <w:pPr>
        <w:rPr>
          <w:i/>
          <w:iCs/>
        </w:rPr>
      </w:pPr>
      <w:r w:rsidRPr="00585146">
        <w:rPr>
          <w:i/>
          <w:iCs/>
        </w:rPr>
        <w:lastRenderedPageBreak/>
        <w:t>Taxis</w:t>
      </w:r>
    </w:p>
    <w:p w:rsidR="009543DB" w:rsidRDefault="009543DB" w:rsidP="009543DB">
      <w:pPr>
        <w:spacing w:after="0"/>
      </w:pPr>
      <w:r w:rsidRPr="0058465D">
        <w:t>Perth Airport charges a $2</w:t>
      </w:r>
      <w:r>
        <w:t>.00</w:t>
      </w:r>
      <w:r w:rsidRPr="0058465D">
        <w:t xml:space="preserve"> fee on taxis departing the airport</w:t>
      </w:r>
      <w:r>
        <w:t xml:space="preserve">. In nominal terms, this charge has been unchanged since 2009-10. Perth Airport does not charge for dropping off passengers. </w:t>
      </w:r>
    </w:p>
    <w:p w:rsidR="009543DB" w:rsidRPr="0058465D" w:rsidRDefault="009543DB" w:rsidP="009543DB">
      <w:pPr>
        <w:spacing w:after="0"/>
      </w:pPr>
    </w:p>
    <w:p w:rsidR="009543DB" w:rsidRDefault="009543DB" w:rsidP="009543DB">
      <w:pPr>
        <w:rPr>
          <w:i/>
          <w:iCs/>
        </w:rPr>
      </w:pPr>
      <w:r w:rsidRPr="009D33D5">
        <w:rPr>
          <w:i/>
          <w:iCs/>
        </w:rPr>
        <w:t>Private cars</w:t>
      </w:r>
    </w:p>
    <w:p w:rsidR="009543DB" w:rsidRDefault="009543DB" w:rsidP="009543DB">
      <w:pPr>
        <w:rPr>
          <w:iCs/>
        </w:rPr>
      </w:pPr>
      <w:r w:rsidRPr="009D33D5">
        <w:rPr>
          <w:iCs/>
        </w:rPr>
        <w:t>Private car operators, such as limousines, are charged a fee of $3</w:t>
      </w:r>
      <w:r>
        <w:rPr>
          <w:iCs/>
        </w:rPr>
        <w:t>.00</w:t>
      </w:r>
      <w:r w:rsidRPr="009D33D5">
        <w:rPr>
          <w:iCs/>
        </w:rPr>
        <w:t xml:space="preserve"> for access to the airport</w:t>
      </w:r>
      <w:r>
        <w:rPr>
          <w:iCs/>
        </w:rPr>
        <w:t xml:space="preserve">. This has remained unchanged in nominal terms since 2011-12. </w:t>
      </w:r>
    </w:p>
    <w:p w:rsidR="009543DB" w:rsidRPr="009D33D5" w:rsidRDefault="009543DB" w:rsidP="009543DB">
      <w:pPr>
        <w:keepNext/>
        <w:spacing w:before="120" w:after="120"/>
        <w:rPr>
          <w:b/>
          <w:i/>
          <w:sz w:val="22"/>
        </w:rPr>
      </w:pPr>
      <w:r w:rsidRPr="009D33D5">
        <w:rPr>
          <w:b/>
          <w:i/>
          <w:sz w:val="22"/>
        </w:rPr>
        <w:t xml:space="preserve">Quality of landside access services and facilities provided by </w:t>
      </w:r>
      <w:r>
        <w:rPr>
          <w:b/>
          <w:i/>
          <w:sz w:val="22"/>
        </w:rPr>
        <w:t>Perth</w:t>
      </w:r>
      <w:r w:rsidRPr="009D33D5">
        <w:rPr>
          <w:b/>
          <w:i/>
          <w:sz w:val="22"/>
        </w:rPr>
        <w:t xml:space="preserve"> Airport</w:t>
      </w:r>
    </w:p>
    <w:p w:rsidR="009543DB" w:rsidRDefault="009543DB" w:rsidP="009543DB">
      <w:r>
        <w:t>Airport operators control access to airport land, including landside access areas. Further, the landside areas of monitored airports are bottleneck facilities essential in the supply of services to passengers and companies seeking access. Passengers, off</w:t>
      </w:r>
      <w:r>
        <w:noBreakHyphen/>
        <w:t>airport car parking operators, taxis, buses and private cars all require access to landside areas for the pick-up and drop</w:t>
      </w:r>
      <w:r>
        <w:noBreakHyphen/>
        <w:t xml:space="preserve">off of passengers. Airport operators have the incentive to restrict access and impede competition from alternatives to on-airport parking by imposing excessive charges or restrictive terms and conditions. </w:t>
      </w:r>
    </w:p>
    <w:p w:rsidR="009543DB" w:rsidRDefault="009543DB" w:rsidP="009543DB">
      <w:r>
        <w:t>This section contains quality of service results for Perth Airports’ landside areas gathered from both passengers and businesses seeking access. The ACCC has collected ratings from passengers for landside services for a number of years. Since 2013-14, the ACCC has been collecting ratings on landside areas and facilities from companies requiring access and this includes taxis, buses, and off-airport parking operators.</w:t>
      </w:r>
    </w:p>
    <w:p w:rsidR="009543DB" w:rsidRDefault="009543DB" w:rsidP="009543DB">
      <w:pPr>
        <w:rPr>
          <w:i/>
          <w:iCs/>
        </w:rPr>
      </w:pPr>
      <w:r w:rsidRPr="003542DD">
        <w:rPr>
          <w:i/>
          <w:iCs/>
        </w:rPr>
        <w:t>Passenger</w:t>
      </w:r>
      <w:r>
        <w:rPr>
          <w:i/>
          <w:iCs/>
        </w:rPr>
        <w:t xml:space="preserve"> ratings </w:t>
      </w:r>
    </w:p>
    <w:p w:rsidR="009543DB" w:rsidRPr="003542DD" w:rsidRDefault="009543DB" w:rsidP="009543DB">
      <w:r>
        <w:t xml:space="preserve">Table 4.4.4 shows that ratings for all landside access for services and facilities improved for all indicators apart from kerbside pick-up and drop-off facilities at T1/T2 which remained unchanged. </w:t>
      </w:r>
    </w:p>
    <w:p w:rsidR="009543DB" w:rsidRPr="000C0E4D" w:rsidRDefault="009543DB" w:rsidP="009543DB">
      <w:pPr>
        <w:keepNext/>
        <w:spacing w:before="240" w:after="200" w:line="276" w:lineRule="auto"/>
        <w:ind w:left="1440" w:hanging="1440"/>
        <w:outlineLvl w:val="3"/>
        <w:rPr>
          <w:b/>
          <w:color w:val="51626F"/>
        </w:rPr>
      </w:pPr>
      <w:r w:rsidRPr="000C0E4D">
        <w:rPr>
          <w:b/>
          <w:color w:val="51626F"/>
        </w:rPr>
        <w:t>Table 4.</w:t>
      </w:r>
      <w:r>
        <w:rPr>
          <w:b/>
          <w:color w:val="51626F"/>
        </w:rPr>
        <w:t>4.4</w:t>
      </w:r>
      <w:r w:rsidRPr="000C0E4D">
        <w:rPr>
          <w:b/>
          <w:color w:val="51626F"/>
        </w:rPr>
        <w:t>:</w:t>
      </w:r>
      <w:r w:rsidRPr="000C0E4D">
        <w:rPr>
          <w:b/>
          <w:color w:val="51626F"/>
        </w:rPr>
        <w:tab/>
        <w:t>Perth Airport—</w:t>
      </w:r>
      <w:r>
        <w:rPr>
          <w:b/>
          <w:color w:val="51626F"/>
        </w:rPr>
        <w:t xml:space="preserve"> passenger </w:t>
      </w:r>
      <w:r w:rsidRPr="000C0E4D">
        <w:rPr>
          <w:b/>
          <w:color w:val="51626F"/>
        </w:rPr>
        <w:t>ratings of quality of landside access services and facilities: 201</w:t>
      </w:r>
      <w:r>
        <w:rPr>
          <w:b/>
          <w:color w:val="51626F"/>
        </w:rPr>
        <w:t>4</w:t>
      </w:r>
      <w:r w:rsidRPr="000C0E4D">
        <w:rPr>
          <w:b/>
          <w:color w:val="51626F"/>
        </w:rPr>
        <w:t>-1</w:t>
      </w:r>
      <w:r>
        <w:rPr>
          <w:b/>
          <w:color w:val="51626F"/>
        </w:rPr>
        <w:t>5</w:t>
      </w:r>
      <w:r w:rsidRPr="000C0E4D">
        <w:rPr>
          <w:b/>
          <w:color w:val="51626F"/>
        </w:rPr>
        <w:t>, 1-year change, and change since 20</w:t>
      </w:r>
      <w:r>
        <w:rPr>
          <w:b/>
          <w:color w:val="51626F"/>
        </w:rPr>
        <w:t>10</w:t>
      </w:r>
      <w:r w:rsidRPr="000C0E4D">
        <w:rPr>
          <w:b/>
          <w:color w:val="51626F"/>
        </w:rPr>
        <w:t>-1</w:t>
      </w:r>
      <w:r>
        <w:rPr>
          <w:b/>
          <w:color w:val="51626F"/>
        </w:rPr>
        <w:t>1</w:t>
      </w:r>
    </w:p>
    <w:tbl>
      <w:tblPr>
        <w:tblStyle w:val="TableGrid7"/>
        <w:tblW w:w="0" w:type="auto"/>
        <w:tblLook w:val="04A0" w:firstRow="1" w:lastRow="0" w:firstColumn="1" w:lastColumn="0" w:noHBand="0" w:noVBand="1"/>
      </w:tblPr>
      <w:tblGrid>
        <w:gridCol w:w="1732"/>
        <w:gridCol w:w="3479"/>
        <w:gridCol w:w="1418"/>
        <w:gridCol w:w="1017"/>
        <w:gridCol w:w="1018"/>
      </w:tblGrid>
      <w:tr w:rsidR="009543DB" w:rsidRPr="000C0E4D" w:rsidTr="009543DB">
        <w:tc>
          <w:tcPr>
            <w:tcW w:w="1732" w:type="dxa"/>
            <w:tcBorders>
              <w:left w:val="nil"/>
              <w:bottom w:val="single" w:sz="4" w:space="0" w:color="auto"/>
              <w:right w:val="nil"/>
            </w:tcBorders>
            <w:shd w:val="clear" w:color="auto" w:fill="DFE0DC"/>
            <w:vAlign w:val="center"/>
          </w:tcPr>
          <w:p w:rsidR="009543DB" w:rsidRPr="000C0E4D" w:rsidRDefault="009543DB" w:rsidP="009543DB">
            <w:pPr>
              <w:keepNext/>
              <w:spacing w:before="40" w:after="40"/>
              <w:rPr>
                <w:b/>
                <w:color w:val="000000" w:themeColor="text1"/>
                <w:sz w:val="18"/>
              </w:rPr>
            </w:pPr>
            <w:r w:rsidRPr="000C0E4D">
              <w:rPr>
                <w:b/>
                <w:color w:val="000000" w:themeColor="text1"/>
                <w:sz w:val="18"/>
              </w:rPr>
              <w:t>Terminal</w:t>
            </w:r>
          </w:p>
        </w:tc>
        <w:tc>
          <w:tcPr>
            <w:tcW w:w="3479" w:type="dxa"/>
            <w:tcBorders>
              <w:left w:val="nil"/>
              <w:bottom w:val="single" w:sz="4" w:space="0" w:color="auto"/>
              <w:right w:val="nil"/>
            </w:tcBorders>
            <w:shd w:val="clear" w:color="auto" w:fill="DFE0DC"/>
            <w:vAlign w:val="center"/>
          </w:tcPr>
          <w:p w:rsidR="009543DB" w:rsidRPr="000C0E4D" w:rsidRDefault="009543DB" w:rsidP="009543DB">
            <w:pPr>
              <w:keepNext/>
              <w:spacing w:before="40" w:after="40"/>
              <w:rPr>
                <w:b/>
                <w:color w:val="000000" w:themeColor="text1"/>
                <w:sz w:val="18"/>
              </w:rPr>
            </w:pPr>
            <w:r w:rsidRPr="000C0E4D">
              <w:rPr>
                <w:b/>
                <w:color w:val="000000" w:themeColor="text1"/>
                <w:sz w:val="18"/>
              </w:rPr>
              <w:t>Indicator</w:t>
            </w:r>
          </w:p>
        </w:tc>
        <w:tc>
          <w:tcPr>
            <w:tcW w:w="1418" w:type="dxa"/>
            <w:tcBorders>
              <w:left w:val="nil"/>
              <w:bottom w:val="single" w:sz="4" w:space="0" w:color="auto"/>
              <w:right w:val="nil"/>
            </w:tcBorders>
            <w:shd w:val="clear" w:color="auto" w:fill="DFE0DC"/>
            <w:vAlign w:val="center"/>
          </w:tcPr>
          <w:p w:rsidR="009543DB" w:rsidRPr="000C0E4D" w:rsidRDefault="009543DB" w:rsidP="009543DB">
            <w:pPr>
              <w:keepNext/>
              <w:spacing w:before="40" w:after="40"/>
              <w:rPr>
                <w:b/>
                <w:color w:val="000000" w:themeColor="text1"/>
                <w:sz w:val="18"/>
              </w:rPr>
            </w:pPr>
            <w:r w:rsidRPr="000C0E4D">
              <w:rPr>
                <w:b/>
                <w:color w:val="000000" w:themeColor="text1"/>
                <w:sz w:val="18"/>
              </w:rPr>
              <w:t>Rating category</w:t>
            </w:r>
            <w:r w:rsidRPr="000C0E4D">
              <w:rPr>
                <w:b/>
                <w:color w:val="000000" w:themeColor="text1"/>
                <w:sz w:val="18"/>
              </w:rPr>
              <w:br/>
              <w:t>201</w:t>
            </w:r>
            <w:r>
              <w:rPr>
                <w:b/>
                <w:color w:val="000000" w:themeColor="text1"/>
                <w:sz w:val="18"/>
              </w:rPr>
              <w:t>4</w:t>
            </w:r>
            <w:r w:rsidRPr="000C0E4D">
              <w:rPr>
                <w:b/>
                <w:color w:val="000000" w:themeColor="text1"/>
                <w:sz w:val="18"/>
              </w:rPr>
              <w:t>-1</w:t>
            </w:r>
            <w:r>
              <w:rPr>
                <w:b/>
                <w:color w:val="000000" w:themeColor="text1"/>
                <w:sz w:val="18"/>
              </w:rPr>
              <w:t>5</w:t>
            </w:r>
          </w:p>
        </w:tc>
        <w:tc>
          <w:tcPr>
            <w:tcW w:w="1017" w:type="dxa"/>
            <w:tcBorders>
              <w:left w:val="nil"/>
              <w:bottom w:val="single" w:sz="4" w:space="0" w:color="auto"/>
              <w:right w:val="nil"/>
            </w:tcBorders>
            <w:shd w:val="clear" w:color="auto" w:fill="DFE0DC"/>
            <w:vAlign w:val="center"/>
          </w:tcPr>
          <w:p w:rsidR="009543DB" w:rsidRPr="000C0E4D" w:rsidRDefault="009543DB" w:rsidP="009543DB">
            <w:pPr>
              <w:keepNext/>
              <w:spacing w:before="40" w:after="40"/>
              <w:rPr>
                <w:b/>
                <w:color w:val="000000" w:themeColor="text1"/>
                <w:sz w:val="18"/>
              </w:rPr>
            </w:pPr>
            <w:r w:rsidRPr="000C0E4D">
              <w:rPr>
                <w:b/>
                <w:color w:val="000000" w:themeColor="text1"/>
                <w:sz w:val="18"/>
              </w:rPr>
              <w:t>1-year change</w:t>
            </w:r>
          </w:p>
        </w:tc>
        <w:tc>
          <w:tcPr>
            <w:tcW w:w="1018" w:type="dxa"/>
            <w:tcBorders>
              <w:left w:val="nil"/>
              <w:bottom w:val="single" w:sz="4" w:space="0" w:color="auto"/>
              <w:right w:val="nil"/>
            </w:tcBorders>
            <w:shd w:val="clear" w:color="auto" w:fill="DFE0DC"/>
            <w:vAlign w:val="center"/>
          </w:tcPr>
          <w:p w:rsidR="009543DB" w:rsidRPr="000C0E4D" w:rsidRDefault="009543DB" w:rsidP="009543DB">
            <w:pPr>
              <w:keepNext/>
              <w:spacing w:before="40" w:after="40"/>
              <w:rPr>
                <w:b/>
                <w:color w:val="000000" w:themeColor="text1"/>
                <w:sz w:val="18"/>
              </w:rPr>
            </w:pPr>
            <w:r w:rsidRPr="000C0E4D">
              <w:rPr>
                <w:b/>
                <w:color w:val="000000" w:themeColor="text1"/>
                <w:sz w:val="18"/>
              </w:rPr>
              <w:t>Change since 20</w:t>
            </w:r>
            <w:r>
              <w:rPr>
                <w:b/>
                <w:color w:val="000000" w:themeColor="text1"/>
                <w:sz w:val="18"/>
              </w:rPr>
              <w:t>10</w:t>
            </w:r>
            <w:r w:rsidRPr="000C0E4D">
              <w:rPr>
                <w:b/>
                <w:color w:val="000000" w:themeColor="text1"/>
                <w:sz w:val="18"/>
              </w:rPr>
              <w:t>-1</w:t>
            </w:r>
            <w:r>
              <w:rPr>
                <w:b/>
                <w:color w:val="000000" w:themeColor="text1"/>
                <w:sz w:val="18"/>
              </w:rPr>
              <w:t>1</w:t>
            </w:r>
          </w:p>
        </w:tc>
      </w:tr>
      <w:tr w:rsidR="009543DB" w:rsidRPr="000C0E4D" w:rsidTr="009543DB">
        <w:tc>
          <w:tcPr>
            <w:tcW w:w="1732" w:type="dxa"/>
            <w:vMerge w:val="restart"/>
            <w:tcBorders>
              <w:left w:val="nil"/>
              <w:right w:val="nil"/>
            </w:tcBorders>
          </w:tcPr>
          <w:p w:rsidR="009543DB" w:rsidRPr="000C0E4D" w:rsidRDefault="009543DB" w:rsidP="009543DB">
            <w:pPr>
              <w:keepNext/>
              <w:spacing w:before="40" w:after="40"/>
              <w:rPr>
                <w:b/>
                <w:color w:val="000000" w:themeColor="text1"/>
                <w:sz w:val="18"/>
              </w:rPr>
            </w:pPr>
            <w:r w:rsidRPr="000C0E4D">
              <w:rPr>
                <w:b/>
                <w:color w:val="000000" w:themeColor="text1"/>
                <w:sz w:val="18"/>
              </w:rPr>
              <w:t>International &amp; General Aviation (T1/T2)</w:t>
            </w:r>
          </w:p>
        </w:tc>
        <w:tc>
          <w:tcPr>
            <w:tcW w:w="3479" w:type="dxa"/>
            <w:tcBorders>
              <w:left w:val="nil"/>
              <w:bottom w:val="nil"/>
              <w:right w:val="nil"/>
            </w:tcBorders>
          </w:tcPr>
          <w:p w:rsidR="009543DB" w:rsidRPr="005637B1" w:rsidRDefault="009543DB" w:rsidP="009543DB">
            <w:pPr>
              <w:keepNext/>
              <w:spacing w:before="40" w:after="40"/>
              <w:rPr>
                <w:sz w:val="18"/>
              </w:rPr>
            </w:pPr>
            <w:r w:rsidRPr="005637B1">
              <w:rPr>
                <w:sz w:val="18"/>
              </w:rPr>
              <w:t>Kerbside pick-up and drop-off facilities</w:t>
            </w:r>
          </w:p>
        </w:tc>
        <w:tc>
          <w:tcPr>
            <w:tcW w:w="1418" w:type="dxa"/>
            <w:tcBorders>
              <w:left w:val="nil"/>
              <w:bottom w:val="nil"/>
              <w:right w:val="nil"/>
            </w:tcBorders>
          </w:tcPr>
          <w:p w:rsidR="009543DB" w:rsidRPr="005637B1" w:rsidRDefault="009543DB" w:rsidP="009543DB">
            <w:pPr>
              <w:keepNext/>
              <w:spacing w:before="40" w:after="40"/>
              <w:rPr>
                <w:sz w:val="18"/>
              </w:rPr>
            </w:pPr>
            <w:r w:rsidRPr="005637B1">
              <w:rPr>
                <w:sz w:val="18"/>
              </w:rPr>
              <w:t>Good</w:t>
            </w:r>
          </w:p>
        </w:tc>
        <w:tc>
          <w:tcPr>
            <w:tcW w:w="1017" w:type="dxa"/>
            <w:tcBorders>
              <w:left w:val="nil"/>
              <w:bottom w:val="nil"/>
              <w:right w:val="nil"/>
            </w:tcBorders>
          </w:tcPr>
          <w:p w:rsidR="009543DB" w:rsidRPr="000C0E4D" w:rsidRDefault="009543DB" w:rsidP="009543DB">
            <w:pPr>
              <w:keepNext/>
              <w:spacing w:before="40" w:after="40"/>
              <w:rPr>
                <w:sz w:val="18"/>
              </w:rPr>
            </w:pPr>
            <w:r w:rsidRPr="000C0E4D">
              <w:rPr>
                <w:rFonts w:cs="Arial"/>
                <w:color w:val="4BACC6" w:themeColor="accent5"/>
                <w:sz w:val="18"/>
              </w:rPr>
              <w:t>▬</w:t>
            </w:r>
          </w:p>
        </w:tc>
        <w:tc>
          <w:tcPr>
            <w:tcW w:w="1018" w:type="dxa"/>
            <w:tcBorders>
              <w:left w:val="nil"/>
              <w:bottom w:val="nil"/>
              <w:right w:val="nil"/>
            </w:tcBorders>
          </w:tcPr>
          <w:p w:rsidR="009543DB" w:rsidRPr="000C0E4D" w:rsidRDefault="009543DB" w:rsidP="009543DB">
            <w:pPr>
              <w:keepNext/>
              <w:spacing w:before="40" w:after="40"/>
              <w:rPr>
                <w:sz w:val="18"/>
              </w:rPr>
            </w:pPr>
            <w:r w:rsidRPr="000C0E4D">
              <w:rPr>
                <w:rFonts w:eastAsia="Times New Roman" w:cs="Times New Roman"/>
                <w:color w:val="F79646"/>
                <w:sz w:val="16"/>
                <w:szCs w:val="24"/>
                <w:lang w:eastAsia="en-AU"/>
              </w:rPr>
              <w:t>▼</w:t>
            </w:r>
          </w:p>
        </w:tc>
      </w:tr>
      <w:tr w:rsidR="009543DB" w:rsidRPr="000C0E4D" w:rsidTr="009543DB">
        <w:tc>
          <w:tcPr>
            <w:tcW w:w="1732" w:type="dxa"/>
            <w:vMerge/>
            <w:tcBorders>
              <w:left w:val="nil"/>
              <w:right w:val="nil"/>
            </w:tcBorders>
          </w:tcPr>
          <w:p w:rsidR="009543DB" w:rsidRPr="000C0E4D" w:rsidRDefault="009543DB" w:rsidP="009543DB">
            <w:pPr>
              <w:keepNext/>
              <w:spacing w:before="40" w:after="40"/>
              <w:rPr>
                <w:b/>
                <w:color w:val="000000" w:themeColor="text1"/>
                <w:sz w:val="18"/>
              </w:rPr>
            </w:pPr>
          </w:p>
        </w:tc>
        <w:tc>
          <w:tcPr>
            <w:tcW w:w="3479" w:type="dxa"/>
            <w:tcBorders>
              <w:top w:val="nil"/>
              <w:left w:val="nil"/>
              <w:bottom w:val="nil"/>
              <w:right w:val="nil"/>
            </w:tcBorders>
          </w:tcPr>
          <w:p w:rsidR="009543DB" w:rsidRPr="005637B1" w:rsidRDefault="009543DB" w:rsidP="009543DB">
            <w:pPr>
              <w:keepNext/>
              <w:spacing w:before="40" w:after="40"/>
              <w:rPr>
                <w:sz w:val="18"/>
              </w:rPr>
            </w:pPr>
            <w:r w:rsidRPr="005637B1">
              <w:rPr>
                <w:sz w:val="18"/>
              </w:rPr>
              <w:t>Taxi facilities waiting time</w:t>
            </w:r>
          </w:p>
        </w:tc>
        <w:tc>
          <w:tcPr>
            <w:tcW w:w="1418" w:type="dxa"/>
            <w:tcBorders>
              <w:top w:val="nil"/>
              <w:left w:val="nil"/>
              <w:bottom w:val="nil"/>
              <w:right w:val="nil"/>
            </w:tcBorders>
          </w:tcPr>
          <w:p w:rsidR="009543DB" w:rsidRPr="005637B1" w:rsidRDefault="009543DB" w:rsidP="009543DB">
            <w:pPr>
              <w:keepNext/>
              <w:spacing w:before="40" w:after="40"/>
              <w:rPr>
                <w:sz w:val="18"/>
              </w:rPr>
            </w:pPr>
            <w:r w:rsidRPr="005637B1">
              <w:rPr>
                <w:sz w:val="18"/>
              </w:rPr>
              <w:t xml:space="preserve">Good </w:t>
            </w:r>
          </w:p>
        </w:tc>
        <w:tc>
          <w:tcPr>
            <w:tcW w:w="1017" w:type="dxa"/>
            <w:tcBorders>
              <w:top w:val="nil"/>
              <w:left w:val="nil"/>
              <w:bottom w:val="nil"/>
              <w:right w:val="nil"/>
            </w:tcBorders>
          </w:tcPr>
          <w:p w:rsidR="009543DB" w:rsidRPr="000C0E4D" w:rsidRDefault="009543DB" w:rsidP="009543DB">
            <w:pPr>
              <w:keepNext/>
              <w:spacing w:before="40" w:after="40"/>
              <w:rPr>
                <w:sz w:val="18"/>
              </w:rPr>
            </w:pPr>
            <w:r w:rsidRPr="000C0E4D">
              <w:rPr>
                <w:rFonts w:cs="Arial"/>
                <w:color w:val="943634" w:themeColor="accent2" w:themeShade="BF"/>
                <w:sz w:val="18"/>
              </w:rPr>
              <w:t>▲</w:t>
            </w:r>
          </w:p>
        </w:tc>
        <w:tc>
          <w:tcPr>
            <w:tcW w:w="1018" w:type="dxa"/>
            <w:tcBorders>
              <w:top w:val="nil"/>
              <w:left w:val="nil"/>
              <w:bottom w:val="nil"/>
              <w:right w:val="nil"/>
            </w:tcBorders>
          </w:tcPr>
          <w:p w:rsidR="009543DB" w:rsidRPr="000C0E4D" w:rsidRDefault="009543DB" w:rsidP="009543DB">
            <w:pPr>
              <w:keepNext/>
              <w:spacing w:before="40" w:after="40"/>
              <w:rPr>
                <w:sz w:val="18"/>
              </w:rPr>
            </w:pPr>
            <w:r w:rsidRPr="000C0E4D">
              <w:rPr>
                <w:rFonts w:eastAsia="Times New Roman" w:cs="Times New Roman"/>
                <w:color w:val="F79646"/>
                <w:sz w:val="16"/>
                <w:szCs w:val="24"/>
                <w:lang w:eastAsia="en-AU"/>
              </w:rPr>
              <w:t>▼</w:t>
            </w:r>
          </w:p>
        </w:tc>
      </w:tr>
      <w:tr w:rsidR="009543DB" w:rsidRPr="000C0E4D" w:rsidTr="009543DB">
        <w:tc>
          <w:tcPr>
            <w:tcW w:w="1732" w:type="dxa"/>
            <w:vMerge/>
            <w:tcBorders>
              <w:left w:val="nil"/>
              <w:right w:val="nil"/>
            </w:tcBorders>
          </w:tcPr>
          <w:p w:rsidR="009543DB" w:rsidRPr="000C0E4D" w:rsidRDefault="009543DB" w:rsidP="009543DB">
            <w:pPr>
              <w:keepNext/>
              <w:spacing w:before="40" w:after="40"/>
              <w:rPr>
                <w:b/>
                <w:color w:val="000000" w:themeColor="text1"/>
                <w:sz w:val="18"/>
              </w:rPr>
            </w:pPr>
          </w:p>
        </w:tc>
        <w:tc>
          <w:tcPr>
            <w:tcW w:w="3479" w:type="dxa"/>
            <w:tcBorders>
              <w:top w:val="nil"/>
              <w:left w:val="nil"/>
              <w:bottom w:val="single" w:sz="4" w:space="0" w:color="auto"/>
              <w:right w:val="nil"/>
            </w:tcBorders>
          </w:tcPr>
          <w:p w:rsidR="009543DB" w:rsidRPr="005637B1" w:rsidRDefault="009543DB" w:rsidP="009543DB">
            <w:pPr>
              <w:keepNext/>
              <w:spacing w:before="40" w:after="40"/>
              <w:rPr>
                <w:sz w:val="18"/>
              </w:rPr>
            </w:pPr>
            <w:r w:rsidRPr="005637B1">
              <w:rPr>
                <w:sz w:val="18"/>
              </w:rPr>
              <w:t>Kerbside space congestion</w:t>
            </w:r>
          </w:p>
        </w:tc>
        <w:tc>
          <w:tcPr>
            <w:tcW w:w="1418" w:type="dxa"/>
            <w:tcBorders>
              <w:top w:val="nil"/>
              <w:left w:val="nil"/>
              <w:bottom w:val="single" w:sz="4" w:space="0" w:color="auto"/>
              <w:right w:val="nil"/>
            </w:tcBorders>
          </w:tcPr>
          <w:p w:rsidR="009543DB" w:rsidRPr="005637B1" w:rsidRDefault="009543DB" w:rsidP="009543DB">
            <w:pPr>
              <w:keepNext/>
              <w:spacing w:before="40" w:after="40"/>
              <w:rPr>
                <w:sz w:val="18"/>
              </w:rPr>
            </w:pPr>
            <w:r w:rsidRPr="005637B1">
              <w:rPr>
                <w:sz w:val="18"/>
              </w:rPr>
              <w:t xml:space="preserve">Good </w:t>
            </w:r>
          </w:p>
        </w:tc>
        <w:tc>
          <w:tcPr>
            <w:tcW w:w="1017" w:type="dxa"/>
            <w:tcBorders>
              <w:top w:val="nil"/>
              <w:left w:val="nil"/>
              <w:bottom w:val="single" w:sz="4" w:space="0" w:color="auto"/>
              <w:right w:val="nil"/>
            </w:tcBorders>
          </w:tcPr>
          <w:p w:rsidR="009543DB" w:rsidRPr="000C0E4D" w:rsidRDefault="009543DB" w:rsidP="009543DB">
            <w:pPr>
              <w:keepNext/>
              <w:spacing w:before="40" w:after="40"/>
              <w:rPr>
                <w:sz w:val="18"/>
              </w:rPr>
            </w:pPr>
            <w:r w:rsidRPr="000C0E4D">
              <w:rPr>
                <w:rFonts w:cs="Arial"/>
                <w:color w:val="943634" w:themeColor="accent2" w:themeShade="BF"/>
                <w:sz w:val="18"/>
              </w:rPr>
              <w:t>▲</w:t>
            </w:r>
          </w:p>
        </w:tc>
        <w:tc>
          <w:tcPr>
            <w:tcW w:w="1018" w:type="dxa"/>
            <w:tcBorders>
              <w:top w:val="nil"/>
              <w:left w:val="nil"/>
              <w:bottom w:val="single" w:sz="4" w:space="0" w:color="auto"/>
              <w:right w:val="nil"/>
            </w:tcBorders>
          </w:tcPr>
          <w:p w:rsidR="009543DB" w:rsidRPr="000C0E4D" w:rsidRDefault="009543DB" w:rsidP="009543DB">
            <w:pPr>
              <w:keepNext/>
              <w:spacing w:before="40" w:after="40"/>
              <w:rPr>
                <w:sz w:val="18"/>
              </w:rPr>
            </w:pPr>
            <w:r w:rsidRPr="000C0E4D">
              <w:rPr>
                <w:rFonts w:eastAsia="Times New Roman" w:cs="Times New Roman"/>
                <w:color w:val="F79646"/>
                <w:sz w:val="16"/>
                <w:szCs w:val="24"/>
                <w:lang w:eastAsia="en-AU"/>
              </w:rPr>
              <w:t>▼</w:t>
            </w:r>
          </w:p>
        </w:tc>
      </w:tr>
      <w:tr w:rsidR="009543DB" w:rsidRPr="000C0E4D" w:rsidTr="009543DB">
        <w:tc>
          <w:tcPr>
            <w:tcW w:w="1732" w:type="dxa"/>
            <w:vMerge w:val="restart"/>
            <w:tcBorders>
              <w:left w:val="nil"/>
              <w:right w:val="nil"/>
            </w:tcBorders>
          </w:tcPr>
          <w:p w:rsidR="009543DB" w:rsidRPr="000C0E4D" w:rsidRDefault="009543DB" w:rsidP="009543DB">
            <w:pPr>
              <w:keepNext/>
              <w:spacing w:before="40" w:after="40"/>
              <w:rPr>
                <w:b/>
                <w:color w:val="000000" w:themeColor="text1"/>
                <w:sz w:val="18"/>
              </w:rPr>
            </w:pPr>
            <w:r w:rsidRPr="000C0E4D">
              <w:rPr>
                <w:b/>
                <w:color w:val="000000" w:themeColor="text1"/>
                <w:sz w:val="18"/>
              </w:rPr>
              <w:t>Domestic</w:t>
            </w:r>
          </w:p>
          <w:p w:rsidR="009543DB" w:rsidRPr="000C0E4D" w:rsidRDefault="009543DB" w:rsidP="009543DB">
            <w:pPr>
              <w:keepNext/>
              <w:spacing w:before="40" w:after="40"/>
              <w:rPr>
                <w:b/>
                <w:color w:val="000000" w:themeColor="text1"/>
                <w:sz w:val="18"/>
              </w:rPr>
            </w:pPr>
            <w:r w:rsidRPr="000C0E4D">
              <w:rPr>
                <w:b/>
                <w:color w:val="000000" w:themeColor="text1"/>
                <w:sz w:val="18"/>
              </w:rPr>
              <w:t>(T3/T4)</w:t>
            </w:r>
          </w:p>
        </w:tc>
        <w:tc>
          <w:tcPr>
            <w:tcW w:w="3479" w:type="dxa"/>
            <w:tcBorders>
              <w:top w:val="single" w:sz="4" w:space="0" w:color="auto"/>
              <w:left w:val="nil"/>
              <w:bottom w:val="nil"/>
              <w:right w:val="nil"/>
            </w:tcBorders>
          </w:tcPr>
          <w:p w:rsidR="009543DB" w:rsidRPr="005637B1" w:rsidRDefault="009543DB" w:rsidP="009543DB">
            <w:pPr>
              <w:keepNext/>
              <w:spacing w:before="40" w:after="40"/>
              <w:rPr>
                <w:sz w:val="18"/>
              </w:rPr>
            </w:pPr>
            <w:r w:rsidRPr="005637B1">
              <w:rPr>
                <w:sz w:val="18"/>
              </w:rPr>
              <w:t>Kerbside pick-up and drop-off facilities</w:t>
            </w:r>
          </w:p>
        </w:tc>
        <w:tc>
          <w:tcPr>
            <w:tcW w:w="1418" w:type="dxa"/>
            <w:tcBorders>
              <w:top w:val="single" w:sz="4" w:space="0" w:color="auto"/>
              <w:left w:val="nil"/>
              <w:bottom w:val="nil"/>
              <w:right w:val="nil"/>
            </w:tcBorders>
          </w:tcPr>
          <w:p w:rsidR="009543DB" w:rsidRPr="005637B1" w:rsidRDefault="009543DB" w:rsidP="009543DB">
            <w:pPr>
              <w:keepNext/>
              <w:spacing w:before="40" w:after="40"/>
              <w:rPr>
                <w:sz w:val="18"/>
              </w:rPr>
            </w:pPr>
            <w:r w:rsidRPr="005637B1">
              <w:rPr>
                <w:sz w:val="18"/>
              </w:rPr>
              <w:t>Good</w:t>
            </w:r>
          </w:p>
        </w:tc>
        <w:tc>
          <w:tcPr>
            <w:tcW w:w="1017" w:type="dxa"/>
            <w:tcBorders>
              <w:top w:val="single" w:sz="4" w:space="0" w:color="auto"/>
              <w:left w:val="nil"/>
              <w:bottom w:val="nil"/>
              <w:right w:val="nil"/>
            </w:tcBorders>
          </w:tcPr>
          <w:p w:rsidR="009543DB" w:rsidRPr="000C0E4D" w:rsidRDefault="009543DB" w:rsidP="009543DB">
            <w:pPr>
              <w:keepNext/>
              <w:spacing w:before="40" w:after="40"/>
              <w:rPr>
                <w:sz w:val="18"/>
              </w:rPr>
            </w:pPr>
            <w:r w:rsidRPr="000C0E4D">
              <w:rPr>
                <w:rFonts w:cs="Arial"/>
                <w:color w:val="943634" w:themeColor="accent2" w:themeShade="BF"/>
                <w:sz w:val="18"/>
              </w:rPr>
              <w:t>▲</w:t>
            </w:r>
          </w:p>
        </w:tc>
        <w:tc>
          <w:tcPr>
            <w:tcW w:w="1018" w:type="dxa"/>
            <w:tcBorders>
              <w:top w:val="single" w:sz="4" w:space="0" w:color="auto"/>
              <w:left w:val="nil"/>
              <w:bottom w:val="nil"/>
              <w:right w:val="nil"/>
            </w:tcBorders>
          </w:tcPr>
          <w:p w:rsidR="009543DB" w:rsidRPr="000C0E4D" w:rsidRDefault="009543DB" w:rsidP="009543DB">
            <w:pPr>
              <w:keepNext/>
              <w:spacing w:before="40" w:after="40"/>
              <w:rPr>
                <w:sz w:val="18"/>
              </w:rPr>
            </w:pPr>
            <w:r w:rsidRPr="000C0E4D">
              <w:rPr>
                <w:rFonts w:cs="Arial"/>
                <w:color w:val="943634" w:themeColor="accent2" w:themeShade="BF"/>
                <w:sz w:val="18"/>
              </w:rPr>
              <w:t>▲</w:t>
            </w:r>
          </w:p>
        </w:tc>
      </w:tr>
      <w:tr w:rsidR="009543DB" w:rsidRPr="000C0E4D" w:rsidTr="009543DB">
        <w:tc>
          <w:tcPr>
            <w:tcW w:w="1732" w:type="dxa"/>
            <w:vMerge/>
            <w:tcBorders>
              <w:left w:val="nil"/>
              <w:right w:val="nil"/>
            </w:tcBorders>
          </w:tcPr>
          <w:p w:rsidR="009543DB" w:rsidRPr="000C0E4D" w:rsidRDefault="009543DB" w:rsidP="009543DB">
            <w:pPr>
              <w:keepNext/>
              <w:spacing w:before="40" w:after="40"/>
              <w:rPr>
                <w:b/>
                <w:color w:val="000000" w:themeColor="text1"/>
                <w:sz w:val="18"/>
              </w:rPr>
            </w:pPr>
          </w:p>
        </w:tc>
        <w:tc>
          <w:tcPr>
            <w:tcW w:w="3479" w:type="dxa"/>
            <w:tcBorders>
              <w:top w:val="nil"/>
              <w:left w:val="nil"/>
              <w:bottom w:val="nil"/>
              <w:right w:val="nil"/>
            </w:tcBorders>
          </w:tcPr>
          <w:p w:rsidR="009543DB" w:rsidRPr="005637B1" w:rsidRDefault="009543DB" w:rsidP="009543DB">
            <w:pPr>
              <w:keepNext/>
              <w:spacing w:before="40" w:after="40"/>
              <w:rPr>
                <w:sz w:val="18"/>
              </w:rPr>
            </w:pPr>
            <w:r w:rsidRPr="005637B1">
              <w:rPr>
                <w:sz w:val="18"/>
              </w:rPr>
              <w:t>Taxi facilities waiting time</w:t>
            </w:r>
          </w:p>
        </w:tc>
        <w:tc>
          <w:tcPr>
            <w:tcW w:w="1418" w:type="dxa"/>
            <w:tcBorders>
              <w:top w:val="nil"/>
              <w:left w:val="nil"/>
              <w:bottom w:val="nil"/>
              <w:right w:val="nil"/>
            </w:tcBorders>
          </w:tcPr>
          <w:p w:rsidR="009543DB" w:rsidRPr="005637B1" w:rsidRDefault="009543DB" w:rsidP="009543DB">
            <w:pPr>
              <w:keepNext/>
              <w:spacing w:before="40" w:after="40"/>
              <w:rPr>
                <w:sz w:val="18"/>
              </w:rPr>
            </w:pPr>
            <w:r w:rsidRPr="005637B1">
              <w:rPr>
                <w:sz w:val="18"/>
              </w:rPr>
              <w:t>Satisfactory</w:t>
            </w:r>
          </w:p>
        </w:tc>
        <w:tc>
          <w:tcPr>
            <w:tcW w:w="1017" w:type="dxa"/>
            <w:tcBorders>
              <w:top w:val="nil"/>
              <w:left w:val="nil"/>
              <w:bottom w:val="nil"/>
              <w:right w:val="nil"/>
            </w:tcBorders>
          </w:tcPr>
          <w:p w:rsidR="009543DB" w:rsidRPr="000C0E4D" w:rsidRDefault="009543DB" w:rsidP="009543DB">
            <w:pPr>
              <w:keepNext/>
              <w:spacing w:before="40" w:after="40"/>
              <w:rPr>
                <w:sz w:val="18"/>
              </w:rPr>
            </w:pPr>
            <w:r w:rsidRPr="000C0E4D">
              <w:rPr>
                <w:rFonts w:cs="Arial"/>
                <w:color w:val="943634" w:themeColor="accent2" w:themeShade="BF"/>
                <w:sz w:val="18"/>
              </w:rPr>
              <w:t>▲</w:t>
            </w:r>
          </w:p>
        </w:tc>
        <w:tc>
          <w:tcPr>
            <w:tcW w:w="1018" w:type="dxa"/>
            <w:tcBorders>
              <w:top w:val="nil"/>
              <w:left w:val="nil"/>
              <w:bottom w:val="nil"/>
              <w:right w:val="nil"/>
            </w:tcBorders>
          </w:tcPr>
          <w:p w:rsidR="009543DB" w:rsidRPr="000C0E4D" w:rsidRDefault="009543DB" w:rsidP="009543DB">
            <w:pPr>
              <w:keepNext/>
              <w:spacing w:before="40" w:after="40"/>
              <w:rPr>
                <w:sz w:val="18"/>
              </w:rPr>
            </w:pPr>
            <w:r w:rsidRPr="000C0E4D">
              <w:rPr>
                <w:rFonts w:eastAsia="Times New Roman" w:cs="Times New Roman"/>
                <w:color w:val="F79646"/>
                <w:sz w:val="16"/>
                <w:szCs w:val="24"/>
                <w:lang w:eastAsia="en-AU"/>
              </w:rPr>
              <w:t>▼</w:t>
            </w:r>
          </w:p>
        </w:tc>
      </w:tr>
      <w:tr w:rsidR="009543DB" w:rsidRPr="000C0E4D" w:rsidTr="009543DB">
        <w:tc>
          <w:tcPr>
            <w:tcW w:w="1732" w:type="dxa"/>
            <w:vMerge/>
            <w:tcBorders>
              <w:left w:val="nil"/>
              <w:bottom w:val="single" w:sz="4" w:space="0" w:color="auto"/>
              <w:right w:val="nil"/>
            </w:tcBorders>
          </w:tcPr>
          <w:p w:rsidR="009543DB" w:rsidRPr="000C0E4D" w:rsidRDefault="009543DB" w:rsidP="009543DB">
            <w:pPr>
              <w:spacing w:before="40" w:after="40"/>
              <w:rPr>
                <w:b/>
                <w:color w:val="000000" w:themeColor="text1"/>
                <w:sz w:val="18"/>
              </w:rPr>
            </w:pPr>
          </w:p>
        </w:tc>
        <w:tc>
          <w:tcPr>
            <w:tcW w:w="3479" w:type="dxa"/>
            <w:tcBorders>
              <w:top w:val="nil"/>
              <w:left w:val="nil"/>
              <w:bottom w:val="single" w:sz="4" w:space="0" w:color="auto"/>
              <w:right w:val="nil"/>
            </w:tcBorders>
          </w:tcPr>
          <w:p w:rsidR="009543DB" w:rsidRPr="005637B1" w:rsidRDefault="009543DB" w:rsidP="009543DB">
            <w:pPr>
              <w:keepNext/>
              <w:spacing w:before="40" w:after="40"/>
              <w:rPr>
                <w:sz w:val="18"/>
              </w:rPr>
            </w:pPr>
            <w:r w:rsidRPr="005637B1">
              <w:rPr>
                <w:sz w:val="18"/>
              </w:rPr>
              <w:t>Kerbside space congestion</w:t>
            </w:r>
          </w:p>
        </w:tc>
        <w:tc>
          <w:tcPr>
            <w:tcW w:w="1418" w:type="dxa"/>
            <w:tcBorders>
              <w:top w:val="nil"/>
              <w:left w:val="nil"/>
              <w:bottom w:val="single" w:sz="4" w:space="0" w:color="auto"/>
              <w:right w:val="nil"/>
            </w:tcBorders>
          </w:tcPr>
          <w:p w:rsidR="009543DB" w:rsidRPr="005637B1" w:rsidRDefault="009543DB" w:rsidP="009543DB">
            <w:pPr>
              <w:keepNext/>
              <w:spacing w:before="40" w:after="40"/>
              <w:rPr>
                <w:sz w:val="18"/>
              </w:rPr>
            </w:pPr>
            <w:r w:rsidRPr="005637B1">
              <w:rPr>
                <w:sz w:val="18"/>
              </w:rPr>
              <w:t>Good</w:t>
            </w:r>
          </w:p>
        </w:tc>
        <w:tc>
          <w:tcPr>
            <w:tcW w:w="1017" w:type="dxa"/>
            <w:tcBorders>
              <w:top w:val="nil"/>
              <w:left w:val="nil"/>
              <w:bottom w:val="single" w:sz="4" w:space="0" w:color="auto"/>
              <w:right w:val="nil"/>
            </w:tcBorders>
          </w:tcPr>
          <w:p w:rsidR="009543DB" w:rsidRPr="000C0E4D" w:rsidRDefault="009543DB" w:rsidP="009543DB">
            <w:pPr>
              <w:keepNext/>
              <w:spacing w:before="40" w:after="40"/>
              <w:rPr>
                <w:sz w:val="18"/>
              </w:rPr>
            </w:pPr>
            <w:r w:rsidRPr="000C0E4D">
              <w:rPr>
                <w:rFonts w:cs="Arial"/>
                <w:color w:val="943634" w:themeColor="accent2" w:themeShade="BF"/>
                <w:sz w:val="18"/>
              </w:rPr>
              <w:t>▲</w:t>
            </w:r>
          </w:p>
        </w:tc>
        <w:tc>
          <w:tcPr>
            <w:tcW w:w="1018" w:type="dxa"/>
            <w:tcBorders>
              <w:top w:val="nil"/>
              <w:left w:val="nil"/>
              <w:bottom w:val="single" w:sz="4" w:space="0" w:color="auto"/>
              <w:right w:val="nil"/>
            </w:tcBorders>
          </w:tcPr>
          <w:p w:rsidR="009543DB" w:rsidRPr="000C0E4D" w:rsidRDefault="009543DB" w:rsidP="009543DB">
            <w:pPr>
              <w:keepNext/>
              <w:spacing w:before="40" w:after="40"/>
              <w:rPr>
                <w:sz w:val="18"/>
              </w:rPr>
            </w:pPr>
            <w:r w:rsidRPr="000C0E4D">
              <w:rPr>
                <w:rFonts w:eastAsia="Times New Roman" w:cs="Times New Roman"/>
                <w:color w:val="F79646"/>
                <w:sz w:val="16"/>
                <w:szCs w:val="24"/>
                <w:lang w:eastAsia="en-AU"/>
              </w:rPr>
              <w:t>▼</w:t>
            </w:r>
          </w:p>
        </w:tc>
      </w:tr>
    </w:tbl>
    <w:p w:rsidR="009543DB" w:rsidRPr="000C0E4D" w:rsidRDefault="009543DB" w:rsidP="009543DB">
      <w:pPr>
        <w:spacing w:before="120"/>
        <w:ind w:left="720" w:hanging="720"/>
        <w:contextualSpacing/>
        <w:rPr>
          <w:sz w:val="16"/>
          <w:szCs w:val="16"/>
        </w:rPr>
      </w:pPr>
      <w:r w:rsidRPr="000C0E4D">
        <w:rPr>
          <w:sz w:val="16"/>
          <w:szCs w:val="16"/>
        </w:rPr>
        <w:t>Source:</w:t>
      </w:r>
      <w:r w:rsidRPr="000C0E4D">
        <w:rPr>
          <w:sz w:val="16"/>
          <w:szCs w:val="16"/>
        </w:rPr>
        <w:tab/>
        <w:t>Passenger surveys</w:t>
      </w:r>
    </w:p>
    <w:p w:rsidR="009543DB" w:rsidRDefault="009543DB" w:rsidP="009543DB">
      <w:pPr>
        <w:spacing w:before="120"/>
        <w:ind w:left="720" w:hanging="720"/>
        <w:contextualSpacing/>
        <w:rPr>
          <w:sz w:val="16"/>
          <w:szCs w:val="16"/>
        </w:rPr>
      </w:pPr>
      <w:r w:rsidRPr="000C0E4D">
        <w:rPr>
          <w:sz w:val="16"/>
          <w:szCs w:val="16"/>
        </w:rPr>
        <w:t>Note:</w:t>
      </w:r>
      <w:r w:rsidRPr="000C0E4D">
        <w:rPr>
          <w:sz w:val="16"/>
          <w:szCs w:val="16"/>
        </w:rPr>
        <w:tab/>
        <w:t>The rating categories are: very poor, poor, satisfactory, good, and excellent.</w:t>
      </w:r>
      <w:r w:rsidRPr="000C0E4D">
        <w:rPr>
          <w:sz w:val="16"/>
          <w:szCs w:val="16"/>
        </w:rPr>
        <w:br/>
        <w:t xml:space="preserve">For each indicator for the period specified: </w:t>
      </w:r>
      <w:r w:rsidRPr="000C0E4D">
        <w:rPr>
          <w:rFonts w:eastAsia="Times New Roman" w:cs="Times New Roman"/>
          <w:color w:val="943634"/>
          <w:sz w:val="16"/>
          <w:szCs w:val="24"/>
          <w:lang w:eastAsia="en-AU"/>
        </w:rPr>
        <w:t>▲</w:t>
      </w:r>
      <w:r w:rsidRPr="000C0E4D">
        <w:rPr>
          <w:rFonts w:eastAsia="Times New Roman" w:cs="Times New Roman"/>
          <w:color w:val="943634"/>
          <w:sz w:val="18"/>
          <w:szCs w:val="24"/>
          <w:lang w:eastAsia="en-AU"/>
        </w:rPr>
        <w:t xml:space="preserve"> </w:t>
      </w:r>
      <w:r w:rsidRPr="000C0E4D">
        <w:rPr>
          <w:sz w:val="16"/>
          <w:szCs w:val="16"/>
        </w:rPr>
        <w:t>indicates an improvement;</w:t>
      </w:r>
      <w:r w:rsidRPr="000C0E4D">
        <w:rPr>
          <w:rFonts w:eastAsia="Times New Roman" w:cs="Times New Roman"/>
          <w:color w:val="943634"/>
          <w:sz w:val="18"/>
          <w:szCs w:val="24"/>
          <w:lang w:eastAsia="en-AU"/>
        </w:rPr>
        <w:t xml:space="preserve"> </w:t>
      </w:r>
      <w:r w:rsidRPr="000C0E4D">
        <w:rPr>
          <w:rFonts w:eastAsia="Times New Roman" w:cs="Times New Roman"/>
          <w:color w:val="F79646"/>
          <w:sz w:val="16"/>
          <w:szCs w:val="24"/>
          <w:lang w:eastAsia="en-AU"/>
        </w:rPr>
        <w:t xml:space="preserve">▼ </w:t>
      </w:r>
      <w:r w:rsidRPr="000C0E4D">
        <w:rPr>
          <w:sz w:val="16"/>
          <w:szCs w:val="16"/>
        </w:rPr>
        <w:t>indicates a decline;</w:t>
      </w:r>
      <w:r w:rsidRPr="000C0E4D">
        <w:rPr>
          <w:rFonts w:eastAsia="Times New Roman" w:cs="Times New Roman"/>
          <w:color w:val="F79646"/>
          <w:sz w:val="16"/>
          <w:szCs w:val="24"/>
          <w:lang w:eastAsia="en-AU"/>
        </w:rPr>
        <w:t xml:space="preserve"> </w:t>
      </w:r>
      <w:r w:rsidRPr="000C0E4D">
        <w:rPr>
          <w:rFonts w:cs="Arial"/>
          <w:color w:val="4BACC6"/>
          <w:sz w:val="16"/>
          <w:szCs w:val="16"/>
        </w:rPr>
        <w:t>▬</w:t>
      </w:r>
      <w:r w:rsidRPr="000C0E4D">
        <w:rPr>
          <w:sz w:val="16"/>
          <w:szCs w:val="16"/>
        </w:rPr>
        <w:t xml:space="preserve"> indicates no change. *Rating changed by a category over the period.</w:t>
      </w:r>
    </w:p>
    <w:p w:rsidR="009543DB" w:rsidRPr="000C0E4D" w:rsidRDefault="009543DB" w:rsidP="009543DB">
      <w:pPr>
        <w:spacing w:before="120"/>
        <w:ind w:left="720" w:hanging="720"/>
        <w:contextualSpacing/>
        <w:rPr>
          <w:sz w:val="16"/>
          <w:szCs w:val="16"/>
        </w:rPr>
      </w:pPr>
    </w:p>
    <w:p w:rsidR="009543DB" w:rsidRPr="003542DD" w:rsidRDefault="009543DB" w:rsidP="009543DB">
      <w:pPr>
        <w:rPr>
          <w:i/>
          <w:iCs/>
        </w:rPr>
      </w:pPr>
      <w:r>
        <w:rPr>
          <w:i/>
          <w:iCs/>
        </w:rPr>
        <w:t>Landside operator ratings</w:t>
      </w:r>
    </w:p>
    <w:p w:rsidR="009543DB" w:rsidRPr="00484FD8" w:rsidRDefault="009543DB" w:rsidP="009543DB">
      <w:r>
        <w:t xml:space="preserve">Perth </w:t>
      </w:r>
      <w:r w:rsidRPr="00484FD8">
        <w:t>Airport provided 123 designated spaces for passenger pick</w:t>
      </w:r>
      <w:r w:rsidRPr="00484FD8">
        <w:noBreakHyphen/>
        <w:t>up and drop</w:t>
      </w:r>
      <w:r w:rsidRPr="00484FD8">
        <w:noBreakHyphen/>
        <w:t>off for landside operators at the T1/T2 precinct and 34 spaces at the T3/T4 precinct.</w:t>
      </w:r>
    </w:p>
    <w:p w:rsidR="009543DB" w:rsidRDefault="009543DB" w:rsidP="009543DB">
      <w:r w:rsidRPr="003542DD">
        <w:t xml:space="preserve">The overall average rating of landside operator responses </w:t>
      </w:r>
      <w:r>
        <w:t>at Perth Airport dropped from ‘satisfactory’ in 2013-14 to ‘</w:t>
      </w:r>
      <w:r w:rsidRPr="004E3C19">
        <w:t>poor’</w:t>
      </w:r>
      <w:r>
        <w:t xml:space="preserve"> during 2014-15</w:t>
      </w:r>
      <w:r w:rsidRPr="004E3C19">
        <w:t>.</w:t>
      </w:r>
      <w:r>
        <w:t xml:space="preserve"> </w:t>
      </w:r>
      <w:r w:rsidRPr="000B317B">
        <w:t>Due to confidentiality issues, all commentary from associations and off-ai</w:t>
      </w:r>
      <w:r>
        <w:t>r</w:t>
      </w:r>
      <w:r w:rsidRPr="000B317B">
        <w:t>p</w:t>
      </w:r>
      <w:r>
        <w:t>ort</w:t>
      </w:r>
      <w:r w:rsidRPr="000B317B">
        <w:t xml:space="preserve"> car park operators will be combined. </w:t>
      </w:r>
      <w:r>
        <w:t xml:space="preserve">Commentary from landside users was mixed on ratings for Perth Airport during 2014-15. </w:t>
      </w:r>
    </w:p>
    <w:p w:rsidR="009543DB" w:rsidRDefault="009543DB" w:rsidP="009543DB">
      <w:r>
        <w:lastRenderedPageBreak/>
        <w:t xml:space="preserve">The T1/T2 precinct for kerbside space for pick-up and drop-off appears to have been affected by the construction work that occurred during 2014-15. Landside users commented that this work impacted on the quality and availability of pick-up and drop-off areas. However, some acknowledged that this was a temporary issue, while others said that the availability for pick up and drop off was satisfactory for T1. Issues identified with T2 included a lack of lay-over area and the distance passengers have to walk to buses. </w:t>
      </w:r>
    </w:p>
    <w:p w:rsidR="009543DB" w:rsidRDefault="009543DB" w:rsidP="009543DB">
      <w:r>
        <w:t xml:space="preserve">Commentary on the T3/T4 precinct included the claim that there is a lack of parking area for buses. Further, the kerbside space (which is shared with cars) caused congestion and time constraints on how long they can dwell. One user noted that not much had changed since 2013-14. </w:t>
      </w:r>
    </w:p>
    <w:p w:rsidR="009543DB" w:rsidRDefault="009543DB" w:rsidP="009543DB">
      <w:r w:rsidRPr="000B317B">
        <w:t xml:space="preserve">In terms of management responsiveness, some stakeholders stated that Perth Airport is </w:t>
      </w:r>
      <w:r>
        <w:t xml:space="preserve">generally available and responsive to concerns raised. </w:t>
      </w:r>
    </w:p>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9543DB" w:rsidRDefault="009543DB" w:rsidP="009543DB"/>
    <w:p w:rsidR="00F26847" w:rsidRDefault="00F26847" w:rsidP="009543DB">
      <w:pPr>
        <w:sectPr w:rsidR="00F26847" w:rsidSect="00164A1F">
          <w:type w:val="continuous"/>
          <w:pgSz w:w="11906" w:h="16838"/>
          <w:pgMar w:top="1440" w:right="1729" w:bottom="1582" w:left="1729" w:header="709" w:footer="709" w:gutter="0"/>
          <w:cols w:space="708"/>
          <w:docGrid w:linePitch="360"/>
        </w:sectPr>
      </w:pPr>
    </w:p>
    <w:p w:rsidR="00F26847" w:rsidRDefault="00F26847" w:rsidP="00833B8E">
      <w:pPr>
        <w:pStyle w:val="Numberedheading1"/>
        <w:keepNext/>
      </w:pPr>
      <w:r>
        <w:lastRenderedPageBreak/>
        <w:t>Sydney Airport</w:t>
      </w:r>
    </w:p>
    <w:p w:rsidR="00833B8E" w:rsidRPr="00833B8E" w:rsidRDefault="00833B8E" w:rsidP="00833B8E">
      <w:pPr>
        <w:pStyle w:val="Listbullet1"/>
        <w:keepNext/>
        <w:numPr>
          <w:ilvl w:val="0"/>
          <w:numId w:val="0"/>
        </w:numPr>
        <w:shd w:val="clear" w:color="auto" w:fill="DFE0DC"/>
        <w:rPr>
          <w:rFonts w:ascii="Lucida Fax" w:eastAsiaTheme="majorEastAsia" w:hAnsi="Lucida Fax" w:cstheme="majorBidi"/>
          <w:bCs/>
          <w:color w:val="51626F"/>
          <w:sz w:val="28"/>
          <w:szCs w:val="28"/>
        </w:rPr>
      </w:pPr>
      <w:r w:rsidRPr="00833B8E">
        <w:rPr>
          <w:rFonts w:ascii="Lucida Fax" w:eastAsiaTheme="majorEastAsia" w:hAnsi="Lucida Fax" w:cstheme="majorBidi"/>
          <w:bCs/>
          <w:color w:val="51626F"/>
          <w:sz w:val="28"/>
          <w:szCs w:val="28"/>
        </w:rPr>
        <w:t>Key points—2014-15</w:t>
      </w:r>
    </w:p>
    <w:p w:rsidR="00F26847" w:rsidRPr="00725BDC" w:rsidRDefault="00F26847" w:rsidP="00833B8E">
      <w:pPr>
        <w:pStyle w:val="Listbullet1"/>
        <w:keepNext/>
        <w:numPr>
          <w:ilvl w:val="0"/>
          <w:numId w:val="17"/>
        </w:numPr>
        <w:shd w:val="clear" w:color="auto" w:fill="DFE0DC"/>
        <w:ind w:left="357" w:hanging="357"/>
      </w:pPr>
      <w:r w:rsidRPr="00725BDC">
        <w:t xml:space="preserve">Passenger numbers at </w:t>
      </w:r>
      <w:r>
        <w:t xml:space="preserve">Sydney </w:t>
      </w:r>
      <w:r w:rsidRPr="00725BDC">
        <w:t xml:space="preserve">Airport </w:t>
      </w:r>
      <w:r>
        <w:t xml:space="preserve">increased by </w:t>
      </w:r>
      <w:r w:rsidRPr="00725BDC">
        <w:t>1.</w:t>
      </w:r>
      <w:r>
        <w:t>2</w:t>
      </w:r>
      <w:r w:rsidRPr="00725BDC">
        <w:t xml:space="preserve"> per cent to </w:t>
      </w:r>
      <w:r>
        <w:t>39.2</w:t>
      </w:r>
      <w:r w:rsidRPr="00725BDC">
        <w:t> million passengers.</w:t>
      </w:r>
    </w:p>
    <w:p w:rsidR="00F26847" w:rsidRDefault="00F26847" w:rsidP="00833B8E">
      <w:pPr>
        <w:pStyle w:val="Listbullet1"/>
        <w:keepNext/>
        <w:numPr>
          <w:ilvl w:val="0"/>
          <w:numId w:val="17"/>
        </w:numPr>
        <w:shd w:val="clear" w:color="auto" w:fill="DFE0DC"/>
        <w:ind w:left="357" w:hanging="357"/>
      </w:pPr>
      <w:r w:rsidRPr="00725BDC">
        <w:t xml:space="preserve">Total aeronautical revenue </w:t>
      </w:r>
      <w:r>
        <w:t xml:space="preserve">increased by 1.8 </w:t>
      </w:r>
      <w:r w:rsidRPr="00725BDC">
        <w:t>per cent in real terms to $</w:t>
      </w:r>
      <w:r>
        <w:t>643.0</w:t>
      </w:r>
      <w:r w:rsidRPr="00725BDC">
        <w:t xml:space="preserve"> million</w:t>
      </w:r>
      <w:r>
        <w:t xml:space="preserve"> while aeronautical aggregate margin increased 2.3 per cent in real terms to $322.2 million. This equates to a profit of 50.1 cents per dollar of aeronautical revenue, the highest of any airport over the eleven year time series.</w:t>
      </w:r>
    </w:p>
    <w:p w:rsidR="00F26847" w:rsidRPr="00725BDC" w:rsidRDefault="00F26847" w:rsidP="00833B8E">
      <w:pPr>
        <w:pStyle w:val="Listbullet1"/>
        <w:keepNext/>
        <w:numPr>
          <w:ilvl w:val="0"/>
          <w:numId w:val="17"/>
        </w:numPr>
        <w:shd w:val="clear" w:color="auto" w:fill="DFE0DC"/>
        <w:ind w:left="357" w:hanging="357"/>
      </w:pPr>
      <w:r>
        <w:t xml:space="preserve">Total aeronautical capital expenditure was $126.8 million. </w:t>
      </w:r>
    </w:p>
    <w:p w:rsidR="00F26847" w:rsidRPr="00725BDC" w:rsidRDefault="00F26847" w:rsidP="00833B8E">
      <w:pPr>
        <w:pStyle w:val="Listbullet1"/>
        <w:keepNext/>
        <w:numPr>
          <w:ilvl w:val="0"/>
          <w:numId w:val="17"/>
        </w:numPr>
        <w:shd w:val="clear" w:color="auto" w:fill="DFE0DC"/>
        <w:ind w:left="357" w:hanging="357"/>
      </w:pPr>
      <w:r>
        <w:t>The r</w:t>
      </w:r>
      <w:r w:rsidRPr="00725BDC">
        <w:t xml:space="preserve">ate of return on tangible aeronautical non-current assets </w:t>
      </w:r>
      <w:r>
        <w:t>increased by 0.3</w:t>
      </w:r>
      <w:r w:rsidRPr="00725BDC">
        <w:t xml:space="preserve"> percentage points to </w:t>
      </w:r>
      <w:r>
        <w:t>12.4</w:t>
      </w:r>
      <w:r w:rsidRPr="00725BDC">
        <w:t xml:space="preserve"> per cent.</w:t>
      </w:r>
    </w:p>
    <w:p w:rsidR="00F26847" w:rsidRPr="002A3F10" w:rsidRDefault="00F26847" w:rsidP="00833B8E">
      <w:pPr>
        <w:pStyle w:val="Listbullet1"/>
        <w:keepNext/>
        <w:numPr>
          <w:ilvl w:val="0"/>
          <w:numId w:val="17"/>
        </w:numPr>
        <w:shd w:val="clear" w:color="auto" w:fill="DFE0DC"/>
        <w:ind w:left="357" w:hanging="357"/>
      </w:pPr>
      <w:r>
        <w:t xml:space="preserve">Sydney Airport’s </w:t>
      </w:r>
      <w:r w:rsidRPr="002A3F10">
        <w:t xml:space="preserve">average overall quality of service rating was unchanged at </w:t>
      </w:r>
      <w:r w:rsidRPr="004A5B15">
        <w:t>‘satisfactory’</w:t>
      </w:r>
      <w:r w:rsidRPr="002A3F10">
        <w:t>.</w:t>
      </w:r>
      <w:r>
        <w:t xml:space="preserve"> Sydney Airport was rated equal lowest with Melbourne.</w:t>
      </w:r>
    </w:p>
    <w:p w:rsidR="00F26847" w:rsidRDefault="00F26847" w:rsidP="00833B8E">
      <w:pPr>
        <w:pStyle w:val="Listbullet1"/>
        <w:keepNext/>
        <w:numPr>
          <w:ilvl w:val="0"/>
          <w:numId w:val="17"/>
        </w:numPr>
        <w:shd w:val="clear" w:color="auto" w:fill="DFE0DC"/>
        <w:ind w:left="357" w:hanging="357"/>
      </w:pPr>
      <w:r w:rsidRPr="00725BDC">
        <w:t xml:space="preserve">Total car parking </w:t>
      </w:r>
      <w:r>
        <w:t>aggregate</w:t>
      </w:r>
      <w:r w:rsidRPr="00725BDC">
        <w:t xml:space="preserve"> margin</w:t>
      </w:r>
      <w:r>
        <w:t xml:space="preserve"> increased by 2.2 per cent </w:t>
      </w:r>
      <w:r w:rsidRPr="00725BDC">
        <w:t>in real terms to $</w:t>
      </w:r>
      <w:r>
        <w:t>91.5</w:t>
      </w:r>
      <w:r w:rsidRPr="00725BDC">
        <w:t xml:space="preserve"> million.</w:t>
      </w:r>
      <w:r>
        <w:t xml:space="preserve"> It made a profit of 71.6 cents per dollar of car parking revenue.</w:t>
      </w:r>
    </w:p>
    <w:p w:rsidR="00F26847" w:rsidRDefault="00F26847" w:rsidP="00833B8E">
      <w:pPr>
        <w:pStyle w:val="Numberedheading2"/>
      </w:pPr>
      <w:r>
        <w:t>Airport overview and major investments</w:t>
      </w:r>
    </w:p>
    <w:p w:rsidR="00F26847" w:rsidRDefault="00F26847" w:rsidP="00833B8E">
      <w:pPr>
        <w:keepNext/>
      </w:pPr>
      <w:r>
        <w:t>This section looks at Sydney Airport’s aeronautical activities including volume of passengers, tonnes landed and aircraft movements (Section 5.1.1). Other areas assessed include terminal configurations and car parking facilities (Section 5.1.2) and major investments (Section 5.1.3).</w:t>
      </w:r>
    </w:p>
    <w:p w:rsidR="00F26847" w:rsidRDefault="00F26847" w:rsidP="00833B8E">
      <w:pPr>
        <w:pStyle w:val="Numberedheading3"/>
        <w:tabs>
          <w:tab w:val="clear" w:pos="1384"/>
          <w:tab w:val="num" w:pos="993"/>
        </w:tabs>
        <w:ind w:left="993" w:hanging="993"/>
      </w:pPr>
      <w:r>
        <w:t>Activity levels</w:t>
      </w:r>
    </w:p>
    <w:p w:rsidR="00F26847" w:rsidRDefault="00F26847" w:rsidP="00833B8E">
      <w:pPr>
        <w:keepNext/>
      </w:pPr>
      <w:r>
        <w:t>Chart 5.1.1 shows that total passenger volume increased by 1.2 per cent at Sydney Airport during 2014-15 to 39.2 million.</w:t>
      </w:r>
    </w:p>
    <w:p w:rsidR="00F26847" w:rsidRDefault="00F26847" w:rsidP="00833B8E">
      <w:pPr>
        <w:keepNext/>
      </w:pPr>
      <w:r>
        <w:t xml:space="preserve">Domestic passenger numbers (including on carriage) grew by 1.4 per cent to 25.6 million while international passenger (including transit) growth was 1.0 per cent to 13.6 million passengers. The growth in international passengers at Sydney Airport during 2014-15 was the lowest since 2008-09 when it reduced by 3.0 per cent. </w:t>
      </w:r>
    </w:p>
    <w:p w:rsidR="00F26847" w:rsidRPr="006B740F" w:rsidRDefault="00F26847" w:rsidP="00833B8E">
      <w:pPr>
        <w:keepNext/>
        <w:rPr>
          <w:b/>
          <w:i/>
          <w:color w:val="FF0000"/>
          <w:u w:val="single"/>
        </w:rPr>
      </w:pPr>
      <w:r>
        <w:t>Total tonnes landed decreased by 3.2 per cent while total aircraft movements grew by 0.7 per cent. This measure has not decreased at Sydney Airport since 2002-03.</w:t>
      </w:r>
    </w:p>
    <w:p w:rsidR="00F26847" w:rsidRDefault="00F26847" w:rsidP="00F26847">
      <w:pPr>
        <w:keepNext/>
      </w:pPr>
    </w:p>
    <w:p w:rsidR="00F26847" w:rsidRDefault="00F26847" w:rsidP="00F26847">
      <w:pPr>
        <w:keepNext/>
      </w:pPr>
    </w:p>
    <w:p w:rsidR="00F26847" w:rsidRDefault="00F26847" w:rsidP="00F26847">
      <w:pPr>
        <w:keepNext/>
      </w:pPr>
    </w:p>
    <w:p w:rsidR="00F26847" w:rsidRDefault="00F26847" w:rsidP="00F26847">
      <w:pPr>
        <w:keepNext/>
      </w:pPr>
    </w:p>
    <w:p w:rsidR="00F26847" w:rsidRDefault="00F26847" w:rsidP="00F26847">
      <w:pPr>
        <w:keepNext/>
      </w:pPr>
    </w:p>
    <w:p w:rsidR="00F26847" w:rsidRDefault="00F26847" w:rsidP="00F26847">
      <w:pPr>
        <w:keepNext/>
        <w:spacing w:before="240" w:after="200" w:line="276" w:lineRule="auto"/>
        <w:ind w:left="1440" w:hanging="1440"/>
        <w:outlineLvl w:val="3"/>
        <w:rPr>
          <w:b/>
          <w:color w:val="51626F"/>
        </w:rPr>
      </w:pPr>
    </w:p>
    <w:p w:rsidR="00F26847" w:rsidRDefault="00F26847" w:rsidP="00F26847">
      <w:pPr>
        <w:keepNext/>
        <w:spacing w:before="240" w:after="200" w:line="276" w:lineRule="auto"/>
        <w:ind w:left="1440" w:hanging="1440"/>
        <w:outlineLvl w:val="3"/>
        <w:rPr>
          <w:b/>
          <w:color w:val="51626F"/>
        </w:rPr>
      </w:pPr>
    </w:p>
    <w:p w:rsidR="00F26847" w:rsidRPr="009366EA" w:rsidRDefault="00F26847" w:rsidP="00F26847">
      <w:pPr>
        <w:keepNext/>
        <w:spacing w:before="240" w:after="200" w:line="276" w:lineRule="auto"/>
        <w:ind w:left="1440" w:hanging="1440"/>
        <w:outlineLvl w:val="3"/>
        <w:rPr>
          <w:b/>
          <w:color w:val="51626F"/>
        </w:rPr>
      </w:pPr>
      <w:r w:rsidRPr="009366EA">
        <w:rPr>
          <w:b/>
          <w:color w:val="51626F"/>
        </w:rPr>
        <w:lastRenderedPageBreak/>
        <w:t>Chart 5.1.1:</w:t>
      </w:r>
      <w:r w:rsidRPr="009366EA">
        <w:rPr>
          <w:b/>
          <w:color w:val="51626F"/>
        </w:rPr>
        <w:tab/>
        <w:t>Sydney Airport—volume of passengers, tonnes landed and aircraft movements: 2004</w:t>
      </w:r>
      <w:r w:rsidRPr="009366EA">
        <w:rPr>
          <w:b/>
          <w:color w:val="51626F"/>
        </w:rPr>
        <w:noBreakHyphen/>
        <w:t>05 to 2014</w:t>
      </w:r>
      <w:r w:rsidRPr="009366EA">
        <w:rPr>
          <w:b/>
          <w:color w:val="51626F"/>
        </w:rPr>
        <w:noBreakHyphen/>
        <w:t>15</w:t>
      </w:r>
      <w:r w:rsidRPr="009366EA">
        <w:rPr>
          <w:b/>
          <w:color w:val="51626F"/>
          <w:vertAlign w:val="superscript"/>
        </w:rPr>
        <w:footnoteReference w:id="122"/>
      </w:r>
    </w:p>
    <w:p w:rsidR="00F26847" w:rsidRDefault="00F26847" w:rsidP="00F26847">
      <w:pPr>
        <w:keepNext/>
      </w:pPr>
      <w:r w:rsidRPr="00530DA7">
        <w:rPr>
          <w:noProof/>
          <w:lang w:eastAsia="en-AU"/>
        </w:rPr>
        <w:drawing>
          <wp:inline distT="0" distB="0" distL="0" distR="0" wp14:anchorId="6AF35C09" wp14:editId="151EC0C1">
            <wp:extent cx="5365630" cy="2958861"/>
            <wp:effectExtent l="0" t="0" r="698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64480" cy="2958227"/>
                    </a:xfrm>
                    <a:prstGeom prst="rect">
                      <a:avLst/>
                    </a:prstGeom>
                    <a:noFill/>
                    <a:ln>
                      <a:noFill/>
                    </a:ln>
                  </pic:spPr>
                </pic:pic>
              </a:graphicData>
            </a:graphic>
          </wp:inline>
        </w:drawing>
      </w:r>
    </w:p>
    <w:p w:rsidR="00F26847" w:rsidRDefault="00F26847" w:rsidP="00F26847">
      <w:pPr>
        <w:pStyle w:val="Numberedheading3"/>
        <w:tabs>
          <w:tab w:val="clear" w:pos="1384"/>
          <w:tab w:val="num" w:pos="993"/>
        </w:tabs>
        <w:ind w:left="993" w:hanging="993"/>
      </w:pPr>
      <w:r>
        <w:t>Terminal configurations and car parking facilities</w:t>
      </w:r>
    </w:p>
    <w:p w:rsidR="00F26847" w:rsidRDefault="00F26847" w:rsidP="00F26847">
      <w:pPr>
        <w:pStyle w:val="Numberedheading4"/>
        <w:keepNext/>
      </w:pPr>
      <w:r>
        <w:t>Terminal configurations</w:t>
      </w:r>
    </w:p>
    <w:p w:rsidR="00F26847" w:rsidRPr="009366EA" w:rsidRDefault="00F26847" w:rsidP="00F26847">
      <w:pPr>
        <w:keepNext/>
      </w:pPr>
      <w:r w:rsidRPr="009366EA">
        <w:t>Sydney Airport has one international terminal and two domestic terminals that are located within two precincts:</w:t>
      </w:r>
    </w:p>
    <w:p w:rsidR="00F26847" w:rsidRPr="009366EA" w:rsidRDefault="00F26847" w:rsidP="00F26847">
      <w:pPr>
        <w:keepNext/>
        <w:numPr>
          <w:ilvl w:val="0"/>
          <w:numId w:val="19"/>
        </w:numPr>
        <w:spacing w:before="120" w:after="120"/>
        <w:ind w:left="360"/>
      </w:pPr>
      <w:r w:rsidRPr="009366EA">
        <w:t xml:space="preserve">The international terminal (T1) is a common user terminal that is utilised by all airlines flying internationally to and from Sydney Airport. It is located within the international precinct. </w:t>
      </w:r>
    </w:p>
    <w:p w:rsidR="00F26847" w:rsidRPr="009366EA" w:rsidRDefault="00F26847" w:rsidP="00F26847">
      <w:pPr>
        <w:keepNext/>
        <w:numPr>
          <w:ilvl w:val="0"/>
          <w:numId w:val="19"/>
        </w:numPr>
        <w:spacing w:before="120" w:after="120"/>
        <w:ind w:left="360"/>
      </w:pPr>
      <w:r w:rsidRPr="009366EA">
        <w:t xml:space="preserve">Terminal 2 (T2) and 3 (T3) are both domestic terminals located in the domestic precinct. T2 is a common user terminal currently used by a number of domestic and regional airlines, including Jetstar, Virgin Australia, Regional Express and Tigerair. </w:t>
      </w:r>
    </w:p>
    <w:p w:rsidR="00F26847" w:rsidRPr="009366EA" w:rsidRDefault="00F26847" w:rsidP="00F26847">
      <w:pPr>
        <w:keepNext/>
        <w:numPr>
          <w:ilvl w:val="0"/>
          <w:numId w:val="19"/>
        </w:numPr>
        <w:spacing w:before="120" w:after="120"/>
        <w:ind w:left="360"/>
      </w:pPr>
      <w:r w:rsidRPr="009366EA">
        <w:t xml:space="preserve">The Qantas domestic terminal (T3) was owned and operated by Qantas under a domestic terminal lease and therefore is not subject to ACCC monitoring during 2014-15. However, during August 2015 Sydney Airport agreed to purchase and </w:t>
      </w:r>
      <w:proofErr w:type="gramStart"/>
      <w:r w:rsidRPr="009366EA">
        <w:t>operate</w:t>
      </w:r>
      <w:proofErr w:type="gramEnd"/>
      <w:r w:rsidRPr="009366EA">
        <w:t xml:space="preserve"> T3 from Qantas. Qantas will remain the priority user of T3 until 2025.</w:t>
      </w:r>
      <w:r w:rsidRPr="009366EA">
        <w:rPr>
          <w:vertAlign w:val="superscript"/>
        </w:rPr>
        <w:footnoteReference w:id="123"/>
      </w:r>
      <w:r w:rsidRPr="009366EA">
        <w:rPr>
          <w:vertAlign w:val="superscript"/>
        </w:rPr>
        <w:t xml:space="preserve"> </w:t>
      </w:r>
      <w:r w:rsidRPr="009366EA">
        <w:t xml:space="preserve">T3 will be subject to monitoring in the 2015-16 monitoring report.  </w:t>
      </w:r>
    </w:p>
    <w:p w:rsidR="00F26847" w:rsidRDefault="00F26847" w:rsidP="00F26847">
      <w:pPr>
        <w:pStyle w:val="Numberedheading4"/>
        <w:keepNext/>
      </w:pPr>
      <w:r>
        <w:t>Car parking facilities</w:t>
      </w:r>
    </w:p>
    <w:p w:rsidR="00F26847" w:rsidRDefault="00F26847" w:rsidP="00F26847">
      <w:pPr>
        <w:keepNext/>
      </w:pPr>
      <w:r>
        <w:t>Sydney Airport has three major car parking facilities. The international precinct has a multi-level car park and an on-grade area that provides both short term and long term car parking and is located opposite the international terminal.</w:t>
      </w:r>
    </w:p>
    <w:p w:rsidR="00F26847" w:rsidRDefault="00F26847" w:rsidP="00F26847">
      <w:pPr>
        <w:keepNext/>
      </w:pPr>
      <w:r>
        <w:t xml:space="preserve">The domestic precinct has multi-level car parks that provide both short-term and long-term car parking. Sydney Airport has a separate long-term car park located off Ross Smith Avenue on the Eastern side of the airport. This car park services the domestic precinct with a complimentary shuttle bus. </w:t>
      </w:r>
    </w:p>
    <w:p w:rsidR="00F26847" w:rsidRDefault="00F26847" w:rsidP="00F26847">
      <w:pPr>
        <w:pStyle w:val="Numberedheading3"/>
        <w:tabs>
          <w:tab w:val="clear" w:pos="1384"/>
          <w:tab w:val="num" w:pos="993"/>
        </w:tabs>
        <w:ind w:left="993" w:hanging="993"/>
      </w:pPr>
      <w:r>
        <w:lastRenderedPageBreak/>
        <w:t>Major airport investments</w:t>
      </w:r>
    </w:p>
    <w:p w:rsidR="00F26847" w:rsidRDefault="00F26847" w:rsidP="00F26847">
      <w:pPr>
        <w:keepNext/>
      </w:pPr>
      <w:r w:rsidRPr="00AC7305">
        <w:t xml:space="preserve">Table 5.1.1 provides a summary of major aeronautical investments that have been completed, commenced or planned during 2014-15. Sydney Airport’s Master Plan was approved on 17 February 2014.  </w:t>
      </w:r>
      <w:r w:rsidRPr="005B46AA">
        <w:t xml:space="preserve"> </w:t>
      </w:r>
    </w:p>
    <w:p w:rsidR="00F26847" w:rsidRDefault="00F26847" w:rsidP="00F26847">
      <w:pPr>
        <w:pStyle w:val="Numberedcharttitle"/>
      </w:pPr>
      <w:r>
        <w:t>Table 5</w:t>
      </w:r>
      <w:r w:rsidRPr="00882869">
        <w:t>.1.</w:t>
      </w:r>
      <w:r>
        <w:t>1</w:t>
      </w:r>
      <w:r w:rsidRPr="00882869">
        <w:t>:</w:t>
      </w:r>
      <w:r w:rsidRPr="00882869">
        <w:tab/>
      </w:r>
      <w:r>
        <w:t>Sydney</w:t>
      </w:r>
      <w:r w:rsidRPr="00882869">
        <w:t xml:space="preserve"> Airport—major investments in</w:t>
      </w:r>
      <w:r>
        <w:t xml:space="preserve"> aeronautical services and facilities</w:t>
      </w:r>
    </w:p>
    <w:tbl>
      <w:tblPr>
        <w:tblStyle w:val="TableGrid"/>
        <w:tblW w:w="0" w:type="auto"/>
        <w:tblLayout w:type="fixed"/>
        <w:tblLook w:val="04A0" w:firstRow="1" w:lastRow="0" w:firstColumn="1" w:lastColumn="0" w:noHBand="0" w:noVBand="1"/>
      </w:tblPr>
      <w:tblGrid>
        <w:gridCol w:w="5070"/>
        <w:gridCol w:w="1185"/>
        <w:gridCol w:w="1185"/>
        <w:gridCol w:w="1186"/>
      </w:tblGrid>
      <w:tr w:rsidR="00F26847" w:rsidTr="00BE4EED">
        <w:trPr>
          <w:tblHeader/>
        </w:trPr>
        <w:tc>
          <w:tcPr>
            <w:tcW w:w="5070" w:type="dxa"/>
            <w:tcBorders>
              <w:left w:val="nil"/>
              <w:bottom w:val="single" w:sz="4" w:space="0" w:color="auto"/>
              <w:right w:val="nil"/>
            </w:tcBorders>
            <w:shd w:val="clear" w:color="auto" w:fill="DFE0DC"/>
          </w:tcPr>
          <w:p w:rsidR="00F26847" w:rsidRDefault="00F26847" w:rsidP="00BE4EED">
            <w:pPr>
              <w:pStyle w:val="Tabletextheading"/>
              <w:keepNext/>
            </w:pPr>
            <w:r>
              <w:t>Description of investment</w:t>
            </w:r>
          </w:p>
        </w:tc>
        <w:tc>
          <w:tcPr>
            <w:tcW w:w="1185" w:type="dxa"/>
            <w:tcBorders>
              <w:left w:val="nil"/>
              <w:bottom w:val="single" w:sz="4" w:space="0" w:color="auto"/>
              <w:right w:val="nil"/>
            </w:tcBorders>
            <w:shd w:val="clear" w:color="auto" w:fill="DFE0DC"/>
          </w:tcPr>
          <w:p w:rsidR="00F26847" w:rsidRDefault="00F26847" w:rsidP="00BE4EED">
            <w:pPr>
              <w:pStyle w:val="Tabletextheadingright"/>
              <w:keepNext/>
            </w:pPr>
            <w:r>
              <w:t>Value ($m)</w:t>
            </w:r>
          </w:p>
        </w:tc>
        <w:tc>
          <w:tcPr>
            <w:tcW w:w="1185" w:type="dxa"/>
            <w:tcBorders>
              <w:left w:val="nil"/>
              <w:bottom w:val="single" w:sz="4" w:space="0" w:color="auto"/>
              <w:right w:val="nil"/>
            </w:tcBorders>
            <w:shd w:val="clear" w:color="auto" w:fill="DFE0DC"/>
          </w:tcPr>
          <w:p w:rsidR="00F26847" w:rsidRDefault="00F26847" w:rsidP="00BE4EED">
            <w:pPr>
              <w:pStyle w:val="Tabletextheadingright"/>
              <w:keepNext/>
            </w:pPr>
            <w:r>
              <w:t>Started</w:t>
            </w:r>
          </w:p>
        </w:tc>
        <w:tc>
          <w:tcPr>
            <w:tcW w:w="1186" w:type="dxa"/>
            <w:tcBorders>
              <w:left w:val="nil"/>
              <w:bottom w:val="single" w:sz="4" w:space="0" w:color="auto"/>
              <w:right w:val="nil"/>
            </w:tcBorders>
            <w:shd w:val="clear" w:color="auto" w:fill="DFE0DC"/>
          </w:tcPr>
          <w:p w:rsidR="00F26847" w:rsidRDefault="00F26847" w:rsidP="00BE4EED">
            <w:pPr>
              <w:pStyle w:val="Tabletextheadingright"/>
              <w:keepNext/>
            </w:pPr>
            <w:r>
              <w:t>Completed</w:t>
            </w:r>
          </w:p>
        </w:tc>
      </w:tr>
      <w:tr w:rsidR="00F26847" w:rsidTr="00BE4EED">
        <w:tc>
          <w:tcPr>
            <w:tcW w:w="5070" w:type="dxa"/>
            <w:tcBorders>
              <w:left w:val="nil"/>
              <w:bottom w:val="nil"/>
              <w:right w:val="nil"/>
            </w:tcBorders>
          </w:tcPr>
          <w:p w:rsidR="00F26847" w:rsidRPr="00804C5F" w:rsidRDefault="00F26847" w:rsidP="00BE4EED">
            <w:pPr>
              <w:pStyle w:val="Tabletextleft"/>
              <w:keepNext/>
            </w:pPr>
            <w:r w:rsidRPr="00804C5F">
              <w:t>T1</w:t>
            </w:r>
            <w:r>
              <w:t xml:space="preserve"> early</w:t>
            </w:r>
            <w:r w:rsidRPr="00804C5F">
              <w:t xml:space="preserve"> </w:t>
            </w:r>
            <w:r>
              <w:t>bag store and additional make up positions</w:t>
            </w:r>
          </w:p>
        </w:tc>
        <w:tc>
          <w:tcPr>
            <w:tcW w:w="1185" w:type="dxa"/>
            <w:tcBorders>
              <w:left w:val="nil"/>
              <w:bottom w:val="nil"/>
              <w:right w:val="nil"/>
            </w:tcBorders>
          </w:tcPr>
          <w:p w:rsidR="00F26847" w:rsidRPr="00804C5F" w:rsidRDefault="00F26847" w:rsidP="00BE4EED">
            <w:pPr>
              <w:pStyle w:val="Tabletextright"/>
              <w:keepNext/>
            </w:pPr>
            <w:r>
              <w:t>20-50</w:t>
            </w:r>
          </w:p>
        </w:tc>
        <w:tc>
          <w:tcPr>
            <w:tcW w:w="1185" w:type="dxa"/>
            <w:tcBorders>
              <w:left w:val="nil"/>
              <w:bottom w:val="nil"/>
              <w:right w:val="nil"/>
            </w:tcBorders>
          </w:tcPr>
          <w:p w:rsidR="00F26847" w:rsidRPr="00804C5F" w:rsidRDefault="00F26847" w:rsidP="00BE4EED">
            <w:pPr>
              <w:pStyle w:val="Tabletextright2"/>
              <w:keepNext/>
            </w:pPr>
            <w:r>
              <w:t>Q2</w:t>
            </w:r>
            <w:r w:rsidRPr="00804C5F">
              <w:t xml:space="preserve"> 201</w:t>
            </w:r>
            <w:r>
              <w:t>3</w:t>
            </w:r>
          </w:p>
        </w:tc>
        <w:tc>
          <w:tcPr>
            <w:tcW w:w="1186" w:type="dxa"/>
            <w:tcBorders>
              <w:left w:val="nil"/>
              <w:bottom w:val="nil"/>
              <w:right w:val="nil"/>
            </w:tcBorders>
          </w:tcPr>
          <w:p w:rsidR="00F26847" w:rsidRPr="00804C5F" w:rsidRDefault="00F26847" w:rsidP="00BE4EED">
            <w:pPr>
              <w:pStyle w:val="Tabletextright2"/>
              <w:keepNext/>
            </w:pPr>
            <w:r w:rsidRPr="00804C5F">
              <w:t>Q</w:t>
            </w:r>
            <w:r>
              <w:t>2</w:t>
            </w:r>
            <w:r w:rsidRPr="00804C5F">
              <w:t xml:space="preserve"> 2015</w:t>
            </w:r>
          </w:p>
        </w:tc>
      </w:tr>
      <w:tr w:rsidR="00F26847" w:rsidTr="00BE4EED">
        <w:tc>
          <w:tcPr>
            <w:tcW w:w="5070" w:type="dxa"/>
            <w:tcBorders>
              <w:top w:val="nil"/>
              <w:left w:val="nil"/>
              <w:bottom w:val="nil"/>
              <w:right w:val="nil"/>
            </w:tcBorders>
          </w:tcPr>
          <w:p w:rsidR="00F26847" w:rsidRPr="00804C5F" w:rsidRDefault="00F26847" w:rsidP="00BE4EED">
            <w:pPr>
              <w:pStyle w:val="Tabletextleft"/>
              <w:keepNext/>
            </w:pPr>
            <w:r>
              <w:t>T1 two new baggage reclaims</w:t>
            </w:r>
          </w:p>
        </w:tc>
        <w:tc>
          <w:tcPr>
            <w:tcW w:w="1185" w:type="dxa"/>
            <w:tcBorders>
              <w:top w:val="nil"/>
              <w:left w:val="nil"/>
              <w:bottom w:val="nil"/>
              <w:right w:val="nil"/>
            </w:tcBorders>
          </w:tcPr>
          <w:p w:rsidR="00F26847" w:rsidRPr="00804C5F" w:rsidRDefault="00F26847" w:rsidP="00BE4EED">
            <w:pPr>
              <w:pStyle w:val="Tabletextright"/>
              <w:keepNext/>
            </w:pPr>
            <w:r w:rsidRPr="00804C5F">
              <w:t>2</w:t>
            </w:r>
            <w:r>
              <w:t>0-50</w:t>
            </w:r>
          </w:p>
        </w:tc>
        <w:tc>
          <w:tcPr>
            <w:tcW w:w="1185" w:type="dxa"/>
            <w:tcBorders>
              <w:top w:val="nil"/>
              <w:left w:val="nil"/>
              <w:bottom w:val="nil"/>
              <w:right w:val="nil"/>
            </w:tcBorders>
          </w:tcPr>
          <w:p w:rsidR="00F26847" w:rsidRPr="00804C5F" w:rsidRDefault="00F26847" w:rsidP="00BE4EED">
            <w:pPr>
              <w:pStyle w:val="Tabletextright2"/>
              <w:keepNext/>
            </w:pPr>
            <w:r w:rsidRPr="00804C5F">
              <w:t>Q</w:t>
            </w:r>
            <w:r>
              <w:t>2</w:t>
            </w:r>
            <w:r w:rsidRPr="00804C5F">
              <w:t xml:space="preserve"> 2013</w:t>
            </w:r>
          </w:p>
        </w:tc>
        <w:tc>
          <w:tcPr>
            <w:tcW w:w="1186" w:type="dxa"/>
            <w:tcBorders>
              <w:top w:val="nil"/>
              <w:left w:val="nil"/>
              <w:bottom w:val="nil"/>
              <w:right w:val="nil"/>
            </w:tcBorders>
          </w:tcPr>
          <w:p w:rsidR="00F26847" w:rsidRPr="00804C5F" w:rsidRDefault="00F26847" w:rsidP="00BE4EED">
            <w:pPr>
              <w:pStyle w:val="Tabletextright2"/>
              <w:keepNext/>
            </w:pPr>
            <w:r w:rsidRPr="00804C5F">
              <w:t>Q</w:t>
            </w:r>
            <w:r>
              <w:t>4</w:t>
            </w:r>
            <w:r w:rsidRPr="00804C5F">
              <w:t xml:space="preserve"> 201</w:t>
            </w:r>
            <w:r>
              <w:t>4</w:t>
            </w:r>
          </w:p>
        </w:tc>
      </w:tr>
      <w:tr w:rsidR="00F26847" w:rsidTr="00BE4EED">
        <w:trPr>
          <w:trHeight w:val="319"/>
        </w:trPr>
        <w:tc>
          <w:tcPr>
            <w:tcW w:w="5070" w:type="dxa"/>
            <w:tcBorders>
              <w:top w:val="nil"/>
              <w:left w:val="nil"/>
              <w:bottom w:val="single" w:sz="4" w:space="0" w:color="auto"/>
              <w:right w:val="nil"/>
            </w:tcBorders>
          </w:tcPr>
          <w:p w:rsidR="00F26847" w:rsidRPr="00804C5F" w:rsidRDefault="00F26847" w:rsidP="00BE4EED">
            <w:pPr>
              <w:pStyle w:val="Tabletextleft"/>
              <w:keepNext/>
            </w:pPr>
            <w:r>
              <w:t>Airfield low visibility lighting</w:t>
            </w:r>
          </w:p>
        </w:tc>
        <w:tc>
          <w:tcPr>
            <w:tcW w:w="1185" w:type="dxa"/>
            <w:tcBorders>
              <w:top w:val="nil"/>
              <w:left w:val="nil"/>
              <w:bottom w:val="single" w:sz="4" w:space="0" w:color="auto"/>
              <w:right w:val="nil"/>
            </w:tcBorders>
          </w:tcPr>
          <w:p w:rsidR="00F26847" w:rsidRPr="00804C5F" w:rsidRDefault="00F26847" w:rsidP="00BE4EED">
            <w:pPr>
              <w:pStyle w:val="Tabletextright"/>
              <w:keepNext/>
            </w:pPr>
            <w:r>
              <w:t>5-10</w:t>
            </w:r>
          </w:p>
        </w:tc>
        <w:tc>
          <w:tcPr>
            <w:tcW w:w="1185" w:type="dxa"/>
            <w:tcBorders>
              <w:top w:val="nil"/>
              <w:left w:val="nil"/>
              <w:bottom w:val="single" w:sz="4" w:space="0" w:color="auto"/>
              <w:right w:val="nil"/>
            </w:tcBorders>
          </w:tcPr>
          <w:p w:rsidR="00F26847" w:rsidRPr="00804C5F" w:rsidRDefault="00F26847" w:rsidP="00BE4EED">
            <w:pPr>
              <w:pStyle w:val="Tabletextright2"/>
              <w:keepNext/>
            </w:pPr>
            <w:r w:rsidRPr="00804C5F">
              <w:t>Q</w:t>
            </w:r>
            <w:r>
              <w:t>2</w:t>
            </w:r>
            <w:r w:rsidRPr="00804C5F">
              <w:t xml:space="preserve"> 2014</w:t>
            </w:r>
          </w:p>
        </w:tc>
        <w:tc>
          <w:tcPr>
            <w:tcW w:w="1186" w:type="dxa"/>
            <w:tcBorders>
              <w:top w:val="nil"/>
              <w:left w:val="nil"/>
              <w:bottom w:val="single" w:sz="4" w:space="0" w:color="auto"/>
              <w:right w:val="nil"/>
            </w:tcBorders>
          </w:tcPr>
          <w:p w:rsidR="00F26847" w:rsidRPr="00804C5F" w:rsidRDefault="00F26847" w:rsidP="00BE4EED">
            <w:pPr>
              <w:pStyle w:val="Tabletextright2"/>
              <w:keepNext/>
            </w:pPr>
            <w:r w:rsidRPr="00804C5F">
              <w:t>Q2 2015</w:t>
            </w:r>
          </w:p>
        </w:tc>
      </w:tr>
      <w:tr w:rsidR="00F26847" w:rsidRPr="00F10A70" w:rsidTr="00BE4EED">
        <w:tc>
          <w:tcPr>
            <w:tcW w:w="5070" w:type="dxa"/>
            <w:tcBorders>
              <w:top w:val="nil"/>
              <w:left w:val="nil"/>
              <w:bottom w:val="nil"/>
              <w:right w:val="nil"/>
            </w:tcBorders>
          </w:tcPr>
          <w:p w:rsidR="00F26847" w:rsidRPr="00804C5F" w:rsidRDefault="00F26847" w:rsidP="00BE4EED">
            <w:pPr>
              <w:pStyle w:val="Tabletextleft"/>
              <w:keepNext/>
            </w:pPr>
            <w:r>
              <w:t>Gates 8, 9 &amp; 10 expansion T1</w:t>
            </w:r>
          </w:p>
        </w:tc>
        <w:tc>
          <w:tcPr>
            <w:tcW w:w="1185" w:type="dxa"/>
            <w:tcBorders>
              <w:top w:val="nil"/>
              <w:left w:val="nil"/>
              <w:bottom w:val="nil"/>
              <w:right w:val="nil"/>
            </w:tcBorders>
          </w:tcPr>
          <w:p w:rsidR="00F26847" w:rsidRPr="00804C5F" w:rsidRDefault="00F26847" w:rsidP="00BE4EED">
            <w:pPr>
              <w:pStyle w:val="Tabletextright"/>
              <w:keepNext/>
            </w:pPr>
            <w:r>
              <w:t>20-100</w:t>
            </w:r>
          </w:p>
        </w:tc>
        <w:tc>
          <w:tcPr>
            <w:tcW w:w="1185" w:type="dxa"/>
            <w:tcBorders>
              <w:top w:val="nil"/>
              <w:left w:val="nil"/>
              <w:bottom w:val="nil"/>
              <w:right w:val="nil"/>
            </w:tcBorders>
          </w:tcPr>
          <w:p w:rsidR="00F26847" w:rsidRPr="00804C5F" w:rsidRDefault="00F26847" w:rsidP="00BE4EED">
            <w:pPr>
              <w:pStyle w:val="Tabletextright2"/>
              <w:keepNext/>
            </w:pPr>
            <w:r>
              <w:t>Q2 2014</w:t>
            </w:r>
          </w:p>
        </w:tc>
        <w:tc>
          <w:tcPr>
            <w:tcW w:w="1186" w:type="dxa"/>
            <w:tcBorders>
              <w:top w:val="nil"/>
              <w:left w:val="nil"/>
              <w:bottom w:val="nil"/>
              <w:right w:val="nil"/>
            </w:tcBorders>
          </w:tcPr>
          <w:p w:rsidR="00F26847" w:rsidRPr="00DE2C12" w:rsidRDefault="00F26847" w:rsidP="00BE4EED">
            <w:pPr>
              <w:pStyle w:val="Tabletextright2"/>
              <w:keepNext/>
            </w:pPr>
            <w:r>
              <w:t>Q3 2015</w:t>
            </w:r>
          </w:p>
        </w:tc>
      </w:tr>
      <w:tr w:rsidR="00F26847" w:rsidRPr="00F10A70" w:rsidTr="00BE4EED">
        <w:tc>
          <w:tcPr>
            <w:tcW w:w="5070" w:type="dxa"/>
            <w:tcBorders>
              <w:top w:val="nil"/>
              <w:left w:val="nil"/>
              <w:bottom w:val="nil"/>
              <w:right w:val="nil"/>
            </w:tcBorders>
          </w:tcPr>
          <w:p w:rsidR="00F26847" w:rsidRPr="00804C5F" w:rsidRDefault="00F26847" w:rsidP="00BE4EED">
            <w:pPr>
              <w:pStyle w:val="Tabletextleft"/>
              <w:keepNext/>
            </w:pPr>
            <w:r>
              <w:t>Taxiway strengthening for larger aircraft</w:t>
            </w:r>
          </w:p>
        </w:tc>
        <w:tc>
          <w:tcPr>
            <w:tcW w:w="1185" w:type="dxa"/>
            <w:tcBorders>
              <w:top w:val="nil"/>
              <w:left w:val="nil"/>
              <w:bottom w:val="nil"/>
              <w:right w:val="nil"/>
            </w:tcBorders>
          </w:tcPr>
          <w:p w:rsidR="00F26847" w:rsidRPr="00804C5F" w:rsidRDefault="00F26847" w:rsidP="00BE4EED">
            <w:pPr>
              <w:pStyle w:val="Tabletextright"/>
              <w:keepNext/>
            </w:pPr>
            <w:r w:rsidRPr="00804C5F">
              <w:t>20-50</w:t>
            </w:r>
          </w:p>
        </w:tc>
        <w:tc>
          <w:tcPr>
            <w:tcW w:w="1185" w:type="dxa"/>
            <w:tcBorders>
              <w:top w:val="nil"/>
              <w:left w:val="nil"/>
              <w:bottom w:val="nil"/>
              <w:right w:val="nil"/>
            </w:tcBorders>
          </w:tcPr>
          <w:p w:rsidR="00F26847" w:rsidRPr="00804C5F" w:rsidRDefault="00F26847" w:rsidP="00BE4EED">
            <w:pPr>
              <w:pStyle w:val="Tabletextright2"/>
              <w:keepNext/>
            </w:pPr>
            <w:r w:rsidRPr="00804C5F">
              <w:t>Q</w:t>
            </w:r>
            <w:r>
              <w:t>4</w:t>
            </w:r>
            <w:r w:rsidRPr="00804C5F">
              <w:t xml:space="preserve"> 201</w:t>
            </w:r>
            <w:r>
              <w:t>4</w:t>
            </w:r>
          </w:p>
        </w:tc>
        <w:tc>
          <w:tcPr>
            <w:tcW w:w="1186" w:type="dxa"/>
            <w:tcBorders>
              <w:top w:val="nil"/>
              <w:left w:val="nil"/>
              <w:bottom w:val="nil"/>
              <w:right w:val="nil"/>
            </w:tcBorders>
          </w:tcPr>
          <w:p w:rsidR="00F26847" w:rsidRPr="00DE2C12" w:rsidRDefault="00F26847" w:rsidP="00BE4EED">
            <w:pPr>
              <w:pStyle w:val="Tabletextright2"/>
              <w:keepNext/>
            </w:pPr>
            <w:r w:rsidRPr="007F7253">
              <w:t>Q</w:t>
            </w:r>
            <w:r w:rsidRPr="00A71513">
              <w:t>4 2015</w:t>
            </w:r>
          </w:p>
        </w:tc>
      </w:tr>
      <w:tr w:rsidR="00F26847" w:rsidRPr="00F10A70" w:rsidTr="00BE4EED">
        <w:tc>
          <w:tcPr>
            <w:tcW w:w="5070" w:type="dxa"/>
            <w:tcBorders>
              <w:top w:val="nil"/>
              <w:left w:val="nil"/>
              <w:bottom w:val="single" w:sz="4" w:space="0" w:color="auto"/>
              <w:right w:val="nil"/>
            </w:tcBorders>
          </w:tcPr>
          <w:p w:rsidR="00F26847" w:rsidRPr="00804C5F" w:rsidRDefault="00F26847" w:rsidP="00BE4EED">
            <w:pPr>
              <w:pStyle w:val="Tabletextleft"/>
              <w:keepNext/>
            </w:pPr>
            <w:r>
              <w:t>Two additional aprons in SE sector</w:t>
            </w:r>
          </w:p>
        </w:tc>
        <w:tc>
          <w:tcPr>
            <w:tcW w:w="1185" w:type="dxa"/>
            <w:tcBorders>
              <w:top w:val="nil"/>
              <w:left w:val="nil"/>
              <w:bottom w:val="single" w:sz="4" w:space="0" w:color="auto"/>
              <w:right w:val="nil"/>
            </w:tcBorders>
          </w:tcPr>
          <w:p w:rsidR="00F26847" w:rsidRPr="00804C5F" w:rsidRDefault="00F26847" w:rsidP="00BE4EED">
            <w:pPr>
              <w:pStyle w:val="Tabletextright"/>
              <w:keepNext/>
            </w:pPr>
            <w:r w:rsidRPr="00804C5F">
              <w:t>20-50</w:t>
            </w:r>
          </w:p>
        </w:tc>
        <w:tc>
          <w:tcPr>
            <w:tcW w:w="1185" w:type="dxa"/>
            <w:tcBorders>
              <w:top w:val="nil"/>
              <w:left w:val="nil"/>
              <w:bottom w:val="single" w:sz="4" w:space="0" w:color="auto"/>
              <w:right w:val="nil"/>
            </w:tcBorders>
          </w:tcPr>
          <w:p w:rsidR="00F26847" w:rsidRPr="00804C5F" w:rsidRDefault="00F26847" w:rsidP="00BE4EED">
            <w:pPr>
              <w:pStyle w:val="Tabletextright2"/>
              <w:keepNext/>
            </w:pPr>
            <w:r w:rsidRPr="00804C5F">
              <w:t>Q1 2015</w:t>
            </w:r>
          </w:p>
        </w:tc>
        <w:tc>
          <w:tcPr>
            <w:tcW w:w="1186" w:type="dxa"/>
            <w:tcBorders>
              <w:top w:val="nil"/>
              <w:left w:val="nil"/>
              <w:bottom w:val="single" w:sz="4" w:space="0" w:color="auto"/>
              <w:right w:val="nil"/>
            </w:tcBorders>
          </w:tcPr>
          <w:p w:rsidR="00F26847" w:rsidRPr="00DE2C12" w:rsidRDefault="00F26847" w:rsidP="00BE4EED">
            <w:pPr>
              <w:pStyle w:val="Tabletextright2"/>
              <w:keepNext/>
            </w:pPr>
            <w:r w:rsidRPr="007F7253">
              <w:t>Q</w:t>
            </w:r>
            <w:r w:rsidRPr="00A71513">
              <w:t>1 2016</w:t>
            </w:r>
          </w:p>
        </w:tc>
      </w:tr>
      <w:tr w:rsidR="00F26847" w:rsidTr="00BE4EED">
        <w:tc>
          <w:tcPr>
            <w:tcW w:w="5070" w:type="dxa"/>
            <w:tcBorders>
              <w:top w:val="nil"/>
              <w:left w:val="nil"/>
              <w:bottom w:val="nil"/>
              <w:right w:val="nil"/>
            </w:tcBorders>
          </w:tcPr>
          <w:p w:rsidR="00F26847" w:rsidRPr="00804C5F" w:rsidRDefault="00F26847" w:rsidP="00BE4EED">
            <w:pPr>
              <w:pStyle w:val="Tabletextleft"/>
              <w:keepNext/>
            </w:pPr>
            <w:r>
              <w:t>Construction of new aprons</w:t>
            </w:r>
          </w:p>
        </w:tc>
        <w:tc>
          <w:tcPr>
            <w:tcW w:w="1185" w:type="dxa"/>
            <w:tcBorders>
              <w:top w:val="nil"/>
              <w:left w:val="nil"/>
              <w:bottom w:val="nil"/>
              <w:right w:val="nil"/>
            </w:tcBorders>
          </w:tcPr>
          <w:p w:rsidR="00F26847" w:rsidRPr="00804C5F" w:rsidDel="009B358F" w:rsidRDefault="00F26847" w:rsidP="00BE4EED">
            <w:pPr>
              <w:pStyle w:val="Tabletextright"/>
              <w:keepNext/>
            </w:pPr>
            <w:r>
              <w:t>100+</w:t>
            </w:r>
          </w:p>
        </w:tc>
        <w:tc>
          <w:tcPr>
            <w:tcW w:w="1185" w:type="dxa"/>
            <w:tcBorders>
              <w:top w:val="nil"/>
              <w:left w:val="nil"/>
              <w:bottom w:val="nil"/>
              <w:right w:val="nil"/>
            </w:tcBorders>
          </w:tcPr>
          <w:p w:rsidR="00F26847" w:rsidRPr="00DE2C12" w:rsidDel="009B358F" w:rsidRDefault="00F26847" w:rsidP="00BE4EED">
            <w:pPr>
              <w:pStyle w:val="Tabletextright2"/>
              <w:keepNext/>
            </w:pPr>
            <w:r w:rsidRPr="007F7253">
              <w:t>Q</w:t>
            </w:r>
            <w:r w:rsidRPr="00A71513">
              <w:t>1 2016</w:t>
            </w:r>
          </w:p>
        </w:tc>
        <w:tc>
          <w:tcPr>
            <w:tcW w:w="1186" w:type="dxa"/>
            <w:tcBorders>
              <w:top w:val="nil"/>
              <w:left w:val="nil"/>
              <w:bottom w:val="nil"/>
              <w:right w:val="nil"/>
            </w:tcBorders>
          </w:tcPr>
          <w:p w:rsidR="00F26847" w:rsidRPr="001344E9" w:rsidDel="009B358F" w:rsidRDefault="00F26847" w:rsidP="00BE4EED">
            <w:pPr>
              <w:pStyle w:val="Tabletextright2"/>
              <w:keepNext/>
            </w:pPr>
            <w:r w:rsidRPr="001344E9">
              <w:t>Q2 2019</w:t>
            </w:r>
          </w:p>
        </w:tc>
      </w:tr>
      <w:tr w:rsidR="00F26847" w:rsidTr="00BE4EED">
        <w:tc>
          <w:tcPr>
            <w:tcW w:w="5070" w:type="dxa"/>
            <w:tcBorders>
              <w:top w:val="nil"/>
              <w:left w:val="nil"/>
              <w:bottom w:val="nil"/>
              <w:right w:val="nil"/>
            </w:tcBorders>
            <w:shd w:val="clear" w:color="auto" w:fill="auto"/>
          </w:tcPr>
          <w:p w:rsidR="00F26847" w:rsidRPr="00804C5F" w:rsidRDefault="00F26847" w:rsidP="00BE4EED">
            <w:pPr>
              <w:pStyle w:val="Tabletextleft"/>
              <w:keepNext/>
            </w:pPr>
            <w:r>
              <w:t>T1 check-in and baggage</w:t>
            </w:r>
          </w:p>
        </w:tc>
        <w:tc>
          <w:tcPr>
            <w:tcW w:w="1185" w:type="dxa"/>
            <w:tcBorders>
              <w:top w:val="nil"/>
              <w:left w:val="nil"/>
              <w:bottom w:val="nil"/>
              <w:right w:val="nil"/>
            </w:tcBorders>
          </w:tcPr>
          <w:p w:rsidR="00F26847" w:rsidRPr="00804C5F" w:rsidRDefault="00F26847" w:rsidP="00BE4EED">
            <w:pPr>
              <w:pStyle w:val="Tabletextright"/>
              <w:keepNext/>
            </w:pPr>
            <w:r>
              <w:t>100+</w:t>
            </w:r>
          </w:p>
        </w:tc>
        <w:tc>
          <w:tcPr>
            <w:tcW w:w="1185" w:type="dxa"/>
            <w:tcBorders>
              <w:top w:val="nil"/>
              <w:left w:val="nil"/>
              <w:bottom w:val="nil"/>
              <w:right w:val="nil"/>
            </w:tcBorders>
          </w:tcPr>
          <w:p w:rsidR="00F26847" w:rsidRPr="00A71513" w:rsidRDefault="00F26847" w:rsidP="00BE4EED">
            <w:pPr>
              <w:pStyle w:val="Tabletextright2"/>
              <w:keepNext/>
            </w:pPr>
            <w:r>
              <w:t>Q2 2015</w:t>
            </w:r>
          </w:p>
        </w:tc>
        <w:tc>
          <w:tcPr>
            <w:tcW w:w="1186" w:type="dxa"/>
            <w:tcBorders>
              <w:top w:val="nil"/>
              <w:left w:val="nil"/>
              <w:bottom w:val="nil"/>
              <w:right w:val="nil"/>
            </w:tcBorders>
          </w:tcPr>
          <w:p w:rsidR="00F26847" w:rsidRPr="00DE2C12" w:rsidRDefault="00F26847" w:rsidP="00BE4EED">
            <w:pPr>
              <w:pStyle w:val="Tabletextright2"/>
              <w:keepNext/>
            </w:pPr>
            <w:r>
              <w:t>Q2 2017</w:t>
            </w:r>
          </w:p>
        </w:tc>
      </w:tr>
      <w:tr w:rsidR="00F26847" w:rsidTr="00BE4EED">
        <w:tc>
          <w:tcPr>
            <w:tcW w:w="5070" w:type="dxa"/>
            <w:tcBorders>
              <w:top w:val="nil"/>
              <w:left w:val="nil"/>
              <w:right w:val="nil"/>
            </w:tcBorders>
            <w:shd w:val="clear" w:color="auto" w:fill="auto"/>
          </w:tcPr>
          <w:p w:rsidR="00F26847" w:rsidRPr="00804C5F" w:rsidRDefault="00F26847" w:rsidP="00BE4EED">
            <w:pPr>
              <w:pStyle w:val="Tabletextleft"/>
              <w:keepNext/>
            </w:pPr>
            <w:r>
              <w:t>Runway and taxiway asphalt program</w:t>
            </w:r>
          </w:p>
        </w:tc>
        <w:tc>
          <w:tcPr>
            <w:tcW w:w="1185" w:type="dxa"/>
            <w:tcBorders>
              <w:top w:val="nil"/>
              <w:left w:val="nil"/>
              <w:right w:val="nil"/>
            </w:tcBorders>
          </w:tcPr>
          <w:p w:rsidR="00F26847" w:rsidRPr="00804C5F" w:rsidRDefault="00F26847" w:rsidP="00BE4EED">
            <w:pPr>
              <w:pStyle w:val="Tabletextright"/>
              <w:keepNext/>
            </w:pPr>
            <w:r>
              <w:t>50-100</w:t>
            </w:r>
            <w:r w:rsidRPr="00804C5F">
              <w:t xml:space="preserve"> </w:t>
            </w:r>
          </w:p>
        </w:tc>
        <w:tc>
          <w:tcPr>
            <w:tcW w:w="1185" w:type="dxa"/>
            <w:tcBorders>
              <w:top w:val="nil"/>
              <w:left w:val="nil"/>
              <w:right w:val="nil"/>
            </w:tcBorders>
          </w:tcPr>
          <w:p w:rsidR="00F26847" w:rsidRPr="00A71513" w:rsidRDefault="00F26847" w:rsidP="00BE4EED">
            <w:pPr>
              <w:pStyle w:val="Tabletextright2"/>
              <w:keepNext/>
            </w:pPr>
            <w:r w:rsidRPr="007F7253">
              <w:t>Q1 201</w:t>
            </w:r>
            <w:r w:rsidRPr="00A71513">
              <w:t>6</w:t>
            </w:r>
          </w:p>
        </w:tc>
        <w:tc>
          <w:tcPr>
            <w:tcW w:w="1186" w:type="dxa"/>
            <w:tcBorders>
              <w:top w:val="nil"/>
              <w:left w:val="nil"/>
              <w:right w:val="nil"/>
            </w:tcBorders>
          </w:tcPr>
          <w:p w:rsidR="00F26847" w:rsidRPr="00DE2C12" w:rsidRDefault="00F26847" w:rsidP="00BE4EED">
            <w:pPr>
              <w:pStyle w:val="Tabletextright2"/>
              <w:keepNext/>
            </w:pPr>
            <w:r w:rsidRPr="00A71513">
              <w:t>Q4 201</w:t>
            </w:r>
            <w:r w:rsidRPr="00DE2C12">
              <w:t>8</w:t>
            </w:r>
          </w:p>
        </w:tc>
      </w:tr>
    </w:tbl>
    <w:p w:rsidR="00F26847" w:rsidRPr="00AC7305" w:rsidRDefault="00F26847" w:rsidP="00F26847">
      <w:pPr>
        <w:keepNext/>
        <w:spacing w:before="240"/>
      </w:pPr>
      <w:r w:rsidRPr="00AC7305">
        <w:t xml:space="preserve">The major aeronautical projects completed during 2014-15 include the T1 early bag store system which will allow passengers to check in earlier and increase the capacity of the baggage handling system. The construction of two new baggage reclaim belts in T1 was also completed in 2014-15. Significant airfield projects completed included upgrades to lighting on runway 16L and taxiways.   </w:t>
      </w:r>
    </w:p>
    <w:p w:rsidR="00F26847" w:rsidRPr="00AC7305" w:rsidRDefault="00F26847" w:rsidP="00F26847">
      <w:pPr>
        <w:keepNext/>
      </w:pPr>
      <w:r w:rsidRPr="00AC7305">
        <w:t xml:space="preserve">The most significant aeronautical project underway during 2014-15 included the asphalting, widening and strengthening of several taxiways to accommodate A380 aircraft and new generation aircraft. Other significant projects commenced include the construction of new aprons in the south east sector and the expansion of the emigration and security processing facilities T1 departures level. The major planned aeronautical project that Sydney Airport is seeking to progress is the construction of new apron capacity. Other significant planned projects include the asphalt re-sheeting program for runway and taxiway areas and the T1 arrivals forecourt redevelopment.  </w:t>
      </w:r>
    </w:p>
    <w:p w:rsidR="00F26847" w:rsidRDefault="00F26847" w:rsidP="00F26847">
      <w:pPr>
        <w:keepNext/>
      </w:pPr>
      <w:r w:rsidRPr="00AC7305">
        <w:t>Table 5.1.2 shows that major car parking and landside investments completed during 2014-15 include the T1 ground access works which delivered a new express pick-up facility, a dedicated city bound exit gate and the opening of the new Centre Road. Significant projects commenced include the T2/T3 ground access improvements including the demolition of aircraft hangers and other facilities for a new five lane road exiting the precinct.</w:t>
      </w:r>
    </w:p>
    <w:p w:rsidR="00F26847" w:rsidRPr="00AC7305" w:rsidRDefault="00F26847" w:rsidP="00F26847">
      <w:pPr>
        <w:keepNext/>
        <w:spacing w:before="240" w:after="200" w:line="276" w:lineRule="auto"/>
        <w:ind w:left="1440" w:hanging="1440"/>
        <w:outlineLvl w:val="3"/>
        <w:rPr>
          <w:b/>
          <w:color w:val="51626F"/>
        </w:rPr>
      </w:pPr>
      <w:r w:rsidRPr="00AC7305">
        <w:rPr>
          <w:b/>
          <w:color w:val="51626F"/>
        </w:rPr>
        <w:t>Table 5.1.2:</w:t>
      </w:r>
      <w:r w:rsidRPr="00AC7305">
        <w:rPr>
          <w:b/>
          <w:color w:val="51626F"/>
        </w:rPr>
        <w:tab/>
        <w:t>Sydney Airport—major investments in car parking and landside access services</w:t>
      </w:r>
    </w:p>
    <w:tbl>
      <w:tblPr>
        <w:tblStyle w:val="TableGrid2"/>
        <w:tblW w:w="0" w:type="auto"/>
        <w:tblLayout w:type="fixed"/>
        <w:tblLook w:val="04A0" w:firstRow="1" w:lastRow="0" w:firstColumn="1" w:lastColumn="0" w:noHBand="0" w:noVBand="1"/>
      </w:tblPr>
      <w:tblGrid>
        <w:gridCol w:w="5070"/>
        <w:gridCol w:w="1185"/>
        <w:gridCol w:w="1185"/>
        <w:gridCol w:w="1186"/>
      </w:tblGrid>
      <w:tr w:rsidR="00F26847" w:rsidRPr="00AC7305" w:rsidTr="00BE4EED">
        <w:tc>
          <w:tcPr>
            <w:tcW w:w="5070" w:type="dxa"/>
            <w:tcBorders>
              <w:left w:val="nil"/>
              <w:bottom w:val="single" w:sz="4" w:space="0" w:color="auto"/>
              <w:right w:val="nil"/>
            </w:tcBorders>
            <w:shd w:val="clear" w:color="auto" w:fill="DFE0DC"/>
          </w:tcPr>
          <w:p w:rsidR="00F26847" w:rsidRPr="00AC7305" w:rsidRDefault="00F26847" w:rsidP="00BE4EED">
            <w:pPr>
              <w:keepNext/>
              <w:spacing w:before="40" w:after="40"/>
              <w:rPr>
                <w:b/>
                <w:color w:val="000000" w:themeColor="text1"/>
                <w:sz w:val="18"/>
              </w:rPr>
            </w:pPr>
            <w:r w:rsidRPr="00AC7305">
              <w:rPr>
                <w:b/>
                <w:color w:val="000000" w:themeColor="text1"/>
                <w:sz w:val="18"/>
              </w:rPr>
              <w:t>Description of investment</w:t>
            </w:r>
          </w:p>
        </w:tc>
        <w:tc>
          <w:tcPr>
            <w:tcW w:w="1185" w:type="dxa"/>
            <w:tcBorders>
              <w:left w:val="nil"/>
              <w:bottom w:val="single" w:sz="4" w:space="0" w:color="auto"/>
              <w:right w:val="nil"/>
            </w:tcBorders>
            <w:shd w:val="clear" w:color="auto" w:fill="DFE0DC"/>
          </w:tcPr>
          <w:p w:rsidR="00F26847" w:rsidRPr="00AC7305" w:rsidRDefault="00F26847" w:rsidP="00BE4EED">
            <w:pPr>
              <w:keepNext/>
              <w:spacing w:before="40" w:after="40"/>
              <w:jc w:val="right"/>
              <w:rPr>
                <w:b/>
                <w:color w:val="000000" w:themeColor="text1"/>
                <w:sz w:val="18"/>
              </w:rPr>
            </w:pPr>
            <w:r w:rsidRPr="00AC7305">
              <w:rPr>
                <w:b/>
                <w:color w:val="000000" w:themeColor="text1"/>
                <w:sz w:val="18"/>
              </w:rPr>
              <w:t>Value ($m)</w:t>
            </w:r>
          </w:p>
        </w:tc>
        <w:tc>
          <w:tcPr>
            <w:tcW w:w="1185" w:type="dxa"/>
            <w:tcBorders>
              <w:left w:val="nil"/>
              <w:bottom w:val="single" w:sz="4" w:space="0" w:color="auto"/>
              <w:right w:val="nil"/>
            </w:tcBorders>
            <w:shd w:val="clear" w:color="auto" w:fill="DFE0DC"/>
          </w:tcPr>
          <w:p w:rsidR="00F26847" w:rsidRPr="00AC7305" w:rsidRDefault="00F26847" w:rsidP="00BE4EED">
            <w:pPr>
              <w:keepNext/>
              <w:spacing w:before="40" w:after="40"/>
              <w:jc w:val="right"/>
              <w:rPr>
                <w:b/>
                <w:color w:val="000000" w:themeColor="text1"/>
                <w:sz w:val="18"/>
              </w:rPr>
            </w:pPr>
            <w:r w:rsidRPr="00AC7305">
              <w:rPr>
                <w:b/>
                <w:color w:val="000000" w:themeColor="text1"/>
                <w:sz w:val="18"/>
              </w:rPr>
              <w:t>Started</w:t>
            </w:r>
          </w:p>
        </w:tc>
        <w:tc>
          <w:tcPr>
            <w:tcW w:w="1186" w:type="dxa"/>
            <w:tcBorders>
              <w:left w:val="nil"/>
              <w:bottom w:val="single" w:sz="4" w:space="0" w:color="auto"/>
              <w:right w:val="nil"/>
            </w:tcBorders>
            <w:shd w:val="clear" w:color="auto" w:fill="DFE0DC"/>
          </w:tcPr>
          <w:p w:rsidR="00F26847" w:rsidRPr="00AC7305" w:rsidRDefault="00F26847" w:rsidP="00BE4EED">
            <w:pPr>
              <w:keepNext/>
              <w:spacing w:before="40" w:after="40"/>
              <w:jc w:val="right"/>
              <w:rPr>
                <w:b/>
                <w:color w:val="000000" w:themeColor="text1"/>
                <w:sz w:val="18"/>
              </w:rPr>
            </w:pPr>
            <w:r w:rsidRPr="00AC7305">
              <w:rPr>
                <w:b/>
                <w:color w:val="000000" w:themeColor="text1"/>
                <w:sz w:val="18"/>
              </w:rPr>
              <w:t>Completed</w:t>
            </w:r>
          </w:p>
        </w:tc>
      </w:tr>
      <w:tr w:rsidR="00F26847" w:rsidRPr="00AC7305" w:rsidTr="00BE4EED">
        <w:tc>
          <w:tcPr>
            <w:tcW w:w="5070" w:type="dxa"/>
            <w:tcBorders>
              <w:left w:val="nil"/>
              <w:bottom w:val="nil"/>
              <w:right w:val="nil"/>
            </w:tcBorders>
          </w:tcPr>
          <w:p w:rsidR="00F26847" w:rsidRPr="00AC7305" w:rsidRDefault="00F26847" w:rsidP="00BE4EED">
            <w:pPr>
              <w:keepNext/>
              <w:spacing w:before="40" w:after="40"/>
              <w:rPr>
                <w:sz w:val="18"/>
              </w:rPr>
            </w:pPr>
            <w:r w:rsidRPr="00AC7305">
              <w:rPr>
                <w:sz w:val="18"/>
              </w:rPr>
              <w:t>T1 ground access improvements</w:t>
            </w:r>
          </w:p>
        </w:tc>
        <w:tc>
          <w:tcPr>
            <w:tcW w:w="1185" w:type="dxa"/>
            <w:tcBorders>
              <w:left w:val="nil"/>
              <w:bottom w:val="nil"/>
              <w:right w:val="nil"/>
            </w:tcBorders>
          </w:tcPr>
          <w:p w:rsidR="00F26847" w:rsidRPr="00AC7305" w:rsidRDefault="00F26847" w:rsidP="00BE4EED">
            <w:pPr>
              <w:keepNext/>
              <w:spacing w:before="40" w:after="40"/>
              <w:jc w:val="right"/>
              <w:rPr>
                <w:sz w:val="18"/>
              </w:rPr>
            </w:pPr>
            <w:r w:rsidRPr="00AC7305">
              <w:rPr>
                <w:sz w:val="18"/>
              </w:rPr>
              <w:t>10-20</w:t>
            </w:r>
          </w:p>
        </w:tc>
        <w:tc>
          <w:tcPr>
            <w:tcW w:w="1185" w:type="dxa"/>
            <w:tcBorders>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Q3 2014</w:t>
            </w:r>
          </w:p>
        </w:tc>
        <w:tc>
          <w:tcPr>
            <w:tcW w:w="1186" w:type="dxa"/>
            <w:tcBorders>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Q1 2015</w:t>
            </w:r>
          </w:p>
        </w:tc>
      </w:tr>
      <w:tr w:rsidR="00F26847" w:rsidRPr="00AC7305" w:rsidTr="00BE4EED">
        <w:tc>
          <w:tcPr>
            <w:tcW w:w="5070" w:type="dxa"/>
            <w:tcBorders>
              <w:top w:val="nil"/>
              <w:left w:val="nil"/>
              <w:bottom w:val="nil"/>
              <w:right w:val="nil"/>
            </w:tcBorders>
          </w:tcPr>
          <w:p w:rsidR="00F26847" w:rsidRPr="00AC7305" w:rsidRDefault="00F26847" w:rsidP="00BE4EED">
            <w:pPr>
              <w:keepNext/>
              <w:spacing w:before="40" w:after="40"/>
              <w:rPr>
                <w:sz w:val="18"/>
              </w:rPr>
            </w:pPr>
            <w:r w:rsidRPr="00AC7305">
              <w:rPr>
                <w:sz w:val="18"/>
              </w:rPr>
              <w:t>T2/T3 ground access major development plan</w:t>
            </w:r>
          </w:p>
        </w:tc>
        <w:tc>
          <w:tcPr>
            <w:tcW w:w="1185" w:type="dxa"/>
            <w:tcBorders>
              <w:top w:val="nil"/>
              <w:left w:val="nil"/>
              <w:bottom w:val="nil"/>
              <w:right w:val="nil"/>
            </w:tcBorders>
          </w:tcPr>
          <w:p w:rsidR="00F26847" w:rsidRPr="00AC7305" w:rsidRDefault="00F26847" w:rsidP="00BE4EED">
            <w:pPr>
              <w:keepNext/>
              <w:spacing w:before="40" w:after="40"/>
              <w:jc w:val="right"/>
              <w:rPr>
                <w:sz w:val="18"/>
              </w:rPr>
            </w:pPr>
            <w:r w:rsidRPr="00AC7305">
              <w:rPr>
                <w:sz w:val="18"/>
              </w:rPr>
              <w:t>2-5</w:t>
            </w:r>
          </w:p>
        </w:tc>
        <w:tc>
          <w:tcPr>
            <w:tcW w:w="1185"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Q3 2013</w:t>
            </w:r>
          </w:p>
        </w:tc>
        <w:tc>
          <w:tcPr>
            <w:tcW w:w="1186"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Q1 2015</w:t>
            </w:r>
          </w:p>
        </w:tc>
      </w:tr>
      <w:tr w:rsidR="00F26847" w:rsidRPr="00AC7305" w:rsidTr="00BE4EED">
        <w:tc>
          <w:tcPr>
            <w:tcW w:w="5070" w:type="dxa"/>
            <w:tcBorders>
              <w:top w:val="nil"/>
              <w:left w:val="nil"/>
              <w:bottom w:val="single" w:sz="4" w:space="0" w:color="auto"/>
              <w:right w:val="nil"/>
            </w:tcBorders>
          </w:tcPr>
          <w:p w:rsidR="00F26847" w:rsidRPr="00AC7305" w:rsidRDefault="00F26847" w:rsidP="00BE4EED">
            <w:pPr>
              <w:keepNext/>
              <w:spacing w:before="40" w:after="40"/>
              <w:rPr>
                <w:sz w:val="18"/>
              </w:rPr>
            </w:pPr>
            <w:r w:rsidRPr="00AC7305">
              <w:rPr>
                <w:sz w:val="18"/>
              </w:rPr>
              <w:t>Website update of precinct parking maps</w:t>
            </w:r>
          </w:p>
        </w:tc>
        <w:tc>
          <w:tcPr>
            <w:tcW w:w="1185" w:type="dxa"/>
            <w:tcBorders>
              <w:top w:val="nil"/>
              <w:left w:val="nil"/>
              <w:bottom w:val="single" w:sz="4" w:space="0" w:color="auto"/>
              <w:right w:val="nil"/>
            </w:tcBorders>
          </w:tcPr>
          <w:p w:rsidR="00F26847" w:rsidRPr="00AC7305" w:rsidRDefault="00F26847" w:rsidP="00BE4EED">
            <w:pPr>
              <w:keepNext/>
              <w:spacing w:before="40" w:after="40"/>
              <w:jc w:val="right"/>
              <w:rPr>
                <w:sz w:val="18"/>
              </w:rPr>
            </w:pPr>
            <w:r w:rsidRPr="00AC7305">
              <w:rPr>
                <w:sz w:val="18"/>
              </w:rPr>
              <w:t>1-2</w:t>
            </w:r>
          </w:p>
        </w:tc>
        <w:tc>
          <w:tcPr>
            <w:tcW w:w="1185" w:type="dxa"/>
            <w:tcBorders>
              <w:top w:val="nil"/>
              <w:left w:val="nil"/>
              <w:bottom w:val="single" w:sz="4" w:space="0" w:color="auto"/>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Q3 2014</w:t>
            </w:r>
          </w:p>
        </w:tc>
        <w:tc>
          <w:tcPr>
            <w:tcW w:w="1186" w:type="dxa"/>
            <w:tcBorders>
              <w:top w:val="nil"/>
              <w:left w:val="nil"/>
              <w:bottom w:val="single" w:sz="4" w:space="0" w:color="auto"/>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Q2 2015</w:t>
            </w:r>
          </w:p>
        </w:tc>
      </w:tr>
      <w:tr w:rsidR="00F26847" w:rsidRPr="00AC7305" w:rsidTr="00BE4EED">
        <w:tc>
          <w:tcPr>
            <w:tcW w:w="5070" w:type="dxa"/>
            <w:tcBorders>
              <w:left w:val="nil"/>
              <w:bottom w:val="nil"/>
              <w:right w:val="nil"/>
            </w:tcBorders>
          </w:tcPr>
          <w:p w:rsidR="00F26847" w:rsidRPr="00AC7305" w:rsidRDefault="00F26847" w:rsidP="00BE4EED">
            <w:pPr>
              <w:keepNext/>
              <w:spacing w:before="40" w:after="40"/>
              <w:rPr>
                <w:sz w:val="18"/>
              </w:rPr>
            </w:pPr>
            <w:r w:rsidRPr="00AC7305">
              <w:rPr>
                <w:sz w:val="18"/>
              </w:rPr>
              <w:t>T1 ground access improvements</w:t>
            </w:r>
          </w:p>
        </w:tc>
        <w:tc>
          <w:tcPr>
            <w:tcW w:w="1185" w:type="dxa"/>
            <w:tcBorders>
              <w:left w:val="nil"/>
              <w:bottom w:val="nil"/>
              <w:right w:val="nil"/>
            </w:tcBorders>
          </w:tcPr>
          <w:p w:rsidR="00F26847" w:rsidRPr="00AC7305" w:rsidRDefault="00F26847" w:rsidP="00BE4EED">
            <w:pPr>
              <w:keepNext/>
              <w:spacing w:before="40" w:after="40"/>
              <w:jc w:val="right"/>
              <w:rPr>
                <w:sz w:val="18"/>
              </w:rPr>
            </w:pPr>
            <w:r w:rsidRPr="00AC7305">
              <w:rPr>
                <w:sz w:val="18"/>
              </w:rPr>
              <w:t>20-50</w:t>
            </w:r>
          </w:p>
        </w:tc>
        <w:tc>
          <w:tcPr>
            <w:tcW w:w="1185" w:type="dxa"/>
            <w:tcBorders>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Q2 2015</w:t>
            </w:r>
          </w:p>
        </w:tc>
        <w:tc>
          <w:tcPr>
            <w:tcW w:w="1186" w:type="dxa"/>
            <w:tcBorders>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Q2 2017</w:t>
            </w:r>
          </w:p>
        </w:tc>
      </w:tr>
      <w:tr w:rsidR="00F26847" w:rsidRPr="00AC7305" w:rsidTr="00BE4EED">
        <w:tc>
          <w:tcPr>
            <w:tcW w:w="5070" w:type="dxa"/>
            <w:tcBorders>
              <w:top w:val="nil"/>
              <w:left w:val="nil"/>
              <w:bottom w:val="nil"/>
              <w:right w:val="nil"/>
            </w:tcBorders>
          </w:tcPr>
          <w:p w:rsidR="00F26847" w:rsidRPr="00AC7305" w:rsidRDefault="00F26847" w:rsidP="00BE4EED">
            <w:pPr>
              <w:keepNext/>
              <w:spacing w:before="40" w:after="40"/>
              <w:rPr>
                <w:sz w:val="18"/>
              </w:rPr>
            </w:pPr>
            <w:r w:rsidRPr="00AC7305">
              <w:rPr>
                <w:sz w:val="18"/>
              </w:rPr>
              <w:t>T2/T3 ground access improvements</w:t>
            </w:r>
          </w:p>
        </w:tc>
        <w:tc>
          <w:tcPr>
            <w:tcW w:w="1185" w:type="dxa"/>
            <w:tcBorders>
              <w:top w:val="nil"/>
              <w:left w:val="nil"/>
              <w:bottom w:val="nil"/>
              <w:right w:val="nil"/>
            </w:tcBorders>
          </w:tcPr>
          <w:p w:rsidR="00F26847" w:rsidRPr="00AC7305" w:rsidRDefault="00F26847" w:rsidP="00BE4EED">
            <w:pPr>
              <w:keepNext/>
              <w:spacing w:before="40" w:after="40"/>
              <w:jc w:val="right"/>
              <w:rPr>
                <w:sz w:val="18"/>
              </w:rPr>
            </w:pPr>
            <w:r w:rsidRPr="00AC7305">
              <w:rPr>
                <w:sz w:val="18"/>
              </w:rPr>
              <w:t>20-50</w:t>
            </w:r>
          </w:p>
        </w:tc>
        <w:tc>
          <w:tcPr>
            <w:tcW w:w="1185"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Q1 2015</w:t>
            </w:r>
          </w:p>
        </w:tc>
        <w:tc>
          <w:tcPr>
            <w:tcW w:w="1186"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Q4 2015</w:t>
            </w:r>
          </w:p>
        </w:tc>
      </w:tr>
      <w:tr w:rsidR="00F26847" w:rsidRPr="00AC7305" w:rsidTr="00BE4EED">
        <w:tc>
          <w:tcPr>
            <w:tcW w:w="5070" w:type="dxa"/>
            <w:tcBorders>
              <w:top w:val="nil"/>
              <w:left w:val="nil"/>
              <w:bottom w:val="nil"/>
              <w:right w:val="nil"/>
            </w:tcBorders>
          </w:tcPr>
          <w:p w:rsidR="00F26847" w:rsidRPr="00AC7305" w:rsidRDefault="00F26847" w:rsidP="00BE4EED">
            <w:pPr>
              <w:keepNext/>
              <w:spacing w:before="40" w:after="40"/>
              <w:rPr>
                <w:sz w:val="18"/>
              </w:rPr>
            </w:pPr>
            <w:r w:rsidRPr="00AC7305">
              <w:rPr>
                <w:sz w:val="18"/>
              </w:rPr>
              <w:t>Parking customer service improvements</w:t>
            </w:r>
          </w:p>
        </w:tc>
        <w:tc>
          <w:tcPr>
            <w:tcW w:w="1185" w:type="dxa"/>
            <w:tcBorders>
              <w:top w:val="nil"/>
              <w:left w:val="nil"/>
              <w:bottom w:val="nil"/>
              <w:right w:val="nil"/>
            </w:tcBorders>
          </w:tcPr>
          <w:p w:rsidR="00F26847" w:rsidRPr="00AC7305" w:rsidRDefault="00F26847" w:rsidP="00BE4EED">
            <w:pPr>
              <w:keepNext/>
              <w:spacing w:before="40" w:after="40"/>
              <w:jc w:val="right"/>
              <w:rPr>
                <w:sz w:val="18"/>
              </w:rPr>
            </w:pPr>
            <w:r w:rsidRPr="00AC7305">
              <w:rPr>
                <w:sz w:val="18"/>
              </w:rPr>
              <w:t>1-2</w:t>
            </w:r>
          </w:p>
        </w:tc>
        <w:tc>
          <w:tcPr>
            <w:tcW w:w="1185"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Q2 2014</w:t>
            </w:r>
          </w:p>
        </w:tc>
        <w:tc>
          <w:tcPr>
            <w:tcW w:w="1186"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Q4 2015</w:t>
            </w:r>
          </w:p>
        </w:tc>
      </w:tr>
      <w:tr w:rsidR="00F26847" w:rsidRPr="00AC7305" w:rsidDel="009B358F" w:rsidTr="00BE4EED">
        <w:tc>
          <w:tcPr>
            <w:tcW w:w="5070" w:type="dxa"/>
            <w:tcBorders>
              <w:left w:val="nil"/>
              <w:bottom w:val="nil"/>
              <w:right w:val="nil"/>
            </w:tcBorders>
          </w:tcPr>
          <w:p w:rsidR="00F26847" w:rsidRPr="00AC7305" w:rsidRDefault="00F26847" w:rsidP="00BE4EED">
            <w:pPr>
              <w:keepNext/>
              <w:spacing w:before="40" w:after="40"/>
              <w:rPr>
                <w:sz w:val="18"/>
              </w:rPr>
            </w:pPr>
            <w:r w:rsidRPr="00AC7305">
              <w:rPr>
                <w:sz w:val="18"/>
              </w:rPr>
              <w:t>T1 ground access improvements</w:t>
            </w:r>
          </w:p>
        </w:tc>
        <w:tc>
          <w:tcPr>
            <w:tcW w:w="1185" w:type="dxa"/>
            <w:tcBorders>
              <w:left w:val="nil"/>
              <w:bottom w:val="nil"/>
              <w:right w:val="nil"/>
            </w:tcBorders>
          </w:tcPr>
          <w:p w:rsidR="00F26847" w:rsidRPr="00AC7305" w:rsidDel="009B358F" w:rsidRDefault="00F26847" w:rsidP="00BE4EED">
            <w:pPr>
              <w:keepNext/>
              <w:spacing w:before="40" w:after="40"/>
              <w:jc w:val="right"/>
              <w:rPr>
                <w:sz w:val="18"/>
              </w:rPr>
            </w:pPr>
            <w:r w:rsidRPr="00AC7305">
              <w:rPr>
                <w:sz w:val="18"/>
              </w:rPr>
              <w:t>50-100</w:t>
            </w:r>
          </w:p>
        </w:tc>
        <w:tc>
          <w:tcPr>
            <w:tcW w:w="1185" w:type="dxa"/>
            <w:tcBorders>
              <w:left w:val="nil"/>
              <w:bottom w:val="nil"/>
              <w:right w:val="nil"/>
            </w:tcBorders>
          </w:tcPr>
          <w:p w:rsidR="00F26847" w:rsidRPr="00AC7305" w:rsidDel="009B358F"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Q3 2015</w:t>
            </w:r>
          </w:p>
        </w:tc>
        <w:tc>
          <w:tcPr>
            <w:tcW w:w="1186" w:type="dxa"/>
            <w:tcBorders>
              <w:left w:val="nil"/>
              <w:bottom w:val="nil"/>
              <w:right w:val="nil"/>
            </w:tcBorders>
          </w:tcPr>
          <w:p w:rsidR="00F26847" w:rsidRPr="00AC7305" w:rsidDel="009B358F"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Q4 2018</w:t>
            </w:r>
          </w:p>
        </w:tc>
      </w:tr>
      <w:tr w:rsidR="00F26847" w:rsidRPr="00AC7305" w:rsidTr="00BE4EED">
        <w:tc>
          <w:tcPr>
            <w:tcW w:w="5070" w:type="dxa"/>
            <w:tcBorders>
              <w:top w:val="nil"/>
              <w:left w:val="nil"/>
              <w:bottom w:val="nil"/>
              <w:right w:val="nil"/>
            </w:tcBorders>
          </w:tcPr>
          <w:p w:rsidR="00F26847" w:rsidRPr="00AC7305" w:rsidRDefault="00F26847" w:rsidP="00BE4EED">
            <w:pPr>
              <w:keepNext/>
              <w:spacing w:before="40" w:after="40"/>
              <w:rPr>
                <w:sz w:val="18"/>
              </w:rPr>
            </w:pPr>
            <w:r w:rsidRPr="00AC7305">
              <w:rPr>
                <w:sz w:val="18"/>
              </w:rPr>
              <w:t xml:space="preserve">T1 parking improvements </w:t>
            </w:r>
          </w:p>
        </w:tc>
        <w:tc>
          <w:tcPr>
            <w:tcW w:w="1185" w:type="dxa"/>
            <w:tcBorders>
              <w:top w:val="nil"/>
              <w:left w:val="nil"/>
              <w:bottom w:val="nil"/>
              <w:right w:val="nil"/>
            </w:tcBorders>
          </w:tcPr>
          <w:p w:rsidR="00F26847" w:rsidRPr="00AC7305" w:rsidRDefault="00F26847" w:rsidP="00BE4EED">
            <w:pPr>
              <w:keepNext/>
              <w:spacing w:before="40" w:after="40"/>
              <w:jc w:val="right"/>
              <w:rPr>
                <w:sz w:val="18"/>
              </w:rPr>
            </w:pPr>
            <w:r w:rsidRPr="00AC7305">
              <w:rPr>
                <w:sz w:val="18"/>
              </w:rPr>
              <w:t xml:space="preserve">20-50 </w:t>
            </w:r>
          </w:p>
        </w:tc>
        <w:tc>
          <w:tcPr>
            <w:tcW w:w="1185"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Q1 2016</w:t>
            </w:r>
          </w:p>
        </w:tc>
        <w:tc>
          <w:tcPr>
            <w:tcW w:w="1186" w:type="dxa"/>
            <w:tcBorders>
              <w:top w:val="nil"/>
              <w:left w:val="nil"/>
              <w:bottom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Q4 2016</w:t>
            </w:r>
          </w:p>
        </w:tc>
      </w:tr>
      <w:tr w:rsidR="00F26847" w:rsidRPr="00AC7305" w:rsidTr="00BE4EED">
        <w:tc>
          <w:tcPr>
            <w:tcW w:w="5070" w:type="dxa"/>
            <w:tcBorders>
              <w:top w:val="nil"/>
              <w:left w:val="nil"/>
              <w:right w:val="nil"/>
            </w:tcBorders>
          </w:tcPr>
          <w:p w:rsidR="00F26847" w:rsidRPr="00AC7305" w:rsidRDefault="00F26847" w:rsidP="00BE4EED">
            <w:pPr>
              <w:keepNext/>
              <w:spacing w:before="40" w:after="40"/>
              <w:rPr>
                <w:sz w:val="18"/>
              </w:rPr>
            </w:pPr>
            <w:r w:rsidRPr="00AC7305">
              <w:rPr>
                <w:sz w:val="18"/>
              </w:rPr>
              <w:t>T2/T3 ground access improvements</w:t>
            </w:r>
          </w:p>
        </w:tc>
        <w:tc>
          <w:tcPr>
            <w:tcW w:w="1185" w:type="dxa"/>
            <w:tcBorders>
              <w:top w:val="nil"/>
              <w:left w:val="nil"/>
              <w:right w:val="nil"/>
            </w:tcBorders>
          </w:tcPr>
          <w:p w:rsidR="00F26847" w:rsidRPr="00AC7305" w:rsidRDefault="00F26847" w:rsidP="00BE4EED">
            <w:pPr>
              <w:keepNext/>
              <w:spacing w:before="40" w:after="40"/>
              <w:jc w:val="right"/>
              <w:rPr>
                <w:sz w:val="18"/>
              </w:rPr>
            </w:pPr>
            <w:r w:rsidRPr="00AC7305">
              <w:rPr>
                <w:sz w:val="18"/>
              </w:rPr>
              <w:t xml:space="preserve">20-50 </w:t>
            </w:r>
          </w:p>
        </w:tc>
        <w:tc>
          <w:tcPr>
            <w:tcW w:w="1185" w:type="dxa"/>
            <w:tcBorders>
              <w:top w:val="nil"/>
              <w:left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Q2 2016</w:t>
            </w:r>
          </w:p>
        </w:tc>
        <w:tc>
          <w:tcPr>
            <w:tcW w:w="1186" w:type="dxa"/>
            <w:tcBorders>
              <w:top w:val="nil"/>
              <w:left w:val="nil"/>
              <w:right w:val="nil"/>
            </w:tcBorders>
          </w:tcPr>
          <w:p w:rsidR="00F26847" w:rsidRPr="00AC7305" w:rsidRDefault="00F26847" w:rsidP="00BE4EED">
            <w:pPr>
              <w:keepNext/>
              <w:spacing w:before="40" w:after="40"/>
              <w:jc w:val="right"/>
              <w:rPr>
                <w:i/>
                <w:color w:val="808080" w:themeColor="background1" w:themeShade="80"/>
                <w:sz w:val="18"/>
              </w:rPr>
            </w:pPr>
            <w:r w:rsidRPr="00AC7305">
              <w:rPr>
                <w:i/>
                <w:color w:val="808080" w:themeColor="background1" w:themeShade="80"/>
                <w:sz w:val="18"/>
              </w:rPr>
              <w:t>Q4 2018</w:t>
            </w:r>
          </w:p>
        </w:tc>
      </w:tr>
    </w:tbl>
    <w:p w:rsidR="00F26847" w:rsidRDefault="00F26847" w:rsidP="00F26847">
      <w:pPr>
        <w:keepNext/>
        <w:spacing w:before="120" w:after="120"/>
      </w:pPr>
      <w:r w:rsidRPr="00AC7305">
        <w:lastRenderedPageBreak/>
        <w:t xml:space="preserve">Planning and construction of the remaining T1 and T2/T3 ground access improvements will be progressively delivered between 2015 and 2018. This work is planned to improve the ground access in both precincts and includes plans to increase taxi holding areas, the building of ramps, bridges and roads and the construction of a multi-level ground transport interchange in the T2/T3 precinct.    </w:t>
      </w:r>
    </w:p>
    <w:p w:rsidR="00F26847" w:rsidRDefault="00F26847" w:rsidP="00114E05">
      <w:pPr>
        <w:pStyle w:val="Numberedheading2"/>
      </w:pPr>
      <w:r>
        <w:t>Aeronautical price monitoring and financial performance results</w:t>
      </w:r>
    </w:p>
    <w:p w:rsidR="00F26847" w:rsidRDefault="00F26847" w:rsidP="00F26847">
      <w:pPr>
        <w:keepNext/>
      </w:pPr>
      <w:r w:rsidRPr="00AC7305">
        <w:t>This section presents Sydney Airport’s aeronautical price monitoring and financial reporting results. These results are categorised into prices (Section 5.2.1), revenues, costs and profits (Section 5.2.2), and assets (Section 5.2.3), including capital additions (Section 5.2.4) and rate of return on tangible non</w:t>
      </w:r>
      <w:r>
        <w:t>-</w:t>
      </w:r>
      <w:r w:rsidRPr="00AC7305">
        <w:t>current assets (Section 5.2.5).</w:t>
      </w:r>
    </w:p>
    <w:p w:rsidR="00F26847" w:rsidRDefault="00F26847" w:rsidP="00F26847">
      <w:pPr>
        <w:pStyle w:val="Numberedheading3"/>
        <w:tabs>
          <w:tab w:val="clear" w:pos="1384"/>
          <w:tab w:val="num" w:pos="993"/>
        </w:tabs>
        <w:ind w:left="993" w:hanging="993"/>
      </w:pPr>
      <w:r>
        <w:t>Prices</w:t>
      </w:r>
    </w:p>
    <w:p w:rsidR="00F26847" w:rsidRPr="008F6773" w:rsidRDefault="00F26847" w:rsidP="00F26847">
      <w:r w:rsidRPr="008F6773">
        <w:t xml:space="preserve">Sydney Airport has recently commercially negotiated agreements with airlines that cover periods varying between five and 17 years. In June 2015, Sydney Airport reached agreement with international airlines (facilitated by the Board of Airline Representatives Australia) on the provision and pricing of airport services. This agreement includes a reduction in the international per passenger charge for the period 1 July 2015 to 30 June 2016 by around 0.7 per cent. </w:t>
      </w:r>
      <w:r w:rsidRPr="008F6773">
        <w:rPr>
          <w:vertAlign w:val="superscript"/>
        </w:rPr>
        <w:footnoteReference w:id="124"/>
      </w:r>
      <w:r w:rsidRPr="008F6773">
        <w:t xml:space="preserve"> This agreement also provides a framework for working with airlines to provide an improved passenger experience including monitoring of terminal cleanliness and maintenance needs.</w:t>
      </w:r>
      <w:r w:rsidRPr="008F6773">
        <w:rPr>
          <w:vertAlign w:val="superscript"/>
        </w:rPr>
        <w:footnoteReference w:id="125"/>
      </w:r>
    </w:p>
    <w:p w:rsidR="00F26847" w:rsidRDefault="00F26847" w:rsidP="00F26847">
      <w:pPr>
        <w:keepNext/>
      </w:pPr>
      <w:r w:rsidRPr="008F6773">
        <w:t>Table 5.2.1 presents the average aeronautical charges at Sydney Airport during 2014-15. Further, it provides an indexed average list price for each charge in real terms between 2010-11 and 2014-15</w:t>
      </w:r>
      <w:r>
        <w:t>. Commercial agreements mean that airlines may pay less than the list prices.</w:t>
      </w:r>
    </w:p>
    <w:p w:rsidR="00F26847" w:rsidRDefault="00F26847" w:rsidP="00F26847">
      <w:pPr>
        <w:keepNext/>
        <w:spacing w:before="240" w:after="200" w:line="276" w:lineRule="auto"/>
        <w:ind w:left="1440" w:hanging="1440"/>
        <w:outlineLvl w:val="3"/>
        <w:rPr>
          <w:b/>
          <w:color w:val="51626F"/>
        </w:rPr>
      </w:pPr>
      <w:r w:rsidRPr="008F6773">
        <w:rPr>
          <w:b/>
          <w:color w:val="51626F"/>
        </w:rPr>
        <w:t>Table 5.2.1:</w:t>
      </w:r>
      <w:r w:rsidRPr="008F6773">
        <w:rPr>
          <w:b/>
          <w:color w:val="51626F"/>
        </w:rPr>
        <w:tab/>
        <w:t>Sydney Airport—schedule of average aeronautical charges in 2014</w:t>
      </w:r>
      <w:r w:rsidRPr="008F6773">
        <w:rPr>
          <w:b/>
          <w:color w:val="51626F"/>
        </w:rPr>
        <w:noBreakHyphen/>
        <w:t>15 and indexed average list prices (including GST) in real terms from 2010</w:t>
      </w:r>
      <w:r w:rsidRPr="008F6773">
        <w:rPr>
          <w:b/>
          <w:color w:val="51626F"/>
        </w:rPr>
        <w:noBreakHyphen/>
        <w:t>11 to 2014</w:t>
      </w:r>
      <w:r w:rsidRPr="008F6773">
        <w:rPr>
          <w:b/>
          <w:color w:val="51626F"/>
        </w:rPr>
        <w:noBreakHyphen/>
        <w:t>15</w:t>
      </w:r>
    </w:p>
    <w:tbl>
      <w:tblPr>
        <w:tblStyle w:val="LightList-Accent11"/>
        <w:tblW w:w="9073" w:type="dxa"/>
        <w:tblBorders>
          <w:top w:val="single" w:sz="4" w:space="0" w:color="51626F"/>
          <w:left w:val="none" w:sz="0" w:space="0" w:color="auto"/>
          <w:bottom w:val="single" w:sz="4" w:space="0" w:color="51626F"/>
          <w:right w:val="none" w:sz="0" w:space="0" w:color="auto"/>
          <w:insideH w:val="single" w:sz="4" w:space="0" w:color="51626F"/>
        </w:tblBorders>
        <w:tblLayout w:type="fixed"/>
        <w:tblLook w:val="04A0" w:firstRow="1" w:lastRow="0" w:firstColumn="1" w:lastColumn="0" w:noHBand="0" w:noVBand="1"/>
      </w:tblPr>
      <w:tblGrid>
        <w:gridCol w:w="2978"/>
        <w:gridCol w:w="1270"/>
        <w:gridCol w:w="965"/>
        <w:gridCol w:w="965"/>
        <w:gridCol w:w="965"/>
        <w:gridCol w:w="965"/>
        <w:gridCol w:w="965"/>
      </w:tblGrid>
      <w:tr w:rsidR="00F26847" w:rsidRPr="006B2CBE" w:rsidTr="00BE4EED">
        <w:trPr>
          <w:cnfStyle w:val="100000000000" w:firstRow="1" w:lastRow="0" w:firstColumn="0" w:lastColumn="0" w:oddVBand="0" w:evenVBand="0" w:oddHBand="0" w:evenHBand="0" w:firstRowFirstColumn="0" w:firstRowLastColumn="0" w:lastRowFirstColumn="0" w:lastRowLastColumn="0"/>
          <w:trHeight w:val="656"/>
          <w:tblHead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bottom w:val="nil"/>
              <w:right w:val="nil"/>
            </w:tcBorders>
            <w:shd w:val="clear" w:color="auto" w:fill="DFE0DC"/>
          </w:tcPr>
          <w:p w:rsidR="00F26847" w:rsidRPr="006B2CBE" w:rsidRDefault="00F26847" w:rsidP="00BE4EED">
            <w:pPr>
              <w:spacing w:before="40" w:after="40"/>
              <w:rPr>
                <w:sz w:val="18"/>
              </w:rPr>
            </w:pPr>
          </w:p>
        </w:tc>
        <w:tc>
          <w:tcPr>
            <w:tcW w:w="1270" w:type="dxa"/>
            <w:vMerge w:val="restart"/>
            <w:tcBorders>
              <w:top w:val="single" w:sz="4" w:space="0" w:color="000000" w:themeColor="text1"/>
              <w:left w:val="nil"/>
              <w:bottom w:val="nil"/>
              <w:right w:val="single" w:sz="4" w:space="0" w:color="000000" w:themeColor="text1"/>
            </w:tcBorders>
            <w:shd w:val="clear" w:color="auto" w:fill="DFE0DC"/>
          </w:tcPr>
          <w:p w:rsidR="00F26847" w:rsidRPr="006B2CBE" w:rsidRDefault="00F26847" w:rsidP="00BE4EED">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Average charge per unit</w:t>
            </w:r>
            <w:r w:rsidRPr="006B2CBE">
              <w:rPr>
                <w:rFonts w:eastAsia="Times New Roman" w:cs="Times New Roman"/>
                <w:color w:val="000000" w:themeColor="text1"/>
                <w:sz w:val="18"/>
                <w:szCs w:val="20"/>
                <w:lang w:eastAsia="en-AU"/>
              </w:rPr>
              <w:br/>
              <w:t>$</w:t>
            </w:r>
          </w:p>
        </w:tc>
        <w:tc>
          <w:tcPr>
            <w:tcW w:w="4825" w:type="dxa"/>
            <w:gridSpan w:val="5"/>
            <w:tcBorders>
              <w:top w:val="single" w:sz="4" w:space="0" w:color="000000" w:themeColor="text1"/>
              <w:left w:val="single" w:sz="4" w:space="0" w:color="000000" w:themeColor="text1"/>
              <w:bottom w:val="nil"/>
            </w:tcBorders>
            <w:shd w:val="clear" w:color="auto" w:fill="DFE0DC"/>
          </w:tcPr>
          <w:p w:rsidR="00F26847" w:rsidRPr="006B2CBE" w:rsidRDefault="00F26847" w:rsidP="00BE4EED">
            <w:pPr>
              <w:keepNext/>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 xml:space="preserve">Indexed average list prices </w:t>
            </w:r>
            <w:r w:rsidRPr="006B2CBE">
              <w:rPr>
                <w:rFonts w:eastAsia="Times New Roman" w:cs="Times New Roman"/>
                <w:color w:val="000000" w:themeColor="text1"/>
                <w:sz w:val="18"/>
                <w:szCs w:val="20"/>
                <w:lang w:eastAsia="en-AU"/>
              </w:rPr>
              <w:br/>
              <w:t>(201</w:t>
            </w:r>
            <w:r>
              <w:rPr>
                <w:rFonts w:eastAsia="Times New Roman" w:cs="Times New Roman"/>
                <w:color w:val="000000" w:themeColor="text1"/>
                <w:sz w:val="18"/>
                <w:szCs w:val="20"/>
                <w:lang w:eastAsia="en-AU"/>
              </w:rPr>
              <w:t>4</w:t>
            </w:r>
            <w:r w:rsidRPr="006B2CBE">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5</w:t>
            </w:r>
            <w:r w:rsidRPr="006B2CBE">
              <w:rPr>
                <w:rFonts w:eastAsia="Times New Roman" w:cs="Times New Roman"/>
                <w:color w:val="000000" w:themeColor="text1"/>
                <w:sz w:val="18"/>
                <w:szCs w:val="20"/>
                <w:lang w:eastAsia="en-AU"/>
              </w:rPr>
              <w:t xml:space="preserve"> base year = 100)</w:t>
            </w:r>
          </w:p>
        </w:tc>
      </w:tr>
      <w:tr w:rsidR="00F26847" w:rsidRPr="006B2CBE" w:rsidTr="00BE4EED">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2978" w:type="dxa"/>
            <w:tcBorders>
              <w:top w:val="nil"/>
              <w:left w:val="nil"/>
              <w:bottom w:val="single" w:sz="4" w:space="0" w:color="000000" w:themeColor="text1"/>
              <w:right w:val="nil"/>
            </w:tcBorders>
            <w:shd w:val="clear" w:color="auto" w:fill="DFE0DC"/>
          </w:tcPr>
          <w:p w:rsidR="00F26847" w:rsidRPr="006B2CBE" w:rsidRDefault="00F26847" w:rsidP="00BE4EED">
            <w:pPr>
              <w:spacing w:before="40" w:after="40"/>
              <w:rPr>
                <w:sz w:val="18"/>
              </w:rPr>
            </w:pPr>
          </w:p>
        </w:tc>
        <w:tc>
          <w:tcPr>
            <w:tcW w:w="1270" w:type="dxa"/>
            <w:vMerge/>
            <w:tcBorders>
              <w:top w:val="nil"/>
              <w:left w:val="nil"/>
              <w:bottom w:val="single" w:sz="4" w:space="0" w:color="000000" w:themeColor="text1"/>
              <w:right w:val="single" w:sz="4" w:space="0" w:color="000000" w:themeColor="text1"/>
            </w:tcBorders>
            <w:shd w:val="clear" w:color="auto" w:fill="DFE0DC"/>
          </w:tcPr>
          <w:p w:rsidR="00F26847" w:rsidRPr="006B2CBE" w:rsidRDefault="00F26847" w:rsidP="00BE4EED">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p>
        </w:tc>
        <w:tc>
          <w:tcPr>
            <w:tcW w:w="965" w:type="dxa"/>
            <w:tcBorders>
              <w:top w:val="nil"/>
              <w:left w:val="single" w:sz="4" w:space="0" w:color="000000" w:themeColor="text1"/>
              <w:bottom w:val="single" w:sz="4" w:space="0" w:color="000000" w:themeColor="text1"/>
              <w:right w:val="nil"/>
            </w:tcBorders>
            <w:shd w:val="clear" w:color="auto" w:fill="DFE0DC"/>
          </w:tcPr>
          <w:p w:rsidR="00F26847" w:rsidRPr="006B2CBE" w:rsidRDefault="00F26847" w:rsidP="00BE4EED">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2010-11</w:t>
            </w:r>
          </w:p>
        </w:tc>
        <w:tc>
          <w:tcPr>
            <w:tcW w:w="965" w:type="dxa"/>
            <w:tcBorders>
              <w:top w:val="nil"/>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2011-12</w:t>
            </w:r>
          </w:p>
        </w:tc>
        <w:tc>
          <w:tcPr>
            <w:tcW w:w="965" w:type="dxa"/>
            <w:tcBorders>
              <w:top w:val="nil"/>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2012-13</w:t>
            </w:r>
          </w:p>
        </w:tc>
        <w:tc>
          <w:tcPr>
            <w:tcW w:w="965" w:type="dxa"/>
            <w:tcBorders>
              <w:top w:val="nil"/>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2013-14</w:t>
            </w:r>
          </w:p>
        </w:tc>
        <w:tc>
          <w:tcPr>
            <w:tcW w:w="965" w:type="dxa"/>
            <w:tcBorders>
              <w:top w:val="nil"/>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20"/>
                <w:lang w:eastAsia="en-AU"/>
              </w:rPr>
            </w:pPr>
            <w:r w:rsidRPr="006B2CBE">
              <w:rPr>
                <w:rFonts w:eastAsia="Times New Roman" w:cs="Times New Roman"/>
                <w:color w:val="000000" w:themeColor="text1"/>
                <w:sz w:val="18"/>
                <w:szCs w:val="20"/>
                <w:lang w:eastAsia="en-AU"/>
              </w:rPr>
              <w:t>201</w:t>
            </w:r>
            <w:r>
              <w:rPr>
                <w:rFonts w:eastAsia="Times New Roman" w:cs="Times New Roman"/>
                <w:color w:val="000000" w:themeColor="text1"/>
                <w:sz w:val="18"/>
                <w:szCs w:val="20"/>
                <w:lang w:eastAsia="en-AU"/>
              </w:rPr>
              <w:t>4</w:t>
            </w:r>
            <w:r w:rsidRPr="006B2CBE">
              <w:rPr>
                <w:rFonts w:eastAsia="Times New Roman" w:cs="Times New Roman"/>
                <w:color w:val="000000" w:themeColor="text1"/>
                <w:sz w:val="18"/>
                <w:szCs w:val="20"/>
                <w:lang w:eastAsia="en-AU"/>
              </w:rPr>
              <w:t>-1</w:t>
            </w:r>
            <w:r>
              <w:rPr>
                <w:rFonts w:eastAsia="Times New Roman" w:cs="Times New Roman"/>
                <w:color w:val="000000" w:themeColor="text1"/>
                <w:sz w:val="18"/>
                <w:szCs w:val="20"/>
                <w:lang w:eastAsia="en-AU"/>
              </w:rPr>
              <w:t>5</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shd w:val="clear" w:color="auto" w:fill="DFE0DC"/>
          </w:tcPr>
          <w:p w:rsidR="00F26847" w:rsidRPr="006B2CBE" w:rsidRDefault="00F26847" w:rsidP="00BE4EED">
            <w:pPr>
              <w:spacing w:before="40" w:after="40"/>
              <w:rPr>
                <w:rFonts w:eastAsia="Times New Roman" w:cs="Times New Roman"/>
                <w:sz w:val="18"/>
                <w:szCs w:val="20"/>
                <w:lang w:eastAsia="en-AU"/>
              </w:rPr>
            </w:pPr>
            <w:r w:rsidRPr="006B2CBE">
              <w:rPr>
                <w:rFonts w:eastAsia="Times New Roman" w:cs="Times New Roman"/>
                <w:sz w:val="18"/>
                <w:szCs w:val="20"/>
                <w:lang w:eastAsia="en-AU"/>
              </w:rPr>
              <w:t>Aeronautical services - aircraft movement facilities and activities</w:t>
            </w:r>
          </w:p>
        </w:tc>
        <w:tc>
          <w:tcPr>
            <w:tcW w:w="1270" w:type="dxa"/>
            <w:tcBorders>
              <w:top w:val="single" w:sz="4" w:space="0" w:color="000000" w:themeColor="text1"/>
              <w:bottom w:val="single" w:sz="4" w:space="0" w:color="000000" w:themeColor="text1"/>
              <w:right w:val="single" w:sz="4" w:space="0" w:color="000000" w:themeColor="text1"/>
            </w:tcBorders>
            <w:shd w:val="clear" w:color="auto" w:fill="DFE0DC"/>
          </w:tcPr>
          <w:p w:rsidR="00F26847" w:rsidRPr="006B2CBE" w:rsidRDefault="00F26847" w:rsidP="00BE4EED">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left w:val="single" w:sz="4" w:space="0" w:color="000000" w:themeColor="text1"/>
              <w:bottom w:val="single" w:sz="8" w:space="0" w:color="000000" w:themeColor="text1"/>
            </w:tcBorders>
            <w:shd w:val="clear" w:color="auto" w:fill="DFE0DC"/>
          </w:tcPr>
          <w:p w:rsidR="00F26847" w:rsidRPr="006B2CBE" w:rsidRDefault="00F26847" w:rsidP="00BE4EED">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tcBorders>
            <w:shd w:val="clear" w:color="auto" w:fill="DFE0DC"/>
          </w:tcPr>
          <w:p w:rsidR="00F26847" w:rsidRPr="006B2CBE" w:rsidRDefault="00F26847" w:rsidP="00BE4EED">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tcBorders>
            <w:shd w:val="clear" w:color="auto" w:fill="DFE0DC"/>
          </w:tcPr>
          <w:p w:rsidR="00F26847" w:rsidRPr="006B2CBE" w:rsidRDefault="00F26847" w:rsidP="00BE4EED">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tcBorders>
            <w:shd w:val="clear" w:color="auto" w:fill="DFE0DC"/>
          </w:tcPr>
          <w:p w:rsidR="00F26847" w:rsidRPr="006B2CBE" w:rsidRDefault="00F26847" w:rsidP="00BE4EED">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c>
          <w:tcPr>
            <w:tcW w:w="965" w:type="dxa"/>
            <w:tcBorders>
              <w:top w:val="single" w:sz="4" w:space="0" w:color="000000" w:themeColor="text1"/>
              <w:bottom w:val="single" w:sz="8" w:space="0" w:color="000000" w:themeColor="text1"/>
              <w:right w:val="nil"/>
            </w:tcBorders>
            <w:shd w:val="clear" w:color="auto" w:fill="DFE0DC"/>
          </w:tcPr>
          <w:p w:rsidR="00F26847" w:rsidRPr="006B2CBE" w:rsidRDefault="00F26847" w:rsidP="00BE4EED">
            <w:pPr>
              <w:spacing w:before="40" w:after="40"/>
              <w:cnfStyle w:val="000000100000" w:firstRow="0" w:lastRow="0" w:firstColumn="0" w:lastColumn="0" w:oddVBand="0" w:evenVBand="0" w:oddHBand="1" w:evenHBand="0" w:firstRowFirstColumn="0" w:firstRowLastColumn="0" w:lastRowFirstColumn="0" w:lastRowLastColumn="0"/>
              <w:rPr>
                <w:sz w:val="18"/>
                <w:highlight w:val="yellow"/>
              </w:rPr>
            </w:pP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International passenger service charge (per passenger)</w:t>
            </w:r>
            <w:r w:rsidRPr="006B2CBE">
              <w:rPr>
                <w:b w:val="0"/>
                <w:sz w:val="18"/>
                <w:vertAlign w:val="superscript"/>
              </w:rPr>
              <w:t>(a)</w:t>
            </w:r>
            <w:r w:rsidRPr="006B2CBE">
              <w:rPr>
                <w:b w:val="0"/>
                <w:sz w:val="18"/>
              </w:rPr>
              <w:t>*</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26.20</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96.5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95.9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96.1</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96.4</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Domestic passenger service charge (per passenger)</w:t>
            </w:r>
            <w:r w:rsidRPr="006B2CBE">
              <w:rPr>
                <w:b w:val="0"/>
                <w:sz w:val="18"/>
                <w:vertAlign w:val="superscript"/>
              </w:rPr>
              <w:t>(b)</w:t>
            </w:r>
            <w:r w:rsidRPr="006B2CBE">
              <w:rPr>
                <w:b w:val="0"/>
                <w:sz w:val="18"/>
              </w:rPr>
              <w:t>*</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4.39</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95.1</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95.3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96.1</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96.6</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Runway charge—non-passenger movements and GA (per MTOW)*</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5.48</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94.4</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95.1</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95.9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96.6</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Runway charge—regional services (per MTOW)**</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3.78</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lastRenderedPageBreak/>
              <w:t>Landing charge—rotary-wing (per movement)</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33.00</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Apron charge—major aprons (per 15 minutes)</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38.50</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Apron charge—GA aprons—regional services (per day)</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66.00</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Apron charge—GA aprons—0 to 20 tonnes (per day)</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143.00</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84.1</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82.2</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88.4</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93.9</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Apron charge—GA aprons—20 to 40 tonnes (per day)</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198.00</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91.1</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89.0</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92.9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96.1</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Apron charge—GA aprons—greater than 40 tonnes (per day)</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297.00</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97.2</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95.0</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96.7</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97.9</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Domestic terminal infrastructure charge</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Commercial agreement</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right w:val="nil"/>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Aircraft refuelling services</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Commercial agreement</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right w:val="nil"/>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T3 domestic terminal infrastructure</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Commercial agreement</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8" w:space="0" w:color="000000" w:themeColor="text1"/>
              <w:right w:val="nil"/>
            </w:tcBorders>
          </w:tcPr>
          <w:p w:rsidR="00F26847" w:rsidRPr="00B93AC0"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B93AC0">
              <w:rPr>
                <w:sz w:val="18"/>
              </w:rPr>
              <w:t>NA</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rPr>
            </w:pPr>
            <w:r w:rsidRPr="006B2CBE">
              <w:rPr>
                <w:b w:val="0"/>
                <w:sz w:val="18"/>
              </w:rPr>
              <w:t>Light and emergency aircraft maintenance</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Commercial agreement</w:t>
            </w:r>
          </w:p>
        </w:tc>
        <w:tc>
          <w:tcPr>
            <w:tcW w:w="965" w:type="dxa"/>
            <w:tcBorders>
              <w:top w:val="single" w:sz="8" w:space="0" w:color="000000" w:themeColor="text1"/>
              <w:left w:val="single" w:sz="4" w:space="0" w:color="000000" w:themeColor="text1"/>
              <w:bottom w:val="single" w:sz="4"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c>
          <w:tcPr>
            <w:tcW w:w="965" w:type="dxa"/>
            <w:tcBorders>
              <w:top w:val="single" w:sz="8" w:space="0" w:color="000000" w:themeColor="text1"/>
              <w:bottom w:val="single" w:sz="4" w:space="0" w:color="000000" w:themeColor="text1"/>
              <w:right w:val="nil"/>
            </w:tcBorders>
          </w:tcPr>
          <w:p w:rsidR="00F26847" w:rsidRPr="00B93AC0"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B93AC0">
              <w:rPr>
                <w:sz w:val="18"/>
              </w:rPr>
              <w:t>NA</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right w:val="nil"/>
            </w:tcBorders>
            <w:shd w:val="clear" w:color="auto" w:fill="DFE0DC"/>
          </w:tcPr>
          <w:p w:rsidR="00F26847" w:rsidRPr="006B2CBE" w:rsidRDefault="00F26847" w:rsidP="00BE4EED">
            <w:pPr>
              <w:spacing w:before="40" w:after="40"/>
              <w:rPr>
                <w:rFonts w:eastAsia="Times New Roman" w:cs="Times New Roman"/>
                <w:sz w:val="18"/>
                <w:szCs w:val="20"/>
                <w:lang w:eastAsia="en-AU"/>
              </w:rPr>
            </w:pPr>
            <w:r w:rsidRPr="006B2CBE">
              <w:rPr>
                <w:rFonts w:eastAsia="Times New Roman" w:cs="Times New Roman"/>
                <w:sz w:val="18"/>
                <w:szCs w:val="20"/>
                <w:lang w:eastAsia="en-AU"/>
              </w:rPr>
              <w:t>Aeronautical services – passenger processing facilities and activities</w:t>
            </w:r>
          </w:p>
        </w:tc>
        <w:tc>
          <w:tcPr>
            <w:tcW w:w="1270" w:type="dxa"/>
            <w:tcBorders>
              <w:top w:val="single" w:sz="4" w:space="0" w:color="000000" w:themeColor="text1"/>
              <w:left w:val="nil"/>
              <w:bottom w:val="single" w:sz="4" w:space="0" w:color="000000" w:themeColor="text1"/>
              <w:right w:val="single" w:sz="4" w:space="0" w:color="000000" w:themeColor="text1"/>
            </w:tcBorders>
            <w:shd w:val="clear" w:color="auto" w:fill="DFE0DC"/>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single" w:sz="4" w:space="0" w:color="000000" w:themeColor="text1"/>
              <w:bottom w:val="single" w:sz="4" w:space="0" w:color="000000" w:themeColor="text1"/>
              <w:right w:val="nil"/>
            </w:tcBorders>
            <w:shd w:val="clear" w:color="auto" w:fill="DFE0DC"/>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highlight w:val="yellow"/>
              </w:rPr>
            </w:pPr>
          </w:p>
        </w:tc>
        <w:tc>
          <w:tcPr>
            <w:tcW w:w="965" w:type="dxa"/>
            <w:tcBorders>
              <w:top w:val="single" w:sz="4" w:space="0" w:color="000000" w:themeColor="text1"/>
              <w:left w:val="nil"/>
              <w:bottom w:val="single" w:sz="4" w:space="0" w:color="000000" w:themeColor="text1"/>
              <w:right w:val="nil"/>
            </w:tcBorders>
            <w:shd w:val="clear" w:color="auto" w:fill="DFE0DC"/>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spacing w:before="40" w:after="40"/>
              <w:rPr>
                <w:b w:val="0"/>
                <w:sz w:val="18"/>
                <w:vertAlign w:val="superscript"/>
              </w:rPr>
            </w:pPr>
            <w:r w:rsidRPr="006B2CBE">
              <w:rPr>
                <w:b w:val="0"/>
                <w:sz w:val="18"/>
              </w:rPr>
              <w:t>International security charges—including passenger screening, checked bag screening and additional security measures (per passenger)</w:t>
            </w:r>
            <w:r w:rsidRPr="006B2CBE">
              <w:rPr>
                <w:b w:val="0"/>
                <w:sz w:val="18"/>
                <w:vertAlign w:val="superscript"/>
              </w:rPr>
              <w:t>(c)</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4.62</w:t>
            </w:r>
          </w:p>
        </w:tc>
        <w:tc>
          <w:tcPr>
            <w:tcW w:w="965" w:type="dxa"/>
            <w:tcBorders>
              <w:top w:val="single" w:sz="4"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114.8</w:t>
            </w:r>
          </w:p>
        </w:tc>
        <w:tc>
          <w:tcPr>
            <w:tcW w:w="965" w:type="dxa"/>
            <w:tcBorders>
              <w:top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106.1</w:t>
            </w:r>
          </w:p>
        </w:tc>
        <w:tc>
          <w:tcPr>
            <w:tcW w:w="965" w:type="dxa"/>
            <w:tcBorders>
              <w:top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106.0</w:t>
            </w:r>
          </w:p>
        </w:tc>
        <w:tc>
          <w:tcPr>
            <w:tcW w:w="965" w:type="dxa"/>
            <w:tcBorders>
              <w:top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105.1</w:t>
            </w:r>
          </w:p>
        </w:tc>
        <w:tc>
          <w:tcPr>
            <w:tcW w:w="965" w:type="dxa"/>
            <w:tcBorders>
              <w:top w:val="single" w:sz="4"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keepNext/>
              <w:spacing w:before="40" w:after="40"/>
              <w:rPr>
                <w:b w:val="0"/>
                <w:sz w:val="18"/>
              </w:rPr>
            </w:pPr>
            <w:r w:rsidRPr="006B2CBE">
              <w:rPr>
                <w:b w:val="0"/>
                <w:sz w:val="18"/>
              </w:rPr>
              <w:t>T2 domestic passenger facilitation charge (per passenger)</w:t>
            </w:r>
            <w:r w:rsidRPr="006B2CBE">
              <w:rPr>
                <w:b w:val="0"/>
                <w:sz w:val="18"/>
                <w:vertAlign w:val="superscript"/>
              </w:rPr>
              <w:t>(d)</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9.44</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94.4</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92.3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97.4</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4" w:space="0" w:color="000000" w:themeColor="text1"/>
            </w:tcBorders>
          </w:tcPr>
          <w:p w:rsidR="00F26847" w:rsidRPr="006B2CBE" w:rsidRDefault="00F26847" w:rsidP="00BE4EED">
            <w:pPr>
              <w:keepNext/>
              <w:spacing w:before="40" w:after="40"/>
              <w:rPr>
                <w:b w:val="0"/>
                <w:sz w:val="18"/>
              </w:rPr>
            </w:pPr>
            <w:r w:rsidRPr="006B2CBE">
              <w:rPr>
                <w:b w:val="0"/>
                <w:sz w:val="18"/>
              </w:rPr>
              <w:t>T2 regional passenger facilitation charge (per passenger)</w:t>
            </w:r>
            <w:r w:rsidRPr="006B2CBE">
              <w:rPr>
                <w:b w:val="0"/>
                <w:sz w:val="18"/>
                <w:vertAlign w:val="superscript"/>
              </w:rPr>
              <w:t>(d)</w:t>
            </w:r>
          </w:p>
        </w:tc>
        <w:tc>
          <w:tcPr>
            <w:tcW w:w="1270" w:type="dxa"/>
            <w:tcBorders>
              <w:top w:val="single" w:sz="4" w:space="0" w:color="000000" w:themeColor="text1"/>
              <w:bottom w:val="single" w:sz="4" w:space="0" w:color="000000" w:themeColor="text1"/>
              <w:right w:val="single" w:sz="4"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4.95</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000000" w:themeColor="text1"/>
              <w:left w:val="nil"/>
              <w:bottom w:val="single" w:sz="8" w:space="0" w:color="000000" w:themeColor="text1"/>
            </w:tcBorders>
          </w:tcPr>
          <w:p w:rsidR="00F26847" w:rsidRPr="006B2CBE" w:rsidRDefault="00F26847" w:rsidP="00BE4EED">
            <w:pPr>
              <w:spacing w:before="40" w:after="40"/>
              <w:rPr>
                <w:b w:val="0"/>
                <w:sz w:val="18"/>
              </w:rPr>
            </w:pPr>
            <w:r w:rsidRPr="006B2CBE">
              <w:rPr>
                <w:b w:val="0"/>
                <w:sz w:val="18"/>
              </w:rPr>
              <w:t xml:space="preserve">T2 domestic security charges—including passenger screening, checked bag screening and additional security measures </w:t>
            </w:r>
            <w:r w:rsidRPr="006B2CBE">
              <w:rPr>
                <w:b w:val="0"/>
                <w:sz w:val="18"/>
              </w:rPr>
              <w:br/>
              <w:t>(per passenger)</w:t>
            </w:r>
            <w:r w:rsidRPr="006B2CBE">
              <w:rPr>
                <w:b w:val="0"/>
                <w:sz w:val="18"/>
                <w:vertAlign w:val="superscript"/>
              </w:rPr>
              <w:t>(e)</w:t>
            </w:r>
          </w:p>
        </w:tc>
        <w:tc>
          <w:tcPr>
            <w:tcW w:w="1270" w:type="dxa"/>
            <w:tcBorders>
              <w:top w:val="single" w:sz="4" w:space="0" w:color="000000" w:themeColor="text1"/>
              <w:bottom w:val="single" w:sz="8" w:space="0" w:color="000000" w:themeColor="text1"/>
              <w:right w:val="single" w:sz="4"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1.97</w:t>
            </w:r>
          </w:p>
        </w:tc>
        <w:tc>
          <w:tcPr>
            <w:tcW w:w="965" w:type="dxa"/>
            <w:tcBorders>
              <w:top w:val="single" w:sz="8" w:space="0" w:color="000000" w:themeColor="text1"/>
              <w:left w:val="single" w:sz="4"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111.1</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97.9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95.7</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101.1</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spacing w:before="40" w:after="40"/>
              <w:rPr>
                <w:b w:val="0"/>
                <w:sz w:val="18"/>
              </w:rPr>
            </w:pPr>
            <w:r w:rsidRPr="006B2CBE">
              <w:rPr>
                <w:b w:val="0"/>
                <w:sz w:val="18"/>
              </w:rPr>
              <w:t>T2 regional security charges—including passenger screening and checked bag screening (per passenger)</w:t>
            </w:r>
            <w:r w:rsidRPr="006B2CBE">
              <w:rPr>
                <w:b w:val="0"/>
                <w:sz w:val="18"/>
                <w:vertAlign w:val="superscript"/>
              </w:rPr>
              <w:t>(f)</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0.96</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spacing w:before="40" w:after="40"/>
              <w:rPr>
                <w:b w:val="0"/>
                <w:sz w:val="18"/>
              </w:rPr>
            </w:pPr>
            <w:r w:rsidRPr="006B2CBE">
              <w:rPr>
                <w:b w:val="0"/>
                <w:sz w:val="18"/>
              </w:rPr>
              <w:t xml:space="preserve">T2 new investment charge </w:t>
            </w:r>
            <w:r w:rsidRPr="006B2CBE">
              <w:rPr>
                <w:b w:val="0"/>
                <w:sz w:val="18"/>
              </w:rPr>
              <w:br/>
              <w:t>(per passenger)</w:t>
            </w:r>
            <w:r w:rsidRPr="006B2CBE">
              <w:rPr>
                <w:b w:val="0"/>
                <w:sz w:val="18"/>
                <w:vertAlign w:val="superscript"/>
              </w:rPr>
              <w:t>(g)</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0.44</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spacing w:before="40" w:after="40"/>
              <w:rPr>
                <w:b w:val="0"/>
                <w:sz w:val="18"/>
              </w:rPr>
            </w:pPr>
            <w:r w:rsidRPr="006B2CBE">
              <w:rPr>
                <w:b w:val="0"/>
                <w:sz w:val="18"/>
              </w:rPr>
              <w:t>International check-in counters (per hour)</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25.20</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97.8</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98.6</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98.0</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98.1</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spacing w:before="40" w:after="40"/>
              <w:rPr>
                <w:b w:val="0"/>
                <w:sz w:val="18"/>
              </w:rPr>
            </w:pPr>
            <w:r w:rsidRPr="006B2CBE">
              <w:rPr>
                <w:b w:val="0"/>
                <w:sz w:val="18"/>
              </w:rPr>
              <w:t xml:space="preserve">Terminal access roads </w:t>
            </w:r>
            <w:r w:rsidRPr="006B2CBE">
              <w:rPr>
                <w:b w:val="0"/>
                <w:sz w:val="18"/>
              </w:rPr>
              <w:br/>
              <w:t>(per vehicle)</w:t>
            </w:r>
            <w:r w:rsidRPr="006B2CBE">
              <w:rPr>
                <w:b w:val="0"/>
                <w:sz w:val="18"/>
                <w:vertAlign w:val="superscript"/>
              </w:rPr>
              <w:t>(h)</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4.00</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82.0</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93.3</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97.9</w:t>
            </w:r>
          </w:p>
        </w:tc>
        <w:tc>
          <w:tcPr>
            <w:tcW w:w="965" w:type="dxa"/>
            <w:tcBorders>
              <w:top w:val="single" w:sz="8" w:space="0" w:color="000000" w:themeColor="text1"/>
              <w:bottom w:val="single" w:sz="8" w:space="0" w:color="000000" w:themeColor="text1"/>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95.3</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shd w:val="clear" w:color="auto" w:fill="DFE0DC"/>
          </w:tcPr>
          <w:p w:rsidR="00F26847" w:rsidRPr="006B2CBE" w:rsidRDefault="00F26847" w:rsidP="00BE4EED">
            <w:pPr>
              <w:spacing w:before="40" w:after="40"/>
              <w:rPr>
                <w:rFonts w:eastAsia="Times New Roman" w:cs="Times New Roman"/>
                <w:sz w:val="18"/>
                <w:szCs w:val="20"/>
                <w:lang w:eastAsia="en-AU"/>
              </w:rPr>
            </w:pPr>
            <w:r w:rsidRPr="006B2CBE">
              <w:rPr>
                <w:rFonts w:eastAsia="Times New Roman" w:cs="Times New Roman"/>
                <w:sz w:val="18"/>
                <w:szCs w:val="20"/>
                <w:lang w:eastAsia="en-AU"/>
              </w:rPr>
              <w:t>Minimum charges</w:t>
            </w:r>
          </w:p>
        </w:tc>
        <w:tc>
          <w:tcPr>
            <w:tcW w:w="1270" w:type="dxa"/>
            <w:tcBorders>
              <w:top w:val="single" w:sz="8" w:space="0" w:color="000000" w:themeColor="text1"/>
              <w:bottom w:val="single" w:sz="8" w:space="0" w:color="000000" w:themeColor="text1"/>
              <w:right w:val="single" w:sz="8" w:space="0" w:color="000000" w:themeColor="text1"/>
            </w:tcBorders>
            <w:shd w:val="clear" w:color="auto" w:fill="DFE0DC"/>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left w:val="single" w:sz="8" w:space="0" w:color="000000" w:themeColor="text1"/>
              <w:bottom w:val="single" w:sz="8" w:space="0" w:color="000000" w:themeColor="text1"/>
            </w:tcBorders>
            <w:shd w:val="clear" w:color="auto" w:fill="DFE0DC"/>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tcBorders>
            <w:shd w:val="clear" w:color="auto" w:fill="DFE0DC"/>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tcBorders>
            <w:shd w:val="clear" w:color="auto" w:fill="DFE0DC"/>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tcBorders>
            <w:shd w:val="clear" w:color="auto" w:fill="DFE0DC"/>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c>
          <w:tcPr>
            <w:tcW w:w="965" w:type="dxa"/>
            <w:tcBorders>
              <w:top w:val="single" w:sz="8" w:space="0" w:color="000000" w:themeColor="text1"/>
              <w:bottom w:val="single" w:sz="8" w:space="0" w:color="000000" w:themeColor="text1"/>
              <w:right w:val="nil"/>
            </w:tcBorders>
            <w:shd w:val="clear" w:color="auto" w:fill="DFE0DC"/>
          </w:tcPr>
          <w:p w:rsidR="00F26847" w:rsidRPr="006B2CBE" w:rsidRDefault="00F26847" w:rsidP="00BE4EED">
            <w:pPr>
              <w:spacing w:before="40" w:after="40"/>
              <w:jc w:val="right"/>
              <w:cnfStyle w:val="000000100000" w:firstRow="0" w:lastRow="0" w:firstColumn="0" w:lastColumn="0" w:oddVBand="0" w:evenVBand="0" w:oddHBand="1" w:evenHBand="0" w:firstRowFirstColumn="0" w:firstRowLastColumn="0" w:lastRowFirstColumn="0" w:lastRowLastColumn="0"/>
              <w:rPr>
                <w:sz w:val="18"/>
              </w:rPr>
            </w:pP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keepNext/>
              <w:spacing w:before="40" w:after="40"/>
              <w:rPr>
                <w:b w:val="0"/>
                <w:sz w:val="18"/>
              </w:rPr>
            </w:pPr>
            <w:r w:rsidRPr="006B2CBE">
              <w:rPr>
                <w:b w:val="0"/>
                <w:sz w:val="18"/>
              </w:rPr>
              <w:lastRenderedPageBreak/>
              <w:t>Minimum charge for runway use (per movement)</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66.00</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keepNext/>
              <w:spacing w:before="40" w:after="40"/>
              <w:rPr>
                <w:b w:val="0"/>
                <w:sz w:val="18"/>
              </w:rPr>
            </w:pPr>
            <w:r w:rsidRPr="006B2CBE">
              <w:rPr>
                <w:b w:val="0"/>
                <w:sz w:val="18"/>
              </w:rPr>
              <w:t>Minimum charge for regional services (0-5 tonnes)</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22.00</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r w:rsidR="00F26847" w:rsidRPr="006B2CBE" w:rsidTr="00BE4EED">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keepNext/>
              <w:spacing w:before="40" w:after="40"/>
              <w:rPr>
                <w:b w:val="0"/>
                <w:sz w:val="18"/>
              </w:rPr>
            </w:pPr>
            <w:r w:rsidRPr="006B2CBE">
              <w:rPr>
                <w:b w:val="0"/>
                <w:sz w:val="18"/>
              </w:rPr>
              <w:t>Minimum charge for regional services (5-10 tonnes)</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Pr>
                <w:sz w:val="18"/>
              </w:rPr>
              <w:t>45.38</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keepNext/>
              <w:spacing w:before="40" w:after="40"/>
              <w:jc w:val="right"/>
              <w:cnfStyle w:val="000000000000" w:firstRow="0" w:lastRow="0" w:firstColumn="0" w:lastColumn="0" w:oddVBand="0" w:evenVBand="0" w:oddHBand="0" w:evenHBand="0" w:firstRowFirstColumn="0" w:firstRowLastColumn="0" w:lastRowFirstColumn="0" w:lastRowLastColumn="0"/>
              <w:rPr>
                <w:sz w:val="18"/>
              </w:rPr>
            </w:pPr>
            <w:r w:rsidRPr="006B2CBE">
              <w:rPr>
                <w:sz w:val="18"/>
              </w:rPr>
              <w:t>100.0</w:t>
            </w:r>
          </w:p>
        </w:tc>
      </w:tr>
      <w:tr w:rsidR="00F26847" w:rsidRPr="006B2CBE" w:rsidTr="00BE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left w:val="nil"/>
              <w:bottom w:val="single" w:sz="8" w:space="0" w:color="000000" w:themeColor="text1"/>
            </w:tcBorders>
          </w:tcPr>
          <w:p w:rsidR="00F26847" w:rsidRPr="006B2CBE" w:rsidRDefault="00F26847" w:rsidP="00BE4EED">
            <w:pPr>
              <w:keepNext/>
              <w:spacing w:before="40" w:after="40"/>
              <w:rPr>
                <w:b w:val="0"/>
                <w:sz w:val="18"/>
              </w:rPr>
            </w:pPr>
            <w:r w:rsidRPr="006B2CBE">
              <w:rPr>
                <w:b w:val="0"/>
                <w:sz w:val="18"/>
              </w:rPr>
              <w:t>Minimum charge for regional services (over 10 tonnes)</w:t>
            </w:r>
          </w:p>
        </w:tc>
        <w:tc>
          <w:tcPr>
            <w:tcW w:w="1270" w:type="dxa"/>
            <w:tcBorders>
              <w:top w:val="single" w:sz="8" w:space="0" w:color="000000" w:themeColor="text1"/>
              <w:bottom w:val="single" w:sz="8" w:space="0" w:color="000000" w:themeColor="text1"/>
              <w:right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Pr>
                <w:sz w:val="18"/>
              </w:rPr>
              <w:t>55.00</w:t>
            </w:r>
          </w:p>
        </w:tc>
        <w:tc>
          <w:tcPr>
            <w:tcW w:w="965" w:type="dxa"/>
            <w:tcBorders>
              <w:top w:val="single" w:sz="8" w:space="0" w:color="000000" w:themeColor="text1"/>
              <w:left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109.3</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106.9</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104.5</w:t>
            </w:r>
          </w:p>
        </w:tc>
        <w:tc>
          <w:tcPr>
            <w:tcW w:w="965" w:type="dxa"/>
            <w:tcBorders>
              <w:top w:val="single" w:sz="8" w:space="0" w:color="000000" w:themeColor="text1"/>
              <w:bottom w:val="single" w:sz="8" w:space="0" w:color="000000" w:themeColor="text1"/>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101.7</w:t>
            </w:r>
          </w:p>
        </w:tc>
        <w:tc>
          <w:tcPr>
            <w:tcW w:w="965" w:type="dxa"/>
            <w:tcBorders>
              <w:top w:val="single" w:sz="8" w:space="0" w:color="000000" w:themeColor="text1"/>
              <w:bottom w:val="single" w:sz="8" w:space="0" w:color="000000" w:themeColor="text1"/>
              <w:right w:val="nil"/>
            </w:tcBorders>
          </w:tcPr>
          <w:p w:rsidR="00F26847" w:rsidRPr="006B2CBE" w:rsidRDefault="00F26847" w:rsidP="00BE4EED">
            <w:pPr>
              <w:keepNext/>
              <w:spacing w:before="40" w:after="40"/>
              <w:jc w:val="right"/>
              <w:cnfStyle w:val="000000100000" w:firstRow="0" w:lastRow="0" w:firstColumn="0" w:lastColumn="0" w:oddVBand="0" w:evenVBand="0" w:oddHBand="1" w:evenHBand="0" w:firstRowFirstColumn="0" w:firstRowLastColumn="0" w:lastRowFirstColumn="0" w:lastRowLastColumn="0"/>
              <w:rPr>
                <w:sz w:val="18"/>
              </w:rPr>
            </w:pPr>
            <w:r w:rsidRPr="006B2CBE">
              <w:rPr>
                <w:sz w:val="18"/>
              </w:rPr>
              <w:t>100.0</w:t>
            </w:r>
          </w:p>
        </w:tc>
      </w:tr>
    </w:tbl>
    <w:p w:rsidR="00F26847" w:rsidRPr="006B2CBE" w:rsidRDefault="00F26847" w:rsidP="00F26847">
      <w:pPr>
        <w:keepNext/>
        <w:ind w:left="720" w:hanging="720"/>
        <w:contextualSpacing/>
        <w:rPr>
          <w:sz w:val="16"/>
          <w:szCs w:val="16"/>
        </w:rPr>
      </w:pPr>
      <w:r w:rsidRPr="006B2CBE">
        <w:rPr>
          <w:sz w:val="16"/>
          <w:szCs w:val="16"/>
        </w:rPr>
        <w:t>Notes:</w:t>
      </w:r>
      <w:r w:rsidRPr="006B2CBE">
        <w:rPr>
          <w:sz w:val="16"/>
          <w:szCs w:val="16"/>
        </w:rPr>
        <w:tab/>
        <w:t>Real indexed prices in 201</w:t>
      </w:r>
      <w:r>
        <w:rPr>
          <w:sz w:val="16"/>
          <w:szCs w:val="16"/>
        </w:rPr>
        <w:t>4</w:t>
      </w:r>
      <w:r w:rsidRPr="006B2CBE">
        <w:rPr>
          <w:sz w:val="16"/>
          <w:szCs w:val="16"/>
        </w:rPr>
        <w:t>-1</w:t>
      </w:r>
      <w:r>
        <w:rPr>
          <w:sz w:val="16"/>
          <w:szCs w:val="16"/>
        </w:rPr>
        <w:t>5</w:t>
      </w:r>
      <w:r w:rsidRPr="006B2CBE">
        <w:rPr>
          <w:sz w:val="16"/>
          <w:szCs w:val="16"/>
        </w:rPr>
        <w:t xml:space="preserve"> dollars    </w:t>
      </w:r>
    </w:p>
    <w:p w:rsidR="00F26847" w:rsidRPr="006B2CBE" w:rsidRDefault="00F26847" w:rsidP="00F26847">
      <w:pPr>
        <w:keepNext/>
        <w:ind w:left="720" w:hanging="720"/>
        <w:contextualSpacing/>
        <w:rPr>
          <w:sz w:val="16"/>
          <w:szCs w:val="16"/>
        </w:rPr>
      </w:pPr>
      <w:proofErr w:type="gramStart"/>
      <w:r w:rsidRPr="006B2CBE">
        <w:rPr>
          <w:sz w:val="16"/>
          <w:szCs w:val="16"/>
        </w:rPr>
        <w:t>NA</w:t>
      </w:r>
      <w:r w:rsidRPr="006B2CBE">
        <w:rPr>
          <w:sz w:val="16"/>
          <w:szCs w:val="16"/>
        </w:rPr>
        <w:tab/>
        <w:t>Not applicable.</w:t>
      </w:r>
      <w:proofErr w:type="gramEnd"/>
    </w:p>
    <w:p w:rsidR="00F26847" w:rsidRPr="006B2CBE" w:rsidRDefault="00F26847" w:rsidP="00F26847">
      <w:pPr>
        <w:keepNext/>
        <w:ind w:left="720" w:hanging="720"/>
        <w:contextualSpacing/>
        <w:rPr>
          <w:sz w:val="16"/>
          <w:szCs w:val="16"/>
        </w:rPr>
      </w:pPr>
      <w:r w:rsidRPr="006B2CBE">
        <w:rPr>
          <w:sz w:val="16"/>
          <w:szCs w:val="16"/>
        </w:rPr>
        <w:t>*</w:t>
      </w:r>
      <w:r w:rsidRPr="006B2CBE">
        <w:rPr>
          <w:sz w:val="16"/>
          <w:szCs w:val="16"/>
        </w:rPr>
        <w:tab/>
        <w:t>Minimum charge for runway use is applicable.</w:t>
      </w:r>
      <w:r w:rsidRPr="006B2CBE">
        <w:rPr>
          <w:sz w:val="16"/>
          <w:szCs w:val="16"/>
        </w:rPr>
        <w:br/>
        <w:t>**</w:t>
      </w:r>
      <w:r w:rsidRPr="006B2CBE">
        <w:rPr>
          <w:sz w:val="16"/>
          <w:szCs w:val="16"/>
        </w:rPr>
        <w:tab/>
        <w:t>Minimum charge for regional air services is applicable.</w:t>
      </w:r>
      <w:r w:rsidRPr="006B2CBE">
        <w:rPr>
          <w:sz w:val="16"/>
          <w:szCs w:val="16"/>
        </w:rPr>
        <w:tab/>
      </w:r>
      <w:r w:rsidRPr="006B2CBE">
        <w:rPr>
          <w:sz w:val="16"/>
          <w:szCs w:val="16"/>
        </w:rPr>
        <w:br/>
        <w:t>(a)</w:t>
      </w:r>
      <w:r w:rsidRPr="006B2CBE">
        <w:rPr>
          <w:sz w:val="16"/>
          <w:szCs w:val="16"/>
        </w:rPr>
        <w:tab/>
        <w:t>Charged per arriving and departing international passenger, excluding transfer and transit</w:t>
      </w:r>
      <w:r w:rsidRPr="006B2CBE">
        <w:rPr>
          <w:sz w:val="16"/>
          <w:szCs w:val="16"/>
        </w:rPr>
        <w:tab/>
        <w:t xml:space="preserve">passengers, and infants and positioning crew. </w:t>
      </w:r>
      <w:proofErr w:type="gramStart"/>
      <w:r w:rsidRPr="006B2CBE">
        <w:rPr>
          <w:sz w:val="16"/>
          <w:szCs w:val="16"/>
        </w:rPr>
        <w:t>Applies to runway use and terminal facilities.</w:t>
      </w:r>
      <w:proofErr w:type="gramEnd"/>
      <w:r w:rsidRPr="006B2CBE">
        <w:rPr>
          <w:sz w:val="16"/>
          <w:szCs w:val="16"/>
        </w:rPr>
        <w:t xml:space="preserve"> </w:t>
      </w:r>
    </w:p>
    <w:p w:rsidR="00F26847" w:rsidRPr="006B2CBE" w:rsidRDefault="00F26847" w:rsidP="00F26847">
      <w:pPr>
        <w:keepNext/>
        <w:ind w:left="720"/>
        <w:contextualSpacing/>
        <w:rPr>
          <w:sz w:val="16"/>
          <w:szCs w:val="16"/>
        </w:rPr>
      </w:pPr>
      <w:r w:rsidRPr="006B2CBE">
        <w:rPr>
          <w:sz w:val="16"/>
          <w:szCs w:val="16"/>
        </w:rPr>
        <w:t>(b)</w:t>
      </w:r>
      <w:r w:rsidRPr="006B2CBE">
        <w:rPr>
          <w:sz w:val="16"/>
          <w:szCs w:val="16"/>
        </w:rPr>
        <w:tab/>
        <w:t>Charged per arriving and departing domestic passenger, excluding infants and positioning crew.</w:t>
      </w:r>
      <w:r w:rsidRPr="006B2CBE">
        <w:rPr>
          <w:sz w:val="16"/>
          <w:szCs w:val="16"/>
        </w:rPr>
        <w:tab/>
        <w:t xml:space="preserve">Applies to runway use, however, commercially agreed charges also applied. </w:t>
      </w:r>
      <w:r w:rsidRPr="006B2CBE">
        <w:rPr>
          <w:sz w:val="16"/>
          <w:szCs w:val="16"/>
        </w:rPr>
        <w:tab/>
      </w:r>
    </w:p>
    <w:p w:rsidR="00F26847" w:rsidRDefault="00F26847" w:rsidP="00F26847">
      <w:pPr>
        <w:ind w:left="720"/>
        <w:contextualSpacing/>
        <w:rPr>
          <w:sz w:val="16"/>
          <w:szCs w:val="16"/>
        </w:rPr>
      </w:pPr>
      <w:r w:rsidRPr="008F6773">
        <w:rPr>
          <w:sz w:val="16"/>
          <w:szCs w:val="16"/>
        </w:rPr>
        <w:t>(c)</w:t>
      </w:r>
      <w:r w:rsidRPr="008F6773">
        <w:rPr>
          <w:sz w:val="16"/>
          <w:szCs w:val="16"/>
        </w:rPr>
        <w:tab/>
        <w:t>Charged as a component of the international PSC, and recovers the cost of passenger screening,</w:t>
      </w:r>
      <w:r w:rsidRPr="008F6773">
        <w:rPr>
          <w:sz w:val="16"/>
          <w:szCs w:val="16"/>
        </w:rPr>
        <w:tab/>
        <w:t>checked bag screening and additional security measures. This charge includes an</w:t>
      </w:r>
      <w:r w:rsidRPr="008F6773">
        <w:rPr>
          <w:sz w:val="16"/>
          <w:szCs w:val="16"/>
        </w:rPr>
        <w:tab/>
        <w:t>element that relates to security charges.</w:t>
      </w:r>
      <w:r w:rsidRPr="008F6773">
        <w:rPr>
          <w:sz w:val="16"/>
          <w:szCs w:val="16"/>
        </w:rPr>
        <w:br/>
        <w:t>(d)</w:t>
      </w:r>
      <w:r w:rsidRPr="008F6773">
        <w:rPr>
          <w:sz w:val="16"/>
          <w:szCs w:val="16"/>
        </w:rPr>
        <w:tab/>
        <w:t>Levied per arriving and departing passenger, excluding infants and positioning crew. This is a</w:t>
      </w:r>
      <w:r w:rsidRPr="008F6773">
        <w:rPr>
          <w:sz w:val="16"/>
          <w:szCs w:val="16"/>
        </w:rPr>
        <w:tab/>
        <w:t>scheduled charge—specific arrangements apply under commercial agreements with major users.</w:t>
      </w:r>
      <w:r w:rsidRPr="008F6773">
        <w:rPr>
          <w:sz w:val="16"/>
          <w:szCs w:val="16"/>
        </w:rPr>
        <w:br/>
        <w:t>(e)</w:t>
      </w:r>
      <w:r w:rsidRPr="008F6773">
        <w:rPr>
          <w:sz w:val="16"/>
          <w:szCs w:val="16"/>
        </w:rPr>
        <w:tab/>
        <w:t>Applies to domestic users of T2 to recover the cost of passenger, checked bag screening and</w:t>
      </w:r>
      <w:r w:rsidRPr="008F6773">
        <w:rPr>
          <w:sz w:val="16"/>
          <w:szCs w:val="16"/>
        </w:rPr>
        <w:tab/>
        <w:t>additional security measures. This charge includes an element that relates to security</w:t>
      </w:r>
      <w:r w:rsidRPr="008F6773">
        <w:rPr>
          <w:sz w:val="16"/>
          <w:szCs w:val="16"/>
        </w:rPr>
        <w:tab/>
        <w:t>charges—note comments in (d) above.</w:t>
      </w:r>
      <w:r w:rsidRPr="008F6773">
        <w:rPr>
          <w:sz w:val="16"/>
          <w:szCs w:val="16"/>
        </w:rPr>
        <w:br/>
        <w:t>(f)</w:t>
      </w:r>
      <w:r w:rsidRPr="008F6773">
        <w:rPr>
          <w:sz w:val="16"/>
          <w:szCs w:val="16"/>
        </w:rPr>
        <w:tab/>
        <w:t>Applies to regional users of T2 to partly recover the cost of passenger and checked bag screening.</w:t>
      </w:r>
      <w:r w:rsidRPr="008F6773">
        <w:rPr>
          <w:sz w:val="16"/>
          <w:szCs w:val="16"/>
        </w:rPr>
        <w:br/>
        <w:t>(g)</w:t>
      </w:r>
      <w:r w:rsidRPr="008F6773">
        <w:rPr>
          <w:sz w:val="16"/>
          <w:szCs w:val="16"/>
        </w:rPr>
        <w:tab/>
        <w:t xml:space="preserve">Levied per arriving and departing domestic passenger in T2. </w:t>
      </w:r>
      <w:r w:rsidRPr="008F6773">
        <w:rPr>
          <w:sz w:val="16"/>
          <w:szCs w:val="16"/>
        </w:rPr>
        <w:br/>
        <w:t>(h)</w:t>
      </w:r>
      <w:r w:rsidRPr="008F6773">
        <w:rPr>
          <w:sz w:val="16"/>
          <w:szCs w:val="16"/>
        </w:rPr>
        <w:tab/>
        <w:t>Levied on vehicle pick</w:t>
      </w:r>
      <w:r w:rsidRPr="008F6773">
        <w:rPr>
          <w:sz w:val="16"/>
          <w:szCs w:val="16"/>
        </w:rPr>
        <w:noBreakHyphen/>
        <w:t>ups to recover costs associated with the provision of ground access</w:t>
      </w:r>
      <w:r w:rsidRPr="008F6773">
        <w:rPr>
          <w:sz w:val="16"/>
          <w:szCs w:val="16"/>
        </w:rPr>
        <w:tab/>
        <w:t xml:space="preserve">facilities. </w:t>
      </w:r>
    </w:p>
    <w:p w:rsidR="00F26847" w:rsidRDefault="00F26847" w:rsidP="00F26847">
      <w:pPr>
        <w:ind w:left="720"/>
        <w:contextualSpacing/>
      </w:pPr>
    </w:p>
    <w:p w:rsidR="00F26847" w:rsidRPr="008F6773" w:rsidRDefault="00F26847" w:rsidP="00F26847">
      <w:pPr>
        <w:spacing w:before="120" w:after="120"/>
      </w:pPr>
      <w:r w:rsidRPr="008F6773">
        <w:t>The majority of aeronautical charges remained the same in nominal terms during 2014-15. However, when assessed in real terms, the majority of charges listed in table 5.2.1 decreased.</w:t>
      </w:r>
    </w:p>
    <w:p w:rsidR="00F26847" w:rsidRPr="008F6773" w:rsidRDefault="00F26847" w:rsidP="00F26847">
      <w:pPr>
        <w:spacing w:before="120" w:after="120"/>
      </w:pPr>
      <w:r w:rsidRPr="008F6773">
        <w:t xml:space="preserve">The largest decrease over the past 12 months was for international security charges for passenger screening and baggage security screening, which reduced by 4.9 per cent in real terms to $4.62. The other charges that decreased in real terms were all unchanged in nominal terms. </w:t>
      </w:r>
    </w:p>
    <w:p w:rsidR="00F26847" w:rsidRPr="008F6773" w:rsidRDefault="00F26847" w:rsidP="00F26847">
      <w:pPr>
        <w:spacing w:before="120" w:after="120"/>
      </w:pPr>
      <w:r w:rsidRPr="008F6773">
        <w:t>The international and domestic passenger service charges both increased by 3.8 and 3.5 per cent respectively in real terms during 2014-15. Since 2004-05, the international and domestic passenger service charges have increased by an average of 1.7 and 0.6 per cent per year in real terms respectively.</w:t>
      </w:r>
    </w:p>
    <w:p w:rsidR="00F26847" w:rsidRPr="008F6773" w:rsidRDefault="00F26847" w:rsidP="00F26847">
      <w:pPr>
        <w:spacing w:before="120" w:after="120"/>
      </w:pPr>
      <w:r w:rsidRPr="008F6773">
        <w:t>For the second consecutive year, general aviation apron charges for 0 to 20 tonnes recorded the largest increase of all aeronautical charges with a rise of 6.5 per cent in real terms. Other general aviation apron charge categories also increased with 20 to 40 tonnes and greater than 40 tonnes reporting rises of 4.1 and 2.1 per cent in real terms respectively.</w:t>
      </w:r>
    </w:p>
    <w:p w:rsidR="00F26847" w:rsidRPr="008F6773" w:rsidRDefault="00F26847" w:rsidP="00F26847">
      <w:pPr>
        <w:keepNext/>
        <w:spacing w:before="120" w:after="120"/>
        <w:rPr>
          <w:b/>
          <w:i/>
          <w:sz w:val="22"/>
        </w:rPr>
      </w:pPr>
      <w:r w:rsidRPr="008F6773">
        <w:rPr>
          <w:b/>
          <w:i/>
          <w:sz w:val="22"/>
        </w:rPr>
        <w:t>Aeronautical services to regional air services</w:t>
      </w:r>
    </w:p>
    <w:p w:rsidR="00F26847" w:rsidRPr="008F6773" w:rsidRDefault="00F26847" w:rsidP="00F26847">
      <w:r w:rsidRPr="008F6773">
        <w:t>Declaration 93 under section 95X of the Competition and Consumer Act 2010 (CCA) declares the provision of aeronautical services and facilities to regional air services by Sydney Airport to be notified services.</w:t>
      </w:r>
      <w:r w:rsidRPr="008F6773">
        <w:rPr>
          <w:vertAlign w:val="superscript"/>
        </w:rPr>
        <w:footnoteReference w:id="126"/>
      </w:r>
      <w:r w:rsidRPr="008F6773">
        <w:t xml:space="preserve"> As such, Sydney Airport must notify the ACCC if it intends to increase the price of such services. The ACCC must then decide whether to object to the proposal. </w:t>
      </w:r>
    </w:p>
    <w:p w:rsidR="00F26847" w:rsidRPr="008F6773" w:rsidRDefault="00F26847" w:rsidP="00F26847">
      <w:r w:rsidRPr="008F6773">
        <w:t xml:space="preserve">In assessing notifications from Sydney Airport for an increase in charges for regional air service, Direction 34 requires the ACCC to give special consideration to the Australian Government’s policy. This policy includes that the total revenue weighted percentage increase </w:t>
      </w:r>
      <w:r w:rsidRPr="008F6773">
        <w:lastRenderedPageBreak/>
        <w:t>in prices over the three years from 1 July 2013 should not exceed the total percentage increase in the Consumer Price Index (CPI) over that same period.</w:t>
      </w:r>
      <w:r w:rsidRPr="008F6773">
        <w:rPr>
          <w:vertAlign w:val="superscript"/>
        </w:rPr>
        <w:footnoteReference w:id="127"/>
      </w:r>
    </w:p>
    <w:p w:rsidR="00F26847" w:rsidRDefault="00F26847" w:rsidP="00F26847">
      <w:pPr>
        <w:keepNext/>
      </w:pPr>
      <w:r w:rsidRPr="008F6773">
        <w:t>Sydney Airport did not notify the ACCC of any proposed price increases for regional services in 2014-15. However, Sydney Airport approached the ACCC during 2015 to seek the ACCC’s view on how the regime may apply to certain property leasing activities between airlines and Sydney Airport. The ACCC reached the view that the relevant leasing activities were within the scope of Declaration 93, and certain increases that had been applied by Sydney Airport in accordance with commercially agreed terms should have been notified to the ACCC.  The ACCC determined that no further action was required given Sydney Airport had proactively taken action to address the matter. This included reimbursing the affected airlines of the price increase and committing to full compliance in the future</w:t>
      </w:r>
      <w:r>
        <w:t>.</w:t>
      </w:r>
    </w:p>
    <w:p w:rsidR="00F26847" w:rsidRDefault="00F26847" w:rsidP="00F26847">
      <w:pPr>
        <w:pStyle w:val="Numberedheading3"/>
        <w:tabs>
          <w:tab w:val="clear" w:pos="1384"/>
          <w:tab w:val="num" w:pos="993"/>
        </w:tabs>
        <w:ind w:left="993" w:hanging="993"/>
      </w:pPr>
      <w:r w:rsidRPr="00F808E8">
        <w:t>Revenues, costs and profits for aeronautical and total airport services</w:t>
      </w:r>
    </w:p>
    <w:p w:rsidR="00F26847" w:rsidRDefault="00F26847" w:rsidP="00F26847">
      <w:pPr>
        <w:spacing w:after="120"/>
      </w:pPr>
      <w:r w:rsidRPr="000C5D95">
        <w:t xml:space="preserve">Table 5.2.2 outlines the revenues, operating expenses and </w:t>
      </w:r>
      <w:r>
        <w:t>aggregate</w:t>
      </w:r>
      <w:r w:rsidRPr="000C5D95">
        <w:t xml:space="preserve"> margins for aeronautical services, government mandated security services and the total airport in real terms from 200</w:t>
      </w:r>
      <w:r>
        <w:t>4</w:t>
      </w:r>
      <w:r w:rsidRPr="000C5D95">
        <w:noBreakHyphen/>
        <w:t>0</w:t>
      </w:r>
      <w:r>
        <w:t>5</w:t>
      </w:r>
      <w:r w:rsidRPr="000C5D95">
        <w:t xml:space="preserve"> to 201</w:t>
      </w:r>
      <w:r>
        <w:t>4</w:t>
      </w:r>
      <w:r w:rsidRPr="000C5D95">
        <w:noBreakHyphen/>
        <w:t>1</w:t>
      </w:r>
      <w:r>
        <w:t>5</w:t>
      </w:r>
      <w:r w:rsidRPr="000C5D95">
        <w:t>.</w:t>
      </w:r>
    </w:p>
    <w:p w:rsidR="00F26847" w:rsidRDefault="00F26847" w:rsidP="00F26847">
      <w:pPr>
        <w:spacing w:before="120" w:after="120"/>
      </w:pPr>
      <w:r w:rsidRPr="007F7253">
        <w:t>Sydney Airport reported total aeronautical revenue of $643.0 million in 2014-15, the largest of the monitored airports. This figure grew by 1.8 per cent in real terms in 2014-15, which is the smallest increase since 2008-09.</w:t>
      </w:r>
      <w:r>
        <w:t xml:space="preserve"> </w:t>
      </w:r>
      <w:r w:rsidRPr="007F7253">
        <w:t>Growth has averaged 4.6 per cent since 2004-05.</w:t>
      </w:r>
      <w:r>
        <w:t xml:space="preserve"> </w:t>
      </w:r>
    </w:p>
    <w:p w:rsidR="00F26847" w:rsidRPr="0024186B" w:rsidRDefault="00F26847" w:rsidP="00F26847">
      <w:pPr>
        <w:spacing w:before="120" w:after="120"/>
      </w:pPr>
      <w:r>
        <w:t xml:space="preserve">Total aeronautical expenses increased moderately by 1.3 per cent in real terms to $320.8 million. However, a number of individual expenses such as depreciation and security costs increased by 9.2 and 15.6 per cent in real terms respectively. </w:t>
      </w:r>
    </w:p>
    <w:p w:rsidR="00F26847" w:rsidRDefault="00F26847" w:rsidP="00F26847">
      <w:pPr>
        <w:spacing w:before="120" w:after="120"/>
      </w:pPr>
      <w:r w:rsidRPr="0024186B">
        <w:t xml:space="preserve">Aeronautical </w:t>
      </w:r>
      <w:r>
        <w:t>aggregate</w:t>
      </w:r>
      <w:r w:rsidRPr="0024186B">
        <w:t xml:space="preserve"> margin </w:t>
      </w:r>
      <w:r>
        <w:t>increased by 2.3 per</w:t>
      </w:r>
      <w:r w:rsidRPr="0024186B">
        <w:t xml:space="preserve"> cent in real terms to $</w:t>
      </w:r>
      <w:r>
        <w:t>322.2</w:t>
      </w:r>
      <w:r w:rsidRPr="0024186B">
        <w:t xml:space="preserve"> million. </w:t>
      </w:r>
      <w:r>
        <w:t>This is the largest aggregate margin reported from the monitored airports. However, this is the smallest real increase in aeronautical aggregate margin since 2008-09 when the increase was 0.5 per cent in real terms. Over the period from 2004-05 to 2014-15, a</w:t>
      </w:r>
      <w:r w:rsidRPr="0024186B">
        <w:t xml:space="preserve">eronautical </w:t>
      </w:r>
      <w:r>
        <w:t>aggregate</w:t>
      </w:r>
      <w:r w:rsidRPr="0024186B">
        <w:t xml:space="preserve"> margin has increased by an annual average of </w:t>
      </w:r>
      <w:r>
        <w:t>5.1</w:t>
      </w:r>
      <w:r w:rsidRPr="0024186B">
        <w:t> per cent per year in real terms.</w:t>
      </w:r>
    </w:p>
    <w:p w:rsidR="00F26847" w:rsidRPr="0024186B" w:rsidRDefault="00F26847" w:rsidP="00F26847">
      <w:pPr>
        <w:spacing w:before="120" w:after="120"/>
      </w:pPr>
      <w:r>
        <w:t>Sydney Airport made a profit of 50.1 cents for each dollar in aeronautical revenue in 2014-15. This was also the highest figure reported by a monitored airport over the eleven years of monitoring.</w:t>
      </w:r>
    </w:p>
    <w:p w:rsidR="00F26847" w:rsidRDefault="00F26847" w:rsidP="00F26847">
      <w:pPr>
        <w:spacing w:before="120" w:after="120"/>
      </w:pPr>
      <w:r w:rsidRPr="0024186B">
        <w:t>On a per passeng</w:t>
      </w:r>
      <w:r>
        <w:t>er basis, aeronautical revenue increases were relatively flat, with rise of 0.6 </w:t>
      </w:r>
      <w:r w:rsidRPr="0024186B">
        <w:t>per cent in real terms to $1</w:t>
      </w:r>
      <w:r>
        <w:t xml:space="preserve">6.40 per passenger. This figure </w:t>
      </w:r>
      <w:r w:rsidRPr="0024186B">
        <w:t xml:space="preserve">has increased by an </w:t>
      </w:r>
      <w:r>
        <w:t xml:space="preserve">annual </w:t>
      </w:r>
      <w:r w:rsidRPr="0024186B">
        <w:t xml:space="preserve">average of </w:t>
      </w:r>
      <w:r>
        <w:t>1.5</w:t>
      </w:r>
      <w:r w:rsidRPr="0024186B">
        <w:t xml:space="preserve"> per cent in real terms</w:t>
      </w:r>
      <w:r>
        <w:t xml:space="preserve"> over the last decade</w:t>
      </w:r>
      <w:r w:rsidRPr="0024186B">
        <w:t>.</w:t>
      </w:r>
      <w:r>
        <w:t xml:space="preserve"> Sydney Airport’s revenue and aggregate margin per passenger are the largest of the monitored airports. </w:t>
      </w:r>
    </w:p>
    <w:p w:rsidR="00F26847" w:rsidRDefault="00F26847" w:rsidP="00F26847"/>
    <w:p w:rsidR="00F26847" w:rsidRDefault="00F26847" w:rsidP="00F26847"/>
    <w:p w:rsidR="00F26847" w:rsidRDefault="00F26847" w:rsidP="00F26847"/>
    <w:p w:rsidR="00F26847" w:rsidRDefault="00F26847" w:rsidP="00F26847"/>
    <w:p w:rsidR="00F26847" w:rsidRDefault="00F26847" w:rsidP="00F26847"/>
    <w:p w:rsidR="00F26847" w:rsidRDefault="00F26847" w:rsidP="00F26847"/>
    <w:p w:rsidR="00F26847" w:rsidRDefault="00F26847" w:rsidP="00F26847"/>
    <w:p w:rsidR="00F26847" w:rsidRDefault="00F26847" w:rsidP="00F26847">
      <w:pPr>
        <w:sectPr w:rsidR="00F26847" w:rsidSect="00164A1F">
          <w:headerReference w:type="even" r:id="rId149"/>
          <w:headerReference w:type="default" r:id="rId150"/>
          <w:footerReference w:type="even" r:id="rId151"/>
          <w:footerReference w:type="default" r:id="rId152"/>
          <w:type w:val="continuous"/>
          <w:pgSz w:w="11906" w:h="16838"/>
          <w:pgMar w:top="1440" w:right="1729" w:bottom="1582" w:left="1729" w:header="709" w:footer="709" w:gutter="0"/>
          <w:pgNumType w:start="131"/>
          <w:cols w:space="708"/>
          <w:docGrid w:linePitch="360"/>
        </w:sectPr>
      </w:pPr>
    </w:p>
    <w:p w:rsidR="00F26847" w:rsidRPr="000E4347" w:rsidRDefault="00F26847" w:rsidP="00F26847">
      <w:pPr>
        <w:keepNext/>
        <w:spacing w:before="240" w:after="200" w:line="276" w:lineRule="auto"/>
        <w:ind w:left="1440" w:hanging="1440"/>
        <w:outlineLvl w:val="3"/>
        <w:rPr>
          <w:b/>
          <w:color w:val="51626F"/>
        </w:rPr>
      </w:pPr>
      <w:r w:rsidRPr="000E4347">
        <w:rPr>
          <w:b/>
          <w:color w:val="51626F"/>
        </w:rPr>
        <w:lastRenderedPageBreak/>
        <w:t>Table 5.2.3:</w:t>
      </w:r>
      <w:r w:rsidRPr="000E4347">
        <w:rPr>
          <w:b/>
          <w:color w:val="51626F"/>
        </w:rPr>
        <w:tab/>
        <w:t xml:space="preserve">Sydney Airport—revenues, operating expenses and </w:t>
      </w:r>
      <w:proofErr w:type="gramStart"/>
      <w:r>
        <w:rPr>
          <w:b/>
          <w:color w:val="51626F"/>
        </w:rPr>
        <w:t xml:space="preserve">aggregate </w:t>
      </w:r>
      <w:r w:rsidRPr="000E4347">
        <w:rPr>
          <w:b/>
          <w:color w:val="51626F"/>
        </w:rPr>
        <w:t xml:space="preserve"> margins</w:t>
      </w:r>
      <w:proofErr w:type="gramEnd"/>
      <w:r w:rsidRPr="000E4347">
        <w:rPr>
          <w:b/>
          <w:color w:val="51626F"/>
        </w:rPr>
        <w:t xml:space="preserve"> for aeronautical services, government</w:t>
      </w:r>
      <w:r w:rsidRPr="000E4347">
        <w:rPr>
          <w:b/>
          <w:color w:val="51626F"/>
        </w:rPr>
        <w:noBreakHyphen/>
        <w:t>mandated security services, and total airport services in real terms: 2004</w:t>
      </w:r>
      <w:r w:rsidRPr="000E4347">
        <w:rPr>
          <w:b/>
          <w:color w:val="51626F"/>
        </w:rPr>
        <w:noBreakHyphen/>
        <w:t>05 to 2014</w:t>
      </w:r>
      <w:r w:rsidRPr="000E4347">
        <w:rPr>
          <w:b/>
          <w:color w:val="51626F"/>
        </w:rPr>
        <w:noBreakHyphen/>
        <w:t>15</w:t>
      </w:r>
    </w:p>
    <w:tbl>
      <w:tblPr>
        <w:tblStyle w:val="TableGrid3"/>
        <w:tblW w:w="0" w:type="auto"/>
        <w:tblLook w:val="04A0" w:firstRow="1" w:lastRow="0" w:firstColumn="1" w:lastColumn="0" w:noHBand="0" w:noVBand="1"/>
      </w:tblPr>
      <w:tblGrid>
        <w:gridCol w:w="1526"/>
        <w:gridCol w:w="1701"/>
        <w:gridCol w:w="982"/>
        <w:gridCol w:w="982"/>
        <w:gridCol w:w="982"/>
        <w:gridCol w:w="983"/>
        <w:gridCol w:w="982"/>
        <w:gridCol w:w="982"/>
        <w:gridCol w:w="982"/>
        <w:gridCol w:w="983"/>
        <w:gridCol w:w="982"/>
        <w:gridCol w:w="982"/>
        <w:gridCol w:w="983"/>
      </w:tblGrid>
      <w:tr w:rsidR="00F26847" w:rsidRPr="000E4347" w:rsidTr="00BE4EED">
        <w:tc>
          <w:tcPr>
            <w:tcW w:w="1526" w:type="dxa"/>
            <w:tcBorders>
              <w:left w:val="nil"/>
              <w:bottom w:val="single" w:sz="4" w:space="0" w:color="auto"/>
              <w:right w:val="nil"/>
            </w:tcBorders>
            <w:shd w:val="clear" w:color="auto" w:fill="DFE0DC"/>
          </w:tcPr>
          <w:p w:rsidR="00F26847" w:rsidRPr="000E4347" w:rsidRDefault="00F26847" w:rsidP="00BE4EED">
            <w:pPr>
              <w:keepNext/>
              <w:spacing w:before="40" w:after="40"/>
              <w:rPr>
                <w:sz w:val="18"/>
              </w:rPr>
            </w:pPr>
          </w:p>
        </w:tc>
        <w:tc>
          <w:tcPr>
            <w:tcW w:w="1701" w:type="dxa"/>
            <w:tcBorders>
              <w:left w:val="nil"/>
              <w:right w:val="nil"/>
            </w:tcBorders>
            <w:shd w:val="clear" w:color="auto" w:fill="DFE0DC"/>
          </w:tcPr>
          <w:p w:rsidR="00F26847" w:rsidRPr="000E4347" w:rsidRDefault="00F26847" w:rsidP="00BE4EED">
            <w:pPr>
              <w:keepNext/>
              <w:spacing w:before="40" w:after="40"/>
              <w:rPr>
                <w:sz w:val="18"/>
              </w:rPr>
            </w:pP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2004-05</w:t>
            </w: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2005-06</w:t>
            </w: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2006-07</w:t>
            </w:r>
          </w:p>
        </w:tc>
        <w:tc>
          <w:tcPr>
            <w:tcW w:w="983"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2007-08</w:t>
            </w: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2008-09</w:t>
            </w: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2009-10</w:t>
            </w: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2010-11</w:t>
            </w:r>
          </w:p>
        </w:tc>
        <w:tc>
          <w:tcPr>
            <w:tcW w:w="983"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2011-12</w:t>
            </w: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2012-13</w:t>
            </w:r>
          </w:p>
        </w:tc>
        <w:tc>
          <w:tcPr>
            <w:tcW w:w="982"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2013-14</w:t>
            </w:r>
          </w:p>
        </w:tc>
        <w:tc>
          <w:tcPr>
            <w:tcW w:w="983" w:type="dxa"/>
            <w:tcBorders>
              <w:left w:val="nil"/>
              <w:bottom w:val="single" w:sz="4" w:space="0" w:color="auto"/>
              <w:right w:val="nil"/>
            </w:tcBorders>
            <w:shd w:val="clear" w:color="auto" w:fill="DFE0DC"/>
          </w:tcPr>
          <w:p w:rsidR="00F26847" w:rsidRPr="000E4347" w:rsidRDefault="00F26847" w:rsidP="00BE4EED">
            <w:pPr>
              <w:keepNext/>
              <w:spacing w:before="40" w:after="40"/>
              <w:jc w:val="right"/>
              <w:rPr>
                <w:b/>
                <w:color w:val="000000" w:themeColor="text1"/>
                <w:sz w:val="18"/>
              </w:rPr>
            </w:pPr>
            <w:r w:rsidRPr="000E4347">
              <w:rPr>
                <w:b/>
                <w:color w:val="000000" w:themeColor="text1"/>
                <w:sz w:val="18"/>
              </w:rPr>
              <w:t>2014-15</w:t>
            </w:r>
          </w:p>
        </w:tc>
      </w:tr>
      <w:tr w:rsidR="00F26847" w:rsidRPr="000E4347" w:rsidTr="00BE4EED">
        <w:tc>
          <w:tcPr>
            <w:tcW w:w="1526" w:type="dxa"/>
            <w:vMerge w:val="restart"/>
            <w:tcBorders>
              <w:left w:val="nil"/>
              <w:right w:val="nil"/>
            </w:tcBorders>
            <w:vAlign w:val="center"/>
          </w:tcPr>
          <w:p w:rsidR="00F26847" w:rsidRPr="000E4347" w:rsidRDefault="00F26847" w:rsidP="00BE4EED">
            <w:pPr>
              <w:keepNext/>
              <w:spacing w:before="40" w:after="40"/>
              <w:rPr>
                <w:b/>
                <w:color w:val="000000" w:themeColor="text1"/>
                <w:sz w:val="18"/>
              </w:rPr>
            </w:pPr>
            <w:r w:rsidRPr="000E4347">
              <w:rPr>
                <w:b/>
                <w:color w:val="000000" w:themeColor="text1"/>
                <w:sz w:val="18"/>
              </w:rPr>
              <w:t>Revenue ($million)</w:t>
            </w: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Total aeronautical</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409.6</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424.2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461.3</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512.1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514.8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552.2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573.6</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580.7</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614.1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631.7</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643.0</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Security services</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49.4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59.9</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75.8</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83.4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84.3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83.1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82.2</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81.7</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84.8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84.4</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81.4</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Security % of total aeronautical</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12.0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14.1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16.4</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16.3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16.4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15.0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14.3</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14.1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13.8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13.4</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12.7</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b/>
                <w:color w:val="000000" w:themeColor="text1"/>
                <w:sz w:val="18"/>
              </w:rPr>
            </w:pPr>
            <w:r w:rsidRPr="000E4347">
              <w:rPr>
                <w:b/>
                <w:color w:val="000000" w:themeColor="text1"/>
                <w:sz w:val="18"/>
              </w:rPr>
              <w:t>Total airport</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833.0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919.4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1 046.2</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1 224.1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1 300.4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1 016.1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1 052.5</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1 072.8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1 122.1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1 165.1</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1 190.0</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Aeronautical % of total airport</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49.2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46.1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44.1</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41.8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39.6</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54.3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54.5</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54.1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54.7</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54.2</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54.0</w:t>
            </w:r>
          </w:p>
        </w:tc>
      </w:tr>
      <w:tr w:rsidR="00F26847" w:rsidRPr="000E4347" w:rsidTr="00BE4EED">
        <w:tc>
          <w:tcPr>
            <w:tcW w:w="1526" w:type="dxa"/>
            <w:vMerge w:val="restart"/>
            <w:tcBorders>
              <w:left w:val="nil"/>
              <w:right w:val="nil"/>
            </w:tcBorders>
            <w:vAlign w:val="center"/>
          </w:tcPr>
          <w:p w:rsidR="00F26847" w:rsidRPr="000E4347" w:rsidRDefault="00F26847" w:rsidP="00BE4EED">
            <w:pPr>
              <w:keepNext/>
              <w:spacing w:before="40" w:after="40"/>
              <w:rPr>
                <w:b/>
                <w:color w:val="000000" w:themeColor="text1"/>
                <w:sz w:val="18"/>
              </w:rPr>
            </w:pPr>
            <w:r w:rsidRPr="000E4347">
              <w:rPr>
                <w:b/>
                <w:color w:val="000000" w:themeColor="text1"/>
                <w:sz w:val="18"/>
              </w:rPr>
              <w:t>Operating expenses ($million)</w:t>
            </w: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Total aeronautical</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212.7</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237.6</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249.2</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280.3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281.8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306.0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300.4</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296.2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309.9</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316.7</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320.8</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Security services</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38.4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43.1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75.8</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83.4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84.3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83.1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82.2</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81.7</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84.8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84.4</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81.4</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b/>
                <w:color w:val="000000" w:themeColor="text1"/>
                <w:sz w:val="18"/>
              </w:rPr>
            </w:pPr>
            <w:r w:rsidRPr="000E4347">
              <w:rPr>
                <w:b/>
                <w:color w:val="000000" w:themeColor="text1"/>
                <w:sz w:val="18"/>
              </w:rPr>
              <w:t>Total airport</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303.2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324.9</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349.9</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387.3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389.5</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419.0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414.3</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411.3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421.3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422.2</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434.4</w:t>
            </w:r>
          </w:p>
        </w:tc>
      </w:tr>
      <w:tr w:rsidR="00F26847" w:rsidRPr="000E4347" w:rsidTr="00BE4EED">
        <w:tc>
          <w:tcPr>
            <w:tcW w:w="1526" w:type="dxa"/>
            <w:vMerge w:val="restart"/>
            <w:tcBorders>
              <w:left w:val="nil"/>
              <w:right w:val="nil"/>
            </w:tcBorders>
            <w:vAlign w:val="center"/>
          </w:tcPr>
          <w:p w:rsidR="00F26847" w:rsidRPr="000E4347" w:rsidRDefault="00F26847" w:rsidP="00BE4EED">
            <w:pPr>
              <w:keepNext/>
              <w:spacing w:before="40" w:after="40"/>
              <w:rPr>
                <w:b/>
                <w:color w:val="000000" w:themeColor="text1"/>
                <w:sz w:val="18"/>
              </w:rPr>
            </w:pPr>
            <w:r>
              <w:rPr>
                <w:b/>
                <w:color w:val="000000" w:themeColor="text1"/>
                <w:sz w:val="18"/>
              </w:rPr>
              <w:t>Aggregate</w:t>
            </w:r>
            <w:r w:rsidRPr="000E4347">
              <w:rPr>
                <w:b/>
                <w:color w:val="000000" w:themeColor="text1"/>
                <w:sz w:val="18"/>
              </w:rPr>
              <w:t xml:space="preserve"> margin ($million)</w:t>
            </w: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Total aeronautical</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196.9</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186.6</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212.1</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231.8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233.0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246.2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273.3</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284.5</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304.2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315.0</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322.2</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Security services</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11.0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16.8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0.0</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b/>
                <w:color w:val="000000" w:themeColor="text1"/>
                <w:sz w:val="18"/>
              </w:rPr>
            </w:pPr>
            <w:r w:rsidRPr="000E4347">
              <w:rPr>
                <w:b/>
                <w:color w:val="000000" w:themeColor="text1"/>
                <w:sz w:val="18"/>
              </w:rPr>
              <w:t>Total airport</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529.8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594.5</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696.3</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836.8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910.9</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597.1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638.2</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661.5</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700.8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743.0</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755.6</w:t>
            </w:r>
          </w:p>
        </w:tc>
      </w:tr>
      <w:tr w:rsidR="00F26847" w:rsidRPr="000E4347" w:rsidTr="00BE4EED">
        <w:tc>
          <w:tcPr>
            <w:tcW w:w="1526" w:type="dxa"/>
            <w:vMerge w:val="restart"/>
            <w:tcBorders>
              <w:left w:val="nil"/>
              <w:right w:val="nil"/>
            </w:tcBorders>
            <w:vAlign w:val="center"/>
          </w:tcPr>
          <w:p w:rsidR="00F26847" w:rsidRPr="000E4347" w:rsidRDefault="00F26847" w:rsidP="00BE4EED">
            <w:pPr>
              <w:keepNext/>
              <w:spacing w:before="40" w:after="40"/>
              <w:rPr>
                <w:b/>
                <w:color w:val="000000" w:themeColor="text1"/>
                <w:sz w:val="18"/>
              </w:rPr>
            </w:pPr>
            <w:r>
              <w:rPr>
                <w:b/>
                <w:color w:val="000000" w:themeColor="text1"/>
                <w:sz w:val="18"/>
              </w:rPr>
              <w:t>Aggregate</w:t>
            </w:r>
            <w:r w:rsidRPr="000E4347">
              <w:rPr>
                <w:b/>
                <w:color w:val="000000" w:themeColor="text1"/>
                <w:sz w:val="18"/>
              </w:rPr>
              <w:t xml:space="preserve"> margin % of total revenue</w:t>
            </w: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Aeronautical</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48.1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44.0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46.0</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45.3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45.3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44.6</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47.6</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49.0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49.5</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49.9</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50.1</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vAlign w:val="center"/>
          </w:tcPr>
          <w:p w:rsidR="00F26847" w:rsidRPr="000E4347" w:rsidRDefault="00F26847" w:rsidP="00BE4EED">
            <w:pPr>
              <w:keepNext/>
              <w:spacing w:before="40" w:after="40"/>
              <w:rPr>
                <w:b/>
                <w:color w:val="000000" w:themeColor="text1"/>
                <w:sz w:val="18"/>
              </w:rPr>
            </w:pPr>
            <w:r w:rsidRPr="000E4347">
              <w:rPr>
                <w:b/>
                <w:color w:val="000000" w:themeColor="text1"/>
                <w:sz w:val="18"/>
              </w:rPr>
              <w:t>Total airport</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63.6</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64.7</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66.6</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68.4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70.0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58.8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60.6</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61.7</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62.5</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63.8</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b/>
                <w:color w:val="000000"/>
                <w:sz w:val="18"/>
                <w:szCs w:val="18"/>
              </w:rPr>
            </w:pPr>
            <w:r w:rsidRPr="000E4347">
              <w:rPr>
                <w:rFonts w:cs="Arial"/>
                <w:b/>
                <w:color w:val="000000"/>
                <w:sz w:val="18"/>
                <w:szCs w:val="18"/>
              </w:rPr>
              <w:t>63.5</w:t>
            </w:r>
          </w:p>
        </w:tc>
      </w:tr>
      <w:tr w:rsidR="00F26847" w:rsidRPr="000E4347" w:rsidTr="00BE4EED">
        <w:tc>
          <w:tcPr>
            <w:tcW w:w="1526" w:type="dxa"/>
            <w:vMerge w:val="restart"/>
            <w:tcBorders>
              <w:left w:val="nil"/>
              <w:right w:val="nil"/>
            </w:tcBorders>
            <w:vAlign w:val="center"/>
          </w:tcPr>
          <w:p w:rsidR="00F26847" w:rsidRPr="000E4347" w:rsidRDefault="00F26847" w:rsidP="00BE4EED">
            <w:pPr>
              <w:keepNext/>
              <w:spacing w:before="40" w:after="40"/>
              <w:rPr>
                <w:b/>
                <w:color w:val="000000" w:themeColor="text1"/>
                <w:sz w:val="18"/>
              </w:rPr>
            </w:pPr>
            <w:r w:rsidRPr="000E4347">
              <w:rPr>
                <w:b/>
                <w:color w:val="000000" w:themeColor="text1"/>
                <w:sz w:val="18"/>
              </w:rPr>
              <w:t>Revenue per passenger ($)</w:t>
            </w: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Total aeronautical</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14.20</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14.34</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14.69</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15.42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15.72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15.82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15.81</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15.99</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16.19</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16.31</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16.40</w:t>
            </w:r>
          </w:p>
        </w:tc>
      </w:tr>
      <w:tr w:rsidR="00F26847" w:rsidRPr="000E4347" w:rsidTr="00BE4EED">
        <w:tc>
          <w:tcPr>
            <w:tcW w:w="1526" w:type="dxa"/>
            <w:vMerge/>
            <w:tcBorders>
              <w:left w:val="nil"/>
              <w:right w:val="nil"/>
            </w:tcBorders>
          </w:tcPr>
          <w:p w:rsidR="00F26847" w:rsidRPr="000E4347" w:rsidRDefault="00F26847" w:rsidP="00BE4EED">
            <w:pPr>
              <w:keepNext/>
              <w:spacing w:before="40" w:after="40"/>
              <w:rPr>
                <w:b/>
                <w:color w:val="000000" w:themeColor="text1"/>
                <w:sz w:val="18"/>
              </w:rPr>
            </w:pPr>
          </w:p>
        </w:tc>
        <w:tc>
          <w:tcPr>
            <w:tcW w:w="1701" w:type="dxa"/>
            <w:tcBorders>
              <w:left w:val="nil"/>
              <w:right w:val="nil"/>
            </w:tcBorders>
          </w:tcPr>
          <w:p w:rsidR="00F26847" w:rsidRPr="000E4347" w:rsidRDefault="00F26847" w:rsidP="00BE4EED">
            <w:pPr>
              <w:keepNext/>
              <w:spacing w:before="40" w:after="40"/>
              <w:rPr>
                <w:sz w:val="18"/>
              </w:rPr>
            </w:pPr>
            <w:r w:rsidRPr="000E4347">
              <w:rPr>
                <w:sz w:val="18"/>
              </w:rPr>
              <w:t>Security services</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1.71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2.02</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2.41</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2.51</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2.58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2.38</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2.27</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2.25</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2.23</w:t>
            </w:r>
          </w:p>
        </w:tc>
        <w:tc>
          <w:tcPr>
            <w:tcW w:w="982"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2.18</w:t>
            </w:r>
          </w:p>
        </w:tc>
        <w:tc>
          <w:tcPr>
            <w:tcW w:w="983" w:type="dxa"/>
            <w:tcBorders>
              <w:left w:val="nil"/>
              <w:right w:val="nil"/>
            </w:tcBorders>
            <w:vAlign w:val="center"/>
          </w:tcPr>
          <w:p w:rsidR="00F26847" w:rsidRPr="000E4347" w:rsidRDefault="00F26847" w:rsidP="00BE4EED">
            <w:pPr>
              <w:keepNext/>
              <w:autoSpaceDE w:val="0"/>
              <w:autoSpaceDN w:val="0"/>
              <w:adjustRightInd w:val="0"/>
              <w:spacing w:after="0"/>
              <w:jc w:val="right"/>
              <w:rPr>
                <w:rFonts w:cs="Arial"/>
                <w:color w:val="000000"/>
                <w:sz w:val="18"/>
                <w:szCs w:val="18"/>
              </w:rPr>
            </w:pPr>
            <w:r w:rsidRPr="000E4347">
              <w:rPr>
                <w:rFonts w:cs="Arial"/>
                <w:color w:val="000000"/>
                <w:sz w:val="18"/>
                <w:szCs w:val="18"/>
              </w:rPr>
              <w:t>2.08</w:t>
            </w:r>
          </w:p>
        </w:tc>
      </w:tr>
      <w:tr w:rsidR="00F26847" w:rsidRPr="000E4347" w:rsidTr="00BE4EED">
        <w:tc>
          <w:tcPr>
            <w:tcW w:w="1526" w:type="dxa"/>
            <w:vMerge w:val="restart"/>
            <w:tcBorders>
              <w:left w:val="nil"/>
              <w:right w:val="nil"/>
            </w:tcBorders>
            <w:vAlign w:val="center"/>
          </w:tcPr>
          <w:p w:rsidR="00F26847" w:rsidRPr="000E4347" w:rsidRDefault="00F26847" w:rsidP="006A219F">
            <w:pPr>
              <w:keepNext/>
              <w:spacing w:before="40" w:after="40"/>
              <w:rPr>
                <w:b/>
                <w:color w:val="000000" w:themeColor="text1"/>
                <w:sz w:val="18"/>
              </w:rPr>
            </w:pPr>
            <w:r w:rsidRPr="000E4347">
              <w:rPr>
                <w:b/>
                <w:color w:val="000000" w:themeColor="text1"/>
                <w:sz w:val="18"/>
              </w:rPr>
              <w:t>Operating expenses per passenger ($)</w:t>
            </w:r>
          </w:p>
        </w:tc>
        <w:tc>
          <w:tcPr>
            <w:tcW w:w="1701" w:type="dxa"/>
            <w:tcBorders>
              <w:left w:val="nil"/>
              <w:right w:val="nil"/>
            </w:tcBorders>
          </w:tcPr>
          <w:p w:rsidR="00F26847" w:rsidRPr="000E4347" w:rsidRDefault="00F26847" w:rsidP="006A219F">
            <w:pPr>
              <w:keepNext/>
              <w:spacing w:before="40" w:after="40"/>
              <w:rPr>
                <w:sz w:val="18"/>
              </w:rPr>
            </w:pPr>
            <w:r w:rsidRPr="000E4347">
              <w:rPr>
                <w:sz w:val="18"/>
              </w:rPr>
              <w:t>Total aeronautical</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7.37</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8.03</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7.94</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8.44</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8.61</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8.77</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8.28</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8.15</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8.17</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8.18</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8.18</w:t>
            </w:r>
          </w:p>
        </w:tc>
      </w:tr>
      <w:tr w:rsidR="00F26847" w:rsidRPr="000E4347" w:rsidTr="00BE4EED">
        <w:tc>
          <w:tcPr>
            <w:tcW w:w="1526" w:type="dxa"/>
            <w:vMerge/>
            <w:tcBorders>
              <w:left w:val="nil"/>
              <w:right w:val="nil"/>
            </w:tcBorders>
          </w:tcPr>
          <w:p w:rsidR="00F26847" w:rsidRPr="000E4347" w:rsidRDefault="00F26847" w:rsidP="006A219F">
            <w:pPr>
              <w:keepNext/>
              <w:spacing w:before="40" w:after="40"/>
              <w:rPr>
                <w:b/>
                <w:color w:val="000000" w:themeColor="text1"/>
                <w:sz w:val="18"/>
              </w:rPr>
            </w:pPr>
          </w:p>
        </w:tc>
        <w:tc>
          <w:tcPr>
            <w:tcW w:w="1701" w:type="dxa"/>
            <w:tcBorders>
              <w:left w:val="nil"/>
              <w:right w:val="nil"/>
            </w:tcBorders>
            <w:vAlign w:val="center"/>
          </w:tcPr>
          <w:p w:rsidR="00F26847" w:rsidRPr="000E4347" w:rsidRDefault="00F26847" w:rsidP="006A219F">
            <w:pPr>
              <w:keepNext/>
              <w:spacing w:before="40" w:after="40"/>
              <w:ind w:left="34"/>
              <w:rPr>
                <w:sz w:val="18"/>
              </w:rPr>
            </w:pPr>
            <w:r w:rsidRPr="000E4347">
              <w:rPr>
                <w:sz w:val="18"/>
              </w:rPr>
              <w:t>Security services</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1.33</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1.46</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2.41</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2.51</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2.58</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2.38</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2.27</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2.25</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2.23</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2.18</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2.08</w:t>
            </w:r>
          </w:p>
        </w:tc>
      </w:tr>
      <w:tr w:rsidR="00F26847" w:rsidRPr="000E4347" w:rsidTr="00BE4EED">
        <w:tc>
          <w:tcPr>
            <w:tcW w:w="1526" w:type="dxa"/>
            <w:vMerge w:val="restart"/>
            <w:tcBorders>
              <w:left w:val="nil"/>
              <w:right w:val="nil"/>
            </w:tcBorders>
            <w:vAlign w:val="center"/>
          </w:tcPr>
          <w:p w:rsidR="00F26847" w:rsidRPr="000E4347" w:rsidRDefault="00F26847" w:rsidP="006A219F">
            <w:pPr>
              <w:keepNext/>
              <w:spacing w:before="40" w:after="40"/>
              <w:rPr>
                <w:b/>
                <w:color w:val="000000" w:themeColor="text1"/>
                <w:sz w:val="18"/>
              </w:rPr>
            </w:pPr>
            <w:r>
              <w:rPr>
                <w:b/>
                <w:color w:val="000000" w:themeColor="text1"/>
                <w:sz w:val="18"/>
              </w:rPr>
              <w:t>Aggregate</w:t>
            </w:r>
            <w:r w:rsidRPr="000E4347">
              <w:rPr>
                <w:b/>
                <w:color w:val="000000" w:themeColor="text1"/>
                <w:sz w:val="18"/>
              </w:rPr>
              <w:t xml:space="preserve"> margin per passenger ($)</w:t>
            </w:r>
          </w:p>
        </w:tc>
        <w:tc>
          <w:tcPr>
            <w:tcW w:w="1701" w:type="dxa"/>
            <w:tcBorders>
              <w:left w:val="nil"/>
              <w:right w:val="nil"/>
            </w:tcBorders>
          </w:tcPr>
          <w:p w:rsidR="00F26847" w:rsidRPr="000E4347" w:rsidRDefault="00F26847" w:rsidP="006A219F">
            <w:pPr>
              <w:keepNext/>
              <w:spacing w:before="40" w:after="40"/>
              <w:rPr>
                <w:sz w:val="18"/>
              </w:rPr>
            </w:pPr>
            <w:r w:rsidRPr="000E4347">
              <w:rPr>
                <w:sz w:val="18"/>
              </w:rPr>
              <w:t>Total aeronautical</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6.82</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6.31</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6.75</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6.98</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7.12</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7.05</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7.53</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7.83</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8.02</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8.13</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8.22</w:t>
            </w:r>
          </w:p>
        </w:tc>
      </w:tr>
      <w:tr w:rsidR="00F26847" w:rsidRPr="000E4347" w:rsidTr="00BE4EED">
        <w:tc>
          <w:tcPr>
            <w:tcW w:w="1526" w:type="dxa"/>
            <w:vMerge/>
            <w:tcBorders>
              <w:left w:val="nil"/>
              <w:right w:val="nil"/>
            </w:tcBorders>
          </w:tcPr>
          <w:p w:rsidR="00F26847" w:rsidRPr="000E4347" w:rsidRDefault="00F26847" w:rsidP="006A219F">
            <w:pPr>
              <w:keepNext/>
              <w:spacing w:before="40" w:after="40"/>
              <w:rPr>
                <w:b/>
                <w:color w:val="000000" w:themeColor="text1"/>
                <w:sz w:val="18"/>
              </w:rPr>
            </w:pPr>
          </w:p>
        </w:tc>
        <w:tc>
          <w:tcPr>
            <w:tcW w:w="1701" w:type="dxa"/>
            <w:tcBorders>
              <w:left w:val="nil"/>
              <w:right w:val="nil"/>
            </w:tcBorders>
            <w:vAlign w:val="center"/>
          </w:tcPr>
          <w:p w:rsidR="00F26847" w:rsidRPr="000E4347" w:rsidRDefault="00F26847" w:rsidP="006A219F">
            <w:pPr>
              <w:keepNext/>
              <w:spacing w:before="40" w:after="40"/>
              <w:ind w:left="34"/>
              <w:rPr>
                <w:sz w:val="18"/>
              </w:rPr>
            </w:pPr>
            <w:r w:rsidRPr="000E4347">
              <w:rPr>
                <w:sz w:val="18"/>
              </w:rPr>
              <w:t>Security services</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0.38</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0.57</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2"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c>
          <w:tcPr>
            <w:tcW w:w="983" w:type="dxa"/>
            <w:tcBorders>
              <w:left w:val="nil"/>
              <w:right w:val="nil"/>
            </w:tcBorders>
            <w:vAlign w:val="center"/>
          </w:tcPr>
          <w:p w:rsidR="00F26847" w:rsidRPr="000E4347" w:rsidRDefault="00F26847" w:rsidP="006A219F">
            <w:pPr>
              <w:keepNext/>
              <w:autoSpaceDE w:val="0"/>
              <w:autoSpaceDN w:val="0"/>
              <w:adjustRightInd w:val="0"/>
              <w:spacing w:after="0"/>
              <w:jc w:val="right"/>
              <w:rPr>
                <w:rFonts w:cs="Arial"/>
                <w:color w:val="000000"/>
                <w:sz w:val="18"/>
                <w:szCs w:val="18"/>
              </w:rPr>
            </w:pPr>
            <w:r w:rsidRPr="000E4347">
              <w:rPr>
                <w:rFonts w:cs="Arial"/>
                <w:color w:val="000000"/>
                <w:sz w:val="18"/>
                <w:szCs w:val="18"/>
              </w:rPr>
              <w:t>0.00</w:t>
            </w:r>
          </w:p>
        </w:tc>
      </w:tr>
    </w:tbl>
    <w:p w:rsidR="00F26847" w:rsidRDefault="00F26847" w:rsidP="006A219F">
      <w:pPr>
        <w:pStyle w:val="Sourceandnotes"/>
      </w:pPr>
      <w:r w:rsidRPr="000E4347">
        <w:t>Note:</w:t>
      </w:r>
      <w:r w:rsidRPr="000E4347">
        <w:tab/>
        <w:t>Real values in 2014-15 dollars</w:t>
      </w:r>
    </w:p>
    <w:p w:rsidR="00F26847" w:rsidRDefault="00F26847" w:rsidP="006A219F">
      <w:pPr>
        <w:keepNext/>
        <w:sectPr w:rsidR="00F26847" w:rsidSect="00BE4EED">
          <w:headerReference w:type="even" r:id="rId153"/>
          <w:headerReference w:type="default" r:id="rId154"/>
          <w:footnotePr>
            <w:numStart w:val="93"/>
          </w:footnotePr>
          <w:pgSz w:w="16838" w:h="11906" w:orient="landscape"/>
          <w:pgMar w:top="1729" w:right="1440" w:bottom="1729" w:left="1582" w:header="709" w:footer="709" w:gutter="0"/>
          <w:pgNumType w:start="138"/>
          <w:cols w:space="708"/>
          <w:docGrid w:linePitch="360"/>
        </w:sectPr>
      </w:pPr>
    </w:p>
    <w:p w:rsidR="00F26847" w:rsidRPr="00D05C00" w:rsidRDefault="00F26847" w:rsidP="006A219F">
      <w:pPr>
        <w:keepNext/>
        <w:spacing w:before="120" w:after="120"/>
        <w:rPr>
          <w:b/>
          <w:i/>
          <w:sz w:val="22"/>
        </w:rPr>
      </w:pPr>
      <w:r w:rsidRPr="00D05C00">
        <w:rPr>
          <w:b/>
          <w:i/>
          <w:sz w:val="22"/>
        </w:rPr>
        <w:lastRenderedPageBreak/>
        <w:t xml:space="preserve">Line in the sand—aeronautical revenue, operating expenses and </w:t>
      </w:r>
      <w:r>
        <w:rPr>
          <w:b/>
          <w:i/>
          <w:sz w:val="22"/>
        </w:rPr>
        <w:t>aggregate</w:t>
      </w:r>
      <w:r w:rsidRPr="00D05C00">
        <w:rPr>
          <w:b/>
          <w:i/>
          <w:sz w:val="22"/>
        </w:rPr>
        <w:t xml:space="preserve"> margin values</w:t>
      </w:r>
    </w:p>
    <w:p w:rsidR="00F26847" w:rsidRDefault="00F26847" w:rsidP="006A219F">
      <w:pPr>
        <w:keepNext/>
      </w:pPr>
      <w:r>
        <w:t>Table 5.2.3 shows Sydney Airport’s starting LIS asset base aggregates. From 2007-08, the ACCC has required airport operators to provide additional information relating to the aeronautical asset base under the ‘line in the sand’ (LIS) approach.</w:t>
      </w:r>
      <w:r>
        <w:rPr>
          <w:rStyle w:val="FootnoteReference"/>
        </w:rPr>
        <w:footnoteReference w:id="128"/>
      </w:r>
      <w:r>
        <w:t xml:space="preserve">  Under this approach, the value of an airport’s aeronautical asset base for monitoring purposes is the value of tangible non-current aeronautical assets reported to the ACCC as at 30 June 2005, plus new investments, less depreciation and disposals.</w:t>
      </w:r>
    </w:p>
    <w:p w:rsidR="00F26847" w:rsidRDefault="00F26847" w:rsidP="006A219F">
      <w:pPr>
        <w:pStyle w:val="Numberedcharttitle"/>
      </w:pPr>
      <w:r w:rsidRPr="009D2F44">
        <w:t>Table 5.2.</w:t>
      </w:r>
      <w:r>
        <w:t>2</w:t>
      </w:r>
      <w:r w:rsidRPr="009D2F44">
        <w:t>:</w:t>
      </w:r>
      <w:r w:rsidRPr="009D2F44">
        <w:tab/>
        <w:t>Sydney Airport—starting line in the sand asset base as at 30 June 2005 ($thousand) in real terms</w:t>
      </w:r>
    </w:p>
    <w:tbl>
      <w:tblPr>
        <w:tblStyle w:val="TableGrid2"/>
        <w:tblW w:w="0" w:type="auto"/>
        <w:tblLook w:val="04A0" w:firstRow="1" w:lastRow="0" w:firstColumn="1" w:lastColumn="0" w:noHBand="0" w:noVBand="1"/>
      </w:tblPr>
      <w:tblGrid>
        <w:gridCol w:w="1696"/>
        <w:gridCol w:w="2322"/>
        <w:gridCol w:w="2323"/>
        <w:gridCol w:w="2323"/>
      </w:tblGrid>
      <w:tr w:rsidR="00F26847" w:rsidRPr="005C3FFC" w:rsidTr="00BE4EED">
        <w:tc>
          <w:tcPr>
            <w:tcW w:w="1696" w:type="dxa"/>
            <w:tcBorders>
              <w:top w:val="single" w:sz="4" w:space="0" w:color="51626F"/>
              <w:left w:val="nil"/>
              <w:bottom w:val="single" w:sz="4" w:space="0" w:color="51626F"/>
              <w:right w:val="nil"/>
            </w:tcBorders>
            <w:shd w:val="clear" w:color="auto" w:fill="DFE0DC"/>
          </w:tcPr>
          <w:p w:rsidR="00F26847" w:rsidRPr="005C3FFC" w:rsidRDefault="00F26847" w:rsidP="006A219F">
            <w:pPr>
              <w:keepNext/>
              <w:spacing w:before="40" w:after="40"/>
              <w:jc w:val="right"/>
              <w:rPr>
                <w:rFonts w:eastAsia="Times New Roman" w:cs="Times New Roman"/>
                <w:b/>
                <w:color w:val="000000" w:themeColor="text1"/>
                <w:sz w:val="18"/>
                <w:szCs w:val="20"/>
                <w:lang w:eastAsia="en-AU"/>
              </w:rPr>
            </w:pPr>
          </w:p>
        </w:tc>
        <w:tc>
          <w:tcPr>
            <w:tcW w:w="2322" w:type="dxa"/>
            <w:tcBorders>
              <w:top w:val="single" w:sz="4" w:space="0" w:color="51626F"/>
              <w:left w:val="nil"/>
              <w:bottom w:val="single" w:sz="4" w:space="0" w:color="51626F"/>
              <w:right w:val="nil"/>
            </w:tcBorders>
            <w:shd w:val="clear" w:color="auto" w:fill="DFE0DC"/>
          </w:tcPr>
          <w:p w:rsidR="00F26847" w:rsidRPr="005C3FFC" w:rsidRDefault="00F26847" w:rsidP="006A219F">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Land</w:t>
            </w:r>
          </w:p>
        </w:tc>
        <w:tc>
          <w:tcPr>
            <w:tcW w:w="2323" w:type="dxa"/>
            <w:tcBorders>
              <w:top w:val="single" w:sz="4" w:space="0" w:color="51626F"/>
              <w:left w:val="nil"/>
              <w:bottom w:val="single" w:sz="4" w:space="0" w:color="51626F"/>
              <w:right w:val="nil"/>
            </w:tcBorders>
            <w:shd w:val="clear" w:color="auto" w:fill="DFE0DC"/>
          </w:tcPr>
          <w:p w:rsidR="00F26847" w:rsidRPr="005C3FFC" w:rsidRDefault="00F26847" w:rsidP="006A219F">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Property, plant and equipment</w:t>
            </w:r>
          </w:p>
        </w:tc>
        <w:tc>
          <w:tcPr>
            <w:tcW w:w="2323" w:type="dxa"/>
            <w:tcBorders>
              <w:top w:val="single" w:sz="4" w:space="0" w:color="51626F"/>
              <w:left w:val="nil"/>
              <w:bottom w:val="single" w:sz="4" w:space="0" w:color="51626F"/>
              <w:right w:val="nil"/>
            </w:tcBorders>
            <w:shd w:val="clear" w:color="auto" w:fill="DFE0DC"/>
          </w:tcPr>
          <w:p w:rsidR="00F26847" w:rsidRPr="005C3FFC" w:rsidRDefault="00F26847" w:rsidP="006A219F">
            <w:pPr>
              <w:keepNext/>
              <w:spacing w:before="40" w:after="40"/>
              <w:jc w:val="right"/>
              <w:rPr>
                <w:rFonts w:eastAsia="Times New Roman" w:cs="Times New Roman"/>
                <w:b/>
                <w:color w:val="000000" w:themeColor="text1"/>
                <w:sz w:val="18"/>
                <w:szCs w:val="20"/>
                <w:lang w:eastAsia="en-AU"/>
              </w:rPr>
            </w:pPr>
            <w:r w:rsidRPr="005C3FFC">
              <w:rPr>
                <w:rFonts w:eastAsia="Times New Roman" w:cs="Times New Roman"/>
                <w:b/>
                <w:color w:val="000000" w:themeColor="text1"/>
                <w:sz w:val="18"/>
                <w:szCs w:val="20"/>
                <w:lang w:eastAsia="en-AU"/>
              </w:rPr>
              <w:t>Total line in the sand asset base</w:t>
            </w:r>
          </w:p>
        </w:tc>
      </w:tr>
      <w:tr w:rsidR="00F26847" w:rsidRPr="00791C34" w:rsidTr="00BE4EED">
        <w:tc>
          <w:tcPr>
            <w:tcW w:w="1696" w:type="dxa"/>
            <w:tcBorders>
              <w:top w:val="single" w:sz="4" w:space="0" w:color="51626F"/>
              <w:left w:val="nil"/>
              <w:right w:val="nil"/>
            </w:tcBorders>
          </w:tcPr>
          <w:p w:rsidR="00F26847" w:rsidRPr="005C3FFC" w:rsidRDefault="00F26847" w:rsidP="006A219F">
            <w:pPr>
              <w:keepNext/>
              <w:spacing w:before="40" w:after="40"/>
              <w:rPr>
                <w:sz w:val="18"/>
              </w:rPr>
            </w:pPr>
            <w:r w:rsidRPr="005C3FFC">
              <w:rPr>
                <w:sz w:val="18"/>
              </w:rPr>
              <w:t>Sydney Airport</w:t>
            </w:r>
          </w:p>
        </w:tc>
        <w:tc>
          <w:tcPr>
            <w:tcW w:w="2322" w:type="dxa"/>
            <w:tcBorders>
              <w:top w:val="single" w:sz="4" w:space="0" w:color="51626F"/>
              <w:left w:val="nil"/>
              <w:right w:val="nil"/>
            </w:tcBorders>
          </w:tcPr>
          <w:p w:rsidR="00F26847" w:rsidRPr="00791C34" w:rsidRDefault="00F26847" w:rsidP="006A219F">
            <w:pPr>
              <w:keepNext/>
              <w:spacing w:before="40" w:after="40"/>
              <w:jc w:val="right"/>
              <w:rPr>
                <w:sz w:val="18"/>
              </w:rPr>
            </w:pPr>
            <w:r w:rsidRPr="00791C34">
              <w:rPr>
                <w:sz w:val="18"/>
              </w:rPr>
              <w:t xml:space="preserve">                  556</w:t>
            </w:r>
            <w:r>
              <w:rPr>
                <w:sz w:val="18"/>
              </w:rPr>
              <w:t xml:space="preserve"> </w:t>
            </w:r>
            <w:r w:rsidRPr="00791C34">
              <w:rPr>
                <w:sz w:val="18"/>
              </w:rPr>
              <w:t xml:space="preserve">015 </w:t>
            </w:r>
          </w:p>
        </w:tc>
        <w:tc>
          <w:tcPr>
            <w:tcW w:w="2323" w:type="dxa"/>
            <w:tcBorders>
              <w:top w:val="single" w:sz="4" w:space="0" w:color="51626F"/>
              <w:left w:val="nil"/>
              <w:right w:val="nil"/>
            </w:tcBorders>
          </w:tcPr>
          <w:p w:rsidR="00F26847" w:rsidRPr="00791C34" w:rsidRDefault="00F26847" w:rsidP="006A219F">
            <w:pPr>
              <w:keepNext/>
              <w:jc w:val="right"/>
              <w:rPr>
                <w:sz w:val="18"/>
              </w:rPr>
            </w:pPr>
            <w:r>
              <w:rPr>
                <w:sz w:val="18"/>
              </w:rPr>
              <w:t>1 517 662</w:t>
            </w:r>
          </w:p>
        </w:tc>
        <w:tc>
          <w:tcPr>
            <w:tcW w:w="2323" w:type="dxa"/>
            <w:tcBorders>
              <w:top w:val="single" w:sz="4" w:space="0" w:color="51626F"/>
              <w:left w:val="nil"/>
              <w:right w:val="nil"/>
            </w:tcBorders>
          </w:tcPr>
          <w:p w:rsidR="00F26847" w:rsidRPr="00791C34" w:rsidRDefault="00F26847" w:rsidP="006A219F">
            <w:pPr>
              <w:keepNext/>
              <w:jc w:val="right"/>
              <w:rPr>
                <w:sz w:val="18"/>
              </w:rPr>
            </w:pPr>
            <w:r>
              <w:rPr>
                <w:sz w:val="18"/>
              </w:rPr>
              <w:t>2 073 677</w:t>
            </w:r>
          </w:p>
        </w:tc>
      </w:tr>
    </w:tbl>
    <w:p w:rsidR="00F26847" w:rsidRDefault="00F26847" w:rsidP="006A219F">
      <w:pPr>
        <w:pStyle w:val="Sourceandnotes"/>
      </w:pPr>
      <w:r>
        <w:t>Note:</w:t>
      </w:r>
      <w:r>
        <w:tab/>
        <w:t>Real values in 2014-15 dollars</w:t>
      </w:r>
    </w:p>
    <w:p w:rsidR="00F26847" w:rsidRDefault="00F26847" w:rsidP="006A219F">
      <w:pPr>
        <w:keepNext/>
      </w:pPr>
      <w:r>
        <w:t>T</w:t>
      </w:r>
      <w:r w:rsidRPr="00791C34">
        <w:t>he value of leasehold land for LIS aeronautical assets includes the value of landfill (that is, the land under the runway). The value for this landfill as at 30 June 201</w:t>
      </w:r>
      <w:r>
        <w:t>5</w:t>
      </w:r>
      <w:r w:rsidRPr="00791C34">
        <w:t xml:space="preserve"> was $1</w:t>
      </w:r>
      <w:r>
        <w:t>54.9</w:t>
      </w:r>
      <w:r w:rsidRPr="00791C34">
        <w:t xml:space="preserve"> million. As noted in</w:t>
      </w:r>
      <w:r>
        <w:t xml:space="preserve"> last year’s </w:t>
      </w:r>
      <w:r w:rsidRPr="00791C34">
        <w:t>airport monitoring report, this value was not included in the asset base provided by Sydney Airport as at 1 July 2005</w:t>
      </w:r>
      <w:r>
        <w:t xml:space="preserve">. </w:t>
      </w:r>
      <w:r w:rsidRPr="00791C34">
        <w:t xml:space="preserve">The ACCC therefore presents the LIS approach for Sydney Airport with and also without the value of landfill. </w:t>
      </w:r>
    </w:p>
    <w:p w:rsidR="00F26847" w:rsidRDefault="00F26847" w:rsidP="006A219F">
      <w:pPr>
        <w:keepNext/>
      </w:pPr>
      <w:r w:rsidRPr="00791C34">
        <w:t xml:space="preserve">Table 5.2.4 present the revenues, operating expenses and </w:t>
      </w:r>
      <w:r>
        <w:t>aggregate</w:t>
      </w:r>
      <w:r w:rsidRPr="00791C34">
        <w:t xml:space="preserve"> margins for aeronautical services under the LIS approach</w:t>
      </w:r>
      <w:r>
        <w:t>.</w:t>
      </w:r>
    </w:p>
    <w:p w:rsidR="00F26847" w:rsidRPr="00E07799" w:rsidRDefault="00F26847" w:rsidP="00F26847">
      <w:pPr>
        <w:pStyle w:val="Numberedcharttitle"/>
      </w:pPr>
      <w:r>
        <w:t>Table 5.2.4:</w:t>
      </w:r>
      <w:r>
        <w:tab/>
        <w:t>Sydney Airport—revenues, operating expenses and aggregate margin for aeronautical services under the LIS approach, both excluding and including the value of landfill in leasehold land in real terms:</w:t>
      </w:r>
      <w:r>
        <w:br/>
        <w:t>2008</w:t>
      </w:r>
      <w:r>
        <w:noBreakHyphen/>
        <w:t>09 to 2014</w:t>
      </w:r>
      <w:r>
        <w:noBreakHyphen/>
        <w:t>15</w:t>
      </w:r>
    </w:p>
    <w:tbl>
      <w:tblPr>
        <w:tblStyle w:val="TableGrid"/>
        <w:tblW w:w="0" w:type="auto"/>
        <w:tblLayout w:type="fixed"/>
        <w:tblLook w:val="04A0" w:firstRow="1" w:lastRow="0" w:firstColumn="1" w:lastColumn="0" w:noHBand="0" w:noVBand="1"/>
      </w:tblPr>
      <w:tblGrid>
        <w:gridCol w:w="1101"/>
        <w:gridCol w:w="1134"/>
        <w:gridCol w:w="918"/>
        <w:gridCol w:w="918"/>
        <w:gridCol w:w="919"/>
        <w:gridCol w:w="918"/>
        <w:gridCol w:w="919"/>
        <w:gridCol w:w="918"/>
        <w:gridCol w:w="919"/>
      </w:tblGrid>
      <w:tr w:rsidR="00F26847" w:rsidRPr="00E07799" w:rsidTr="00BE4EED">
        <w:tc>
          <w:tcPr>
            <w:tcW w:w="1101" w:type="dxa"/>
            <w:tcBorders>
              <w:left w:val="nil"/>
              <w:bottom w:val="single" w:sz="4" w:space="0" w:color="auto"/>
              <w:right w:val="nil"/>
            </w:tcBorders>
            <w:shd w:val="clear" w:color="auto" w:fill="DFE0DC"/>
          </w:tcPr>
          <w:p w:rsidR="00F26847" w:rsidRPr="00E07799" w:rsidRDefault="00F26847" w:rsidP="00BE4EED">
            <w:pPr>
              <w:keepNext/>
              <w:spacing w:before="40" w:after="40"/>
              <w:rPr>
                <w:sz w:val="18"/>
              </w:rPr>
            </w:pPr>
          </w:p>
        </w:tc>
        <w:tc>
          <w:tcPr>
            <w:tcW w:w="1134"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p>
        </w:tc>
        <w:tc>
          <w:tcPr>
            <w:tcW w:w="918"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r w:rsidRPr="00E07799">
              <w:rPr>
                <w:b/>
                <w:color w:val="000000" w:themeColor="text1"/>
                <w:sz w:val="18"/>
              </w:rPr>
              <w:t>2008-09</w:t>
            </w:r>
          </w:p>
        </w:tc>
        <w:tc>
          <w:tcPr>
            <w:tcW w:w="918"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r w:rsidRPr="00E07799">
              <w:rPr>
                <w:b/>
                <w:color w:val="000000" w:themeColor="text1"/>
                <w:sz w:val="18"/>
              </w:rPr>
              <w:t>2009-10</w:t>
            </w:r>
          </w:p>
        </w:tc>
        <w:tc>
          <w:tcPr>
            <w:tcW w:w="919"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r w:rsidRPr="00E07799">
              <w:rPr>
                <w:b/>
                <w:color w:val="000000" w:themeColor="text1"/>
                <w:sz w:val="18"/>
              </w:rPr>
              <w:t>2010-11</w:t>
            </w:r>
          </w:p>
        </w:tc>
        <w:tc>
          <w:tcPr>
            <w:tcW w:w="918"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r w:rsidRPr="00E07799">
              <w:rPr>
                <w:b/>
                <w:color w:val="000000" w:themeColor="text1"/>
                <w:sz w:val="18"/>
              </w:rPr>
              <w:t>2011-12</w:t>
            </w:r>
          </w:p>
        </w:tc>
        <w:tc>
          <w:tcPr>
            <w:tcW w:w="919"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r w:rsidRPr="00E07799">
              <w:rPr>
                <w:b/>
                <w:color w:val="000000" w:themeColor="text1"/>
                <w:sz w:val="18"/>
              </w:rPr>
              <w:t>2012-13</w:t>
            </w:r>
          </w:p>
        </w:tc>
        <w:tc>
          <w:tcPr>
            <w:tcW w:w="918"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r w:rsidRPr="00E07799">
              <w:rPr>
                <w:b/>
                <w:color w:val="000000" w:themeColor="text1"/>
                <w:sz w:val="18"/>
              </w:rPr>
              <w:t>2013-14</w:t>
            </w:r>
          </w:p>
        </w:tc>
        <w:tc>
          <w:tcPr>
            <w:tcW w:w="919" w:type="dxa"/>
            <w:tcBorders>
              <w:left w:val="nil"/>
              <w:bottom w:val="single" w:sz="4" w:space="0" w:color="auto"/>
              <w:right w:val="nil"/>
            </w:tcBorders>
            <w:shd w:val="clear" w:color="auto" w:fill="DFE0DC"/>
          </w:tcPr>
          <w:p w:rsidR="00F26847" w:rsidRPr="00E07799" w:rsidRDefault="00F26847" w:rsidP="00BE4EED">
            <w:pPr>
              <w:keepNext/>
              <w:spacing w:before="40" w:after="40"/>
              <w:jc w:val="right"/>
              <w:rPr>
                <w:b/>
                <w:color w:val="000000" w:themeColor="text1"/>
                <w:sz w:val="18"/>
              </w:rPr>
            </w:pPr>
            <w:r w:rsidRPr="00E07799">
              <w:rPr>
                <w:b/>
                <w:color w:val="000000" w:themeColor="text1"/>
                <w:sz w:val="18"/>
              </w:rPr>
              <w:t>2014-15</w:t>
            </w:r>
          </w:p>
        </w:tc>
      </w:tr>
      <w:tr w:rsidR="00F26847" w:rsidRPr="00E07799" w:rsidTr="00BE4EED">
        <w:tc>
          <w:tcPr>
            <w:tcW w:w="1101" w:type="dxa"/>
            <w:vMerge w:val="restart"/>
            <w:tcBorders>
              <w:left w:val="nil"/>
              <w:right w:val="nil"/>
            </w:tcBorders>
          </w:tcPr>
          <w:p w:rsidR="00F26847" w:rsidRPr="00E07799" w:rsidRDefault="00F26847" w:rsidP="00BE4EED">
            <w:pPr>
              <w:keepNext/>
              <w:spacing w:before="40" w:after="40"/>
              <w:rPr>
                <w:b/>
                <w:color w:val="000000" w:themeColor="text1"/>
                <w:sz w:val="18"/>
              </w:rPr>
            </w:pPr>
            <w:r w:rsidRPr="00E07799">
              <w:rPr>
                <w:b/>
                <w:color w:val="000000" w:themeColor="text1"/>
                <w:sz w:val="18"/>
              </w:rPr>
              <w:t xml:space="preserve">Revenue </w:t>
            </w:r>
            <w:r w:rsidRPr="00E07799">
              <w:rPr>
                <w:b/>
                <w:color w:val="000000" w:themeColor="text1"/>
                <w:sz w:val="18"/>
              </w:rPr>
              <w:br/>
              <w:t>($million)</w:t>
            </w:r>
          </w:p>
        </w:tc>
        <w:tc>
          <w:tcPr>
            <w:tcW w:w="1134"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Excluding landfill</w:t>
            </w:r>
          </w:p>
        </w:tc>
        <w:tc>
          <w:tcPr>
            <w:tcW w:w="918"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514.8</w:t>
            </w:r>
          </w:p>
        </w:tc>
        <w:tc>
          <w:tcPr>
            <w:tcW w:w="918"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552.2</w:t>
            </w:r>
          </w:p>
        </w:tc>
        <w:tc>
          <w:tcPr>
            <w:tcW w:w="919"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573.6</w:t>
            </w:r>
          </w:p>
        </w:tc>
        <w:tc>
          <w:tcPr>
            <w:tcW w:w="918"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580.7</w:t>
            </w:r>
          </w:p>
        </w:tc>
        <w:tc>
          <w:tcPr>
            <w:tcW w:w="919"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614.1</w:t>
            </w:r>
          </w:p>
        </w:tc>
        <w:tc>
          <w:tcPr>
            <w:tcW w:w="918"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631.7</w:t>
            </w:r>
          </w:p>
        </w:tc>
        <w:tc>
          <w:tcPr>
            <w:tcW w:w="919" w:type="dxa"/>
            <w:tcBorders>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643.0</w:t>
            </w:r>
          </w:p>
        </w:tc>
      </w:tr>
      <w:tr w:rsidR="00F26847" w:rsidRPr="00E07799" w:rsidTr="00BE4EED">
        <w:tc>
          <w:tcPr>
            <w:tcW w:w="1101" w:type="dxa"/>
            <w:vMerge/>
            <w:tcBorders>
              <w:left w:val="nil"/>
              <w:bottom w:val="single" w:sz="4" w:space="0" w:color="auto"/>
              <w:right w:val="nil"/>
            </w:tcBorders>
          </w:tcPr>
          <w:p w:rsidR="00F26847" w:rsidRPr="00E07799" w:rsidRDefault="00F26847" w:rsidP="00BE4EED">
            <w:pPr>
              <w:keepNext/>
              <w:spacing w:before="40" w:after="40"/>
              <w:rPr>
                <w:b/>
                <w:color w:val="000000" w:themeColor="text1"/>
                <w:sz w:val="18"/>
              </w:rPr>
            </w:pPr>
          </w:p>
        </w:tc>
        <w:tc>
          <w:tcPr>
            <w:tcW w:w="1134"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Including landfill</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514.8</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552.2</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573.6</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580.7</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614.1</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631.7</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643.0</w:t>
            </w:r>
          </w:p>
        </w:tc>
      </w:tr>
      <w:tr w:rsidR="00F26847" w:rsidRPr="00E07799" w:rsidTr="00BE4EED">
        <w:tc>
          <w:tcPr>
            <w:tcW w:w="1101" w:type="dxa"/>
            <w:vMerge w:val="restart"/>
            <w:tcBorders>
              <w:top w:val="single" w:sz="4" w:space="0" w:color="auto"/>
              <w:left w:val="nil"/>
              <w:right w:val="nil"/>
            </w:tcBorders>
          </w:tcPr>
          <w:p w:rsidR="00F26847" w:rsidRPr="00E07799" w:rsidRDefault="00F26847" w:rsidP="00BE4EED">
            <w:pPr>
              <w:keepNext/>
              <w:spacing w:before="40" w:after="40"/>
              <w:rPr>
                <w:b/>
                <w:color w:val="000000" w:themeColor="text1"/>
                <w:sz w:val="18"/>
              </w:rPr>
            </w:pPr>
            <w:r w:rsidRPr="00E07799">
              <w:rPr>
                <w:b/>
                <w:color w:val="000000" w:themeColor="text1"/>
                <w:sz w:val="18"/>
              </w:rPr>
              <w:t>Operating expenses ($million)</w:t>
            </w:r>
          </w:p>
        </w:tc>
        <w:tc>
          <w:tcPr>
            <w:tcW w:w="1134"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Excluding landfill</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273.7</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305.3</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296.5</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287.9</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289.4</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303.5</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319.1</w:t>
            </w:r>
          </w:p>
        </w:tc>
      </w:tr>
      <w:tr w:rsidR="00F26847" w:rsidRPr="00E07799" w:rsidTr="00BE4EED">
        <w:tc>
          <w:tcPr>
            <w:tcW w:w="1101" w:type="dxa"/>
            <w:vMerge/>
            <w:tcBorders>
              <w:left w:val="nil"/>
              <w:bottom w:val="single" w:sz="4" w:space="0" w:color="auto"/>
              <w:right w:val="nil"/>
            </w:tcBorders>
          </w:tcPr>
          <w:p w:rsidR="00F26847" w:rsidRPr="00E07799" w:rsidRDefault="00F26847" w:rsidP="00BE4EED">
            <w:pPr>
              <w:keepNext/>
              <w:spacing w:before="40" w:after="40"/>
              <w:rPr>
                <w:b/>
                <w:color w:val="000000" w:themeColor="text1"/>
                <w:sz w:val="18"/>
              </w:rPr>
            </w:pPr>
          </w:p>
        </w:tc>
        <w:tc>
          <w:tcPr>
            <w:tcW w:w="1134"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Including landfill</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275.9</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307.6</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297.9</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289.9</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291.4</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305.4</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321.0</w:t>
            </w:r>
          </w:p>
        </w:tc>
      </w:tr>
      <w:tr w:rsidR="00F26847" w:rsidRPr="00E07799" w:rsidTr="00BE4EED">
        <w:tc>
          <w:tcPr>
            <w:tcW w:w="1101" w:type="dxa"/>
            <w:vMerge w:val="restart"/>
            <w:tcBorders>
              <w:top w:val="single" w:sz="4" w:space="0" w:color="auto"/>
              <w:left w:val="nil"/>
              <w:right w:val="nil"/>
            </w:tcBorders>
          </w:tcPr>
          <w:p w:rsidR="00F26847" w:rsidRPr="00E07799" w:rsidRDefault="00F26847" w:rsidP="00BE4EED">
            <w:pPr>
              <w:keepNext/>
              <w:spacing w:before="40" w:after="40"/>
              <w:rPr>
                <w:b/>
                <w:color w:val="000000" w:themeColor="text1"/>
                <w:sz w:val="18"/>
              </w:rPr>
            </w:pPr>
            <w:r>
              <w:rPr>
                <w:b/>
                <w:color w:val="000000" w:themeColor="text1"/>
                <w:sz w:val="18"/>
              </w:rPr>
              <w:t>Aggregate</w:t>
            </w:r>
            <w:r w:rsidRPr="00E07799">
              <w:rPr>
                <w:b/>
                <w:color w:val="000000" w:themeColor="text1"/>
                <w:sz w:val="18"/>
              </w:rPr>
              <w:t xml:space="preserve"> margin ($million)</w:t>
            </w:r>
          </w:p>
        </w:tc>
        <w:tc>
          <w:tcPr>
            <w:tcW w:w="1134"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Excluding landfill</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241.2</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246.8</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277.1</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292.8</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324.7</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328.2</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323.9</w:t>
            </w:r>
          </w:p>
        </w:tc>
      </w:tr>
      <w:tr w:rsidR="00F26847" w:rsidRPr="00E07799" w:rsidTr="00BE4EED">
        <w:tc>
          <w:tcPr>
            <w:tcW w:w="1101" w:type="dxa"/>
            <w:vMerge/>
            <w:tcBorders>
              <w:left w:val="nil"/>
              <w:right w:val="nil"/>
            </w:tcBorders>
          </w:tcPr>
          <w:p w:rsidR="00F26847" w:rsidRPr="00E07799" w:rsidRDefault="00F26847" w:rsidP="00BE4EED">
            <w:pPr>
              <w:keepNext/>
              <w:spacing w:before="40" w:after="40"/>
              <w:rPr>
                <w:b/>
                <w:color w:val="000000" w:themeColor="text1"/>
                <w:sz w:val="18"/>
              </w:rPr>
            </w:pPr>
          </w:p>
        </w:tc>
        <w:tc>
          <w:tcPr>
            <w:tcW w:w="1134"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Including landfill</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238.9</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244.6</w:t>
            </w:r>
          </w:p>
        </w:tc>
        <w:tc>
          <w:tcPr>
            <w:tcW w:w="919"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275.7</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290.8</w:t>
            </w:r>
          </w:p>
        </w:tc>
        <w:tc>
          <w:tcPr>
            <w:tcW w:w="919"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322.7</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326.3</w:t>
            </w:r>
          </w:p>
        </w:tc>
        <w:tc>
          <w:tcPr>
            <w:tcW w:w="919"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322.0</w:t>
            </w:r>
          </w:p>
        </w:tc>
      </w:tr>
      <w:tr w:rsidR="00F26847" w:rsidRPr="00E07799" w:rsidTr="00BE4EED">
        <w:tc>
          <w:tcPr>
            <w:tcW w:w="1101" w:type="dxa"/>
            <w:vMerge w:val="restart"/>
            <w:tcBorders>
              <w:top w:val="single" w:sz="4" w:space="0" w:color="auto"/>
              <w:left w:val="nil"/>
              <w:right w:val="nil"/>
            </w:tcBorders>
          </w:tcPr>
          <w:p w:rsidR="00F26847" w:rsidRPr="00E07799" w:rsidRDefault="00F26847" w:rsidP="00BE4EED">
            <w:pPr>
              <w:keepNext/>
              <w:spacing w:before="40" w:after="40"/>
              <w:rPr>
                <w:b/>
                <w:color w:val="000000" w:themeColor="text1"/>
                <w:sz w:val="18"/>
              </w:rPr>
            </w:pPr>
            <w:r>
              <w:rPr>
                <w:b/>
                <w:color w:val="000000" w:themeColor="text1"/>
                <w:sz w:val="18"/>
              </w:rPr>
              <w:t>Aggregate</w:t>
            </w:r>
            <w:r w:rsidRPr="00E07799">
              <w:rPr>
                <w:b/>
                <w:color w:val="000000" w:themeColor="text1"/>
                <w:sz w:val="18"/>
              </w:rPr>
              <w:t xml:space="preserve"> margin as a % of revenue</w:t>
            </w:r>
          </w:p>
        </w:tc>
        <w:tc>
          <w:tcPr>
            <w:tcW w:w="1134"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Excluding landfill</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46.8</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44.7</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48.3</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50.4</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52.9</w:t>
            </w:r>
          </w:p>
        </w:tc>
        <w:tc>
          <w:tcPr>
            <w:tcW w:w="918"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52.0</w:t>
            </w:r>
          </w:p>
        </w:tc>
        <w:tc>
          <w:tcPr>
            <w:tcW w:w="919" w:type="dxa"/>
            <w:tcBorders>
              <w:top w:val="single" w:sz="4" w:space="0" w:color="auto"/>
              <w:left w:val="nil"/>
              <w:bottom w:val="single" w:sz="4" w:space="0" w:color="auto"/>
              <w:right w:val="nil"/>
            </w:tcBorders>
          </w:tcPr>
          <w:p w:rsidR="00F26847" w:rsidRPr="00E07799" w:rsidRDefault="00F26847" w:rsidP="00BE4EED">
            <w:pPr>
              <w:keepNext/>
              <w:spacing w:before="40" w:after="40"/>
              <w:jc w:val="right"/>
              <w:rPr>
                <w:sz w:val="18"/>
              </w:rPr>
            </w:pPr>
            <w:r w:rsidRPr="00E07799">
              <w:rPr>
                <w:sz w:val="18"/>
              </w:rPr>
              <w:t>50.4</w:t>
            </w:r>
          </w:p>
        </w:tc>
      </w:tr>
      <w:tr w:rsidR="00F26847" w:rsidRPr="00E07799" w:rsidTr="00BE4EED">
        <w:tc>
          <w:tcPr>
            <w:tcW w:w="1101" w:type="dxa"/>
            <w:vMerge/>
            <w:tcBorders>
              <w:left w:val="nil"/>
              <w:right w:val="nil"/>
            </w:tcBorders>
          </w:tcPr>
          <w:p w:rsidR="00F26847" w:rsidRPr="00E07799" w:rsidRDefault="00F26847" w:rsidP="00BE4EED">
            <w:pPr>
              <w:keepNext/>
              <w:spacing w:before="40" w:after="40"/>
              <w:rPr>
                <w:b/>
                <w:color w:val="000000" w:themeColor="text1"/>
                <w:sz w:val="18"/>
              </w:rPr>
            </w:pPr>
          </w:p>
        </w:tc>
        <w:tc>
          <w:tcPr>
            <w:tcW w:w="1134"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Including landfill</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46.4</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44.3</w:t>
            </w:r>
          </w:p>
        </w:tc>
        <w:tc>
          <w:tcPr>
            <w:tcW w:w="919"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48.1</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50.1</w:t>
            </w:r>
          </w:p>
        </w:tc>
        <w:tc>
          <w:tcPr>
            <w:tcW w:w="919"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52.6</w:t>
            </w:r>
          </w:p>
        </w:tc>
        <w:tc>
          <w:tcPr>
            <w:tcW w:w="918"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51.7</w:t>
            </w:r>
          </w:p>
        </w:tc>
        <w:tc>
          <w:tcPr>
            <w:tcW w:w="919" w:type="dxa"/>
            <w:tcBorders>
              <w:top w:val="single" w:sz="4" w:space="0" w:color="auto"/>
              <w:left w:val="nil"/>
              <w:right w:val="nil"/>
            </w:tcBorders>
          </w:tcPr>
          <w:p w:rsidR="00F26847" w:rsidRPr="00E07799" w:rsidRDefault="00F26847" w:rsidP="00BE4EED">
            <w:pPr>
              <w:keepNext/>
              <w:spacing w:before="40" w:after="40"/>
              <w:jc w:val="right"/>
              <w:rPr>
                <w:sz w:val="18"/>
              </w:rPr>
            </w:pPr>
            <w:r w:rsidRPr="00E07799">
              <w:rPr>
                <w:sz w:val="18"/>
              </w:rPr>
              <w:t>50.1</w:t>
            </w:r>
          </w:p>
        </w:tc>
      </w:tr>
    </w:tbl>
    <w:p w:rsidR="00F26847" w:rsidRDefault="00F26847" w:rsidP="00F26847">
      <w:pPr>
        <w:keepNext/>
        <w:spacing w:before="120"/>
        <w:ind w:left="720" w:hanging="720"/>
        <w:contextualSpacing/>
        <w:rPr>
          <w:sz w:val="16"/>
          <w:szCs w:val="16"/>
        </w:rPr>
      </w:pPr>
    </w:p>
    <w:p w:rsidR="00F26847" w:rsidRPr="00E07799" w:rsidRDefault="00F26847" w:rsidP="00F26847">
      <w:pPr>
        <w:keepNext/>
        <w:spacing w:before="120"/>
        <w:ind w:left="720" w:hanging="720"/>
        <w:contextualSpacing/>
        <w:rPr>
          <w:sz w:val="16"/>
          <w:szCs w:val="16"/>
        </w:rPr>
      </w:pPr>
      <w:r w:rsidRPr="00E07799">
        <w:rPr>
          <w:sz w:val="16"/>
          <w:szCs w:val="16"/>
        </w:rPr>
        <w:t>Note:</w:t>
      </w:r>
      <w:r w:rsidRPr="00E07799">
        <w:rPr>
          <w:sz w:val="16"/>
          <w:szCs w:val="16"/>
        </w:rPr>
        <w:tab/>
        <w:t>Real values in 2014-15 dollars</w:t>
      </w:r>
    </w:p>
    <w:p w:rsidR="00F26847" w:rsidRDefault="00F26847" w:rsidP="00F26847">
      <w:pPr>
        <w:keepNext/>
        <w:spacing w:before="120" w:after="120"/>
      </w:pPr>
    </w:p>
    <w:p w:rsidR="00F26847" w:rsidRDefault="00F26847" w:rsidP="00F26847">
      <w:pPr>
        <w:keepNext/>
        <w:spacing w:before="120" w:after="120"/>
      </w:pPr>
      <w:r>
        <w:t xml:space="preserve">Excluding the value of landfill, the LIS </w:t>
      </w:r>
      <w:r w:rsidRPr="000A6655">
        <w:t xml:space="preserve">operating expenses for aeronautical services were </w:t>
      </w:r>
      <w:r>
        <w:t xml:space="preserve">0.5 per cent </w:t>
      </w:r>
      <w:r w:rsidRPr="000A6655">
        <w:t>lower than the non</w:t>
      </w:r>
      <w:r w:rsidRPr="000A6655">
        <w:noBreakHyphen/>
        <w:t xml:space="preserve">LIS expense </w:t>
      </w:r>
      <w:r>
        <w:t>aggregate</w:t>
      </w:r>
      <w:r w:rsidRPr="000A6655">
        <w:t xml:space="preserve">. </w:t>
      </w:r>
      <w:r>
        <w:t xml:space="preserve">With the inclusion of the </w:t>
      </w:r>
      <w:r w:rsidRPr="000A6655">
        <w:t>value of landfill in leasehold land</w:t>
      </w:r>
      <w:r>
        <w:t>, operating expenses were 0.1</w:t>
      </w:r>
      <w:r w:rsidRPr="000A6655">
        <w:t xml:space="preserve"> per cent </w:t>
      </w:r>
      <w:r>
        <w:t>higher</w:t>
      </w:r>
      <w:r w:rsidRPr="000A6655">
        <w:t xml:space="preserve"> than the non</w:t>
      </w:r>
      <w:r w:rsidRPr="000A6655">
        <w:noBreakHyphen/>
        <w:t>LIS expense figure.</w:t>
      </w:r>
      <w:r>
        <w:t xml:space="preserve"> </w:t>
      </w:r>
      <w:r w:rsidRPr="000A6655">
        <w:t xml:space="preserve"> </w:t>
      </w:r>
    </w:p>
    <w:p w:rsidR="00F26847" w:rsidRDefault="00F26847" w:rsidP="00F26847">
      <w:pPr>
        <w:pStyle w:val="Numberedheading3"/>
        <w:tabs>
          <w:tab w:val="clear" w:pos="1384"/>
          <w:tab w:val="num" w:pos="993"/>
        </w:tabs>
        <w:ind w:left="993" w:hanging="993"/>
      </w:pPr>
      <w:r>
        <w:t>Assets for aeronautical and total airport services</w:t>
      </w:r>
    </w:p>
    <w:p w:rsidR="00F26847" w:rsidRDefault="00F26847" w:rsidP="00F26847">
      <w:r>
        <w:t>Table 5.2.5 presents Sydney Airport’s tangible non-current assets for aeronautical services and the total airport from 2004-05 to 2014-15. Sydney Airport’s tangible non-current assets for aeronautical services and total airport services under the LIS approach are presented in Table 5.2.6.</w:t>
      </w:r>
    </w:p>
    <w:p w:rsidR="00F26847" w:rsidRDefault="00F26847" w:rsidP="00F26847">
      <w:proofErr w:type="gramStart"/>
      <w:r>
        <w:t>The value of aeronautical tangible non-current assets decreased by 3.2 per cent in real terms to $2.6 billion during 2014-15.</w:t>
      </w:r>
      <w:proofErr w:type="gramEnd"/>
      <w:r>
        <w:t xml:space="preserve"> The main </w:t>
      </w:r>
      <w:proofErr w:type="gramStart"/>
      <w:r>
        <w:t>drivers of this decrease in an aggregate sense was</w:t>
      </w:r>
      <w:proofErr w:type="gramEnd"/>
      <w:r>
        <w:t xml:space="preserve"> the asset categories land and property, plant and equipment which decreased by 2.8 and 3.0 per cent in real terms respectively.  Since 2004-05, the value of aeronautical tangible non-current assets has increased by 23.0 per cent in real terms. </w:t>
      </w:r>
    </w:p>
    <w:p w:rsidR="00F26847" w:rsidRPr="00F808E8" w:rsidRDefault="00F26847" w:rsidP="00F26847">
      <w:pPr>
        <w:keepNext/>
      </w:pPr>
      <w:r>
        <w:t>Tangible non-current assets for the total airport increased in value by 1.6 per cent in real terms to $14.0 billion in 2014 15. This increase was driven by rises in other tangible non-current assets and property, plant and equipment</w:t>
      </w:r>
      <w:proofErr w:type="gramStart"/>
      <w:r>
        <w:t>..</w:t>
      </w:r>
      <w:proofErr w:type="gramEnd"/>
    </w:p>
    <w:p w:rsidR="00F26847" w:rsidRDefault="00F26847" w:rsidP="00F26847">
      <w:pPr>
        <w:pStyle w:val="Numberedheading3"/>
        <w:tabs>
          <w:tab w:val="clear" w:pos="1384"/>
          <w:tab w:val="num" w:pos="993"/>
        </w:tabs>
        <w:ind w:left="993" w:hanging="993"/>
        <w:sectPr w:rsidR="00F26847" w:rsidSect="00BE4EED">
          <w:type w:val="continuous"/>
          <w:pgSz w:w="11906" w:h="16838"/>
          <w:pgMar w:top="1440" w:right="1729" w:bottom="1582" w:left="1729" w:header="709" w:footer="709" w:gutter="0"/>
          <w:cols w:space="708"/>
          <w:docGrid w:linePitch="360"/>
        </w:sectPr>
      </w:pPr>
    </w:p>
    <w:p w:rsidR="00F26847" w:rsidRDefault="00F26847" w:rsidP="00F26847">
      <w:pPr>
        <w:pStyle w:val="Numberedcharttitle"/>
      </w:pPr>
      <w:r>
        <w:lastRenderedPageBreak/>
        <w:t>Table 5.2.5:</w:t>
      </w:r>
      <w:r>
        <w:tab/>
        <w:t>Sydney Airport—non-current assets for aeronautical services and total airport services in real terms: 2004-05 to 2014-15</w:t>
      </w:r>
    </w:p>
    <w:tbl>
      <w:tblPr>
        <w:tblStyle w:val="TableGrid4"/>
        <w:tblW w:w="0" w:type="auto"/>
        <w:tblLayout w:type="fixed"/>
        <w:tblLook w:val="04A0" w:firstRow="1" w:lastRow="0" w:firstColumn="1" w:lastColumn="0" w:noHBand="0" w:noVBand="1"/>
      </w:tblPr>
      <w:tblGrid>
        <w:gridCol w:w="1951"/>
        <w:gridCol w:w="1560"/>
        <w:gridCol w:w="956"/>
        <w:gridCol w:w="956"/>
        <w:gridCol w:w="957"/>
        <w:gridCol w:w="956"/>
        <w:gridCol w:w="957"/>
        <w:gridCol w:w="956"/>
        <w:gridCol w:w="957"/>
        <w:gridCol w:w="956"/>
        <w:gridCol w:w="957"/>
        <w:gridCol w:w="956"/>
        <w:gridCol w:w="957"/>
      </w:tblGrid>
      <w:tr w:rsidR="00F26847" w:rsidRPr="007A6AED" w:rsidTr="00BE4EED">
        <w:tc>
          <w:tcPr>
            <w:tcW w:w="1951" w:type="dxa"/>
            <w:tcBorders>
              <w:left w:val="nil"/>
              <w:bottom w:val="single" w:sz="4" w:space="0" w:color="auto"/>
              <w:right w:val="nil"/>
            </w:tcBorders>
            <w:shd w:val="clear" w:color="auto" w:fill="DFE0DC"/>
          </w:tcPr>
          <w:p w:rsidR="00F26847" w:rsidRPr="007A6AED" w:rsidRDefault="00F26847" w:rsidP="00BE4EED">
            <w:pPr>
              <w:keepNext/>
              <w:spacing w:before="40" w:after="40"/>
              <w:rPr>
                <w:sz w:val="18"/>
              </w:rPr>
            </w:pPr>
          </w:p>
        </w:tc>
        <w:tc>
          <w:tcPr>
            <w:tcW w:w="1560" w:type="dxa"/>
            <w:tcBorders>
              <w:left w:val="nil"/>
              <w:bottom w:val="single" w:sz="4" w:space="0" w:color="auto"/>
              <w:right w:val="nil"/>
            </w:tcBorders>
            <w:shd w:val="clear" w:color="auto" w:fill="DFE0DC"/>
          </w:tcPr>
          <w:p w:rsidR="00F26847" w:rsidRPr="007A6AED" w:rsidRDefault="00F26847" w:rsidP="00BE4EED">
            <w:pPr>
              <w:keepNext/>
              <w:spacing w:before="40" w:after="40"/>
              <w:rPr>
                <w:sz w:val="18"/>
              </w:rPr>
            </w:pPr>
          </w:p>
        </w:tc>
        <w:tc>
          <w:tcPr>
            <w:tcW w:w="956"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2004-05</w:t>
            </w:r>
          </w:p>
        </w:tc>
        <w:tc>
          <w:tcPr>
            <w:tcW w:w="956"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2005-06</w:t>
            </w:r>
          </w:p>
        </w:tc>
        <w:tc>
          <w:tcPr>
            <w:tcW w:w="957"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2006-07</w:t>
            </w:r>
          </w:p>
        </w:tc>
        <w:tc>
          <w:tcPr>
            <w:tcW w:w="956"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2007-08</w:t>
            </w:r>
          </w:p>
        </w:tc>
        <w:tc>
          <w:tcPr>
            <w:tcW w:w="957"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2008-09</w:t>
            </w:r>
          </w:p>
        </w:tc>
        <w:tc>
          <w:tcPr>
            <w:tcW w:w="956"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2009-10</w:t>
            </w:r>
          </w:p>
        </w:tc>
        <w:tc>
          <w:tcPr>
            <w:tcW w:w="957"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2010-11</w:t>
            </w:r>
          </w:p>
        </w:tc>
        <w:tc>
          <w:tcPr>
            <w:tcW w:w="956"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2011-12</w:t>
            </w:r>
          </w:p>
        </w:tc>
        <w:tc>
          <w:tcPr>
            <w:tcW w:w="957"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2012-13</w:t>
            </w:r>
          </w:p>
        </w:tc>
        <w:tc>
          <w:tcPr>
            <w:tcW w:w="956"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2013-14</w:t>
            </w:r>
          </w:p>
        </w:tc>
        <w:tc>
          <w:tcPr>
            <w:tcW w:w="957" w:type="dxa"/>
            <w:tcBorders>
              <w:left w:val="nil"/>
              <w:bottom w:val="single" w:sz="4" w:space="0" w:color="auto"/>
              <w:right w:val="nil"/>
            </w:tcBorders>
            <w:shd w:val="clear" w:color="auto" w:fill="DFE0DC"/>
          </w:tcPr>
          <w:p w:rsidR="00F26847" w:rsidRPr="007A6AED" w:rsidRDefault="00F26847" w:rsidP="00BE4EED">
            <w:pPr>
              <w:keepNext/>
              <w:spacing w:before="40" w:after="40"/>
              <w:jc w:val="right"/>
              <w:rPr>
                <w:b/>
                <w:color w:val="000000" w:themeColor="text1"/>
                <w:sz w:val="18"/>
              </w:rPr>
            </w:pPr>
            <w:r w:rsidRPr="007A6AED">
              <w:rPr>
                <w:b/>
                <w:color w:val="000000" w:themeColor="text1"/>
                <w:sz w:val="18"/>
              </w:rPr>
              <w:t>2014-15</w:t>
            </w:r>
          </w:p>
        </w:tc>
      </w:tr>
      <w:tr w:rsidR="00F26847" w:rsidRPr="007A6AED" w:rsidTr="00BE4EED">
        <w:tc>
          <w:tcPr>
            <w:tcW w:w="1951" w:type="dxa"/>
            <w:vMerge w:val="restart"/>
            <w:tcBorders>
              <w:left w:val="nil"/>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Investment property</w:t>
            </w:r>
            <w:r w:rsidRPr="007A6AED">
              <w:rPr>
                <w:b/>
                <w:color w:val="000000" w:themeColor="text1"/>
                <w:sz w:val="18"/>
              </w:rPr>
              <w:br/>
              <w:t>($million)</w:t>
            </w:r>
          </w:p>
        </w:tc>
        <w:tc>
          <w:tcPr>
            <w:tcW w:w="1560" w:type="dxa"/>
            <w:tcBorders>
              <w:left w:val="nil"/>
              <w:bottom w:val="nil"/>
              <w:right w:val="nil"/>
            </w:tcBorders>
          </w:tcPr>
          <w:p w:rsidR="00F26847" w:rsidRPr="007A6AED" w:rsidRDefault="00F26847" w:rsidP="00BE4EED">
            <w:pPr>
              <w:keepNext/>
              <w:spacing w:before="40" w:after="40"/>
              <w:rPr>
                <w:sz w:val="18"/>
              </w:rPr>
            </w:pPr>
            <w:r w:rsidRPr="007A6AED">
              <w:rPr>
                <w:sz w:val="18"/>
              </w:rPr>
              <w:t>Aeronautical</w:t>
            </w:r>
          </w:p>
        </w:tc>
        <w:tc>
          <w:tcPr>
            <w:tcW w:w="956"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jc w:val="right"/>
              <w:rPr>
                <w:sz w:val="18"/>
              </w:rPr>
            </w:pPr>
            <w:r w:rsidRPr="007A6AED">
              <w:rPr>
                <w:sz w:val="18"/>
              </w:rPr>
              <w:t>0.0</w:t>
            </w:r>
          </w:p>
        </w:tc>
      </w:tr>
      <w:tr w:rsidR="00F26847" w:rsidRPr="007A6AED" w:rsidTr="00BE4EED">
        <w:tc>
          <w:tcPr>
            <w:tcW w:w="1951" w:type="dxa"/>
            <w:vMerge/>
            <w:tcBorders>
              <w:left w:val="nil"/>
              <w:right w:val="nil"/>
            </w:tcBorders>
          </w:tcPr>
          <w:p w:rsidR="00F26847" w:rsidRPr="007A6AED" w:rsidRDefault="00F26847" w:rsidP="00BE4EED">
            <w:pPr>
              <w:keepNext/>
              <w:spacing w:before="40" w:after="40"/>
              <w:rPr>
                <w:b/>
                <w:color w:val="000000" w:themeColor="text1"/>
                <w:sz w:val="18"/>
              </w:rPr>
            </w:pPr>
          </w:p>
        </w:tc>
        <w:tc>
          <w:tcPr>
            <w:tcW w:w="1560" w:type="dxa"/>
            <w:tcBorders>
              <w:top w:val="nil"/>
              <w:left w:val="nil"/>
              <w:bottom w:val="single" w:sz="4" w:space="0" w:color="auto"/>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Total airport</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855.6</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1259.4</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3 045.1</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4 909.4</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5 435.4</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0.0</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0.0</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0.0</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0.0</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0.0</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0.0</w:t>
            </w:r>
          </w:p>
        </w:tc>
      </w:tr>
      <w:tr w:rsidR="00F26847" w:rsidRPr="007A6AED" w:rsidTr="00BE4EED">
        <w:tc>
          <w:tcPr>
            <w:tcW w:w="1951" w:type="dxa"/>
            <w:vMerge w:val="restart"/>
            <w:tcBorders>
              <w:left w:val="nil"/>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 xml:space="preserve">Land </w:t>
            </w:r>
            <w:r w:rsidRPr="007A6AED">
              <w:rPr>
                <w:b/>
                <w:color w:val="000000" w:themeColor="text1"/>
                <w:sz w:val="18"/>
              </w:rPr>
              <w:br/>
              <w:t>($million)</w:t>
            </w:r>
          </w:p>
        </w:tc>
        <w:tc>
          <w:tcPr>
            <w:tcW w:w="1560" w:type="dxa"/>
            <w:tcBorders>
              <w:left w:val="nil"/>
              <w:bottom w:val="nil"/>
              <w:right w:val="nil"/>
            </w:tcBorders>
          </w:tcPr>
          <w:p w:rsidR="00F26847" w:rsidRPr="007A6AED" w:rsidRDefault="00F26847" w:rsidP="00BE4EED">
            <w:pPr>
              <w:keepNext/>
              <w:spacing w:before="40" w:after="40"/>
              <w:rPr>
                <w:sz w:val="18"/>
              </w:rPr>
            </w:pPr>
            <w:r w:rsidRPr="007A6AED">
              <w:rPr>
                <w:sz w:val="18"/>
              </w:rPr>
              <w:t>Aeronautical</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556.0</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957.2</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948.7</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907.6</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870.8</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842.0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807.6</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780.8</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754.9</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819.3</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796.0</w:t>
            </w:r>
          </w:p>
        </w:tc>
      </w:tr>
      <w:tr w:rsidR="00F26847" w:rsidRPr="007A6AED" w:rsidTr="00BE4EED">
        <w:tc>
          <w:tcPr>
            <w:tcW w:w="1951" w:type="dxa"/>
            <w:vMerge/>
            <w:tcBorders>
              <w:left w:val="nil"/>
              <w:right w:val="nil"/>
            </w:tcBorders>
          </w:tcPr>
          <w:p w:rsidR="00F26847" w:rsidRPr="007A6AED" w:rsidRDefault="00F26847" w:rsidP="00BE4EED">
            <w:pPr>
              <w:keepNext/>
              <w:spacing w:before="40" w:after="40"/>
              <w:rPr>
                <w:b/>
                <w:color w:val="000000" w:themeColor="text1"/>
                <w:sz w:val="18"/>
              </w:rPr>
            </w:pPr>
          </w:p>
        </w:tc>
        <w:tc>
          <w:tcPr>
            <w:tcW w:w="1560" w:type="dxa"/>
            <w:tcBorders>
              <w:top w:val="nil"/>
              <w:left w:val="nil"/>
              <w:bottom w:val="single" w:sz="4" w:space="0" w:color="auto"/>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Total airport</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2 094.3</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1 377.3</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1 365.8</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1 307.0</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1 253.4</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1 210.0</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1 160.0</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1 120.7</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1 082.9</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1 041.7</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1 011.8</w:t>
            </w:r>
          </w:p>
        </w:tc>
      </w:tr>
      <w:tr w:rsidR="00F26847" w:rsidRPr="007A6AED" w:rsidTr="00BE4EED">
        <w:tc>
          <w:tcPr>
            <w:tcW w:w="1951" w:type="dxa"/>
            <w:vMerge w:val="restart"/>
            <w:tcBorders>
              <w:left w:val="nil"/>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Property, plant and equipment</w:t>
            </w:r>
            <w:r w:rsidRPr="007A6AED">
              <w:rPr>
                <w:b/>
                <w:color w:val="000000" w:themeColor="text1"/>
                <w:sz w:val="18"/>
              </w:rPr>
              <w:br/>
              <w:t>($million)</w:t>
            </w:r>
          </w:p>
        </w:tc>
        <w:tc>
          <w:tcPr>
            <w:tcW w:w="1560" w:type="dxa"/>
            <w:tcBorders>
              <w:left w:val="nil"/>
              <w:bottom w:val="nil"/>
              <w:right w:val="nil"/>
            </w:tcBorders>
          </w:tcPr>
          <w:p w:rsidR="00F26847" w:rsidRPr="007A6AED" w:rsidRDefault="00F26847" w:rsidP="00BE4EED">
            <w:pPr>
              <w:keepNext/>
              <w:spacing w:before="40" w:after="40"/>
              <w:rPr>
                <w:sz w:val="18"/>
              </w:rPr>
            </w:pPr>
            <w:r w:rsidRPr="007A6AED">
              <w:rPr>
                <w:sz w:val="18"/>
              </w:rPr>
              <w:t>Aeronautical</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1 517.7</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1 828.6</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1 853.7</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1 824.0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2 032.4</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2 085.2</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1 944.1</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1 863.6</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1 824.9</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1 780.9</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1 727.0</w:t>
            </w:r>
          </w:p>
        </w:tc>
      </w:tr>
      <w:tr w:rsidR="00F26847" w:rsidRPr="007A6AED" w:rsidTr="00BE4EED">
        <w:tc>
          <w:tcPr>
            <w:tcW w:w="1951" w:type="dxa"/>
            <w:vMerge/>
            <w:tcBorders>
              <w:left w:val="nil"/>
              <w:right w:val="nil"/>
            </w:tcBorders>
          </w:tcPr>
          <w:p w:rsidR="00F26847" w:rsidRPr="007A6AED" w:rsidRDefault="00F26847" w:rsidP="00BE4EED">
            <w:pPr>
              <w:keepNext/>
              <w:spacing w:before="40" w:after="40"/>
              <w:rPr>
                <w:b/>
                <w:color w:val="000000" w:themeColor="text1"/>
                <w:sz w:val="18"/>
              </w:rPr>
            </w:pPr>
          </w:p>
        </w:tc>
        <w:tc>
          <w:tcPr>
            <w:tcW w:w="1560" w:type="dxa"/>
            <w:tcBorders>
              <w:top w:val="nil"/>
              <w:left w:val="nil"/>
              <w:bottom w:val="single" w:sz="4" w:space="0" w:color="auto"/>
              <w:right w:val="nil"/>
            </w:tcBorders>
            <w:vAlign w:val="center"/>
          </w:tcPr>
          <w:p w:rsidR="00F26847" w:rsidRPr="007A6AED" w:rsidRDefault="00F26847" w:rsidP="00BE4EED">
            <w:pPr>
              <w:keepNext/>
              <w:spacing w:before="40" w:after="40"/>
              <w:rPr>
                <w:b/>
                <w:color w:val="000000" w:themeColor="text1"/>
                <w:sz w:val="18"/>
              </w:rPr>
            </w:pPr>
            <w:r w:rsidRPr="007A6AED">
              <w:rPr>
                <w:b/>
                <w:color w:val="000000" w:themeColor="text1"/>
                <w:sz w:val="18"/>
              </w:rPr>
              <w:t>Total airport</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2 023.2</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2 578.4</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2 514.6</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2 572.7</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2 765.1</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2 752.5</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2 625.9</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2 604.4</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2 561.0</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2 548.2</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2 577.3</w:t>
            </w:r>
          </w:p>
        </w:tc>
      </w:tr>
      <w:tr w:rsidR="00F26847" w:rsidRPr="007A6AED" w:rsidTr="00BE4EED">
        <w:tc>
          <w:tcPr>
            <w:tcW w:w="1951" w:type="dxa"/>
            <w:vMerge w:val="restart"/>
            <w:tcBorders>
              <w:left w:val="nil"/>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Intangibles</w:t>
            </w:r>
            <w:r w:rsidRPr="007A6AED">
              <w:rPr>
                <w:b/>
                <w:color w:val="000000" w:themeColor="text1"/>
                <w:sz w:val="18"/>
              </w:rPr>
              <w:br/>
              <w:t>($million)</w:t>
            </w:r>
          </w:p>
        </w:tc>
        <w:tc>
          <w:tcPr>
            <w:tcW w:w="1560" w:type="dxa"/>
            <w:tcBorders>
              <w:left w:val="nil"/>
              <w:bottom w:val="nil"/>
              <w:right w:val="nil"/>
            </w:tcBorders>
          </w:tcPr>
          <w:p w:rsidR="00F26847" w:rsidRPr="007A6AED" w:rsidRDefault="00F26847" w:rsidP="00BE4EED">
            <w:pPr>
              <w:keepNext/>
              <w:spacing w:before="40" w:after="40"/>
              <w:rPr>
                <w:sz w:val="18"/>
              </w:rPr>
            </w:pPr>
            <w:r w:rsidRPr="007A6AED">
              <w:rPr>
                <w:sz w:val="18"/>
              </w:rPr>
              <w:t>Aeronautical</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r>
      <w:tr w:rsidR="00F26847" w:rsidRPr="007A6AED" w:rsidTr="00BE4EED">
        <w:tc>
          <w:tcPr>
            <w:tcW w:w="1951" w:type="dxa"/>
            <w:vMerge/>
            <w:tcBorders>
              <w:left w:val="nil"/>
              <w:right w:val="nil"/>
            </w:tcBorders>
          </w:tcPr>
          <w:p w:rsidR="00F26847" w:rsidRPr="007A6AED" w:rsidRDefault="00F26847" w:rsidP="00BE4EED">
            <w:pPr>
              <w:keepNext/>
              <w:spacing w:before="40" w:after="40"/>
              <w:rPr>
                <w:b/>
                <w:color w:val="000000" w:themeColor="text1"/>
                <w:sz w:val="18"/>
              </w:rPr>
            </w:pPr>
          </w:p>
        </w:tc>
        <w:tc>
          <w:tcPr>
            <w:tcW w:w="1560" w:type="dxa"/>
            <w:tcBorders>
              <w:top w:val="nil"/>
              <w:left w:val="nil"/>
              <w:bottom w:val="single" w:sz="4" w:space="0" w:color="auto"/>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Total airport</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0.0</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1 820.0</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1 748.2</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1 672.5</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1 603.7</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1 549.5</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1 485.5</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1 435.1</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1 386.7</w:t>
            </w:r>
          </w:p>
        </w:tc>
        <w:tc>
          <w:tcPr>
            <w:tcW w:w="956"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1 334.0</w:t>
            </w:r>
          </w:p>
        </w:tc>
        <w:tc>
          <w:tcPr>
            <w:tcW w:w="957" w:type="dxa"/>
            <w:tcBorders>
              <w:top w:val="nil"/>
              <w:left w:val="nil"/>
              <w:bottom w:val="sing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1 295.7</w:t>
            </w:r>
          </w:p>
        </w:tc>
      </w:tr>
      <w:tr w:rsidR="00F26847" w:rsidRPr="007A6AED" w:rsidTr="00BE4EED">
        <w:tc>
          <w:tcPr>
            <w:tcW w:w="1951" w:type="dxa"/>
            <w:vMerge w:val="restart"/>
            <w:tcBorders>
              <w:left w:val="nil"/>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Other tangible non</w:t>
            </w:r>
            <w:r w:rsidRPr="007A6AED">
              <w:rPr>
                <w:b/>
                <w:color w:val="000000" w:themeColor="text1"/>
                <w:sz w:val="18"/>
              </w:rPr>
              <w:noBreakHyphen/>
              <w:t>current assets</w:t>
            </w:r>
            <w:r w:rsidRPr="007A6AED">
              <w:rPr>
                <w:b/>
                <w:color w:val="000000" w:themeColor="text1"/>
                <w:sz w:val="18"/>
              </w:rPr>
              <w:br/>
              <w:t>($million)</w:t>
            </w:r>
          </w:p>
        </w:tc>
        <w:tc>
          <w:tcPr>
            <w:tcW w:w="1560" w:type="dxa"/>
            <w:tcBorders>
              <w:left w:val="nil"/>
              <w:bottom w:val="nil"/>
              <w:right w:val="nil"/>
            </w:tcBorders>
          </w:tcPr>
          <w:p w:rsidR="00F26847" w:rsidRPr="007A6AED" w:rsidRDefault="00F26847" w:rsidP="00BE4EED">
            <w:pPr>
              <w:keepNext/>
              <w:spacing w:before="40" w:after="40"/>
              <w:rPr>
                <w:sz w:val="18"/>
              </w:rPr>
            </w:pPr>
            <w:r w:rsidRPr="007A6AED">
              <w:rPr>
                <w:sz w:val="18"/>
              </w:rPr>
              <w:t>Aeronautical</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0.0</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27.1</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32.6</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40.4</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41.6</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49.5</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47.1</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40.0</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35.8</w:t>
            </w:r>
          </w:p>
        </w:tc>
        <w:tc>
          <w:tcPr>
            <w:tcW w:w="956"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34.4</w:t>
            </w:r>
          </w:p>
        </w:tc>
        <w:tc>
          <w:tcPr>
            <w:tcW w:w="957" w:type="dxa"/>
            <w:tcBorders>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28.2</w:t>
            </w:r>
          </w:p>
        </w:tc>
      </w:tr>
      <w:tr w:rsidR="00F26847" w:rsidRPr="007A6AED" w:rsidTr="00BE4EED">
        <w:tc>
          <w:tcPr>
            <w:tcW w:w="1951" w:type="dxa"/>
            <w:vMerge/>
            <w:tcBorders>
              <w:left w:val="nil"/>
              <w:bottom w:val="double" w:sz="4" w:space="0" w:color="auto"/>
              <w:right w:val="nil"/>
            </w:tcBorders>
          </w:tcPr>
          <w:p w:rsidR="00F26847" w:rsidRPr="007A6AED" w:rsidRDefault="00F26847" w:rsidP="00BE4EED">
            <w:pPr>
              <w:keepNext/>
              <w:spacing w:before="40" w:after="40"/>
              <w:rPr>
                <w:b/>
                <w:color w:val="000000" w:themeColor="text1"/>
                <w:sz w:val="18"/>
              </w:rPr>
            </w:pPr>
          </w:p>
        </w:tc>
        <w:tc>
          <w:tcPr>
            <w:tcW w:w="1560" w:type="dxa"/>
            <w:tcBorders>
              <w:top w:val="nil"/>
              <w:left w:val="nil"/>
              <w:bottom w:val="double" w:sz="4" w:space="0" w:color="auto"/>
              <w:right w:val="nil"/>
            </w:tcBorders>
            <w:vAlign w:val="center"/>
          </w:tcPr>
          <w:p w:rsidR="00F26847" w:rsidRPr="007A6AED" w:rsidRDefault="00F26847" w:rsidP="00BE4EED">
            <w:pPr>
              <w:keepNext/>
              <w:spacing w:before="40" w:after="40"/>
              <w:rPr>
                <w:b/>
                <w:color w:val="000000" w:themeColor="text1"/>
                <w:sz w:val="18"/>
              </w:rPr>
            </w:pPr>
            <w:r w:rsidRPr="007A6AED">
              <w:rPr>
                <w:b/>
                <w:color w:val="000000" w:themeColor="text1"/>
                <w:sz w:val="18"/>
              </w:rPr>
              <w:t>Total airport</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1 027.7</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824.5</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2 438.3</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4 040.3</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4 366.5</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4 254.0</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5 175.7</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5 934.4</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6 604.3</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10 204.1</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10 426.2</w:t>
            </w:r>
          </w:p>
        </w:tc>
      </w:tr>
      <w:tr w:rsidR="00F26847" w:rsidRPr="007A6AED" w:rsidTr="00BE4EED">
        <w:tc>
          <w:tcPr>
            <w:tcW w:w="1951" w:type="dxa"/>
            <w:vMerge w:val="restart"/>
            <w:tcBorders>
              <w:top w:val="double" w:sz="4" w:space="0" w:color="auto"/>
              <w:left w:val="nil"/>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Total tangible non</w:t>
            </w:r>
            <w:r w:rsidRPr="007A6AED">
              <w:rPr>
                <w:b/>
                <w:color w:val="000000" w:themeColor="text1"/>
                <w:sz w:val="18"/>
              </w:rPr>
              <w:noBreakHyphen/>
              <w:t>current assets</w:t>
            </w:r>
            <w:r w:rsidRPr="007A6AED">
              <w:rPr>
                <w:b/>
                <w:color w:val="000000" w:themeColor="text1"/>
                <w:sz w:val="18"/>
              </w:rPr>
              <w:br/>
              <w:t>($million)</w:t>
            </w:r>
          </w:p>
        </w:tc>
        <w:tc>
          <w:tcPr>
            <w:tcW w:w="1560" w:type="dxa"/>
            <w:tcBorders>
              <w:top w:val="double" w:sz="4" w:space="0" w:color="auto"/>
              <w:left w:val="nil"/>
              <w:bottom w:val="nil"/>
              <w:right w:val="nil"/>
            </w:tcBorders>
          </w:tcPr>
          <w:p w:rsidR="00F26847" w:rsidRPr="007A6AED" w:rsidRDefault="00F26847" w:rsidP="00BE4EED">
            <w:pPr>
              <w:keepNext/>
              <w:spacing w:before="40" w:after="40"/>
              <w:rPr>
                <w:sz w:val="18"/>
              </w:rPr>
            </w:pPr>
            <w:r w:rsidRPr="007A6AED">
              <w:rPr>
                <w:sz w:val="18"/>
              </w:rPr>
              <w:t>Aeronautical</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2 073.7</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2 813.0</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2 835.1</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2 771.9</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2 944.8</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2 976.8</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2 798.9</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2 684.4</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2 615.5</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2 634.6</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2 551.2</w:t>
            </w:r>
          </w:p>
        </w:tc>
      </w:tr>
      <w:tr w:rsidR="00F26847" w:rsidRPr="007A6AED" w:rsidTr="00BE4EED">
        <w:tc>
          <w:tcPr>
            <w:tcW w:w="1951" w:type="dxa"/>
            <w:vMerge/>
            <w:tcBorders>
              <w:left w:val="nil"/>
              <w:bottom w:val="double" w:sz="4" w:space="0" w:color="auto"/>
              <w:right w:val="nil"/>
            </w:tcBorders>
          </w:tcPr>
          <w:p w:rsidR="00F26847" w:rsidRPr="007A6AED" w:rsidRDefault="00F26847" w:rsidP="00BE4EED">
            <w:pPr>
              <w:keepNext/>
              <w:spacing w:before="40" w:after="40"/>
              <w:rPr>
                <w:b/>
                <w:color w:val="000000" w:themeColor="text1"/>
                <w:sz w:val="18"/>
              </w:rPr>
            </w:pPr>
          </w:p>
        </w:tc>
        <w:tc>
          <w:tcPr>
            <w:tcW w:w="1560" w:type="dxa"/>
            <w:tcBorders>
              <w:top w:val="nil"/>
              <w:left w:val="nil"/>
              <w:bottom w:val="double" w:sz="4" w:space="0" w:color="auto"/>
              <w:right w:val="nil"/>
            </w:tcBorders>
            <w:vAlign w:val="center"/>
          </w:tcPr>
          <w:p w:rsidR="00F26847" w:rsidRPr="007A6AED" w:rsidRDefault="00F26847" w:rsidP="00BE4EED">
            <w:pPr>
              <w:keepNext/>
              <w:spacing w:before="40" w:after="40"/>
              <w:rPr>
                <w:b/>
                <w:color w:val="000000" w:themeColor="text1"/>
                <w:sz w:val="18"/>
              </w:rPr>
            </w:pPr>
            <w:r w:rsidRPr="007A6AED">
              <w:rPr>
                <w:b/>
                <w:color w:val="000000" w:themeColor="text1"/>
                <w:sz w:val="18"/>
              </w:rPr>
              <w:t>Total airport</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6 000.9</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6 039.6</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9 363.8</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12 829.4</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13 820.4</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8 216.4</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8 961.5</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9 659.6</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10 248.2</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13 794.0</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14 015.3</w:t>
            </w:r>
          </w:p>
        </w:tc>
      </w:tr>
      <w:tr w:rsidR="00F26847" w:rsidRPr="007A6AED" w:rsidTr="00BE4EED">
        <w:tc>
          <w:tcPr>
            <w:tcW w:w="1951" w:type="dxa"/>
            <w:vMerge w:val="restart"/>
            <w:tcBorders>
              <w:top w:val="double" w:sz="4" w:space="0" w:color="auto"/>
              <w:left w:val="nil"/>
              <w:right w:val="nil"/>
            </w:tcBorders>
          </w:tcPr>
          <w:p w:rsidR="00F26847" w:rsidRPr="007A6AED" w:rsidRDefault="00F26847" w:rsidP="00BE4EED">
            <w:pPr>
              <w:keepNext/>
              <w:spacing w:before="40" w:after="40"/>
              <w:rPr>
                <w:b/>
                <w:color w:val="000000" w:themeColor="text1"/>
                <w:sz w:val="18"/>
              </w:rPr>
            </w:pPr>
            <w:r w:rsidRPr="007A6AED">
              <w:rPr>
                <w:b/>
                <w:color w:val="000000" w:themeColor="text1"/>
                <w:sz w:val="18"/>
              </w:rPr>
              <w:t>Total non</w:t>
            </w:r>
            <w:r w:rsidRPr="007A6AED">
              <w:rPr>
                <w:b/>
                <w:color w:val="000000" w:themeColor="text1"/>
                <w:sz w:val="18"/>
              </w:rPr>
              <w:noBreakHyphen/>
              <w:t>current assets</w:t>
            </w:r>
            <w:r w:rsidRPr="007A6AED">
              <w:rPr>
                <w:b/>
                <w:color w:val="000000" w:themeColor="text1"/>
                <w:sz w:val="18"/>
              </w:rPr>
              <w:br/>
              <w:t>($million)</w:t>
            </w:r>
          </w:p>
        </w:tc>
        <w:tc>
          <w:tcPr>
            <w:tcW w:w="1560" w:type="dxa"/>
            <w:tcBorders>
              <w:top w:val="double" w:sz="4" w:space="0" w:color="auto"/>
              <w:left w:val="nil"/>
              <w:bottom w:val="nil"/>
              <w:right w:val="nil"/>
            </w:tcBorders>
          </w:tcPr>
          <w:p w:rsidR="00F26847" w:rsidRPr="007A6AED" w:rsidRDefault="00F26847" w:rsidP="00BE4EED">
            <w:pPr>
              <w:keepNext/>
              <w:spacing w:before="40" w:after="40"/>
              <w:rPr>
                <w:sz w:val="18"/>
              </w:rPr>
            </w:pPr>
            <w:r w:rsidRPr="007A6AED">
              <w:rPr>
                <w:sz w:val="18"/>
              </w:rPr>
              <w:t>Aeronautical</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2 073.7</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2 813.0</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2 835.1</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2 771.9</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2 944.8</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2 976.8</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2 798.9</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2 684.4</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2 615.5</w:t>
            </w:r>
          </w:p>
        </w:tc>
        <w:tc>
          <w:tcPr>
            <w:tcW w:w="956"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2 634.6</w:t>
            </w:r>
          </w:p>
        </w:tc>
        <w:tc>
          <w:tcPr>
            <w:tcW w:w="957" w:type="dxa"/>
            <w:tcBorders>
              <w:top w:val="double" w:sz="4" w:space="0" w:color="auto"/>
              <w:left w:val="nil"/>
              <w:bottom w:val="nil"/>
              <w:right w:val="nil"/>
            </w:tcBorders>
            <w:vAlign w:val="center"/>
          </w:tcPr>
          <w:p w:rsidR="00F26847" w:rsidRPr="007A6AED" w:rsidRDefault="00F26847" w:rsidP="00BE4EED">
            <w:pPr>
              <w:keepNext/>
              <w:spacing w:before="40" w:after="40"/>
              <w:jc w:val="right"/>
              <w:rPr>
                <w:sz w:val="18"/>
              </w:rPr>
            </w:pPr>
            <w:r w:rsidRPr="007A6AED">
              <w:rPr>
                <w:sz w:val="18"/>
              </w:rPr>
              <w:t>2 551.2</w:t>
            </w:r>
          </w:p>
        </w:tc>
      </w:tr>
      <w:tr w:rsidR="00F26847" w:rsidRPr="007A6AED" w:rsidTr="00BE4EED">
        <w:tc>
          <w:tcPr>
            <w:tcW w:w="1951" w:type="dxa"/>
            <w:vMerge/>
            <w:tcBorders>
              <w:left w:val="nil"/>
              <w:bottom w:val="double" w:sz="4" w:space="0" w:color="auto"/>
              <w:right w:val="nil"/>
            </w:tcBorders>
          </w:tcPr>
          <w:p w:rsidR="00F26847" w:rsidRPr="007A6AED" w:rsidRDefault="00F26847" w:rsidP="00BE4EED">
            <w:pPr>
              <w:keepNext/>
              <w:spacing w:before="40" w:after="40"/>
              <w:rPr>
                <w:b/>
                <w:color w:val="000000" w:themeColor="text1"/>
                <w:sz w:val="18"/>
              </w:rPr>
            </w:pPr>
          </w:p>
        </w:tc>
        <w:tc>
          <w:tcPr>
            <w:tcW w:w="1560" w:type="dxa"/>
            <w:tcBorders>
              <w:top w:val="nil"/>
              <w:left w:val="nil"/>
              <w:bottom w:val="double" w:sz="4" w:space="0" w:color="auto"/>
              <w:right w:val="nil"/>
            </w:tcBorders>
            <w:vAlign w:val="center"/>
          </w:tcPr>
          <w:p w:rsidR="00F26847" w:rsidRPr="007A6AED" w:rsidRDefault="00F26847" w:rsidP="00BE4EED">
            <w:pPr>
              <w:keepNext/>
              <w:spacing w:before="40" w:after="40"/>
              <w:rPr>
                <w:b/>
                <w:color w:val="000000" w:themeColor="text1"/>
                <w:sz w:val="18"/>
              </w:rPr>
            </w:pPr>
            <w:r w:rsidRPr="007A6AED">
              <w:rPr>
                <w:b/>
                <w:color w:val="000000" w:themeColor="text1"/>
                <w:sz w:val="18"/>
              </w:rPr>
              <w:t>Total airport</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6 000.9</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7 859.6</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11 112.0</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14 501.9</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15 424.1</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9 765.9</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10 447.0</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11 094.7</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11 635.0</w:t>
            </w:r>
          </w:p>
        </w:tc>
        <w:tc>
          <w:tcPr>
            <w:tcW w:w="956"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1 5128.0</w:t>
            </w:r>
          </w:p>
        </w:tc>
        <w:tc>
          <w:tcPr>
            <w:tcW w:w="957" w:type="dxa"/>
            <w:tcBorders>
              <w:top w:val="nil"/>
              <w:left w:val="nil"/>
              <w:bottom w:val="double" w:sz="4" w:space="0" w:color="auto"/>
              <w:right w:val="nil"/>
            </w:tcBorders>
            <w:vAlign w:val="center"/>
          </w:tcPr>
          <w:p w:rsidR="00F26847" w:rsidRPr="007A6AED" w:rsidRDefault="00F26847" w:rsidP="00BE4EED">
            <w:pPr>
              <w:keepNext/>
              <w:spacing w:before="40" w:after="40"/>
              <w:jc w:val="right"/>
              <w:rPr>
                <w:b/>
                <w:sz w:val="18"/>
              </w:rPr>
            </w:pPr>
            <w:r w:rsidRPr="007A6AED">
              <w:rPr>
                <w:b/>
                <w:sz w:val="18"/>
              </w:rPr>
              <w:t>1 5311.0</w:t>
            </w:r>
          </w:p>
        </w:tc>
      </w:tr>
    </w:tbl>
    <w:p w:rsidR="00F26847" w:rsidRDefault="00F26847" w:rsidP="00F26847">
      <w:pPr>
        <w:pStyle w:val="Sourceandnotes"/>
      </w:pPr>
      <w:r w:rsidRPr="007A6AED">
        <w:t>Note:</w:t>
      </w:r>
      <w:r w:rsidRPr="007A6AED">
        <w:tab/>
        <w:t>Real values in 2014</w:t>
      </w:r>
      <w:r w:rsidRPr="007A6AED">
        <w:noBreakHyphen/>
        <w:t>15 dollars</w:t>
      </w: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sectPr w:rsidR="00F26847" w:rsidSect="00BE4EED">
          <w:headerReference w:type="even" r:id="rId155"/>
          <w:headerReference w:type="default" r:id="rId156"/>
          <w:footnotePr>
            <w:numStart w:val="93"/>
          </w:footnotePr>
          <w:pgSz w:w="16838" w:h="11906" w:orient="landscape"/>
          <w:pgMar w:top="1729" w:right="1440" w:bottom="1729" w:left="1582" w:header="709" w:footer="709" w:gutter="0"/>
          <w:cols w:space="708"/>
          <w:docGrid w:linePitch="360"/>
        </w:sectPr>
      </w:pPr>
    </w:p>
    <w:p w:rsidR="00F26847" w:rsidRPr="00CE755D" w:rsidRDefault="00F26847" w:rsidP="00F26847">
      <w:pPr>
        <w:keepNext/>
        <w:spacing w:before="120" w:after="120"/>
        <w:rPr>
          <w:b/>
          <w:i/>
          <w:sz w:val="22"/>
        </w:rPr>
      </w:pPr>
      <w:r w:rsidRPr="00CE755D">
        <w:rPr>
          <w:b/>
          <w:i/>
          <w:sz w:val="22"/>
        </w:rPr>
        <w:lastRenderedPageBreak/>
        <w:t>Line in the sand asset values</w:t>
      </w:r>
    </w:p>
    <w:p w:rsidR="00F26847" w:rsidRDefault="00F26847" w:rsidP="00F26847">
      <w:pPr>
        <w:keepNext/>
      </w:pPr>
      <w:r w:rsidRPr="00CE755D">
        <w:t>Table 5.2.6 presents Sydney Airport’s non-current assets for aeronautical services under the line in the sand (LIS) approach. Under the LIS methodology and excluding the value of landfill in leasehold land, the value of aeronautical tangible non-current assets was $2.7 billion in 2014-15. This amount is 4.5 per cent higher than the non- LIS value (shown in table 5.2.5). The value of land was 46.9 per cent higher under the LIS methodology whereas the value of property, plant and equipment was 15.0 per cent lower.</w:t>
      </w:r>
    </w:p>
    <w:p w:rsidR="00F26847" w:rsidRPr="00CE755D" w:rsidRDefault="00F26847" w:rsidP="00F26847">
      <w:pPr>
        <w:keepNext/>
        <w:spacing w:before="240" w:after="200" w:line="276" w:lineRule="auto"/>
        <w:ind w:left="1440" w:hanging="1440"/>
        <w:outlineLvl w:val="3"/>
        <w:rPr>
          <w:b/>
          <w:color w:val="51626F"/>
        </w:rPr>
      </w:pPr>
      <w:r w:rsidRPr="00CE755D">
        <w:rPr>
          <w:b/>
          <w:color w:val="51626F"/>
        </w:rPr>
        <w:t>Table 5.2.6:</w:t>
      </w:r>
      <w:r w:rsidRPr="00CE755D">
        <w:rPr>
          <w:b/>
          <w:color w:val="51626F"/>
        </w:rPr>
        <w:tab/>
        <w:t>Sydney Airport—non-current assets for aeronautical services under the LIS approach, both excluding and including the value of landfill in leasehold land in real terms: 2008-09 to 2014-15</w:t>
      </w:r>
    </w:p>
    <w:tbl>
      <w:tblPr>
        <w:tblStyle w:val="TableGrid5"/>
        <w:tblW w:w="5000" w:type="pct"/>
        <w:tblLayout w:type="fixed"/>
        <w:tblLook w:val="04A0" w:firstRow="1" w:lastRow="0" w:firstColumn="1" w:lastColumn="0" w:noHBand="0" w:noVBand="1"/>
      </w:tblPr>
      <w:tblGrid>
        <w:gridCol w:w="1527"/>
        <w:gridCol w:w="1133"/>
        <w:gridCol w:w="856"/>
        <w:gridCol w:w="858"/>
        <w:gridCol w:w="858"/>
        <w:gridCol w:w="858"/>
        <w:gridCol w:w="858"/>
        <w:gridCol w:w="858"/>
        <w:gridCol w:w="858"/>
      </w:tblGrid>
      <w:tr w:rsidR="00F26847" w:rsidRPr="00CE755D" w:rsidTr="00BE4EED">
        <w:tc>
          <w:tcPr>
            <w:tcW w:w="881" w:type="pct"/>
            <w:tcBorders>
              <w:left w:val="nil"/>
              <w:bottom w:val="single" w:sz="4" w:space="0" w:color="auto"/>
              <w:right w:val="nil"/>
            </w:tcBorders>
            <w:shd w:val="clear" w:color="auto" w:fill="DFE0DC"/>
          </w:tcPr>
          <w:p w:rsidR="00F26847" w:rsidRPr="00CE755D" w:rsidRDefault="00F26847" w:rsidP="00BE4EED">
            <w:pPr>
              <w:keepNext/>
              <w:spacing w:before="40" w:after="40"/>
              <w:rPr>
                <w:sz w:val="18"/>
              </w:rPr>
            </w:pPr>
          </w:p>
        </w:tc>
        <w:tc>
          <w:tcPr>
            <w:tcW w:w="654"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p>
        </w:tc>
        <w:tc>
          <w:tcPr>
            <w:tcW w:w="494"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r w:rsidRPr="00CE755D">
              <w:rPr>
                <w:b/>
                <w:color w:val="000000" w:themeColor="text1"/>
                <w:sz w:val="18"/>
              </w:rPr>
              <w:t>2008-09</w:t>
            </w:r>
          </w:p>
        </w:tc>
        <w:tc>
          <w:tcPr>
            <w:tcW w:w="495"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r w:rsidRPr="00CE755D">
              <w:rPr>
                <w:b/>
                <w:color w:val="000000" w:themeColor="text1"/>
                <w:sz w:val="18"/>
              </w:rPr>
              <w:t>2009-10</w:t>
            </w:r>
          </w:p>
        </w:tc>
        <w:tc>
          <w:tcPr>
            <w:tcW w:w="495"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r w:rsidRPr="00CE755D">
              <w:rPr>
                <w:b/>
                <w:color w:val="000000" w:themeColor="text1"/>
                <w:sz w:val="18"/>
              </w:rPr>
              <w:t>2010-11</w:t>
            </w:r>
          </w:p>
        </w:tc>
        <w:tc>
          <w:tcPr>
            <w:tcW w:w="495"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r w:rsidRPr="00CE755D">
              <w:rPr>
                <w:b/>
                <w:color w:val="000000" w:themeColor="text1"/>
                <w:sz w:val="18"/>
              </w:rPr>
              <w:t>2011-12</w:t>
            </w:r>
          </w:p>
        </w:tc>
        <w:tc>
          <w:tcPr>
            <w:tcW w:w="495"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r w:rsidRPr="00CE755D">
              <w:rPr>
                <w:b/>
                <w:color w:val="000000" w:themeColor="text1"/>
                <w:sz w:val="18"/>
              </w:rPr>
              <w:t>2012-13</w:t>
            </w:r>
          </w:p>
        </w:tc>
        <w:tc>
          <w:tcPr>
            <w:tcW w:w="495"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r w:rsidRPr="00CE755D">
              <w:rPr>
                <w:b/>
                <w:color w:val="000000" w:themeColor="text1"/>
                <w:sz w:val="18"/>
              </w:rPr>
              <w:t>2013-14</w:t>
            </w:r>
          </w:p>
        </w:tc>
        <w:tc>
          <w:tcPr>
            <w:tcW w:w="495" w:type="pct"/>
            <w:tcBorders>
              <w:left w:val="nil"/>
              <w:bottom w:val="single" w:sz="4" w:space="0" w:color="auto"/>
              <w:right w:val="nil"/>
            </w:tcBorders>
            <w:shd w:val="clear" w:color="auto" w:fill="DFE0DC"/>
          </w:tcPr>
          <w:p w:rsidR="00F26847" w:rsidRPr="00CE755D" w:rsidRDefault="00F26847" w:rsidP="00BE4EED">
            <w:pPr>
              <w:keepNext/>
              <w:spacing w:before="40" w:after="40"/>
              <w:jc w:val="right"/>
              <w:rPr>
                <w:b/>
                <w:color w:val="000000" w:themeColor="text1"/>
                <w:sz w:val="18"/>
              </w:rPr>
            </w:pPr>
            <w:r w:rsidRPr="00CE755D">
              <w:rPr>
                <w:b/>
                <w:color w:val="000000" w:themeColor="text1"/>
                <w:sz w:val="18"/>
              </w:rPr>
              <w:t>2014-15</w:t>
            </w:r>
          </w:p>
        </w:tc>
      </w:tr>
      <w:tr w:rsidR="00F26847" w:rsidRPr="00CE755D" w:rsidTr="00BE4EED">
        <w:tc>
          <w:tcPr>
            <w:tcW w:w="881" w:type="pct"/>
            <w:tcBorders>
              <w:left w:val="nil"/>
              <w:right w:val="nil"/>
            </w:tcBorders>
          </w:tcPr>
          <w:p w:rsidR="00F26847" w:rsidRPr="00CE755D" w:rsidRDefault="00F26847" w:rsidP="00BE4EED">
            <w:pPr>
              <w:keepNext/>
              <w:spacing w:before="40" w:after="40"/>
              <w:rPr>
                <w:b/>
                <w:color w:val="000000" w:themeColor="text1"/>
                <w:sz w:val="18"/>
              </w:rPr>
            </w:pPr>
            <w:r w:rsidRPr="00CE755D">
              <w:rPr>
                <w:b/>
                <w:color w:val="000000" w:themeColor="text1"/>
                <w:sz w:val="18"/>
              </w:rPr>
              <w:t>Investment property ($million)</w:t>
            </w:r>
          </w:p>
        </w:tc>
        <w:tc>
          <w:tcPr>
            <w:tcW w:w="654" w:type="pct"/>
            <w:tcBorders>
              <w:left w:val="nil"/>
              <w:right w:val="nil"/>
            </w:tcBorders>
          </w:tcPr>
          <w:p w:rsidR="00F26847" w:rsidRPr="00CE755D" w:rsidRDefault="00F26847" w:rsidP="00BE4EED">
            <w:pPr>
              <w:keepNext/>
              <w:spacing w:before="40" w:after="40"/>
              <w:jc w:val="right"/>
              <w:rPr>
                <w:sz w:val="18"/>
              </w:rPr>
            </w:pPr>
          </w:p>
        </w:tc>
        <w:tc>
          <w:tcPr>
            <w:tcW w:w="494"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r>
      <w:tr w:rsidR="00F26847" w:rsidRPr="00CE755D" w:rsidTr="00BE4EED">
        <w:tc>
          <w:tcPr>
            <w:tcW w:w="881" w:type="pct"/>
            <w:vMerge w:val="restart"/>
            <w:tcBorders>
              <w:left w:val="nil"/>
              <w:right w:val="nil"/>
            </w:tcBorders>
          </w:tcPr>
          <w:p w:rsidR="00F26847" w:rsidRPr="00CE755D" w:rsidRDefault="00F26847" w:rsidP="00BE4EED">
            <w:pPr>
              <w:keepNext/>
              <w:spacing w:before="40" w:after="40"/>
              <w:rPr>
                <w:b/>
                <w:color w:val="000000" w:themeColor="text1"/>
                <w:sz w:val="18"/>
              </w:rPr>
            </w:pPr>
            <w:r w:rsidRPr="00CE755D">
              <w:rPr>
                <w:b/>
                <w:color w:val="000000" w:themeColor="text1"/>
                <w:sz w:val="18"/>
              </w:rPr>
              <w:t xml:space="preserve">Land </w:t>
            </w:r>
            <w:r w:rsidRPr="00CE755D">
              <w:rPr>
                <w:b/>
                <w:color w:val="000000" w:themeColor="text1"/>
                <w:sz w:val="18"/>
              </w:rPr>
              <w:br/>
              <w:t>($million)</w:t>
            </w:r>
          </w:p>
        </w:tc>
        <w:tc>
          <w:tcPr>
            <w:tcW w:w="654" w:type="pct"/>
            <w:tcBorders>
              <w:left w:val="nil"/>
              <w:right w:val="nil"/>
            </w:tcBorders>
          </w:tcPr>
          <w:p w:rsidR="00F26847" w:rsidRPr="00CE755D" w:rsidRDefault="00F26847" w:rsidP="00BE4EED">
            <w:pPr>
              <w:keepNext/>
              <w:spacing w:before="40" w:after="40"/>
              <w:jc w:val="right"/>
              <w:rPr>
                <w:sz w:val="18"/>
              </w:rPr>
            </w:pPr>
            <w:r w:rsidRPr="00CE755D">
              <w:rPr>
                <w:sz w:val="18"/>
              </w:rPr>
              <w:t>Excluding landfill</w:t>
            </w:r>
          </w:p>
        </w:tc>
        <w:tc>
          <w:tcPr>
            <w:tcW w:w="494"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1 251.8</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1 402.0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1 166.1</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1 127.2</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1 089.9</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1 203.7</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1169.4</w:t>
            </w:r>
          </w:p>
        </w:tc>
      </w:tr>
      <w:tr w:rsidR="00F26847" w:rsidRPr="00CE755D" w:rsidTr="00BE4EED">
        <w:tc>
          <w:tcPr>
            <w:tcW w:w="881" w:type="pct"/>
            <w:vMerge/>
            <w:tcBorders>
              <w:left w:val="nil"/>
              <w:right w:val="nil"/>
            </w:tcBorders>
          </w:tcPr>
          <w:p w:rsidR="00F26847" w:rsidRPr="00CE755D" w:rsidRDefault="00F26847" w:rsidP="00BE4EED">
            <w:pPr>
              <w:keepNext/>
              <w:spacing w:before="40" w:after="40"/>
              <w:rPr>
                <w:b/>
                <w:color w:val="000000" w:themeColor="text1"/>
                <w:sz w:val="18"/>
              </w:rPr>
            </w:pPr>
          </w:p>
        </w:tc>
        <w:tc>
          <w:tcPr>
            <w:tcW w:w="654" w:type="pct"/>
            <w:tcBorders>
              <w:left w:val="nil"/>
              <w:right w:val="nil"/>
            </w:tcBorders>
          </w:tcPr>
          <w:p w:rsidR="00F26847" w:rsidRPr="00CE755D" w:rsidRDefault="00F26847" w:rsidP="00BE4EED">
            <w:pPr>
              <w:keepNext/>
              <w:spacing w:before="40" w:after="40"/>
              <w:jc w:val="right"/>
              <w:rPr>
                <w:sz w:val="18"/>
              </w:rPr>
            </w:pPr>
            <w:r w:rsidRPr="00CE755D">
              <w:rPr>
                <w:sz w:val="18"/>
              </w:rPr>
              <w:t>Including landfill</w:t>
            </w:r>
          </w:p>
        </w:tc>
        <w:tc>
          <w:tcPr>
            <w:tcW w:w="494"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1 443.0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1 596.9</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1 343.7</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1 298.8</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1 255.7</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1 363.2</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1324.4</w:t>
            </w:r>
          </w:p>
        </w:tc>
      </w:tr>
      <w:tr w:rsidR="00F26847" w:rsidRPr="00CE755D" w:rsidTr="00BE4EED">
        <w:tc>
          <w:tcPr>
            <w:tcW w:w="881" w:type="pct"/>
            <w:tcBorders>
              <w:left w:val="nil"/>
              <w:right w:val="nil"/>
            </w:tcBorders>
          </w:tcPr>
          <w:p w:rsidR="00F26847" w:rsidRPr="00CE755D" w:rsidRDefault="00F26847" w:rsidP="00BE4EED">
            <w:pPr>
              <w:keepNext/>
              <w:spacing w:before="40" w:after="40"/>
              <w:rPr>
                <w:b/>
                <w:color w:val="000000" w:themeColor="text1"/>
                <w:sz w:val="18"/>
              </w:rPr>
            </w:pPr>
            <w:r w:rsidRPr="00CE755D">
              <w:rPr>
                <w:b/>
                <w:color w:val="000000" w:themeColor="text1"/>
                <w:sz w:val="18"/>
              </w:rPr>
              <w:t>Property, plant and equipment ($million)</w:t>
            </w:r>
          </w:p>
        </w:tc>
        <w:tc>
          <w:tcPr>
            <w:tcW w:w="654" w:type="pct"/>
            <w:tcBorders>
              <w:left w:val="nil"/>
              <w:right w:val="nil"/>
            </w:tcBorders>
          </w:tcPr>
          <w:p w:rsidR="00F26847" w:rsidRPr="00CE755D" w:rsidRDefault="00F26847" w:rsidP="00BE4EED">
            <w:pPr>
              <w:keepNext/>
              <w:spacing w:before="40" w:after="40"/>
              <w:jc w:val="right"/>
              <w:rPr>
                <w:sz w:val="18"/>
              </w:rPr>
            </w:pPr>
          </w:p>
        </w:tc>
        <w:tc>
          <w:tcPr>
            <w:tcW w:w="494"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1 651.7</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1 718.2</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1 597.1</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1 536.6</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1 529.4</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1 511.1</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1468.0</w:t>
            </w:r>
          </w:p>
        </w:tc>
      </w:tr>
      <w:tr w:rsidR="00F26847" w:rsidRPr="00CE755D" w:rsidTr="00BE4EED">
        <w:tc>
          <w:tcPr>
            <w:tcW w:w="881" w:type="pct"/>
            <w:tcBorders>
              <w:left w:val="nil"/>
              <w:right w:val="nil"/>
            </w:tcBorders>
          </w:tcPr>
          <w:p w:rsidR="00F26847" w:rsidRPr="00CE755D" w:rsidRDefault="00F26847" w:rsidP="00BE4EED">
            <w:pPr>
              <w:keepNext/>
              <w:spacing w:before="40" w:after="40"/>
              <w:rPr>
                <w:b/>
                <w:color w:val="000000" w:themeColor="text1"/>
                <w:sz w:val="18"/>
              </w:rPr>
            </w:pPr>
            <w:r w:rsidRPr="00CE755D">
              <w:rPr>
                <w:b/>
                <w:color w:val="000000" w:themeColor="text1"/>
                <w:sz w:val="18"/>
              </w:rPr>
              <w:t>Intangibles ($million)</w:t>
            </w:r>
          </w:p>
        </w:tc>
        <w:tc>
          <w:tcPr>
            <w:tcW w:w="654" w:type="pct"/>
            <w:tcBorders>
              <w:left w:val="nil"/>
              <w:right w:val="nil"/>
            </w:tcBorders>
          </w:tcPr>
          <w:p w:rsidR="00F26847" w:rsidRPr="00CE755D" w:rsidRDefault="00F26847" w:rsidP="00BE4EED">
            <w:pPr>
              <w:keepNext/>
              <w:spacing w:before="40" w:after="40"/>
              <w:jc w:val="right"/>
              <w:rPr>
                <w:sz w:val="18"/>
              </w:rPr>
            </w:pPr>
          </w:p>
        </w:tc>
        <w:tc>
          <w:tcPr>
            <w:tcW w:w="494"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c>
          <w:tcPr>
            <w:tcW w:w="495" w:type="pct"/>
            <w:tcBorders>
              <w:left w:val="nil"/>
              <w:right w:val="nil"/>
            </w:tcBorders>
            <w:vAlign w:val="center"/>
          </w:tcPr>
          <w:p w:rsidR="00F26847" w:rsidRPr="00CE755D" w:rsidRDefault="00F26847" w:rsidP="00BE4EED">
            <w:pPr>
              <w:keepNext/>
              <w:spacing w:before="40" w:after="40"/>
              <w:jc w:val="right"/>
              <w:rPr>
                <w:sz w:val="18"/>
              </w:rPr>
            </w:pPr>
            <w:r w:rsidRPr="00CE755D">
              <w:rPr>
                <w:sz w:val="18"/>
              </w:rPr>
              <w:t>0.0</w:t>
            </w:r>
          </w:p>
        </w:tc>
      </w:tr>
      <w:tr w:rsidR="00F26847" w:rsidRPr="00CE755D" w:rsidTr="00BE4EED">
        <w:tc>
          <w:tcPr>
            <w:tcW w:w="881" w:type="pct"/>
            <w:tcBorders>
              <w:left w:val="nil"/>
              <w:bottom w:val="double" w:sz="4" w:space="0" w:color="auto"/>
              <w:right w:val="nil"/>
            </w:tcBorders>
          </w:tcPr>
          <w:p w:rsidR="00F26847" w:rsidRPr="00CE755D" w:rsidRDefault="00F26847" w:rsidP="00BE4EED">
            <w:pPr>
              <w:keepNext/>
              <w:spacing w:before="40" w:after="40"/>
              <w:rPr>
                <w:b/>
                <w:color w:val="000000" w:themeColor="text1"/>
                <w:sz w:val="18"/>
              </w:rPr>
            </w:pPr>
            <w:r w:rsidRPr="00CE755D">
              <w:rPr>
                <w:b/>
                <w:color w:val="000000" w:themeColor="text1"/>
                <w:sz w:val="18"/>
              </w:rPr>
              <w:t>Other tangible non-current assets ($million)</w:t>
            </w:r>
          </w:p>
        </w:tc>
        <w:tc>
          <w:tcPr>
            <w:tcW w:w="654" w:type="pct"/>
            <w:tcBorders>
              <w:left w:val="nil"/>
              <w:bottom w:val="double" w:sz="4" w:space="0" w:color="auto"/>
              <w:right w:val="nil"/>
            </w:tcBorders>
          </w:tcPr>
          <w:p w:rsidR="00F26847" w:rsidRPr="00CE755D" w:rsidRDefault="00F26847" w:rsidP="00BE4EED">
            <w:pPr>
              <w:keepNext/>
              <w:spacing w:before="40" w:after="40"/>
              <w:jc w:val="right"/>
              <w:rPr>
                <w:sz w:val="18"/>
              </w:rPr>
            </w:pPr>
          </w:p>
        </w:tc>
        <w:tc>
          <w:tcPr>
            <w:tcW w:w="494" w:type="pct"/>
            <w:tcBorders>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41.6</w:t>
            </w:r>
          </w:p>
        </w:tc>
        <w:tc>
          <w:tcPr>
            <w:tcW w:w="495" w:type="pct"/>
            <w:tcBorders>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49.5</w:t>
            </w:r>
          </w:p>
        </w:tc>
        <w:tc>
          <w:tcPr>
            <w:tcW w:w="495" w:type="pct"/>
            <w:tcBorders>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47.1</w:t>
            </w:r>
          </w:p>
        </w:tc>
        <w:tc>
          <w:tcPr>
            <w:tcW w:w="495" w:type="pct"/>
            <w:tcBorders>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40.0</w:t>
            </w:r>
          </w:p>
        </w:tc>
        <w:tc>
          <w:tcPr>
            <w:tcW w:w="495" w:type="pct"/>
            <w:tcBorders>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35.8</w:t>
            </w:r>
          </w:p>
        </w:tc>
        <w:tc>
          <w:tcPr>
            <w:tcW w:w="495" w:type="pct"/>
            <w:tcBorders>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34.4</w:t>
            </w:r>
          </w:p>
        </w:tc>
        <w:tc>
          <w:tcPr>
            <w:tcW w:w="495" w:type="pct"/>
            <w:tcBorders>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28.2</w:t>
            </w:r>
          </w:p>
        </w:tc>
      </w:tr>
      <w:tr w:rsidR="00F26847" w:rsidRPr="00CE755D" w:rsidTr="00BE4EED">
        <w:tc>
          <w:tcPr>
            <w:tcW w:w="881" w:type="pct"/>
            <w:vMerge w:val="restart"/>
            <w:tcBorders>
              <w:top w:val="double" w:sz="4" w:space="0" w:color="auto"/>
              <w:left w:val="nil"/>
              <w:right w:val="nil"/>
            </w:tcBorders>
          </w:tcPr>
          <w:p w:rsidR="00F26847" w:rsidRPr="00CE755D" w:rsidRDefault="00F26847" w:rsidP="00BE4EED">
            <w:pPr>
              <w:keepNext/>
              <w:spacing w:before="40" w:after="40"/>
              <w:rPr>
                <w:b/>
                <w:color w:val="000000" w:themeColor="text1"/>
                <w:sz w:val="18"/>
              </w:rPr>
            </w:pPr>
            <w:r w:rsidRPr="00CE755D">
              <w:rPr>
                <w:b/>
                <w:color w:val="000000" w:themeColor="text1"/>
                <w:sz w:val="18"/>
              </w:rPr>
              <w:t>Total tangible non-current assets ($million)</w:t>
            </w:r>
          </w:p>
        </w:tc>
        <w:tc>
          <w:tcPr>
            <w:tcW w:w="654" w:type="pct"/>
            <w:tcBorders>
              <w:top w:val="double" w:sz="4" w:space="0" w:color="auto"/>
              <w:left w:val="nil"/>
              <w:bottom w:val="single" w:sz="4" w:space="0" w:color="auto"/>
              <w:right w:val="nil"/>
            </w:tcBorders>
          </w:tcPr>
          <w:p w:rsidR="00F26847" w:rsidRPr="00CE755D" w:rsidRDefault="00F26847" w:rsidP="00BE4EED">
            <w:pPr>
              <w:keepNext/>
              <w:spacing w:before="40" w:after="40"/>
              <w:jc w:val="right"/>
              <w:rPr>
                <w:sz w:val="18"/>
              </w:rPr>
            </w:pPr>
            <w:r w:rsidRPr="00CE755D">
              <w:rPr>
                <w:sz w:val="18"/>
              </w:rPr>
              <w:t>Excluding landfill</w:t>
            </w:r>
          </w:p>
        </w:tc>
        <w:tc>
          <w:tcPr>
            <w:tcW w:w="494" w:type="pct"/>
            <w:tcBorders>
              <w:top w:val="double" w:sz="4" w:space="0" w:color="auto"/>
              <w:left w:val="nil"/>
              <w:bottom w:val="single" w:sz="4" w:space="0" w:color="auto"/>
              <w:right w:val="nil"/>
            </w:tcBorders>
            <w:vAlign w:val="center"/>
          </w:tcPr>
          <w:p w:rsidR="00F26847" w:rsidRPr="00CE755D" w:rsidRDefault="00F26847" w:rsidP="00BE4EED">
            <w:pPr>
              <w:keepNext/>
              <w:spacing w:before="40" w:after="40"/>
              <w:jc w:val="right"/>
              <w:rPr>
                <w:sz w:val="18"/>
              </w:rPr>
            </w:pPr>
            <w:r w:rsidRPr="00CE755D">
              <w:rPr>
                <w:sz w:val="18"/>
              </w:rPr>
              <w:t>2 945.1</w:t>
            </w:r>
          </w:p>
        </w:tc>
        <w:tc>
          <w:tcPr>
            <w:tcW w:w="495" w:type="pct"/>
            <w:tcBorders>
              <w:top w:val="double" w:sz="4" w:space="0" w:color="auto"/>
              <w:left w:val="nil"/>
              <w:bottom w:val="single" w:sz="4" w:space="0" w:color="auto"/>
              <w:right w:val="nil"/>
            </w:tcBorders>
            <w:vAlign w:val="center"/>
          </w:tcPr>
          <w:p w:rsidR="00F26847" w:rsidRPr="00CE755D" w:rsidRDefault="00F26847" w:rsidP="00BE4EED">
            <w:pPr>
              <w:keepNext/>
              <w:spacing w:before="40" w:after="40"/>
              <w:jc w:val="right"/>
              <w:rPr>
                <w:sz w:val="18"/>
              </w:rPr>
            </w:pPr>
            <w:r w:rsidRPr="00CE755D">
              <w:rPr>
                <w:sz w:val="18"/>
              </w:rPr>
              <w:t>3 169.7</w:t>
            </w:r>
          </w:p>
        </w:tc>
        <w:tc>
          <w:tcPr>
            <w:tcW w:w="495" w:type="pct"/>
            <w:tcBorders>
              <w:top w:val="double" w:sz="4" w:space="0" w:color="auto"/>
              <w:left w:val="nil"/>
              <w:bottom w:val="single" w:sz="4" w:space="0" w:color="auto"/>
              <w:right w:val="nil"/>
            </w:tcBorders>
            <w:vAlign w:val="center"/>
          </w:tcPr>
          <w:p w:rsidR="00F26847" w:rsidRPr="00CE755D" w:rsidRDefault="00F26847" w:rsidP="00BE4EED">
            <w:pPr>
              <w:keepNext/>
              <w:spacing w:before="40" w:after="40"/>
              <w:jc w:val="right"/>
              <w:rPr>
                <w:sz w:val="18"/>
              </w:rPr>
            </w:pPr>
            <w:r w:rsidRPr="00CE755D">
              <w:rPr>
                <w:sz w:val="18"/>
              </w:rPr>
              <w:t>2 810.3</w:t>
            </w:r>
          </w:p>
        </w:tc>
        <w:tc>
          <w:tcPr>
            <w:tcW w:w="495" w:type="pct"/>
            <w:tcBorders>
              <w:top w:val="double" w:sz="4" w:space="0" w:color="auto"/>
              <w:left w:val="nil"/>
              <w:bottom w:val="single" w:sz="4" w:space="0" w:color="auto"/>
              <w:right w:val="nil"/>
            </w:tcBorders>
            <w:vAlign w:val="center"/>
          </w:tcPr>
          <w:p w:rsidR="00F26847" w:rsidRPr="00CE755D" w:rsidRDefault="00F26847" w:rsidP="00BE4EED">
            <w:pPr>
              <w:keepNext/>
              <w:spacing w:before="40" w:after="40"/>
              <w:jc w:val="right"/>
              <w:rPr>
                <w:sz w:val="18"/>
              </w:rPr>
            </w:pPr>
            <w:r w:rsidRPr="00CE755D">
              <w:rPr>
                <w:sz w:val="18"/>
              </w:rPr>
              <w:t>2 703.8</w:t>
            </w:r>
          </w:p>
        </w:tc>
        <w:tc>
          <w:tcPr>
            <w:tcW w:w="495" w:type="pct"/>
            <w:tcBorders>
              <w:top w:val="double" w:sz="4" w:space="0" w:color="auto"/>
              <w:left w:val="nil"/>
              <w:bottom w:val="single" w:sz="4" w:space="0" w:color="auto"/>
              <w:right w:val="nil"/>
            </w:tcBorders>
            <w:vAlign w:val="center"/>
          </w:tcPr>
          <w:p w:rsidR="00F26847" w:rsidRPr="00CE755D" w:rsidRDefault="00F26847" w:rsidP="00BE4EED">
            <w:pPr>
              <w:keepNext/>
              <w:spacing w:before="40" w:after="40"/>
              <w:jc w:val="right"/>
              <w:rPr>
                <w:sz w:val="18"/>
              </w:rPr>
            </w:pPr>
            <w:r w:rsidRPr="00CE755D">
              <w:rPr>
                <w:sz w:val="18"/>
              </w:rPr>
              <w:t>2 655.1</w:t>
            </w:r>
          </w:p>
        </w:tc>
        <w:tc>
          <w:tcPr>
            <w:tcW w:w="495" w:type="pct"/>
            <w:tcBorders>
              <w:top w:val="double" w:sz="4" w:space="0" w:color="auto"/>
              <w:left w:val="nil"/>
              <w:bottom w:val="single" w:sz="4" w:space="0" w:color="auto"/>
              <w:right w:val="nil"/>
            </w:tcBorders>
            <w:vAlign w:val="center"/>
          </w:tcPr>
          <w:p w:rsidR="00F26847" w:rsidRPr="00CE755D" w:rsidRDefault="00F26847" w:rsidP="00BE4EED">
            <w:pPr>
              <w:keepNext/>
              <w:spacing w:before="40" w:after="40"/>
              <w:jc w:val="right"/>
              <w:rPr>
                <w:sz w:val="18"/>
              </w:rPr>
            </w:pPr>
            <w:r w:rsidRPr="00CE755D">
              <w:rPr>
                <w:sz w:val="18"/>
              </w:rPr>
              <w:t>2 749.3</w:t>
            </w:r>
          </w:p>
        </w:tc>
        <w:tc>
          <w:tcPr>
            <w:tcW w:w="495" w:type="pct"/>
            <w:tcBorders>
              <w:top w:val="double" w:sz="4" w:space="0" w:color="auto"/>
              <w:left w:val="nil"/>
              <w:bottom w:val="single" w:sz="4" w:space="0" w:color="auto"/>
              <w:right w:val="nil"/>
            </w:tcBorders>
            <w:vAlign w:val="center"/>
          </w:tcPr>
          <w:p w:rsidR="00F26847" w:rsidRPr="00CE755D" w:rsidRDefault="00F26847" w:rsidP="00BE4EED">
            <w:pPr>
              <w:keepNext/>
              <w:spacing w:before="40" w:after="40"/>
              <w:jc w:val="right"/>
              <w:rPr>
                <w:sz w:val="18"/>
              </w:rPr>
            </w:pPr>
            <w:r w:rsidRPr="00CE755D">
              <w:rPr>
                <w:sz w:val="18"/>
              </w:rPr>
              <w:t>2665.6</w:t>
            </w:r>
          </w:p>
        </w:tc>
      </w:tr>
      <w:tr w:rsidR="00F26847" w:rsidRPr="00CE755D" w:rsidTr="00BE4EED">
        <w:tc>
          <w:tcPr>
            <w:tcW w:w="881" w:type="pct"/>
            <w:vMerge/>
            <w:tcBorders>
              <w:left w:val="nil"/>
              <w:bottom w:val="double" w:sz="4" w:space="0" w:color="auto"/>
              <w:right w:val="nil"/>
            </w:tcBorders>
          </w:tcPr>
          <w:p w:rsidR="00F26847" w:rsidRPr="00CE755D" w:rsidRDefault="00F26847" w:rsidP="00BE4EED">
            <w:pPr>
              <w:keepNext/>
              <w:spacing w:before="40" w:after="40"/>
              <w:rPr>
                <w:b/>
                <w:color w:val="000000" w:themeColor="text1"/>
                <w:sz w:val="18"/>
              </w:rPr>
            </w:pPr>
          </w:p>
        </w:tc>
        <w:tc>
          <w:tcPr>
            <w:tcW w:w="654" w:type="pct"/>
            <w:tcBorders>
              <w:top w:val="single" w:sz="4" w:space="0" w:color="auto"/>
              <w:left w:val="nil"/>
              <w:bottom w:val="double" w:sz="4" w:space="0" w:color="auto"/>
              <w:right w:val="nil"/>
            </w:tcBorders>
          </w:tcPr>
          <w:p w:rsidR="00F26847" w:rsidRPr="00CE755D" w:rsidRDefault="00F26847" w:rsidP="00BE4EED">
            <w:pPr>
              <w:keepNext/>
              <w:spacing w:before="40" w:after="40"/>
              <w:jc w:val="right"/>
              <w:rPr>
                <w:sz w:val="18"/>
              </w:rPr>
            </w:pPr>
            <w:r w:rsidRPr="00CE755D">
              <w:rPr>
                <w:sz w:val="18"/>
              </w:rPr>
              <w:t>Including landfill</w:t>
            </w:r>
          </w:p>
        </w:tc>
        <w:tc>
          <w:tcPr>
            <w:tcW w:w="494" w:type="pct"/>
            <w:tcBorders>
              <w:top w:val="single" w:sz="4" w:space="0" w:color="auto"/>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3 136.3</w:t>
            </w:r>
          </w:p>
        </w:tc>
        <w:tc>
          <w:tcPr>
            <w:tcW w:w="495" w:type="pct"/>
            <w:tcBorders>
              <w:top w:val="single" w:sz="4" w:space="0" w:color="auto"/>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3 364.7</w:t>
            </w:r>
          </w:p>
        </w:tc>
        <w:tc>
          <w:tcPr>
            <w:tcW w:w="495" w:type="pct"/>
            <w:tcBorders>
              <w:top w:val="single" w:sz="4" w:space="0" w:color="auto"/>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2 987.9</w:t>
            </w:r>
          </w:p>
        </w:tc>
        <w:tc>
          <w:tcPr>
            <w:tcW w:w="495" w:type="pct"/>
            <w:tcBorders>
              <w:top w:val="single" w:sz="4" w:space="0" w:color="auto"/>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2 875.4</w:t>
            </w:r>
          </w:p>
        </w:tc>
        <w:tc>
          <w:tcPr>
            <w:tcW w:w="495" w:type="pct"/>
            <w:tcBorders>
              <w:top w:val="single" w:sz="4" w:space="0" w:color="auto"/>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2 820.8</w:t>
            </w:r>
          </w:p>
        </w:tc>
        <w:tc>
          <w:tcPr>
            <w:tcW w:w="495" w:type="pct"/>
            <w:tcBorders>
              <w:top w:val="single" w:sz="4" w:space="0" w:color="auto"/>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2 908.8</w:t>
            </w:r>
          </w:p>
        </w:tc>
        <w:tc>
          <w:tcPr>
            <w:tcW w:w="495" w:type="pct"/>
            <w:tcBorders>
              <w:top w:val="single" w:sz="4" w:space="0" w:color="auto"/>
              <w:left w:val="nil"/>
              <w:bottom w:val="double" w:sz="4" w:space="0" w:color="auto"/>
              <w:right w:val="nil"/>
            </w:tcBorders>
            <w:vAlign w:val="center"/>
          </w:tcPr>
          <w:p w:rsidR="00F26847" w:rsidRPr="00CE755D" w:rsidRDefault="00F26847" w:rsidP="00BE4EED">
            <w:pPr>
              <w:keepNext/>
              <w:spacing w:before="40" w:after="40"/>
              <w:jc w:val="right"/>
              <w:rPr>
                <w:sz w:val="18"/>
              </w:rPr>
            </w:pPr>
            <w:r w:rsidRPr="00CE755D">
              <w:rPr>
                <w:sz w:val="18"/>
              </w:rPr>
              <w:t>2820.6</w:t>
            </w:r>
          </w:p>
        </w:tc>
      </w:tr>
    </w:tbl>
    <w:p w:rsidR="00F26847" w:rsidRPr="00CE755D" w:rsidRDefault="00F26847" w:rsidP="00F26847">
      <w:pPr>
        <w:pStyle w:val="Sourceandnotes"/>
      </w:pPr>
      <w:r w:rsidRPr="00CE755D">
        <w:t>Note:</w:t>
      </w:r>
      <w:r w:rsidRPr="00CE755D">
        <w:tab/>
        <w:t>Real values in 2014-15 dollars</w:t>
      </w:r>
    </w:p>
    <w:p w:rsidR="00F26847" w:rsidRPr="00CE755D" w:rsidRDefault="00F26847" w:rsidP="00F26847">
      <w:pPr>
        <w:keepNext/>
      </w:pPr>
      <w:r w:rsidRPr="00CE755D">
        <w:t>Under the LIS methodology and including the value of landfill in leasehold land, the value of aeronautical tangible non-current assets was around $2.8 billion in 2014-15. This amount is 10.6 per cent higher than the non- LIS value. Land value (when landfill was included) was 66.4 per cent higher than non- LIS land values.</w:t>
      </w:r>
    </w:p>
    <w:p w:rsidR="00F26847" w:rsidRDefault="00F26847" w:rsidP="00F26847">
      <w:pPr>
        <w:pStyle w:val="Numberedheading3"/>
        <w:tabs>
          <w:tab w:val="clear" w:pos="1384"/>
          <w:tab w:val="num" w:pos="993"/>
        </w:tabs>
        <w:ind w:left="993" w:hanging="993"/>
      </w:pPr>
      <w:r>
        <w:t>Additions as a percentage of tangible non</w:t>
      </w:r>
      <w:r>
        <w:noBreakHyphen/>
        <w:t>current assets</w:t>
      </w:r>
    </w:p>
    <w:p w:rsidR="00F26847" w:rsidRPr="00CE755D" w:rsidRDefault="00F26847" w:rsidP="00F26847">
      <w:pPr>
        <w:keepNext/>
      </w:pPr>
      <w:r w:rsidRPr="002F3495">
        <w:t>Chart 5.2.1 shows that during 2014-15, Sydney Airport’s $126.8 million in additions to aeronautical assets represented 5.0 per cent of total aeronautical tangible non-current assets. Additions to aeronautical assets included land improvement ($49.3 million), buildings ($39.6 million) and plant and machinery ($30.1 million). Additions to total airport tangible non-current assets represented around 1.2 per cent of total airport tangible non-current assets.</w:t>
      </w:r>
    </w:p>
    <w:p w:rsidR="00F26847" w:rsidRDefault="00F26847" w:rsidP="00F26847">
      <w:pPr>
        <w:keepNext/>
        <w:rPr>
          <w:i/>
          <w:color w:val="FF0000"/>
          <w:u w:val="single"/>
        </w:rPr>
      </w:pPr>
    </w:p>
    <w:p w:rsidR="00F26847" w:rsidRDefault="00F26847" w:rsidP="00F26847">
      <w:pPr>
        <w:keepNext/>
        <w:rPr>
          <w:i/>
          <w:color w:val="FF0000"/>
          <w:u w:val="single"/>
        </w:rPr>
      </w:pPr>
    </w:p>
    <w:p w:rsidR="00F26847" w:rsidRPr="006B740F" w:rsidRDefault="00F26847" w:rsidP="00F26847">
      <w:pPr>
        <w:keepNext/>
        <w:rPr>
          <w:i/>
          <w:color w:val="FF0000"/>
          <w:u w:val="single"/>
        </w:rPr>
      </w:pPr>
    </w:p>
    <w:p w:rsidR="00F26847" w:rsidRDefault="00F26847" w:rsidP="00F26847">
      <w:pPr>
        <w:pStyle w:val="Numberedcharttitle"/>
      </w:pPr>
      <w:r>
        <w:lastRenderedPageBreak/>
        <w:t>Chart 5.2.1:</w:t>
      </w:r>
      <w:r>
        <w:tab/>
        <w:t>Sydney Airport—additions as a percentage of tangible non</w:t>
      </w:r>
      <w:r>
        <w:noBreakHyphen/>
        <w:t>current assets for aeronautical and total airport services: 2004</w:t>
      </w:r>
      <w:r>
        <w:noBreakHyphen/>
        <w:t>05 to 2014</w:t>
      </w:r>
      <w:r>
        <w:noBreakHyphen/>
        <w:t>15</w:t>
      </w:r>
    </w:p>
    <w:p w:rsidR="00F26847" w:rsidRDefault="00F26847" w:rsidP="00F26847">
      <w:pPr>
        <w:keepNext/>
      </w:pPr>
      <w:r w:rsidRPr="006D3599">
        <w:rPr>
          <w:noProof/>
          <w:lang w:eastAsia="en-AU"/>
        </w:rPr>
        <w:drawing>
          <wp:inline distT="0" distB="0" distL="0" distR="0" wp14:anchorId="0503B600" wp14:editId="7A69DA50">
            <wp:extent cx="5359638" cy="2523744"/>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64480" cy="2526024"/>
                    </a:xfrm>
                    <a:prstGeom prst="rect">
                      <a:avLst/>
                    </a:prstGeom>
                    <a:noFill/>
                    <a:ln>
                      <a:noFill/>
                    </a:ln>
                  </pic:spPr>
                </pic:pic>
              </a:graphicData>
            </a:graphic>
          </wp:inline>
        </w:drawing>
      </w:r>
    </w:p>
    <w:p w:rsidR="00F26847" w:rsidRDefault="00F26847" w:rsidP="00F26847">
      <w:pPr>
        <w:pStyle w:val="Numberedheading3"/>
        <w:tabs>
          <w:tab w:val="clear" w:pos="1384"/>
          <w:tab w:val="num" w:pos="993"/>
        </w:tabs>
        <w:ind w:left="993" w:hanging="993"/>
      </w:pPr>
      <w:r>
        <w:t>Rates of return on tangible non</w:t>
      </w:r>
      <w:r>
        <w:noBreakHyphen/>
        <w:t>current assets</w:t>
      </w:r>
    </w:p>
    <w:p w:rsidR="00F26847" w:rsidRPr="001B6B27" w:rsidRDefault="00F26847" w:rsidP="00F26847">
      <w:pPr>
        <w:keepNext/>
        <w:spacing w:before="120" w:after="120"/>
      </w:pPr>
      <w:r>
        <w:t>Chart 5.2.2 presents t</w:t>
      </w:r>
      <w:r w:rsidRPr="001B6B27">
        <w:t>he rate of return on aeronautical tangible non-current assets</w:t>
      </w:r>
      <w:r>
        <w:t>. This</w:t>
      </w:r>
      <w:r w:rsidRPr="001B6B27">
        <w:t xml:space="preserve"> is defined as earnings before interest, tax and amortisation (EBITA) on average aeronautical tangible non-current assets</w:t>
      </w:r>
      <w:r>
        <w:t>. This measure</w:t>
      </w:r>
      <w:r w:rsidRPr="001B6B27">
        <w:t xml:space="preserve"> </w:t>
      </w:r>
      <w:r>
        <w:t xml:space="preserve">increased marginally </w:t>
      </w:r>
      <w:r w:rsidRPr="001B6B27">
        <w:t xml:space="preserve">in real terms by </w:t>
      </w:r>
      <w:r>
        <w:t>0.4</w:t>
      </w:r>
      <w:r w:rsidRPr="001B6B27">
        <w:t xml:space="preserve"> percentage points to </w:t>
      </w:r>
      <w:r>
        <w:t>12.4</w:t>
      </w:r>
      <w:r w:rsidRPr="001B6B27">
        <w:t xml:space="preserve"> per cent in 2014-15. </w:t>
      </w:r>
      <w:r>
        <w:t xml:space="preserve"> </w:t>
      </w:r>
    </w:p>
    <w:p w:rsidR="00F26847" w:rsidRPr="00CE755D" w:rsidRDefault="00F26847" w:rsidP="00F26847">
      <w:pPr>
        <w:keepNext/>
        <w:spacing w:before="240" w:after="200" w:line="276" w:lineRule="auto"/>
        <w:ind w:left="1440" w:hanging="1440"/>
        <w:outlineLvl w:val="3"/>
        <w:rPr>
          <w:b/>
          <w:color w:val="51626F"/>
        </w:rPr>
      </w:pPr>
      <w:r w:rsidRPr="00CE755D">
        <w:rPr>
          <w:b/>
          <w:color w:val="51626F"/>
        </w:rPr>
        <w:t>Chart 5.2.2:</w:t>
      </w:r>
      <w:r w:rsidRPr="00CE755D">
        <w:rPr>
          <w:b/>
          <w:color w:val="51626F"/>
        </w:rPr>
        <w:tab/>
        <w:t xml:space="preserve">Sydney Airport—rate of return (EBITA) on tangible non-current assets for aeronautical services and total airport services in real terms: </w:t>
      </w:r>
      <w:r w:rsidRPr="00CE755D">
        <w:rPr>
          <w:b/>
          <w:color w:val="51626F"/>
        </w:rPr>
        <w:br/>
        <w:t>2004</w:t>
      </w:r>
      <w:r w:rsidRPr="00CE755D">
        <w:rPr>
          <w:b/>
          <w:color w:val="51626F"/>
        </w:rPr>
        <w:noBreakHyphen/>
        <w:t>05 to 2014</w:t>
      </w:r>
      <w:r w:rsidRPr="00CE755D">
        <w:rPr>
          <w:b/>
          <w:color w:val="51626F"/>
        </w:rPr>
        <w:noBreakHyphen/>
        <w:t xml:space="preserve">15 </w:t>
      </w:r>
    </w:p>
    <w:p w:rsidR="00F26847" w:rsidRDefault="00F26847" w:rsidP="00F26847">
      <w:pPr>
        <w:keepNext/>
      </w:pPr>
      <w:r w:rsidRPr="001B6B27">
        <w:rPr>
          <w:noProof/>
          <w:lang w:eastAsia="en-AU"/>
        </w:rPr>
        <w:drawing>
          <wp:inline distT="0" distB="0" distL="0" distR="0" wp14:anchorId="49E937BB" wp14:editId="130BE6C4">
            <wp:extent cx="5359285" cy="255300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64480" cy="2555480"/>
                    </a:xfrm>
                    <a:prstGeom prst="rect">
                      <a:avLst/>
                    </a:prstGeom>
                    <a:noFill/>
                    <a:ln>
                      <a:noFill/>
                    </a:ln>
                  </pic:spPr>
                </pic:pic>
              </a:graphicData>
            </a:graphic>
          </wp:inline>
        </w:drawing>
      </w:r>
    </w:p>
    <w:p w:rsidR="00F26847" w:rsidRDefault="00F26847" w:rsidP="00F26847">
      <w:pPr>
        <w:pStyle w:val="Sourceandnotes"/>
      </w:pPr>
      <w:r>
        <w:t>Note:</w:t>
      </w:r>
      <w:r>
        <w:tab/>
        <w:t>Real values in 2014</w:t>
      </w:r>
      <w:r>
        <w:noBreakHyphen/>
        <w:t>15 dollars</w:t>
      </w:r>
    </w:p>
    <w:p w:rsidR="00F26847" w:rsidRDefault="00F26847" w:rsidP="00F26847">
      <w:pPr>
        <w:keepNext/>
      </w:pPr>
      <w:r>
        <w:t>For the total airport, t</w:t>
      </w:r>
      <w:r w:rsidRPr="001B6B27">
        <w:t xml:space="preserve">he rate of return on tangible non-current assets </w:t>
      </w:r>
      <w:r>
        <w:t>was 17.8 per cent in real terms for 2014-15</w:t>
      </w:r>
      <w:r w:rsidRPr="001B6B27">
        <w:t>.</w:t>
      </w:r>
      <w:r>
        <w:t xml:space="preserve"> The slight decrease (1.4 percentage points) is the first in five years.</w:t>
      </w:r>
    </w:p>
    <w:p w:rsidR="00F26847" w:rsidRDefault="00F26847" w:rsidP="00F26847">
      <w:pPr>
        <w:keepNext/>
        <w:spacing w:before="120" w:after="120"/>
        <w:rPr>
          <w:b/>
          <w:i/>
          <w:sz w:val="22"/>
        </w:rPr>
      </w:pPr>
    </w:p>
    <w:p w:rsidR="00F26847" w:rsidRDefault="00F26847" w:rsidP="00F26847">
      <w:pPr>
        <w:keepNext/>
        <w:spacing w:before="120" w:after="120"/>
        <w:rPr>
          <w:b/>
          <w:i/>
          <w:sz w:val="22"/>
        </w:rPr>
      </w:pPr>
    </w:p>
    <w:p w:rsidR="00F26847" w:rsidRPr="00CE755D" w:rsidRDefault="00F26847" w:rsidP="00F26847">
      <w:pPr>
        <w:keepNext/>
        <w:spacing w:before="120" w:after="120"/>
      </w:pPr>
      <w:r w:rsidRPr="00CE755D">
        <w:rPr>
          <w:b/>
          <w:i/>
          <w:sz w:val="22"/>
        </w:rPr>
        <w:lastRenderedPageBreak/>
        <w:t>Line in the sand—</w:t>
      </w:r>
      <w:r w:rsidRPr="00CE755D">
        <w:t xml:space="preserve"> </w:t>
      </w:r>
      <w:r w:rsidRPr="00CE755D">
        <w:rPr>
          <w:b/>
          <w:i/>
          <w:sz w:val="22"/>
        </w:rPr>
        <w:t>Rates of return on tangible non-current assets</w:t>
      </w:r>
    </w:p>
    <w:p w:rsidR="00F26847" w:rsidRPr="00CE755D" w:rsidRDefault="00F26847" w:rsidP="00F26847">
      <w:pPr>
        <w:keepNext/>
        <w:spacing w:before="120" w:after="120"/>
      </w:pPr>
      <w:r w:rsidRPr="00CE755D">
        <w:t>During 2013-14, the rate of return on average aeronautical tangible non</w:t>
      </w:r>
      <w:r w:rsidRPr="00CE755D">
        <w:noBreakHyphen/>
        <w:t xml:space="preserve">current assets under the LIS approach (and excluding landfill) was 12.0 per cent. This is 0.4 percentage points lower than the non-LIS value (shown in chart 5.2.2). </w:t>
      </w:r>
    </w:p>
    <w:p w:rsidR="00F26847" w:rsidRPr="00CE755D" w:rsidRDefault="00F26847" w:rsidP="00F26847">
      <w:pPr>
        <w:keepNext/>
        <w:spacing w:before="120" w:after="120"/>
      </w:pPr>
      <w:proofErr w:type="gramStart"/>
      <w:r w:rsidRPr="00CE755D">
        <w:t>When landfill is included in the asset base, the rate of return on aeronautical tangible non-current assets decreases to 11.2 per cent, or 1.2 percentage points below the non-LIS value.</w:t>
      </w:r>
      <w:proofErr w:type="gramEnd"/>
      <w:r w:rsidRPr="00CE755D">
        <w:t xml:space="preserve"> </w:t>
      </w:r>
    </w:p>
    <w:p w:rsidR="00F26847" w:rsidRDefault="00F26847" w:rsidP="00F26847">
      <w:pPr>
        <w:keepNext/>
        <w:spacing w:before="120" w:after="120"/>
      </w:pPr>
      <w:r w:rsidRPr="00CE755D">
        <w:t xml:space="preserve">The rate of return on average tangible non-current assets for total airport services under the LIS approach and excluding landfill was 16.8 per cent, which is around 1.1 percentage points lower than the non-LIS value. When landfill is included, the rate of return on average total airport tangible non-current assets falls to 16.2 per cent.  </w:t>
      </w:r>
    </w:p>
    <w:p w:rsidR="00F26847" w:rsidRDefault="00F26847" w:rsidP="00114E05">
      <w:pPr>
        <w:pStyle w:val="Numberedheading2"/>
      </w:pPr>
      <w:r w:rsidRPr="00F0168B">
        <w:t>Aeronautical services quality of service monitoring results</w:t>
      </w:r>
    </w:p>
    <w:p w:rsidR="00F26847" w:rsidRDefault="00F26847" w:rsidP="00F26847">
      <w:pPr>
        <w:keepNext/>
      </w:pPr>
      <w:r>
        <w:t xml:space="preserve">Both passengers and airlines are surveyed to give an insight into the quality of service offered by each airport. These survey results are combined with data collected from monitored airports into overall ratings. </w:t>
      </w:r>
      <w:r w:rsidRPr="00F61B2C">
        <w:t xml:space="preserve">This section presents </w:t>
      </w:r>
      <w:r>
        <w:t xml:space="preserve">Sydney </w:t>
      </w:r>
      <w:r w:rsidRPr="00F61B2C">
        <w:t>Airport’s quality of service monitoring results for the overall average ratings (</w:t>
      </w:r>
      <w:r>
        <w:t>S</w:t>
      </w:r>
      <w:r w:rsidRPr="00F61B2C">
        <w:t xml:space="preserve">ection </w:t>
      </w:r>
      <w:r>
        <w:t>5</w:t>
      </w:r>
      <w:r w:rsidRPr="00F61B2C">
        <w:t>.3.1), aircraft related services and facilities (</w:t>
      </w:r>
      <w:r>
        <w:t>S</w:t>
      </w:r>
      <w:r w:rsidRPr="00F61B2C">
        <w:t xml:space="preserve">ection </w:t>
      </w:r>
      <w:r>
        <w:t>5</w:t>
      </w:r>
      <w:r w:rsidRPr="00F61B2C">
        <w:t xml:space="preserve">.3.2), and passenger related services and facilities for </w:t>
      </w:r>
      <w:r>
        <w:t>Sydney</w:t>
      </w:r>
      <w:r w:rsidRPr="00F61B2C">
        <w:t xml:space="preserve"> Airport’s terminals (</w:t>
      </w:r>
      <w:r>
        <w:t>S</w:t>
      </w:r>
      <w:r w:rsidRPr="00F61B2C">
        <w:t>ection</w:t>
      </w:r>
      <w:r>
        <w:t> 5</w:t>
      </w:r>
      <w:r w:rsidRPr="00F61B2C">
        <w:t>.3.3).</w:t>
      </w:r>
    </w:p>
    <w:p w:rsidR="00F26847" w:rsidRPr="00164A1F" w:rsidRDefault="00F26847" w:rsidP="00F26847">
      <w:pPr>
        <w:pStyle w:val="Numberedheading3"/>
        <w:tabs>
          <w:tab w:val="clear" w:pos="1384"/>
          <w:tab w:val="num" w:pos="993"/>
        </w:tabs>
        <w:ind w:left="993" w:hanging="993"/>
        <w:rPr>
          <w:b w:val="0"/>
        </w:rPr>
      </w:pPr>
      <w:r>
        <w:t>Overall quality of service</w:t>
      </w:r>
      <w:r w:rsidRPr="00BB6D21">
        <w:rPr>
          <w:rStyle w:val="FootnoteReference"/>
          <w:b w:val="0"/>
        </w:rPr>
        <w:footnoteReference w:id="129"/>
      </w:r>
    </w:p>
    <w:p w:rsidR="00F26847" w:rsidRDefault="00F26847" w:rsidP="00F26847">
      <w:pPr>
        <w:keepNext/>
      </w:pPr>
      <w:r w:rsidRPr="00DA1559">
        <w:t>Chart 5.3.1 presents Sydney Airport’s overall quality of service rating and also the average quality of service ratings for both the availability and standard of total airport services and facilities. Sydney Airport’s average overall quality of service rating was unchanged at ‘satisfactory’. Ratings for the availability and standard of total airport services and facilities both have remained relatively constant at the high end of ‘satisfactory’ for the past four years.</w:t>
      </w:r>
      <w:r w:rsidRPr="00886A4B">
        <w:t xml:space="preserve"> </w:t>
      </w: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p>
    <w:p w:rsidR="00F26847" w:rsidRDefault="00F26847" w:rsidP="00F26847">
      <w:pPr>
        <w:pStyle w:val="Numberedcharttitle"/>
      </w:pPr>
      <w:r>
        <w:lastRenderedPageBreak/>
        <w:t>Chart 5.3.1:</w:t>
      </w:r>
      <w:r>
        <w:tab/>
        <w:t xml:space="preserve">Sydney Airport – overall weighted rating and average ratings for standard and availability of total </w:t>
      </w:r>
      <w:r w:rsidRPr="005C3FFC">
        <w:t>airport services and facilities: 20</w:t>
      </w:r>
      <w:r>
        <w:t>10</w:t>
      </w:r>
      <w:r w:rsidRPr="005C3FFC">
        <w:t>-</w:t>
      </w:r>
      <w:r>
        <w:t>11</w:t>
      </w:r>
      <w:r w:rsidRPr="005C3FFC">
        <w:t xml:space="preserve"> to 201</w:t>
      </w:r>
      <w:r>
        <w:t>4</w:t>
      </w:r>
      <w:r w:rsidRPr="005C3FFC">
        <w:t>-1</w:t>
      </w:r>
      <w:r>
        <w:t>5</w:t>
      </w:r>
    </w:p>
    <w:p w:rsidR="00F26847" w:rsidRDefault="00F26847" w:rsidP="00F26847">
      <w:pPr>
        <w:keepNext/>
      </w:pPr>
      <w:r w:rsidRPr="00ED4440">
        <w:rPr>
          <w:noProof/>
          <w:lang w:eastAsia="en-AU"/>
        </w:rPr>
        <w:drawing>
          <wp:inline distT="0" distB="0" distL="0" distR="0" wp14:anchorId="4AA09AE9" wp14:editId="0E63AED8">
            <wp:extent cx="5362536" cy="30861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364480" cy="3087219"/>
                    </a:xfrm>
                    <a:prstGeom prst="rect">
                      <a:avLst/>
                    </a:prstGeom>
                    <a:noFill/>
                    <a:ln>
                      <a:noFill/>
                    </a:ln>
                  </pic:spPr>
                </pic:pic>
              </a:graphicData>
            </a:graphic>
          </wp:inline>
        </w:drawing>
      </w:r>
    </w:p>
    <w:p w:rsidR="00F26847" w:rsidRDefault="00F26847" w:rsidP="00F26847">
      <w:pPr>
        <w:pStyle w:val="Sourceandnotes"/>
      </w:pPr>
      <w:r>
        <w:t>Source:</w:t>
      </w:r>
      <w:r>
        <w:tab/>
        <w:t xml:space="preserve">Airline surveys, passenger surveys, and objective indicators obtained </w:t>
      </w:r>
      <w:proofErr w:type="gramStart"/>
      <w:r>
        <w:t>from  Sydney</w:t>
      </w:r>
      <w:proofErr w:type="gramEnd"/>
      <w:r>
        <w:t xml:space="preserve"> Airport</w:t>
      </w:r>
    </w:p>
    <w:p w:rsidR="00F26847" w:rsidRPr="00ED4440" w:rsidRDefault="00F26847" w:rsidP="00F26847">
      <w:pPr>
        <w:keepNext/>
        <w:rPr>
          <w:u w:val="single"/>
        </w:rPr>
      </w:pPr>
      <w:r w:rsidRPr="00ED4440">
        <w:t>Chart 5.3.2 shows that Sydney Airport’s average quality of service rating for the international terminal remained at ‘good’ while the domestic terminal remained unchanged at ‘satisfactory’ during 2014-15. The rating for aircraft-related services and facilities dropped slightly but also remained at ‘satisfactory’ during 2014-15.</w:t>
      </w:r>
    </w:p>
    <w:p w:rsidR="00F26847" w:rsidRPr="00ED4440" w:rsidRDefault="00F26847" w:rsidP="00F26847">
      <w:pPr>
        <w:keepNext/>
        <w:spacing w:before="240" w:after="200" w:line="276" w:lineRule="auto"/>
        <w:ind w:left="1440" w:hanging="1440"/>
        <w:outlineLvl w:val="3"/>
        <w:rPr>
          <w:b/>
          <w:color w:val="51626F"/>
        </w:rPr>
      </w:pPr>
      <w:r w:rsidRPr="00ED4440">
        <w:rPr>
          <w:b/>
          <w:color w:val="51626F"/>
        </w:rPr>
        <w:t>Chart 5.3.2:</w:t>
      </w:r>
      <w:r w:rsidRPr="00ED4440">
        <w:rPr>
          <w:b/>
          <w:color w:val="51626F"/>
        </w:rPr>
        <w:tab/>
        <w:t xml:space="preserve">Sydney Airport—average ratings for international and domestic terminal services, and aircraft-related services and facilities: 2010-11 to 2014-15 </w:t>
      </w:r>
    </w:p>
    <w:p w:rsidR="00F26847" w:rsidRDefault="00F26847" w:rsidP="00F26847">
      <w:pPr>
        <w:keepNext/>
      </w:pPr>
      <w:r w:rsidRPr="00243C5D">
        <w:rPr>
          <w:noProof/>
          <w:lang w:eastAsia="en-AU"/>
        </w:rPr>
        <w:drawing>
          <wp:inline distT="0" distB="0" distL="0" distR="0" wp14:anchorId="213751EA" wp14:editId="624E2F62">
            <wp:extent cx="5353050" cy="31813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64480" cy="3188143"/>
                    </a:xfrm>
                    <a:prstGeom prst="rect">
                      <a:avLst/>
                    </a:prstGeom>
                    <a:noFill/>
                    <a:ln>
                      <a:noFill/>
                    </a:ln>
                  </pic:spPr>
                </pic:pic>
              </a:graphicData>
            </a:graphic>
          </wp:inline>
        </w:drawing>
      </w:r>
    </w:p>
    <w:p w:rsidR="00F26847" w:rsidRDefault="00F26847" w:rsidP="00F26847">
      <w:pPr>
        <w:pStyle w:val="Sourceandnotes"/>
      </w:pPr>
      <w:r>
        <w:t>Source:</w:t>
      </w:r>
      <w:r>
        <w:tab/>
        <w:t>Airline surveys, passenger surveys, and objective indicators obtained from Sydney Airport</w:t>
      </w:r>
    </w:p>
    <w:p w:rsidR="00F26847" w:rsidRDefault="00F26847" w:rsidP="00F26847">
      <w:pPr>
        <w:pStyle w:val="Numberedheading3"/>
        <w:tabs>
          <w:tab w:val="clear" w:pos="1384"/>
          <w:tab w:val="num" w:pos="993"/>
        </w:tabs>
        <w:ind w:left="993" w:hanging="993"/>
      </w:pPr>
      <w:r>
        <w:lastRenderedPageBreak/>
        <w:t>Aircraft</w:t>
      </w:r>
      <w:r>
        <w:noBreakHyphen/>
        <w:t>related services and facilities</w:t>
      </w:r>
    </w:p>
    <w:p w:rsidR="00F26847" w:rsidRDefault="00F26847" w:rsidP="00F26847">
      <w:proofErr w:type="gramStart"/>
      <w:r>
        <w:t>Table 5.3.1 shows</w:t>
      </w:r>
      <w:r w:rsidRPr="00D3543F">
        <w:t xml:space="preserve"> </w:t>
      </w:r>
      <w:r>
        <w:t xml:space="preserve">that the majority of ratings </w:t>
      </w:r>
      <w:r w:rsidRPr="00790F4E">
        <w:t xml:space="preserve">for </w:t>
      </w:r>
      <w:r>
        <w:t>aircraft-related services and facilities declined during 2014-15.</w:t>
      </w:r>
      <w:proofErr w:type="gramEnd"/>
      <w:r>
        <w:t xml:space="preserve"> Notable changes to ratings for aircraft related services and facilities include airport aprons’ availability and standard which both declined within the ‘satisfactory’ category during 2014-15. A number of airlines noted that the aprons are congested during peak times and there is a lack of designated space at T1. In relation to the standard of aprons, airlines views were mixed. A few airlines noted that foreign object debris is a problem and often left unattended. However, a number of other airlines noted that the standard of aprons was acceptable or had no issues</w:t>
      </w:r>
      <w:r w:rsidRPr="0092453F">
        <w:t>.</w:t>
      </w:r>
    </w:p>
    <w:p w:rsidR="00F26847" w:rsidRDefault="00F26847" w:rsidP="00F26847">
      <w:pPr>
        <w:pStyle w:val="Numberedcharttitle"/>
      </w:pPr>
      <w:r>
        <w:t>Table 5.3.1:</w:t>
      </w:r>
      <w:r>
        <w:tab/>
        <w:t>Sydney Airport—airline ratings of quality of individual aircraft</w:t>
      </w:r>
      <w:r>
        <w:noBreakHyphen/>
        <w:t>related services and facilities: 2014-15, 1-year change, and change since 2010</w:t>
      </w:r>
      <w:r>
        <w:noBreakHyphen/>
        <w:t>11</w:t>
      </w:r>
    </w:p>
    <w:tbl>
      <w:tblPr>
        <w:tblStyle w:val="TableGrid"/>
        <w:tblW w:w="0" w:type="auto"/>
        <w:tblLook w:val="04A0" w:firstRow="1" w:lastRow="0" w:firstColumn="1" w:lastColumn="0" w:noHBand="0" w:noVBand="1"/>
      </w:tblPr>
      <w:tblGrid>
        <w:gridCol w:w="1732"/>
        <w:gridCol w:w="3054"/>
        <w:gridCol w:w="1843"/>
        <w:gridCol w:w="1017"/>
        <w:gridCol w:w="1018"/>
      </w:tblGrid>
      <w:tr w:rsidR="00F26847" w:rsidTr="00BE4EED">
        <w:tc>
          <w:tcPr>
            <w:tcW w:w="1732" w:type="dxa"/>
            <w:tcBorders>
              <w:left w:val="nil"/>
              <w:bottom w:val="single" w:sz="4" w:space="0" w:color="auto"/>
              <w:right w:val="nil"/>
            </w:tcBorders>
            <w:shd w:val="clear" w:color="auto" w:fill="DFE0DC"/>
          </w:tcPr>
          <w:p w:rsidR="00F26847" w:rsidRDefault="00F26847" w:rsidP="00BE4EED">
            <w:pPr>
              <w:pStyle w:val="Tabletextleft"/>
              <w:keepNext/>
            </w:pPr>
          </w:p>
        </w:tc>
        <w:tc>
          <w:tcPr>
            <w:tcW w:w="3054" w:type="dxa"/>
            <w:tcBorders>
              <w:left w:val="nil"/>
              <w:bottom w:val="single" w:sz="4" w:space="0" w:color="auto"/>
              <w:right w:val="nil"/>
            </w:tcBorders>
            <w:shd w:val="clear" w:color="auto" w:fill="DFE0DC"/>
            <w:vAlign w:val="center"/>
          </w:tcPr>
          <w:p w:rsidR="00F26847" w:rsidRDefault="00F26847" w:rsidP="00BE4EED">
            <w:pPr>
              <w:pStyle w:val="Tabletextleft-centred"/>
            </w:pPr>
            <w:r>
              <w:t>Indicator</w:t>
            </w:r>
          </w:p>
        </w:tc>
        <w:tc>
          <w:tcPr>
            <w:tcW w:w="1843" w:type="dxa"/>
            <w:tcBorders>
              <w:left w:val="nil"/>
              <w:bottom w:val="single" w:sz="4" w:space="0" w:color="auto"/>
              <w:right w:val="nil"/>
            </w:tcBorders>
            <w:shd w:val="clear" w:color="auto" w:fill="DFE0DC"/>
            <w:vAlign w:val="center"/>
          </w:tcPr>
          <w:p w:rsidR="00F26847" w:rsidRDefault="00F26847" w:rsidP="00BE4EED">
            <w:pPr>
              <w:pStyle w:val="Tabletextleft-centred"/>
            </w:pPr>
            <w:r>
              <w:t>Rating category</w:t>
            </w:r>
            <w:r>
              <w:br/>
              <w:t>2014-15</w:t>
            </w:r>
          </w:p>
        </w:tc>
        <w:tc>
          <w:tcPr>
            <w:tcW w:w="1017" w:type="dxa"/>
            <w:tcBorders>
              <w:left w:val="nil"/>
              <w:bottom w:val="single" w:sz="4" w:space="0" w:color="auto"/>
              <w:right w:val="nil"/>
            </w:tcBorders>
            <w:shd w:val="clear" w:color="auto" w:fill="DFE0DC"/>
            <w:vAlign w:val="center"/>
          </w:tcPr>
          <w:p w:rsidR="00F26847" w:rsidRDefault="00F26847" w:rsidP="00BE4EED">
            <w:pPr>
              <w:pStyle w:val="Tabletextleft-centred"/>
            </w:pPr>
            <w:r>
              <w:t>1-year change</w:t>
            </w:r>
          </w:p>
        </w:tc>
        <w:tc>
          <w:tcPr>
            <w:tcW w:w="1018" w:type="dxa"/>
            <w:tcBorders>
              <w:left w:val="nil"/>
              <w:bottom w:val="single" w:sz="4" w:space="0" w:color="auto"/>
              <w:right w:val="nil"/>
            </w:tcBorders>
            <w:shd w:val="clear" w:color="auto" w:fill="DFE0DC"/>
            <w:vAlign w:val="center"/>
          </w:tcPr>
          <w:p w:rsidR="00F26847" w:rsidRDefault="00F26847" w:rsidP="00BE4EED">
            <w:pPr>
              <w:pStyle w:val="Tabletextleft-centred"/>
            </w:pPr>
            <w:r>
              <w:t>Change since 2010-11</w:t>
            </w:r>
          </w:p>
        </w:tc>
      </w:tr>
      <w:tr w:rsidR="00F26847" w:rsidTr="00BE4EED">
        <w:tc>
          <w:tcPr>
            <w:tcW w:w="1732" w:type="dxa"/>
            <w:vMerge w:val="restart"/>
            <w:tcBorders>
              <w:left w:val="nil"/>
              <w:right w:val="nil"/>
            </w:tcBorders>
          </w:tcPr>
          <w:p w:rsidR="00F26847" w:rsidRDefault="00F26847" w:rsidP="00BE4EED">
            <w:pPr>
              <w:pStyle w:val="Tabletextheading"/>
            </w:pPr>
            <w:r>
              <w:t>Runway</w:t>
            </w:r>
          </w:p>
        </w:tc>
        <w:tc>
          <w:tcPr>
            <w:tcW w:w="3054" w:type="dxa"/>
            <w:tcBorders>
              <w:left w:val="nil"/>
              <w:bottom w:val="nil"/>
              <w:right w:val="nil"/>
            </w:tcBorders>
          </w:tcPr>
          <w:p w:rsidR="00F26847" w:rsidRPr="006F5D54" w:rsidRDefault="00F26847" w:rsidP="00BE4EED">
            <w:pPr>
              <w:keepNext/>
              <w:spacing w:before="40" w:after="40"/>
              <w:rPr>
                <w:color w:val="000000" w:themeColor="text1"/>
                <w:sz w:val="18"/>
              </w:rPr>
            </w:pPr>
            <w:r w:rsidRPr="006F5D54">
              <w:rPr>
                <w:color w:val="000000" w:themeColor="text1"/>
                <w:sz w:val="18"/>
              </w:rPr>
              <w:t>Availability</w:t>
            </w:r>
          </w:p>
        </w:tc>
        <w:tc>
          <w:tcPr>
            <w:tcW w:w="1843" w:type="dxa"/>
            <w:tcBorders>
              <w:left w:val="nil"/>
              <w:bottom w:val="nil"/>
              <w:right w:val="nil"/>
            </w:tcBorders>
            <w:vAlign w:val="center"/>
          </w:tcPr>
          <w:p w:rsidR="00F26847" w:rsidRPr="006F5D54" w:rsidRDefault="00F26847" w:rsidP="00BE4EED">
            <w:pPr>
              <w:keepNext/>
              <w:spacing w:before="40" w:after="40"/>
              <w:rPr>
                <w:color w:val="000000" w:themeColor="text1"/>
                <w:sz w:val="18"/>
              </w:rPr>
            </w:pPr>
            <w:r w:rsidRPr="006F5D54">
              <w:rPr>
                <w:color w:val="000000" w:themeColor="text1"/>
                <w:sz w:val="18"/>
              </w:rPr>
              <w:t>Satisfactory</w:t>
            </w:r>
          </w:p>
        </w:tc>
        <w:tc>
          <w:tcPr>
            <w:tcW w:w="1017" w:type="dxa"/>
            <w:tcBorders>
              <w:left w:val="nil"/>
              <w:bottom w:val="nil"/>
              <w:right w:val="nil"/>
            </w:tcBorders>
            <w:vAlign w:val="center"/>
          </w:tcPr>
          <w:p w:rsidR="00F26847" w:rsidRPr="005C3FFC" w:rsidRDefault="00F26847" w:rsidP="00BE4EED">
            <w:pPr>
              <w:keepNext/>
              <w:spacing w:before="40" w:after="40"/>
            </w:pPr>
            <w:r w:rsidRPr="005C3FFC">
              <w:rPr>
                <w:rFonts w:cs="Arial"/>
                <w:color w:val="F79646" w:themeColor="accent6"/>
                <w:szCs w:val="16"/>
              </w:rPr>
              <w:t>▼</w:t>
            </w:r>
          </w:p>
        </w:tc>
        <w:tc>
          <w:tcPr>
            <w:tcW w:w="1018" w:type="dxa"/>
            <w:tcBorders>
              <w:left w:val="nil"/>
              <w:bottom w:val="nil"/>
              <w:right w:val="nil"/>
            </w:tcBorders>
            <w:vAlign w:val="center"/>
          </w:tcPr>
          <w:p w:rsidR="00F26847" w:rsidRPr="005C3FFC" w:rsidRDefault="00F26847" w:rsidP="00BE4EED">
            <w:pPr>
              <w:keepNext/>
              <w:spacing w:before="40" w:after="40"/>
            </w:pPr>
            <w:r w:rsidRPr="00F617F8">
              <w:rPr>
                <w:rFonts w:cs="Arial"/>
                <w:color w:val="4BACC6"/>
              </w:rPr>
              <w:t>▬</w:t>
            </w:r>
          </w:p>
        </w:tc>
      </w:tr>
      <w:tr w:rsidR="00F26847" w:rsidTr="00BE4EED">
        <w:tc>
          <w:tcPr>
            <w:tcW w:w="1732" w:type="dxa"/>
            <w:vMerge/>
            <w:tcBorders>
              <w:left w:val="nil"/>
              <w:right w:val="nil"/>
            </w:tcBorders>
          </w:tcPr>
          <w:p w:rsidR="00F26847" w:rsidRDefault="00F26847" w:rsidP="00BE4EED">
            <w:pPr>
              <w:pStyle w:val="Tabletextheading"/>
            </w:pPr>
          </w:p>
        </w:tc>
        <w:tc>
          <w:tcPr>
            <w:tcW w:w="3054" w:type="dxa"/>
            <w:tcBorders>
              <w:top w:val="nil"/>
              <w:left w:val="nil"/>
              <w:bottom w:val="single" w:sz="4" w:space="0" w:color="auto"/>
              <w:right w:val="nil"/>
            </w:tcBorders>
          </w:tcPr>
          <w:p w:rsidR="00F26847" w:rsidRDefault="00F26847" w:rsidP="00BE4EED">
            <w:pPr>
              <w:pStyle w:val="Tabletextleft"/>
              <w:keepNext/>
            </w:pPr>
            <w:r w:rsidRPr="006F5D54">
              <w:rPr>
                <w:color w:val="000000" w:themeColor="text1"/>
              </w:rPr>
              <w:t>Standard</w:t>
            </w:r>
          </w:p>
        </w:tc>
        <w:tc>
          <w:tcPr>
            <w:tcW w:w="1843" w:type="dxa"/>
            <w:tcBorders>
              <w:top w:val="nil"/>
              <w:left w:val="nil"/>
              <w:bottom w:val="single" w:sz="4" w:space="0" w:color="auto"/>
              <w:right w:val="nil"/>
            </w:tcBorders>
            <w:vAlign w:val="center"/>
          </w:tcPr>
          <w:p w:rsidR="00F26847" w:rsidRDefault="00F26847" w:rsidP="00BE4EED">
            <w:pPr>
              <w:pStyle w:val="Tabletextleft"/>
              <w:keepNext/>
            </w:pPr>
            <w:r>
              <w:rPr>
                <w:color w:val="000000" w:themeColor="text1"/>
              </w:rPr>
              <w:t>Good</w:t>
            </w:r>
          </w:p>
        </w:tc>
        <w:tc>
          <w:tcPr>
            <w:tcW w:w="1017" w:type="dxa"/>
            <w:tcBorders>
              <w:top w:val="nil"/>
              <w:left w:val="nil"/>
              <w:bottom w:val="single" w:sz="4" w:space="0" w:color="auto"/>
              <w:right w:val="nil"/>
            </w:tcBorders>
            <w:vAlign w:val="center"/>
          </w:tcPr>
          <w:p w:rsidR="00F26847" w:rsidRDefault="00F26847" w:rsidP="00BE4EED">
            <w:pPr>
              <w:pStyle w:val="Tabletextleft"/>
              <w:keepNext/>
            </w:pPr>
            <w:r w:rsidRPr="00F617F8">
              <w:rPr>
                <w:rFonts w:cs="Arial"/>
                <w:color w:val="4BACC6"/>
              </w:rPr>
              <w:t>▬</w:t>
            </w:r>
          </w:p>
        </w:tc>
        <w:tc>
          <w:tcPr>
            <w:tcW w:w="1018" w:type="dxa"/>
            <w:tcBorders>
              <w:top w:val="nil"/>
              <w:left w:val="nil"/>
              <w:bottom w:val="single" w:sz="4" w:space="0" w:color="auto"/>
              <w:right w:val="nil"/>
            </w:tcBorders>
            <w:vAlign w:val="center"/>
          </w:tcPr>
          <w:p w:rsidR="00F26847" w:rsidRDefault="00F26847" w:rsidP="00BE4EED">
            <w:pPr>
              <w:pStyle w:val="Tabletextleft"/>
              <w:keepNext/>
            </w:pPr>
            <w:r w:rsidRPr="005C3FFC">
              <w:rPr>
                <w:rFonts w:cs="Arial"/>
                <w:color w:val="F79646" w:themeColor="accent6"/>
                <w:szCs w:val="16"/>
              </w:rPr>
              <w:t>▼</w:t>
            </w:r>
          </w:p>
        </w:tc>
      </w:tr>
      <w:tr w:rsidR="00F26847" w:rsidTr="00BE4EED">
        <w:tc>
          <w:tcPr>
            <w:tcW w:w="1732" w:type="dxa"/>
            <w:vMerge w:val="restart"/>
            <w:tcBorders>
              <w:left w:val="nil"/>
              <w:right w:val="nil"/>
            </w:tcBorders>
          </w:tcPr>
          <w:p w:rsidR="00F26847" w:rsidRDefault="00F26847" w:rsidP="00BE4EED">
            <w:pPr>
              <w:pStyle w:val="Tabletextheading"/>
            </w:pPr>
            <w:r>
              <w:t>Taxiways</w:t>
            </w:r>
          </w:p>
        </w:tc>
        <w:tc>
          <w:tcPr>
            <w:tcW w:w="3054" w:type="dxa"/>
            <w:tcBorders>
              <w:left w:val="nil"/>
              <w:bottom w:val="nil"/>
              <w:right w:val="nil"/>
            </w:tcBorders>
          </w:tcPr>
          <w:p w:rsidR="00F26847" w:rsidRPr="006F5D54" w:rsidRDefault="00F26847" w:rsidP="00BE4EED">
            <w:pPr>
              <w:pStyle w:val="Tabletextleft"/>
              <w:keepNext/>
            </w:pPr>
            <w:r w:rsidRPr="006F5D54">
              <w:t>Availability</w:t>
            </w:r>
          </w:p>
        </w:tc>
        <w:tc>
          <w:tcPr>
            <w:tcW w:w="1843" w:type="dxa"/>
            <w:tcBorders>
              <w:left w:val="nil"/>
              <w:bottom w:val="nil"/>
              <w:right w:val="nil"/>
            </w:tcBorders>
            <w:vAlign w:val="center"/>
          </w:tcPr>
          <w:p w:rsidR="00F26847" w:rsidRPr="006F5D54" w:rsidRDefault="00F26847" w:rsidP="00BE4EED">
            <w:pPr>
              <w:keepNext/>
              <w:spacing w:before="40" w:after="40"/>
              <w:rPr>
                <w:sz w:val="18"/>
              </w:rPr>
            </w:pPr>
            <w:r w:rsidRPr="006F5D54">
              <w:rPr>
                <w:sz w:val="18"/>
              </w:rPr>
              <w:t>Satisfactory</w:t>
            </w:r>
          </w:p>
        </w:tc>
        <w:tc>
          <w:tcPr>
            <w:tcW w:w="1017" w:type="dxa"/>
            <w:tcBorders>
              <w:left w:val="nil"/>
              <w:bottom w:val="nil"/>
              <w:right w:val="nil"/>
            </w:tcBorders>
            <w:vAlign w:val="center"/>
          </w:tcPr>
          <w:p w:rsidR="00F26847" w:rsidRPr="006F5D54" w:rsidRDefault="00F26847" w:rsidP="00BE4EED">
            <w:pPr>
              <w:keepNext/>
              <w:spacing w:before="40" w:after="40"/>
              <w:rPr>
                <w:highlight w:val="yellow"/>
              </w:rPr>
            </w:pPr>
            <w:r w:rsidRPr="005C3FFC">
              <w:rPr>
                <w:rFonts w:cs="Arial"/>
                <w:color w:val="F79646" w:themeColor="accent6"/>
                <w:szCs w:val="16"/>
              </w:rPr>
              <w:t>▼</w:t>
            </w:r>
          </w:p>
        </w:tc>
        <w:tc>
          <w:tcPr>
            <w:tcW w:w="1018" w:type="dxa"/>
            <w:tcBorders>
              <w:left w:val="nil"/>
              <w:bottom w:val="nil"/>
              <w:right w:val="nil"/>
            </w:tcBorders>
            <w:vAlign w:val="center"/>
          </w:tcPr>
          <w:p w:rsidR="00F26847" w:rsidRPr="006F5D54" w:rsidRDefault="00F26847" w:rsidP="00BE4EED">
            <w:pPr>
              <w:keepNext/>
              <w:spacing w:before="40" w:after="40"/>
              <w:rPr>
                <w:highlight w:val="yellow"/>
              </w:rPr>
            </w:pPr>
            <w:r w:rsidRPr="006F5D54">
              <w:rPr>
                <w:rFonts w:cs="Arial"/>
                <w:color w:val="F79646" w:themeColor="accent6"/>
                <w:szCs w:val="16"/>
              </w:rPr>
              <w:t>▼</w:t>
            </w:r>
          </w:p>
        </w:tc>
      </w:tr>
      <w:tr w:rsidR="00F26847" w:rsidTr="00BE4EED">
        <w:tc>
          <w:tcPr>
            <w:tcW w:w="1732" w:type="dxa"/>
            <w:vMerge/>
            <w:tcBorders>
              <w:left w:val="nil"/>
              <w:right w:val="nil"/>
            </w:tcBorders>
          </w:tcPr>
          <w:p w:rsidR="00F26847" w:rsidRDefault="00F26847" w:rsidP="00BE4EED">
            <w:pPr>
              <w:pStyle w:val="Tabletextheading"/>
            </w:pPr>
          </w:p>
        </w:tc>
        <w:tc>
          <w:tcPr>
            <w:tcW w:w="3054" w:type="dxa"/>
            <w:tcBorders>
              <w:top w:val="nil"/>
              <w:left w:val="nil"/>
              <w:bottom w:val="single" w:sz="4" w:space="0" w:color="auto"/>
              <w:right w:val="nil"/>
            </w:tcBorders>
          </w:tcPr>
          <w:p w:rsidR="00F26847" w:rsidRDefault="00F26847" w:rsidP="00BE4EED">
            <w:pPr>
              <w:pStyle w:val="Tabletextleft"/>
              <w:keepNext/>
            </w:pPr>
            <w:r w:rsidRPr="006F5D54">
              <w:t>Standard</w:t>
            </w:r>
          </w:p>
        </w:tc>
        <w:tc>
          <w:tcPr>
            <w:tcW w:w="1843" w:type="dxa"/>
            <w:tcBorders>
              <w:top w:val="nil"/>
              <w:left w:val="nil"/>
              <w:bottom w:val="single" w:sz="4" w:space="0" w:color="auto"/>
              <w:right w:val="nil"/>
            </w:tcBorders>
            <w:vAlign w:val="center"/>
          </w:tcPr>
          <w:p w:rsidR="00F26847" w:rsidRDefault="00F26847" w:rsidP="00BE4EED">
            <w:pPr>
              <w:pStyle w:val="Tabletextleft"/>
              <w:keepNext/>
            </w:pPr>
            <w:r w:rsidRPr="006F5D54">
              <w:t>Satisfactory</w:t>
            </w:r>
          </w:p>
        </w:tc>
        <w:tc>
          <w:tcPr>
            <w:tcW w:w="1017" w:type="dxa"/>
            <w:tcBorders>
              <w:top w:val="nil"/>
              <w:left w:val="nil"/>
              <w:bottom w:val="single" w:sz="4" w:space="0" w:color="auto"/>
              <w:right w:val="nil"/>
            </w:tcBorders>
            <w:vAlign w:val="center"/>
          </w:tcPr>
          <w:p w:rsidR="00F26847" w:rsidRPr="002D611F" w:rsidRDefault="00F26847" w:rsidP="00BE4EED">
            <w:pPr>
              <w:pStyle w:val="Tabletextleft"/>
              <w:keepNext/>
              <w:rPr>
                <w:b/>
              </w:rPr>
            </w:pPr>
            <w:r w:rsidRPr="00F617F8">
              <w:rPr>
                <w:rFonts w:cs="Arial"/>
                <w:color w:val="4BACC6"/>
              </w:rPr>
              <w:t>▬</w:t>
            </w:r>
          </w:p>
        </w:tc>
        <w:tc>
          <w:tcPr>
            <w:tcW w:w="1018" w:type="dxa"/>
            <w:tcBorders>
              <w:top w:val="nil"/>
              <w:left w:val="nil"/>
              <w:bottom w:val="single" w:sz="4" w:space="0" w:color="auto"/>
              <w:right w:val="nil"/>
            </w:tcBorders>
            <w:vAlign w:val="center"/>
          </w:tcPr>
          <w:p w:rsidR="00F26847" w:rsidRDefault="00F26847" w:rsidP="00BE4EED">
            <w:pPr>
              <w:pStyle w:val="Tabletextleft"/>
              <w:keepNext/>
            </w:pPr>
            <w:r w:rsidRPr="006F5D54">
              <w:rPr>
                <w:rFonts w:cs="Arial"/>
                <w:color w:val="F79646" w:themeColor="accent6"/>
                <w:szCs w:val="16"/>
              </w:rPr>
              <w:t>▼</w:t>
            </w:r>
            <w:r w:rsidRPr="006F5D54">
              <w:rPr>
                <w:rFonts w:cs="Arial"/>
                <w:szCs w:val="18"/>
              </w:rPr>
              <w:t>*</w:t>
            </w:r>
          </w:p>
        </w:tc>
      </w:tr>
      <w:tr w:rsidR="00F26847" w:rsidTr="00BE4EED">
        <w:tc>
          <w:tcPr>
            <w:tcW w:w="1732" w:type="dxa"/>
            <w:vMerge w:val="restart"/>
            <w:tcBorders>
              <w:left w:val="nil"/>
              <w:right w:val="nil"/>
            </w:tcBorders>
          </w:tcPr>
          <w:p w:rsidR="00F26847" w:rsidRDefault="00F26847" w:rsidP="00BE4EED">
            <w:pPr>
              <w:pStyle w:val="Tabletextheading"/>
            </w:pPr>
            <w:r>
              <w:t>Aprons</w:t>
            </w:r>
          </w:p>
        </w:tc>
        <w:tc>
          <w:tcPr>
            <w:tcW w:w="3054" w:type="dxa"/>
            <w:tcBorders>
              <w:left w:val="nil"/>
              <w:bottom w:val="nil"/>
              <w:right w:val="nil"/>
            </w:tcBorders>
          </w:tcPr>
          <w:p w:rsidR="00F26847" w:rsidRPr="006F5D54" w:rsidRDefault="00F26847" w:rsidP="00BE4EED">
            <w:pPr>
              <w:pStyle w:val="Tabletextleft"/>
              <w:keepNext/>
            </w:pPr>
            <w:r w:rsidRPr="006F5D54">
              <w:t>Availability</w:t>
            </w:r>
          </w:p>
        </w:tc>
        <w:tc>
          <w:tcPr>
            <w:tcW w:w="1843" w:type="dxa"/>
            <w:tcBorders>
              <w:left w:val="nil"/>
              <w:bottom w:val="nil"/>
              <w:right w:val="nil"/>
            </w:tcBorders>
            <w:vAlign w:val="center"/>
          </w:tcPr>
          <w:p w:rsidR="00F26847" w:rsidRPr="006F5D54" w:rsidRDefault="00F26847" w:rsidP="00BE4EED">
            <w:pPr>
              <w:keepNext/>
              <w:spacing w:before="40" w:after="40"/>
              <w:rPr>
                <w:sz w:val="18"/>
              </w:rPr>
            </w:pPr>
            <w:r>
              <w:rPr>
                <w:sz w:val="18"/>
              </w:rPr>
              <w:t>Satisfactory</w:t>
            </w:r>
          </w:p>
        </w:tc>
        <w:tc>
          <w:tcPr>
            <w:tcW w:w="1017" w:type="dxa"/>
            <w:tcBorders>
              <w:left w:val="nil"/>
              <w:bottom w:val="nil"/>
              <w:right w:val="nil"/>
            </w:tcBorders>
            <w:vAlign w:val="center"/>
          </w:tcPr>
          <w:p w:rsidR="00F26847" w:rsidRPr="006F5D54" w:rsidRDefault="00F26847" w:rsidP="00BE4EED">
            <w:pPr>
              <w:keepNext/>
              <w:spacing w:before="40" w:after="40"/>
            </w:pPr>
            <w:r w:rsidRPr="006F5D54">
              <w:rPr>
                <w:rFonts w:cs="Arial"/>
                <w:color w:val="F79646" w:themeColor="accent6"/>
                <w:szCs w:val="16"/>
              </w:rPr>
              <w:t>▼</w:t>
            </w:r>
          </w:p>
        </w:tc>
        <w:tc>
          <w:tcPr>
            <w:tcW w:w="1018" w:type="dxa"/>
            <w:tcBorders>
              <w:left w:val="nil"/>
              <w:bottom w:val="nil"/>
              <w:right w:val="nil"/>
            </w:tcBorders>
            <w:vAlign w:val="center"/>
          </w:tcPr>
          <w:p w:rsidR="00F26847" w:rsidRPr="006F5D54" w:rsidRDefault="00F26847" w:rsidP="00BE4EED">
            <w:pPr>
              <w:keepNext/>
              <w:spacing w:before="40" w:after="40"/>
              <w:rPr>
                <w:highlight w:val="yellow"/>
              </w:rPr>
            </w:pPr>
            <w:r w:rsidRPr="006F5D54">
              <w:rPr>
                <w:rFonts w:cs="Arial"/>
                <w:color w:val="F79646" w:themeColor="accent6"/>
                <w:szCs w:val="16"/>
              </w:rPr>
              <w:t>▼</w:t>
            </w:r>
          </w:p>
        </w:tc>
      </w:tr>
      <w:tr w:rsidR="00F26847" w:rsidTr="00BE4EED">
        <w:tc>
          <w:tcPr>
            <w:tcW w:w="1732" w:type="dxa"/>
            <w:vMerge/>
            <w:tcBorders>
              <w:left w:val="nil"/>
              <w:right w:val="nil"/>
            </w:tcBorders>
          </w:tcPr>
          <w:p w:rsidR="00F26847" w:rsidRDefault="00F26847" w:rsidP="00BE4EED">
            <w:pPr>
              <w:pStyle w:val="Tabletextheading"/>
            </w:pPr>
          </w:p>
        </w:tc>
        <w:tc>
          <w:tcPr>
            <w:tcW w:w="3054" w:type="dxa"/>
            <w:tcBorders>
              <w:top w:val="nil"/>
              <w:left w:val="nil"/>
              <w:bottom w:val="single" w:sz="4" w:space="0" w:color="auto"/>
              <w:right w:val="nil"/>
            </w:tcBorders>
          </w:tcPr>
          <w:p w:rsidR="00F26847" w:rsidRDefault="00F26847" w:rsidP="00BE4EED">
            <w:pPr>
              <w:pStyle w:val="Tabletextleft"/>
              <w:keepNext/>
            </w:pPr>
            <w:r w:rsidRPr="006F5D54">
              <w:t>Standard</w:t>
            </w:r>
          </w:p>
        </w:tc>
        <w:tc>
          <w:tcPr>
            <w:tcW w:w="1843" w:type="dxa"/>
            <w:tcBorders>
              <w:top w:val="nil"/>
              <w:left w:val="nil"/>
              <w:bottom w:val="single" w:sz="4" w:space="0" w:color="auto"/>
              <w:right w:val="nil"/>
            </w:tcBorders>
            <w:vAlign w:val="center"/>
          </w:tcPr>
          <w:p w:rsidR="00F26847" w:rsidRDefault="00F26847" w:rsidP="00BE4EED">
            <w:pPr>
              <w:pStyle w:val="Tabletextleft"/>
              <w:keepNext/>
            </w:pPr>
            <w:r>
              <w:t>Satisfactory</w:t>
            </w:r>
          </w:p>
        </w:tc>
        <w:tc>
          <w:tcPr>
            <w:tcW w:w="1017" w:type="dxa"/>
            <w:tcBorders>
              <w:top w:val="nil"/>
              <w:left w:val="nil"/>
              <w:bottom w:val="single" w:sz="4" w:space="0" w:color="auto"/>
              <w:right w:val="nil"/>
            </w:tcBorders>
            <w:vAlign w:val="center"/>
          </w:tcPr>
          <w:p w:rsidR="00F26847" w:rsidRDefault="00F26847" w:rsidP="00BE4EED">
            <w:pPr>
              <w:pStyle w:val="Tabletextleft"/>
              <w:keepNext/>
            </w:pPr>
            <w:r w:rsidRPr="006F5D54">
              <w:rPr>
                <w:rFonts w:cs="Arial"/>
                <w:color w:val="F79646" w:themeColor="accent6"/>
                <w:szCs w:val="16"/>
              </w:rPr>
              <w:t>▼</w:t>
            </w:r>
          </w:p>
        </w:tc>
        <w:tc>
          <w:tcPr>
            <w:tcW w:w="1018" w:type="dxa"/>
            <w:tcBorders>
              <w:top w:val="nil"/>
              <w:left w:val="nil"/>
              <w:bottom w:val="single" w:sz="4" w:space="0" w:color="auto"/>
              <w:right w:val="nil"/>
            </w:tcBorders>
            <w:vAlign w:val="center"/>
          </w:tcPr>
          <w:p w:rsidR="00F26847" w:rsidRDefault="00F26847" w:rsidP="00BE4EED">
            <w:pPr>
              <w:pStyle w:val="Tabletextleft"/>
              <w:keepNext/>
            </w:pPr>
            <w:r w:rsidRPr="006F5D54">
              <w:rPr>
                <w:rFonts w:cs="Arial"/>
                <w:color w:val="F79646" w:themeColor="accent6"/>
                <w:szCs w:val="16"/>
              </w:rPr>
              <w:t>▼</w:t>
            </w:r>
          </w:p>
        </w:tc>
      </w:tr>
      <w:tr w:rsidR="00F26847" w:rsidTr="00BE4EED">
        <w:tc>
          <w:tcPr>
            <w:tcW w:w="1732" w:type="dxa"/>
            <w:vMerge w:val="restart"/>
            <w:tcBorders>
              <w:left w:val="nil"/>
              <w:right w:val="nil"/>
            </w:tcBorders>
          </w:tcPr>
          <w:p w:rsidR="00F26847" w:rsidRDefault="00F26847" w:rsidP="00BE4EED">
            <w:pPr>
              <w:pStyle w:val="Tabletextheading"/>
            </w:pPr>
            <w:r>
              <w:t>Aircraft parking</w:t>
            </w:r>
          </w:p>
        </w:tc>
        <w:tc>
          <w:tcPr>
            <w:tcW w:w="3054" w:type="dxa"/>
            <w:tcBorders>
              <w:left w:val="nil"/>
              <w:bottom w:val="nil"/>
              <w:right w:val="nil"/>
            </w:tcBorders>
          </w:tcPr>
          <w:p w:rsidR="00F26847" w:rsidRPr="006F5D54" w:rsidRDefault="00F26847" w:rsidP="00BE4EED">
            <w:pPr>
              <w:pStyle w:val="Tabletextleft"/>
              <w:keepNext/>
            </w:pPr>
            <w:r w:rsidRPr="006F5D54">
              <w:t>Availability of facilities and bays</w:t>
            </w:r>
          </w:p>
        </w:tc>
        <w:tc>
          <w:tcPr>
            <w:tcW w:w="1843" w:type="dxa"/>
            <w:tcBorders>
              <w:left w:val="nil"/>
              <w:bottom w:val="nil"/>
              <w:right w:val="nil"/>
            </w:tcBorders>
            <w:vAlign w:val="center"/>
          </w:tcPr>
          <w:p w:rsidR="00F26847" w:rsidRPr="006F5D54" w:rsidRDefault="00F26847" w:rsidP="00BE4EED">
            <w:pPr>
              <w:keepNext/>
              <w:spacing w:before="40" w:after="40"/>
              <w:rPr>
                <w:sz w:val="18"/>
              </w:rPr>
            </w:pPr>
            <w:r>
              <w:rPr>
                <w:sz w:val="18"/>
              </w:rPr>
              <w:t>Satisfactory</w:t>
            </w:r>
          </w:p>
        </w:tc>
        <w:tc>
          <w:tcPr>
            <w:tcW w:w="1017" w:type="dxa"/>
            <w:tcBorders>
              <w:left w:val="nil"/>
              <w:bottom w:val="nil"/>
              <w:right w:val="nil"/>
            </w:tcBorders>
            <w:vAlign w:val="center"/>
          </w:tcPr>
          <w:p w:rsidR="00F26847" w:rsidRPr="006F5D54" w:rsidRDefault="00F26847" w:rsidP="00BE4EED">
            <w:pPr>
              <w:keepNext/>
              <w:spacing w:before="40" w:after="40"/>
              <w:rPr>
                <w:highlight w:val="yellow"/>
              </w:rPr>
            </w:pPr>
            <w:r w:rsidRPr="005C3FFC">
              <w:rPr>
                <w:rFonts w:cs="Arial"/>
                <w:color w:val="F79646" w:themeColor="accent6"/>
                <w:szCs w:val="16"/>
              </w:rPr>
              <w:t>▼</w:t>
            </w:r>
          </w:p>
        </w:tc>
        <w:tc>
          <w:tcPr>
            <w:tcW w:w="1018" w:type="dxa"/>
            <w:tcBorders>
              <w:left w:val="nil"/>
              <w:bottom w:val="nil"/>
              <w:right w:val="nil"/>
            </w:tcBorders>
            <w:vAlign w:val="center"/>
          </w:tcPr>
          <w:p w:rsidR="00F26847" w:rsidRPr="006F5D54" w:rsidRDefault="00F26847" w:rsidP="00BE4EED">
            <w:pPr>
              <w:keepNext/>
              <w:spacing w:before="40" w:after="40"/>
              <w:rPr>
                <w:highlight w:val="yellow"/>
              </w:rPr>
            </w:pPr>
            <w:r w:rsidRPr="006F5D54">
              <w:rPr>
                <w:rFonts w:cs="Arial"/>
                <w:color w:val="943634" w:themeColor="accent2" w:themeShade="BF"/>
                <w:szCs w:val="18"/>
              </w:rPr>
              <w:t>▲</w:t>
            </w:r>
            <w:r w:rsidRPr="006F5D54">
              <w:rPr>
                <w:rFonts w:cs="Arial"/>
                <w:sz w:val="18"/>
                <w:szCs w:val="18"/>
              </w:rPr>
              <w:t>*</w:t>
            </w:r>
          </w:p>
        </w:tc>
      </w:tr>
      <w:tr w:rsidR="00F26847" w:rsidTr="00BE4EED">
        <w:tc>
          <w:tcPr>
            <w:tcW w:w="1732" w:type="dxa"/>
            <w:vMerge/>
            <w:tcBorders>
              <w:left w:val="nil"/>
              <w:right w:val="nil"/>
            </w:tcBorders>
          </w:tcPr>
          <w:p w:rsidR="00F26847" w:rsidRDefault="00F26847" w:rsidP="00BE4EED">
            <w:pPr>
              <w:pStyle w:val="Tabletextheading"/>
            </w:pPr>
          </w:p>
        </w:tc>
        <w:tc>
          <w:tcPr>
            <w:tcW w:w="3054" w:type="dxa"/>
            <w:tcBorders>
              <w:top w:val="nil"/>
              <w:left w:val="nil"/>
              <w:bottom w:val="single" w:sz="4" w:space="0" w:color="auto"/>
              <w:right w:val="nil"/>
            </w:tcBorders>
          </w:tcPr>
          <w:p w:rsidR="00F26847" w:rsidRDefault="00F26847" w:rsidP="00BE4EED">
            <w:pPr>
              <w:pStyle w:val="Tabletextleft"/>
              <w:keepNext/>
            </w:pPr>
            <w:r w:rsidRPr="006F5D54">
              <w:t>Standard of facilities and bays</w:t>
            </w:r>
          </w:p>
        </w:tc>
        <w:tc>
          <w:tcPr>
            <w:tcW w:w="1843" w:type="dxa"/>
            <w:tcBorders>
              <w:top w:val="nil"/>
              <w:left w:val="nil"/>
              <w:bottom w:val="single" w:sz="4" w:space="0" w:color="auto"/>
              <w:right w:val="nil"/>
            </w:tcBorders>
            <w:vAlign w:val="center"/>
          </w:tcPr>
          <w:p w:rsidR="00F26847" w:rsidRDefault="00F26847" w:rsidP="00BE4EED">
            <w:pPr>
              <w:pStyle w:val="Tabletextleft"/>
              <w:keepNext/>
            </w:pPr>
            <w:r>
              <w:t>Satisfactory</w:t>
            </w:r>
          </w:p>
        </w:tc>
        <w:tc>
          <w:tcPr>
            <w:tcW w:w="1017" w:type="dxa"/>
            <w:tcBorders>
              <w:top w:val="nil"/>
              <w:left w:val="nil"/>
              <w:bottom w:val="single" w:sz="4" w:space="0" w:color="auto"/>
              <w:right w:val="nil"/>
            </w:tcBorders>
            <w:vAlign w:val="center"/>
          </w:tcPr>
          <w:p w:rsidR="00F26847" w:rsidRDefault="00F26847" w:rsidP="00BE4EED">
            <w:pPr>
              <w:pStyle w:val="Tabletextleft"/>
              <w:keepNext/>
            </w:pPr>
            <w:r w:rsidRPr="005C3FFC">
              <w:rPr>
                <w:rFonts w:cs="Arial"/>
                <w:color w:val="F79646" w:themeColor="accent6"/>
                <w:szCs w:val="16"/>
              </w:rPr>
              <w:t>▼</w:t>
            </w:r>
          </w:p>
        </w:tc>
        <w:tc>
          <w:tcPr>
            <w:tcW w:w="1018" w:type="dxa"/>
            <w:tcBorders>
              <w:top w:val="nil"/>
              <w:left w:val="nil"/>
              <w:bottom w:val="single" w:sz="4" w:space="0" w:color="auto"/>
              <w:right w:val="nil"/>
            </w:tcBorders>
            <w:vAlign w:val="center"/>
          </w:tcPr>
          <w:p w:rsidR="00F26847" w:rsidRDefault="00F26847" w:rsidP="00BE4EED">
            <w:pPr>
              <w:pStyle w:val="Tabletextleft"/>
              <w:keepNext/>
            </w:pPr>
            <w:r w:rsidRPr="006F5D54">
              <w:rPr>
                <w:rFonts w:cs="Arial"/>
                <w:color w:val="F79646" w:themeColor="accent6"/>
                <w:szCs w:val="16"/>
              </w:rPr>
              <w:t>▼</w:t>
            </w:r>
          </w:p>
        </w:tc>
      </w:tr>
      <w:tr w:rsidR="00F26847" w:rsidTr="00BE4EED">
        <w:tc>
          <w:tcPr>
            <w:tcW w:w="1732" w:type="dxa"/>
            <w:vMerge w:val="restart"/>
            <w:tcBorders>
              <w:left w:val="nil"/>
              <w:right w:val="nil"/>
            </w:tcBorders>
          </w:tcPr>
          <w:p w:rsidR="00F26847" w:rsidRDefault="00F26847" w:rsidP="00BE4EED">
            <w:pPr>
              <w:pStyle w:val="Tabletextheading"/>
            </w:pPr>
            <w:r>
              <w:t>Ground handling</w:t>
            </w:r>
          </w:p>
        </w:tc>
        <w:tc>
          <w:tcPr>
            <w:tcW w:w="3054" w:type="dxa"/>
            <w:tcBorders>
              <w:left w:val="nil"/>
              <w:bottom w:val="nil"/>
              <w:right w:val="nil"/>
            </w:tcBorders>
          </w:tcPr>
          <w:p w:rsidR="00F26847" w:rsidRPr="006F5D54" w:rsidRDefault="00F26847" w:rsidP="00BE4EED">
            <w:pPr>
              <w:pStyle w:val="Tabletextleft"/>
              <w:keepNext/>
            </w:pPr>
            <w:r w:rsidRPr="006F5D54">
              <w:t>Availability of services and facilities</w:t>
            </w:r>
          </w:p>
        </w:tc>
        <w:tc>
          <w:tcPr>
            <w:tcW w:w="1843" w:type="dxa"/>
            <w:tcBorders>
              <w:left w:val="nil"/>
              <w:bottom w:val="nil"/>
              <w:right w:val="nil"/>
            </w:tcBorders>
            <w:vAlign w:val="center"/>
          </w:tcPr>
          <w:p w:rsidR="00F26847" w:rsidRPr="006F5D54" w:rsidRDefault="00F26847" w:rsidP="00BE4EED">
            <w:pPr>
              <w:keepNext/>
              <w:spacing w:before="40" w:after="40"/>
              <w:rPr>
                <w:sz w:val="18"/>
              </w:rPr>
            </w:pPr>
            <w:r>
              <w:rPr>
                <w:sz w:val="18"/>
              </w:rPr>
              <w:t>Satisfactory</w:t>
            </w:r>
          </w:p>
        </w:tc>
        <w:tc>
          <w:tcPr>
            <w:tcW w:w="1017" w:type="dxa"/>
            <w:tcBorders>
              <w:left w:val="nil"/>
              <w:bottom w:val="nil"/>
              <w:right w:val="nil"/>
            </w:tcBorders>
            <w:vAlign w:val="center"/>
          </w:tcPr>
          <w:p w:rsidR="00F26847" w:rsidRPr="006F5D54" w:rsidRDefault="00F26847" w:rsidP="00BE4EED">
            <w:pPr>
              <w:keepNext/>
              <w:spacing w:before="40" w:after="40"/>
              <w:rPr>
                <w:highlight w:val="yellow"/>
              </w:rPr>
            </w:pPr>
            <w:r w:rsidRPr="006F5D54">
              <w:rPr>
                <w:rFonts w:cs="Arial"/>
                <w:color w:val="F79646" w:themeColor="accent6"/>
                <w:szCs w:val="16"/>
              </w:rPr>
              <w:t>▼</w:t>
            </w:r>
          </w:p>
        </w:tc>
        <w:tc>
          <w:tcPr>
            <w:tcW w:w="1018" w:type="dxa"/>
            <w:tcBorders>
              <w:left w:val="nil"/>
              <w:bottom w:val="nil"/>
              <w:right w:val="nil"/>
            </w:tcBorders>
            <w:vAlign w:val="center"/>
          </w:tcPr>
          <w:p w:rsidR="00F26847" w:rsidRPr="006F5D54" w:rsidRDefault="00F26847" w:rsidP="00BE4EED">
            <w:pPr>
              <w:keepNext/>
              <w:spacing w:before="40" w:after="40"/>
              <w:rPr>
                <w:highlight w:val="yellow"/>
              </w:rPr>
            </w:pPr>
            <w:r w:rsidRPr="006F5D54">
              <w:rPr>
                <w:rFonts w:cs="Arial"/>
                <w:color w:val="F79646" w:themeColor="accent6"/>
                <w:szCs w:val="16"/>
              </w:rPr>
              <w:t>▼</w:t>
            </w:r>
          </w:p>
        </w:tc>
      </w:tr>
      <w:tr w:rsidR="00F26847" w:rsidTr="00BE4EED">
        <w:tc>
          <w:tcPr>
            <w:tcW w:w="1732" w:type="dxa"/>
            <w:vMerge/>
            <w:tcBorders>
              <w:left w:val="nil"/>
              <w:right w:val="nil"/>
            </w:tcBorders>
          </w:tcPr>
          <w:p w:rsidR="00F26847" w:rsidRDefault="00F26847" w:rsidP="00BE4EED">
            <w:pPr>
              <w:pStyle w:val="Tabletextheading"/>
            </w:pPr>
          </w:p>
        </w:tc>
        <w:tc>
          <w:tcPr>
            <w:tcW w:w="3054" w:type="dxa"/>
            <w:tcBorders>
              <w:top w:val="nil"/>
              <w:left w:val="nil"/>
              <w:bottom w:val="single" w:sz="4" w:space="0" w:color="auto"/>
              <w:right w:val="nil"/>
            </w:tcBorders>
          </w:tcPr>
          <w:p w:rsidR="00F26847" w:rsidRDefault="00F26847" w:rsidP="00BE4EED">
            <w:pPr>
              <w:pStyle w:val="Tabletextleft"/>
              <w:keepNext/>
            </w:pPr>
            <w:r w:rsidRPr="006F5D54">
              <w:t>Standard of services and facilities</w:t>
            </w:r>
          </w:p>
        </w:tc>
        <w:tc>
          <w:tcPr>
            <w:tcW w:w="1843" w:type="dxa"/>
            <w:tcBorders>
              <w:top w:val="nil"/>
              <w:left w:val="nil"/>
              <w:bottom w:val="single" w:sz="4" w:space="0" w:color="auto"/>
              <w:right w:val="nil"/>
            </w:tcBorders>
            <w:vAlign w:val="center"/>
          </w:tcPr>
          <w:p w:rsidR="00F26847" w:rsidRDefault="00F26847" w:rsidP="00BE4EED">
            <w:pPr>
              <w:pStyle w:val="Tabletextleft"/>
              <w:keepNext/>
            </w:pPr>
            <w:r w:rsidRPr="006F5D54">
              <w:t>Satisfactory</w:t>
            </w:r>
          </w:p>
        </w:tc>
        <w:tc>
          <w:tcPr>
            <w:tcW w:w="1017" w:type="dxa"/>
            <w:tcBorders>
              <w:top w:val="nil"/>
              <w:left w:val="nil"/>
              <w:bottom w:val="single" w:sz="4" w:space="0" w:color="auto"/>
              <w:right w:val="nil"/>
            </w:tcBorders>
            <w:vAlign w:val="center"/>
          </w:tcPr>
          <w:p w:rsidR="00F26847" w:rsidRDefault="00F26847" w:rsidP="00BE4EED">
            <w:pPr>
              <w:pStyle w:val="Tabletextleft"/>
              <w:keepNext/>
            </w:pPr>
            <w:r w:rsidRPr="006F5D54">
              <w:rPr>
                <w:rFonts w:cs="Arial"/>
                <w:color w:val="F79646" w:themeColor="accent6"/>
                <w:szCs w:val="16"/>
              </w:rPr>
              <w:t>▼</w:t>
            </w:r>
          </w:p>
        </w:tc>
        <w:tc>
          <w:tcPr>
            <w:tcW w:w="1018" w:type="dxa"/>
            <w:tcBorders>
              <w:top w:val="nil"/>
              <w:left w:val="nil"/>
              <w:bottom w:val="single" w:sz="4" w:space="0" w:color="auto"/>
              <w:right w:val="nil"/>
            </w:tcBorders>
            <w:vAlign w:val="center"/>
          </w:tcPr>
          <w:p w:rsidR="00F26847" w:rsidRDefault="00F26847" w:rsidP="00BE4EED">
            <w:pPr>
              <w:pStyle w:val="Tabletextleft"/>
              <w:keepNext/>
            </w:pPr>
            <w:r w:rsidRPr="006F5D54">
              <w:rPr>
                <w:rFonts w:cs="Arial"/>
                <w:color w:val="F79646" w:themeColor="accent6"/>
                <w:szCs w:val="16"/>
              </w:rPr>
              <w:t>▼</w:t>
            </w:r>
          </w:p>
        </w:tc>
      </w:tr>
      <w:tr w:rsidR="00F26847" w:rsidTr="00BE4EED">
        <w:tc>
          <w:tcPr>
            <w:tcW w:w="1732" w:type="dxa"/>
            <w:vMerge w:val="restart"/>
            <w:tcBorders>
              <w:left w:val="nil"/>
              <w:right w:val="nil"/>
            </w:tcBorders>
          </w:tcPr>
          <w:p w:rsidR="00F26847" w:rsidRDefault="00F26847" w:rsidP="00BE4EED">
            <w:pPr>
              <w:pStyle w:val="Tabletextheading"/>
            </w:pPr>
            <w:r>
              <w:t>Management responsiveness</w:t>
            </w:r>
          </w:p>
        </w:tc>
        <w:tc>
          <w:tcPr>
            <w:tcW w:w="3054" w:type="dxa"/>
            <w:tcBorders>
              <w:left w:val="nil"/>
              <w:bottom w:val="nil"/>
              <w:right w:val="nil"/>
            </w:tcBorders>
          </w:tcPr>
          <w:p w:rsidR="00F26847" w:rsidRPr="006F5D54" w:rsidRDefault="00F26847" w:rsidP="00BE4EED">
            <w:pPr>
              <w:pStyle w:val="Tabletextleft"/>
              <w:keepNext/>
            </w:pPr>
            <w:r w:rsidRPr="006F5D54">
              <w:t>Availability</w:t>
            </w:r>
          </w:p>
        </w:tc>
        <w:tc>
          <w:tcPr>
            <w:tcW w:w="1843" w:type="dxa"/>
            <w:tcBorders>
              <w:left w:val="nil"/>
              <w:bottom w:val="nil"/>
              <w:right w:val="nil"/>
            </w:tcBorders>
          </w:tcPr>
          <w:p w:rsidR="00F26847" w:rsidRPr="006F5D54" w:rsidRDefault="00F26847" w:rsidP="00BE4EED">
            <w:pPr>
              <w:pStyle w:val="Tabletextleft"/>
              <w:keepNext/>
            </w:pPr>
            <w:r>
              <w:t>Good</w:t>
            </w:r>
          </w:p>
        </w:tc>
        <w:tc>
          <w:tcPr>
            <w:tcW w:w="1017" w:type="dxa"/>
            <w:tcBorders>
              <w:left w:val="nil"/>
              <w:bottom w:val="nil"/>
              <w:right w:val="nil"/>
            </w:tcBorders>
          </w:tcPr>
          <w:p w:rsidR="00F26847" w:rsidRPr="006F5D54" w:rsidRDefault="00F26847" w:rsidP="00BE4EED">
            <w:pPr>
              <w:pStyle w:val="Tabletextleft"/>
              <w:keepNext/>
            </w:pPr>
            <w:r w:rsidRPr="006F5D54">
              <w:t>▲</w:t>
            </w:r>
          </w:p>
        </w:tc>
        <w:tc>
          <w:tcPr>
            <w:tcW w:w="1018" w:type="dxa"/>
            <w:tcBorders>
              <w:left w:val="nil"/>
              <w:bottom w:val="nil"/>
              <w:right w:val="nil"/>
            </w:tcBorders>
          </w:tcPr>
          <w:p w:rsidR="00F26847" w:rsidRPr="006F5D54" w:rsidRDefault="00F26847" w:rsidP="00BE4EED">
            <w:pPr>
              <w:pStyle w:val="Tabletextleft"/>
              <w:keepNext/>
            </w:pPr>
            <w:r w:rsidRPr="006F5D54">
              <w:rPr>
                <w:color w:val="943634" w:themeColor="accent2" w:themeShade="BF"/>
              </w:rPr>
              <w:t>▲</w:t>
            </w:r>
            <w:r w:rsidRPr="006F5D54">
              <w:t>*</w:t>
            </w:r>
          </w:p>
        </w:tc>
      </w:tr>
      <w:tr w:rsidR="00F26847" w:rsidTr="00BE4EED">
        <w:tc>
          <w:tcPr>
            <w:tcW w:w="1732" w:type="dxa"/>
            <w:vMerge/>
            <w:tcBorders>
              <w:left w:val="nil"/>
              <w:right w:val="nil"/>
            </w:tcBorders>
          </w:tcPr>
          <w:p w:rsidR="00F26847" w:rsidRDefault="00F26847" w:rsidP="00BE4EED">
            <w:pPr>
              <w:pStyle w:val="Tabletextheading"/>
            </w:pPr>
          </w:p>
        </w:tc>
        <w:tc>
          <w:tcPr>
            <w:tcW w:w="3054" w:type="dxa"/>
            <w:tcBorders>
              <w:top w:val="nil"/>
              <w:left w:val="nil"/>
              <w:right w:val="nil"/>
            </w:tcBorders>
          </w:tcPr>
          <w:p w:rsidR="00F26847" w:rsidRDefault="00F26847" w:rsidP="00BE4EED">
            <w:pPr>
              <w:pStyle w:val="Tabletextleft"/>
              <w:keepNext/>
            </w:pPr>
            <w:r w:rsidRPr="00B123FF">
              <w:t>Standard</w:t>
            </w:r>
          </w:p>
        </w:tc>
        <w:tc>
          <w:tcPr>
            <w:tcW w:w="1843" w:type="dxa"/>
            <w:tcBorders>
              <w:top w:val="nil"/>
              <w:left w:val="nil"/>
              <w:right w:val="nil"/>
            </w:tcBorders>
          </w:tcPr>
          <w:p w:rsidR="00F26847" w:rsidRDefault="00F26847" w:rsidP="00BE4EED">
            <w:pPr>
              <w:pStyle w:val="Tabletextleft"/>
              <w:keepNext/>
            </w:pPr>
            <w:r w:rsidRPr="00B123FF">
              <w:t>Satisfactory</w:t>
            </w:r>
          </w:p>
        </w:tc>
        <w:tc>
          <w:tcPr>
            <w:tcW w:w="1017" w:type="dxa"/>
            <w:tcBorders>
              <w:top w:val="nil"/>
              <w:left w:val="nil"/>
              <w:right w:val="nil"/>
            </w:tcBorders>
          </w:tcPr>
          <w:p w:rsidR="00F26847" w:rsidRDefault="00F26847" w:rsidP="00BE4EED">
            <w:pPr>
              <w:pStyle w:val="Tabletextleft"/>
              <w:keepNext/>
            </w:pPr>
            <w:r w:rsidRPr="00C264ED">
              <w:rPr>
                <w:rFonts w:cs="Arial"/>
                <w:color w:val="4BACC6"/>
              </w:rPr>
              <w:t>▬</w:t>
            </w:r>
          </w:p>
        </w:tc>
        <w:tc>
          <w:tcPr>
            <w:tcW w:w="1018" w:type="dxa"/>
            <w:tcBorders>
              <w:top w:val="nil"/>
              <w:left w:val="nil"/>
              <w:right w:val="nil"/>
            </w:tcBorders>
          </w:tcPr>
          <w:p w:rsidR="00F26847" w:rsidRDefault="00F26847" w:rsidP="00BE4EED">
            <w:pPr>
              <w:pStyle w:val="Tabletextleft"/>
              <w:keepNext/>
            </w:pPr>
            <w:r w:rsidRPr="00C264ED">
              <w:rPr>
                <w:rFonts w:cs="Arial"/>
                <w:color w:val="4BACC6"/>
              </w:rPr>
              <w:t>▬</w:t>
            </w:r>
          </w:p>
        </w:tc>
      </w:tr>
    </w:tbl>
    <w:p w:rsidR="00F26847" w:rsidRPr="00ED4440" w:rsidRDefault="00F26847" w:rsidP="00F26847">
      <w:pPr>
        <w:pStyle w:val="Sourceandnotes"/>
      </w:pPr>
      <w:r w:rsidRPr="00ED4440">
        <w:t>Source:</w:t>
      </w:r>
      <w:r w:rsidRPr="00ED4440">
        <w:tab/>
        <w:t>Airline surveys</w:t>
      </w:r>
    </w:p>
    <w:p w:rsidR="00F26847" w:rsidRPr="00ED4440" w:rsidRDefault="00F26847" w:rsidP="00F26847">
      <w:pPr>
        <w:pStyle w:val="Sourceandnotes"/>
      </w:pPr>
      <w:r w:rsidRPr="00ED4440">
        <w:t>Note:</w:t>
      </w:r>
      <w:r w:rsidRPr="00ED4440">
        <w:tab/>
        <w:t>The rating categories are: very poor, poor, satisfactory, good, and excellent.</w:t>
      </w:r>
      <w:r w:rsidRPr="00ED4440">
        <w:br/>
        <w:t xml:space="preserve">For each indicator for the period specified: </w:t>
      </w:r>
      <w:r w:rsidRPr="00ED4440">
        <w:rPr>
          <w:rFonts w:eastAsia="Times New Roman" w:cs="Times New Roman"/>
          <w:color w:val="943634"/>
          <w:lang w:eastAsia="en-AU"/>
        </w:rPr>
        <w:t xml:space="preserve">▲ </w:t>
      </w:r>
      <w:r w:rsidRPr="00ED4440">
        <w:t>indicates an improvement;</w:t>
      </w:r>
      <w:r w:rsidRPr="00ED4440">
        <w:rPr>
          <w:rFonts w:eastAsia="Times New Roman" w:cs="Times New Roman"/>
          <w:color w:val="943634"/>
          <w:lang w:eastAsia="en-AU"/>
        </w:rPr>
        <w:t xml:space="preserve"> </w:t>
      </w:r>
      <w:r w:rsidRPr="00ED4440">
        <w:rPr>
          <w:rFonts w:eastAsia="Times New Roman" w:cs="Times New Roman"/>
          <w:color w:val="F79646"/>
          <w:lang w:eastAsia="en-AU"/>
        </w:rPr>
        <w:t xml:space="preserve">▼ </w:t>
      </w:r>
      <w:r w:rsidRPr="00ED4440">
        <w:t>indicates a decline;</w:t>
      </w:r>
      <w:r w:rsidRPr="00ED4440">
        <w:rPr>
          <w:rFonts w:eastAsia="Times New Roman" w:cs="Times New Roman"/>
          <w:color w:val="F79646"/>
          <w:lang w:eastAsia="en-AU"/>
        </w:rPr>
        <w:t xml:space="preserve"> </w:t>
      </w:r>
      <w:r w:rsidRPr="00ED4440">
        <w:rPr>
          <w:rFonts w:cs="Arial"/>
          <w:color w:val="4BACC6"/>
        </w:rPr>
        <w:t>▬</w:t>
      </w:r>
      <w:r w:rsidRPr="00ED4440">
        <w:t xml:space="preserve"> indicates no change. *Rating changed by a category over the period; **Rating changes by two categories over the period.</w:t>
      </w:r>
    </w:p>
    <w:p w:rsidR="00F26847" w:rsidRDefault="00F26847" w:rsidP="00F26847">
      <w:r>
        <w:t>Aircraft parking facilities and bays availability and standard also both declined within the ‘satisfactory’ category during 2014-15. Several airlines commented that during the peak period there are insufficient parking bays. Other airlines noted that they often have to wait for or change parking bays.</w:t>
      </w:r>
    </w:p>
    <w:p w:rsidR="00F26847" w:rsidRPr="00636CF8" w:rsidRDefault="00F26847" w:rsidP="00F26847">
      <w:pPr>
        <w:pStyle w:val="Numberedheading3"/>
        <w:tabs>
          <w:tab w:val="clear" w:pos="1384"/>
          <w:tab w:val="num" w:pos="993"/>
        </w:tabs>
        <w:ind w:left="993" w:hanging="993"/>
      </w:pPr>
      <w:r w:rsidRPr="00636CF8">
        <w:t>Passenger-related services and facilities</w:t>
      </w:r>
    </w:p>
    <w:p w:rsidR="00F26847" w:rsidRDefault="00F26847" w:rsidP="00F26847">
      <w:pPr>
        <w:pStyle w:val="Numberedheading4"/>
      </w:pPr>
      <w:r>
        <w:t>International terminal</w:t>
      </w:r>
    </w:p>
    <w:p w:rsidR="00F26847" w:rsidRPr="00ED4440" w:rsidRDefault="00F26847" w:rsidP="00F26847">
      <w:r w:rsidRPr="00ED4440">
        <w:t xml:space="preserve">Table 5.3.2 presents quality of service passenger-related services and facilities for the international terminal. During 2014-15, all airline ratings for services and facilities at T1 declined. Passenger ratings were more varied with the majority of responses showing no movement. Most outcomes for objective indicators showed declines in quality outcomes.   </w:t>
      </w:r>
    </w:p>
    <w:p w:rsidR="00F26847" w:rsidRDefault="00F26847" w:rsidP="00F26847">
      <w:r w:rsidRPr="00ED4440">
        <w:t>Airlines’ rating of check-in availability and standard decreased within the ‘satisfactory’ category during 2014-15. In commentary to the survey, a number of airlines noted that during peak period there are constraints on counter availability (similar commentary was noted for 2013-14). Commentary on the standard of check-in was mixed. A number of airlines noted cleanliness issues with the counters while some were satisfied with the quality</w:t>
      </w:r>
      <w:r>
        <w:t>.</w:t>
      </w:r>
    </w:p>
    <w:p w:rsidR="00F26847" w:rsidRDefault="00F26847" w:rsidP="00F26847">
      <w:r>
        <w:lastRenderedPageBreak/>
        <w:t>Airline ratings on the availability and standard of baggage processing facilities decreased from ‘satisfactory’ to ‘poor’ during 2014-15. A number of airlines commented that the baggage processing facilities at T1 were unable to cope with the quantity of bags going through the facilities, particularly at peak times. Several airlines commented on frequent breakdowns of equipment, particularly at peak times. Also a number of airlines commented on the unreliability of baggage transfer between T1 and the domestic terminals. The ACCC understands that Sydney Airport has committed to expanding its baggage handling system in T1. This is on top of its investment in 2014-15 in technology that better manages baggage that is check</w:t>
      </w:r>
      <w:r w:rsidR="004B2C0A">
        <w:t xml:space="preserve">ed </w:t>
      </w:r>
      <w:r>
        <w:t>in well before the relevant fl</w:t>
      </w:r>
      <w:r w:rsidR="007A2C42">
        <w:t>i</w:t>
      </w:r>
      <w:r>
        <w:t xml:space="preserve">ght. </w:t>
      </w:r>
    </w:p>
    <w:p w:rsidR="00F26847" w:rsidRDefault="00F26847" w:rsidP="00F26847">
      <w:r>
        <w:t>Airline ratings of the availability and standard of aerobridges also decreased from ‘satisfactory’ to ‘poor’ during 2014-15. Commentary from airlines regarding aerobridge availability was generally negative. A number said that availability was a concern during peak periods and either caused delays or more bussing of passengers. As was the case in 2013-14, a number of airlines mentioned that aerobridges leak during rainy days and had issues with general cleanliness. Three airlines commented on the reliability of the aerobridges with frequent breakdowns or malfunctions.</w:t>
      </w:r>
    </w:p>
    <w:p w:rsidR="00F26847" w:rsidRDefault="00F26847" w:rsidP="00F26847">
      <w:r>
        <w:t>Passenger ratings of waiting time in outbound immigration areas declined within the ‘good’ range, while their ratings of waiting time in inbound immigration areas was unchanged at ‘good’ during 2014-15.</w:t>
      </w:r>
      <w:r w:rsidRPr="00D3470F">
        <w:t xml:space="preserve"> </w:t>
      </w:r>
    </w:p>
    <w:p w:rsidR="00F26847" w:rsidRDefault="00F26847" w:rsidP="00F26847"/>
    <w:p w:rsidR="00F26847" w:rsidRDefault="00F26847" w:rsidP="00F26847">
      <w:pPr>
        <w:sectPr w:rsidR="00F26847" w:rsidSect="00BE4EED">
          <w:headerReference w:type="even" r:id="rId161"/>
          <w:headerReference w:type="default" r:id="rId162"/>
          <w:type w:val="continuous"/>
          <w:pgSz w:w="11906" w:h="16838"/>
          <w:pgMar w:top="1440" w:right="1729" w:bottom="1582" w:left="1729" w:header="709" w:footer="709" w:gutter="0"/>
          <w:cols w:space="708"/>
          <w:docGrid w:linePitch="360"/>
        </w:sectPr>
      </w:pPr>
    </w:p>
    <w:p w:rsidR="00F26847" w:rsidRPr="00ED4440" w:rsidRDefault="00F26847" w:rsidP="00F26847">
      <w:pPr>
        <w:keepNext/>
        <w:spacing w:before="240" w:after="200" w:line="276" w:lineRule="auto"/>
        <w:ind w:left="1440" w:hanging="1440"/>
        <w:outlineLvl w:val="3"/>
        <w:rPr>
          <w:b/>
          <w:color w:val="51626F"/>
        </w:rPr>
      </w:pPr>
      <w:r w:rsidRPr="00ED4440">
        <w:rPr>
          <w:b/>
          <w:color w:val="51626F"/>
        </w:rPr>
        <w:lastRenderedPageBreak/>
        <w:t>Table 5.3.2:</w:t>
      </w:r>
      <w:r w:rsidRPr="00ED4440">
        <w:rPr>
          <w:b/>
          <w:color w:val="51626F"/>
        </w:rPr>
        <w:tab/>
        <w:t>Sydney Airport—indicators of quality of passenger</w:t>
      </w:r>
      <w:r w:rsidRPr="00ED4440">
        <w:rPr>
          <w:b/>
          <w:color w:val="51626F"/>
        </w:rPr>
        <w:noBreakHyphen/>
        <w:t>related services and facilities – international terminal: 2014</w:t>
      </w:r>
      <w:r w:rsidRPr="00ED4440">
        <w:rPr>
          <w:b/>
          <w:color w:val="51626F"/>
        </w:rPr>
        <w:noBreakHyphen/>
        <w:t>15, 1-year change and change since 2010</w:t>
      </w:r>
      <w:r w:rsidRPr="00ED4440">
        <w:rPr>
          <w:b/>
          <w:color w:val="51626F"/>
        </w:rPr>
        <w:noBreakHyphen/>
        <w:t>11</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F26847" w:rsidTr="00BE4EED">
        <w:tc>
          <w:tcPr>
            <w:tcW w:w="1266" w:type="dxa"/>
            <w:tcBorders>
              <w:left w:val="nil"/>
              <w:bottom w:val="single" w:sz="4" w:space="0" w:color="auto"/>
              <w:right w:val="nil"/>
            </w:tcBorders>
            <w:shd w:val="clear" w:color="auto" w:fill="DFE0DC"/>
          </w:tcPr>
          <w:p w:rsidR="00F26847" w:rsidRDefault="00F26847" w:rsidP="00BE4EED">
            <w:pPr>
              <w:pStyle w:val="QOStabletextleftbold"/>
            </w:pPr>
            <w:r>
              <w:t>Category</w:t>
            </w:r>
          </w:p>
        </w:tc>
        <w:tc>
          <w:tcPr>
            <w:tcW w:w="6662" w:type="dxa"/>
            <w:tcBorders>
              <w:left w:val="nil"/>
              <w:bottom w:val="single" w:sz="4" w:space="0" w:color="auto"/>
              <w:right w:val="nil"/>
            </w:tcBorders>
            <w:shd w:val="clear" w:color="auto" w:fill="DFE0DC"/>
          </w:tcPr>
          <w:p w:rsidR="00F26847" w:rsidRDefault="00F26847" w:rsidP="00BE4EED">
            <w:pPr>
              <w:pStyle w:val="QOStabletextleftbold"/>
            </w:pPr>
            <w:r>
              <w:t>Indicator</w:t>
            </w:r>
          </w:p>
        </w:tc>
        <w:tc>
          <w:tcPr>
            <w:tcW w:w="1559" w:type="dxa"/>
            <w:tcBorders>
              <w:left w:val="nil"/>
              <w:bottom w:val="single" w:sz="4" w:space="0" w:color="auto"/>
              <w:right w:val="nil"/>
            </w:tcBorders>
            <w:shd w:val="clear" w:color="auto" w:fill="DFE0DC"/>
          </w:tcPr>
          <w:p w:rsidR="00F26847" w:rsidRDefault="00F26847" w:rsidP="00BE4EED">
            <w:pPr>
              <w:pStyle w:val="QOStabletextleftbold"/>
            </w:pPr>
            <w:r>
              <w:t>Data source</w:t>
            </w:r>
          </w:p>
        </w:tc>
        <w:tc>
          <w:tcPr>
            <w:tcW w:w="1559" w:type="dxa"/>
            <w:tcBorders>
              <w:left w:val="nil"/>
              <w:bottom w:val="single" w:sz="4" w:space="0" w:color="auto"/>
              <w:right w:val="nil"/>
            </w:tcBorders>
            <w:shd w:val="clear" w:color="auto" w:fill="DFE0DC"/>
          </w:tcPr>
          <w:p w:rsidR="00F26847" w:rsidRDefault="00F26847" w:rsidP="00BE4EED">
            <w:pPr>
              <w:pStyle w:val="QOStabletextleftbold"/>
            </w:pPr>
            <w:r>
              <w:t>Indicator result 2014-15</w:t>
            </w:r>
          </w:p>
        </w:tc>
        <w:tc>
          <w:tcPr>
            <w:tcW w:w="1493" w:type="dxa"/>
            <w:tcBorders>
              <w:left w:val="nil"/>
              <w:bottom w:val="single" w:sz="4" w:space="0" w:color="auto"/>
              <w:right w:val="nil"/>
            </w:tcBorders>
            <w:shd w:val="clear" w:color="auto" w:fill="DFE0DC"/>
          </w:tcPr>
          <w:p w:rsidR="00F26847" w:rsidRDefault="00F26847" w:rsidP="00BE4EED">
            <w:pPr>
              <w:pStyle w:val="QOStabletextleftbold"/>
            </w:pPr>
            <w:r>
              <w:t>1-year change</w:t>
            </w:r>
          </w:p>
        </w:tc>
        <w:tc>
          <w:tcPr>
            <w:tcW w:w="1493" w:type="dxa"/>
            <w:tcBorders>
              <w:left w:val="nil"/>
              <w:bottom w:val="single" w:sz="4" w:space="0" w:color="auto"/>
              <w:right w:val="nil"/>
            </w:tcBorders>
            <w:shd w:val="clear" w:color="auto" w:fill="DFE0DC"/>
          </w:tcPr>
          <w:p w:rsidR="00F26847" w:rsidRDefault="00F26847" w:rsidP="00BE4EED">
            <w:pPr>
              <w:pStyle w:val="QOStabletextleftbold"/>
            </w:pPr>
            <w:r>
              <w:t>Change since 2010</w:t>
            </w:r>
            <w:r>
              <w:noBreakHyphen/>
              <w:t>11</w:t>
            </w:r>
          </w:p>
        </w:tc>
      </w:tr>
      <w:tr w:rsidR="00F26847" w:rsidTr="00BE4EED">
        <w:tc>
          <w:tcPr>
            <w:tcW w:w="1266" w:type="dxa"/>
            <w:tcBorders>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Check-in</w:t>
            </w:r>
          </w:p>
        </w:tc>
        <w:tc>
          <w:tcPr>
            <w:tcW w:w="6662" w:type="dxa"/>
            <w:tcBorders>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Check-in availability</w:t>
            </w:r>
          </w:p>
        </w:tc>
        <w:tc>
          <w:tcPr>
            <w:tcW w:w="1559" w:type="dxa"/>
            <w:tcBorders>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Airline survey</w:t>
            </w:r>
          </w:p>
        </w:tc>
        <w:tc>
          <w:tcPr>
            <w:tcW w:w="1559" w:type="dxa"/>
            <w:tcBorders>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Satisfactory</w:t>
            </w:r>
          </w:p>
        </w:tc>
        <w:tc>
          <w:tcPr>
            <w:tcW w:w="1493" w:type="dxa"/>
            <w:tcBorders>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F79646" w:themeColor="accent6"/>
                <w:sz w:val="16"/>
                <w:szCs w:val="18"/>
              </w:rPr>
              <w:t>▼</w:t>
            </w:r>
          </w:p>
        </w:tc>
        <w:tc>
          <w:tcPr>
            <w:tcW w:w="1493" w:type="dxa"/>
            <w:tcBorders>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943634" w:themeColor="accent2" w:themeShade="BF"/>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Check-in standard</w:t>
            </w:r>
          </w:p>
        </w:tc>
        <w:tc>
          <w:tcPr>
            <w:tcW w:w="1559" w:type="dxa"/>
            <w:tcBorders>
              <w:top w:val="nil"/>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Airline survey</w:t>
            </w:r>
          </w:p>
        </w:tc>
        <w:tc>
          <w:tcPr>
            <w:tcW w:w="1559" w:type="dxa"/>
            <w:tcBorders>
              <w:top w:val="nil"/>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Satisfactory</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F79646" w:themeColor="accent6"/>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F79646" w:themeColor="accent6"/>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Check-in waiting time</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Passenger survey</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Good</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F79646" w:themeColor="accent6"/>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943634" w:themeColor="accent2" w:themeShade="BF"/>
                <w:sz w:val="16"/>
                <w:szCs w:val="18"/>
              </w:rPr>
              <w:t>▲</w:t>
            </w:r>
          </w:p>
        </w:tc>
      </w:tr>
      <w:tr w:rsidR="00F26847" w:rsidTr="00BE4EED">
        <w:tc>
          <w:tcPr>
            <w:tcW w:w="1266" w:type="dxa"/>
            <w:tcBorders>
              <w:top w:val="nil"/>
              <w:left w:val="nil"/>
              <w:bottom w:val="single" w:sz="4" w:space="0" w:color="auto"/>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single" w:sz="4" w:space="0" w:color="auto"/>
              <w:right w:val="nil"/>
            </w:tcBorders>
            <w:vAlign w:val="center"/>
          </w:tcPr>
          <w:p w:rsidR="00F26847" w:rsidRPr="00FF71EE" w:rsidRDefault="00F26847" w:rsidP="00BE4EED">
            <w:pPr>
              <w:spacing w:before="40" w:after="40"/>
              <w:rPr>
                <w:i/>
                <w:sz w:val="16"/>
                <w:szCs w:val="16"/>
              </w:rPr>
            </w:pPr>
            <w:r w:rsidRPr="00FF71EE">
              <w:rPr>
                <w:i/>
                <w:sz w:val="16"/>
                <w:szCs w:val="16"/>
              </w:rPr>
              <w:t>Number of departing passengers per check-in desk, kiosk and bad drop facility (peak hour)</w:t>
            </w:r>
          </w:p>
        </w:tc>
        <w:tc>
          <w:tcPr>
            <w:tcW w:w="1559" w:type="dxa"/>
            <w:tcBorders>
              <w:top w:val="nil"/>
              <w:left w:val="nil"/>
              <w:bottom w:val="single" w:sz="4" w:space="0" w:color="auto"/>
              <w:right w:val="nil"/>
            </w:tcBorders>
            <w:vAlign w:val="center"/>
          </w:tcPr>
          <w:p w:rsidR="00F26847" w:rsidRPr="00FF71EE" w:rsidRDefault="00F26847" w:rsidP="00BE4EED">
            <w:pPr>
              <w:spacing w:before="40" w:after="40"/>
              <w:rPr>
                <w:i/>
                <w:sz w:val="16"/>
                <w:szCs w:val="16"/>
              </w:rPr>
            </w:pPr>
            <w:r w:rsidRPr="00FF71EE">
              <w:rPr>
                <w:i/>
                <w:sz w:val="16"/>
                <w:szCs w:val="16"/>
              </w:rPr>
              <w:t>Objective indicator</w:t>
            </w:r>
          </w:p>
        </w:tc>
        <w:tc>
          <w:tcPr>
            <w:tcW w:w="1559" w:type="dxa"/>
            <w:tcBorders>
              <w:top w:val="nil"/>
              <w:left w:val="nil"/>
              <w:bottom w:val="single" w:sz="4" w:space="0" w:color="auto"/>
              <w:right w:val="nil"/>
            </w:tcBorders>
            <w:vAlign w:val="center"/>
          </w:tcPr>
          <w:p w:rsidR="00F26847" w:rsidRPr="00FF71EE" w:rsidRDefault="00F26847" w:rsidP="00BE4EED">
            <w:pPr>
              <w:spacing w:before="40" w:after="40"/>
              <w:rPr>
                <w:i/>
                <w:sz w:val="16"/>
                <w:szCs w:val="16"/>
              </w:rPr>
            </w:pPr>
            <w:r w:rsidRPr="00FF71EE">
              <w:rPr>
                <w:i/>
                <w:sz w:val="16"/>
                <w:szCs w:val="16"/>
              </w:rPr>
              <w:t>9.4 passengers</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r>
      <w:tr w:rsidR="00F26847" w:rsidTr="00BE4EED">
        <w:tc>
          <w:tcPr>
            <w:tcW w:w="1266" w:type="dxa"/>
            <w:tcBorders>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Immigration</w:t>
            </w:r>
          </w:p>
        </w:tc>
        <w:tc>
          <w:tcPr>
            <w:tcW w:w="6662" w:type="dxa"/>
            <w:tcBorders>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Waiting time in outbound Immigration area</w:t>
            </w:r>
          </w:p>
        </w:tc>
        <w:tc>
          <w:tcPr>
            <w:tcW w:w="1559" w:type="dxa"/>
            <w:tcBorders>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Passenger survey</w:t>
            </w:r>
          </w:p>
        </w:tc>
        <w:tc>
          <w:tcPr>
            <w:tcW w:w="1559" w:type="dxa"/>
            <w:tcBorders>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Good</w:t>
            </w:r>
          </w:p>
        </w:tc>
        <w:tc>
          <w:tcPr>
            <w:tcW w:w="1493" w:type="dxa"/>
            <w:tcBorders>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F79646" w:themeColor="accent6"/>
                <w:sz w:val="16"/>
                <w:szCs w:val="18"/>
              </w:rPr>
              <w:t>▼</w:t>
            </w:r>
          </w:p>
        </w:tc>
        <w:tc>
          <w:tcPr>
            <w:tcW w:w="1493" w:type="dxa"/>
            <w:tcBorders>
              <w:left w:val="nil"/>
              <w:bottom w:val="nil"/>
              <w:right w:val="nil"/>
            </w:tcBorders>
            <w:vAlign w:val="center"/>
          </w:tcPr>
          <w:p w:rsidR="00F26847" w:rsidRPr="009F1B5A" w:rsidRDefault="00F26847" w:rsidP="00BE4EED">
            <w:pPr>
              <w:keepNext/>
              <w:spacing w:before="40" w:after="40"/>
              <w:rPr>
                <w:rFonts w:cs="Arial"/>
                <w:sz w:val="16"/>
                <w:szCs w:val="16"/>
                <w:highlight w:val="yellow"/>
              </w:rPr>
            </w:pPr>
            <w:r w:rsidRPr="009F1B5A">
              <w:rPr>
                <w:rFonts w:cs="Arial"/>
                <w:color w:val="F79646" w:themeColor="accent6"/>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Number of departing passengers per outbound Immigration desk (peak hour)</w:t>
            </w:r>
          </w:p>
        </w:tc>
        <w:tc>
          <w:tcPr>
            <w:tcW w:w="1559"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Objective indicator</w:t>
            </w:r>
          </w:p>
        </w:tc>
        <w:tc>
          <w:tcPr>
            <w:tcW w:w="1559"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63.4 passengers</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Waiting time in inbound Immigration area</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Passenger survey</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Good</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30108C"/>
                <w:sz w:val="16"/>
                <w:szCs w:val="16"/>
                <w:highlight w:val="yellow"/>
              </w:rPr>
            </w:pPr>
            <w:r w:rsidRPr="009F1B5A">
              <w:rPr>
                <w:rFonts w:cs="Arial"/>
                <w:color w:val="4BACC6" w:themeColor="accent5"/>
                <w:sz w:val="16"/>
                <w:szCs w:val="16"/>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30108C"/>
                <w:sz w:val="16"/>
                <w:szCs w:val="16"/>
                <w:highlight w:val="yellow"/>
              </w:rPr>
            </w:pPr>
            <w:r w:rsidRPr="009F1B5A">
              <w:rPr>
                <w:rFonts w:cs="Arial"/>
                <w:color w:val="4BACC6" w:themeColor="accent5"/>
                <w:sz w:val="16"/>
                <w:szCs w:val="16"/>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Number of arriving passengers per inbound Immigration desk (peak hour)</w:t>
            </w:r>
          </w:p>
        </w:tc>
        <w:tc>
          <w:tcPr>
            <w:tcW w:w="1559"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Objective indicator</w:t>
            </w:r>
          </w:p>
        </w:tc>
        <w:tc>
          <w:tcPr>
            <w:tcW w:w="1559"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22.4 passengers</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943634" w:themeColor="accent2" w:themeShade="BF"/>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943634" w:themeColor="accent2" w:themeShade="BF"/>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Waiting time in inbound baggage inspection area</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Passenger survey</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Good</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30108C"/>
                <w:sz w:val="16"/>
                <w:szCs w:val="16"/>
                <w:highlight w:val="yellow"/>
              </w:rPr>
            </w:pPr>
            <w:r w:rsidRPr="009F1B5A">
              <w:rPr>
                <w:rFonts w:cs="Arial"/>
                <w:color w:val="4BACC6" w:themeColor="accent5"/>
                <w:sz w:val="16"/>
                <w:szCs w:val="16"/>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943634" w:themeColor="accent2" w:themeShade="BF"/>
                <w:sz w:val="16"/>
                <w:szCs w:val="16"/>
                <w:highlight w:val="yellow"/>
              </w:rPr>
            </w:pPr>
            <w:r w:rsidRPr="009F1B5A">
              <w:rPr>
                <w:rFonts w:cs="Arial"/>
                <w:color w:val="943634" w:themeColor="accent2" w:themeShade="BF"/>
                <w:sz w:val="16"/>
                <w:szCs w:val="18"/>
              </w:rPr>
              <w:t>▲</w:t>
            </w:r>
          </w:p>
        </w:tc>
      </w:tr>
      <w:tr w:rsidR="00F26847" w:rsidTr="00BE4EED">
        <w:tc>
          <w:tcPr>
            <w:tcW w:w="1266" w:type="dxa"/>
            <w:tcBorders>
              <w:top w:val="nil"/>
              <w:left w:val="nil"/>
              <w:bottom w:val="single" w:sz="4" w:space="0" w:color="auto"/>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single" w:sz="4" w:space="0" w:color="auto"/>
              <w:right w:val="nil"/>
            </w:tcBorders>
            <w:vAlign w:val="center"/>
          </w:tcPr>
          <w:p w:rsidR="00F26847" w:rsidRPr="00863BE3" w:rsidRDefault="00F26847" w:rsidP="00BE4EED">
            <w:pPr>
              <w:spacing w:before="40" w:after="40"/>
              <w:rPr>
                <w:i/>
                <w:sz w:val="16"/>
                <w:szCs w:val="16"/>
              </w:rPr>
            </w:pPr>
            <w:r w:rsidRPr="00863BE3">
              <w:rPr>
                <w:i/>
                <w:sz w:val="16"/>
                <w:szCs w:val="16"/>
              </w:rPr>
              <w:t>Number of arriving passengers per baggage inspection desk (peak hour)</w:t>
            </w:r>
          </w:p>
        </w:tc>
        <w:tc>
          <w:tcPr>
            <w:tcW w:w="1559" w:type="dxa"/>
            <w:tcBorders>
              <w:top w:val="nil"/>
              <w:left w:val="nil"/>
              <w:bottom w:val="single" w:sz="4" w:space="0" w:color="auto"/>
              <w:right w:val="nil"/>
            </w:tcBorders>
            <w:vAlign w:val="center"/>
          </w:tcPr>
          <w:p w:rsidR="00F26847" w:rsidRPr="00863BE3" w:rsidRDefault="00F26847" w:rsidP="00BE4EED">
            <w:pPr>
              <w:spacing w:before="40" w:after="40"/>
              <w:rPr>
                <w:i/>
                <w:sz w:val="16"/>
                <w:szCs w:val="16"/>
              </w:rPr>
            </w:pPr>
            <w:r w:rsidRPr="00863BE3">
              <w:rPr>
                <w:i/>
                <w:sz w:val="16"/>
                <w:szCs w:val="16"/>
              </w:rPr>
              <w:t>Objective indicator</w:t>
            </w:r>
          </w:p>
        </w:tc>
        <w:tc>
          <w:tcPr>
            <w:tcW w:w="1559" w:type="dxa"/>
            <w:tcBorders>
              <w:top w:val="nil"/>
              <w:left w:val="nil"/>
              <w:bottom w:val="single" w:sz="4" w:space="0" w:color="auto"/>
              <w:right w:val="nil"/>
            </w:tcBorders>
            <w:vAlign w:val="center"/>
          </w:tcPr>
          <w:p w:rsidR="00F26847" w:rsidRPr="00863BE3" w:rsidRDefault="00F26847" w:rsidP="00BE4EED">
            <w:pPr>
              <w:spacing w:before="40" w:after="40"/>
              <w:rPr>
                <w:i/>
                <w:sz w:val="16"/>
                <w:szCs w:val="16"/>
              </w:rPr>
            </w:pPr>
            <w:r w:rsidRPr="00863BE3">
              <w:rPr>
                <w:i/>
                <w:sz w:val="16"/>
                <w:szCs w:val="16"/>
              </w:rPr>
              <w:t>19.4 passengers</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rPr>
            </w:pPr>
            <w:r w:rsidRPr="009F1B5A">
              <w:rPr>
                <w:rFonts w:cs="Arial"/>
                <w:color w:val="943634" w:themeColor="accent2" w:themeShade="BF"/>
                <w:sz w:val="16"/>
                <w:szCs w:val="18"/>
              </w:rPr>
              <w:t>▲</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rPr>
            </w:pPr>
            <w:r w:rsidRPr="009F1B5A">
              <w:rPr>
                <w:rFonts w:cs="Arial"/>
                <w:color w:val="943634" w:themeColor="accent2" w:themeShade="BF"/>
                <w:sz w:val="16"/>
                <w:szCs w:val="18"/>
              </w:rPr>
              <w:t>▲</w:t>
            </w:r>
          </w:p>
        </w:tc>
      </w:tr>
      <w:tr w:rsidR="00F26847" w:rsidTr="00BE4EED">
        <w:tc>
          <w:tcPr>
            <w:tcW w:w="1266" w:type="dxa"/>
            <w:tcBorders>
              <w:left w:val="nil"/>
              <w:bottom w:val="nil"/>
              <w:right w:val="nil"/>
            </w:tcBorders>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Information</w:t>
            </w:r>
          </w:p>
        </w:tc>
        <w:tc>
          <w:tcPr>
            <w:tcW w:w="6662" w:type="dxa"/>
            <w:tcBorders>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Flight information display screens</w:t>
            </w:r>
          </w:p>
        </w:tc>
        <w:tc>
          <w:tcPr>
            <w:tcW w:w="1559" w:type="dxa"/>
            <w:tcBorders>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Passenger survey</w:t>
            </w:r>
          </w:p>
        </w:tc>
        <w:tc>
          <w:tcPr>
            <w:tcW w:w="1559" w:type="dxa"/>
            <w:tcBorders>
              <w:left w:val="nil"/>
              <w:bottom w:val="nil"/>
              <w:right w:val="nil"/>
            </w:tcBorders>
          </w:tcPr>
          <w:p w:rsidR="00F26847" w:rsidRPr="00863BE3" w:rsidRDefault="00F26847" w:rsidP="00BE4EED">
            <w:pPr>
              <w:spacing w:before="40" w:after="40"/>
              <w:rPr>
                <w:sz w:val="16"/>
                <w:szCs w:val="16"/>
              </w:rPr>
            </w:pPr>
            <w:r w:rsidRPr="00863BE3">
              <w:rPr>
                <w:sz w:val="16"/>
                <w:szCs w:val="16"/>
              </w:rPr>
              <w:t>Good</w:t>
            </w:r>
          </w:p>
        </w:tc>
        <w:tc>
          <w:tcPr>
            <w:tcW w:w="1493" w:type="dxa"/>
            <w:tcBorders>
              <w:left w:val="nil"/>
              <w:bottom w:val="nil"/>
              <w:right w:val="nil"/>
            </w:tcBorders>
            <w:vAlign w:val="center"/>
          </w:tcPr>
          <w:p w:rsidR="00F26847" w:rsidRPr="009F1B5A" w:rsidRDefault="00F26847" w:rsidP="00BE4EED">
            <w:pPr>
              <w:keepNext/>
              <w:spacing w:before="40" w:after="40"/>
              <w:rPr>
                <w:rFonts w:cs="Arial"/>
                <w:color w:val="30108C"/>
                <w:sz w:val="16"/>
                <w:szCs w:val="16"/>
                <w:highlight w:val="yellow"/>
              </w:rPr>
            </w:pPr>
            <w:r w:rsidRPr="009F1B5A">
              <w:rPr>
                <w:rFonts w:cs="Arial"/>
                <w:color w:val="4BACC6" w:themeColor="accent5"/>
                <w:sz w:val="16"/>
                <w:szCs w:val="16"/>
              </w:rPr>
              <w:t>▬</w:t>
            </w:r>
          </w:p>
        </w:tc>
        <w:tc>
          <w:tcPr>
            <w:tcW w:w="1493" w:type="dxa"/>
            <w:tcBorders>
              <w:left w:val="nil"/>
              <w:bottom w:val="nil"/>
              <w:right w:val="nil"/>
            </w:tcBorders>
            <w:vAlign w:val="center"/>
          </w:tcPr>
          <w:p w:rsidR="00F26847" w:rsidRPr="009F1B5A" w:rsidRDefault="00F26847" w:rsidP="00BE4EED">
            <w:pPr>
              <w:keepNext/>
              <w:spacing w:before="40" w:after="40"/>
              <w:rPr>
                <w:rFonts w:cs="Arial"/>
                <w:color w:val="30108C"/>
                <w:sz w:val="16"/>
                <w:szCs w:val="16"/>
                <w:highlight w:val="yellow"/>
              </w:rPr>
            </w:pPr>
            <w:r w:rsidRPr="009F1B5A">
              <w:rPr>
                <w:rFonts w:cs="Arial"/>
                <w:color w:val="4BACC6" w:themeColor="accent5"/>
                <w:sz w:val="16"/>
                <w:szCs w:val="16"/>
              </w:rPr>
              <w:t>▬</w:t>
            </w:r>
          </w:p>
        </w:tc>
      </w:tr>
      <w:tr w:rsidR="00F26847" w:rsidTr="00BE4EED">
        <w:tc>
          <w:tcPr>
            <w:tcW w:w="1266" w:type="dxa"/>
            <w:tcBorders>
              <w:top w:val="nil"/>
              <w:left w:val="nil"/>
              <w:bottom w:val="nil"/>
              <w:right w:val="nil"/>
            </w:tcBorders>
          </w:tcPr>
          <w:p w:rsidR="00F26847" w:rsidRPr="009F1B5A" w:rsidRDefault="00F26847" w:rsidP="00BE4EED">
            <w:pPr>
              <w:keepNext/>
              <w:spacing w:before="40" w:after="40"/>
              <w:rPr>
                <w:rFonts w:cs="Arial"/>
                <w:bCs/>
                <w:sz w:val="16"/>
                <w:szCs w:val="16"/>
              </w:rPr>
            </w:pPr>
          </w:p>
        </w:tc>
        <w:tc>
          <w:tcPr>
            <w:tcW w:w="6662"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Number of passengers per flight information display screen (peak hour)</w:t>
            </w:r>
          </w:p>
        </w:tc>
        <w:tc>
          <w:tcPr>
            <w:tcW w:w="1559"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Objective indicator</w:t>
            </w:r>
          </w:p>
        </w:tc>
        <w:tc>
          <w:tcPr>
            <w:tcW w:w="1559" w:type="dxa"/>
            <w:tcBorders>
              <w:top w:val="nil"/>
              <w:left w:val="nil"/>
              <w:bottom w:val="nil"/>
              <w:right w:val="nil"/>
            </w:tcBorders>
          </w:tcPr>
          <w:p w:rsidR="00F26847" w:rsidRPr="00863BE3" w:rsidRDefault="00F26847" w:rsidP="00BE4EED">
            <w:pPr>
              <w:spacing w:before="40" w:after="40"/>
              <w:rPr>
                <w:i/>
                <w:sz w:val="16"/>
                <w:szCs w:val="16"/>
              </w:rPr>
            </w:pPr>
            <w:r w:rsidRPr="00863BE3">
              <w:rPr>
                <w:i/>
                <w:sz w:val="16"/>
                <w:szCs w:val="16"/>
              </w:rPr>
              <w:t>5.2 passengers</w:t>
            </w:r>
          </w:p>
        </w:tc>
        <w:tc>
          <w:tcPr>
            <w:tcW w:w="1493" w:type="dxa"/>
            <w:tcBorders>
              <w:top w:val="nil"/>
              <w:left w:val="nil"/>
              <w:bottom w:val="nil"/>
              <w:right w:val="nil"/>
            </w:tcBorders>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c>
          <w:tcPr>
            <w:tcW w:w="1493" w:type="dxa"/>
            <w:tcBorders>
              <w:top w:val="nil"/>
              <w:left w:val="nil"/>
              <w:bottom w:val="nil"/>
              <w:right w:val="nil"/>
            </w:tcBorders>
          </w:tcPr>
          <w:p w:rsidR="00F26847" w:rsidRPr="009F1B5A" w:rsidRDefault="00F26847" w:rsidP="00BE4EED">
            <w:pPr>
              <w:keepNext/>
              <w:spacing w:before="40" w:after="40"/>
              <w:rPr>
                <w:rFonts w:cs="Arial"/>
                <w:i/>
                <w:sz w:val="16"/>
                <w:szCs w:val="16"/>
              </w:rPr>
            </w:pPr>
            <w:r w:rsidRPr="009F1B5A">
              <w:rPr>
                <w:rFonts w:cs="Arial"/>
                <w:color w:val="943634" w:themeColor="accent2" w:themeShade="BF"/>
                <w:sz w:val="16"/>
                <w:szCs w:val="18"/>
              </w:rPr>
              <w:t>▲</w:t>
            </w:r>
          </w:p>
        </w:tc>
      </w:tr>
      <w:tr w:rsidR="00F26847" w:rsidTr="00BE4EED">
        <w:tc>
          <w:tcPr>
            <w:tcW w:w="1266" w:type="dxa"/>
            <w:tcBorders>
              <w:top w:val="nil"/>
              <w:left w:val="nil"/>
              <w:bottom w:val="nil"/>
              <w:right w:val="nil"/>
            </w:tcBorders>
          </w:tcPr>
          <w:p w:rsidR="00F26847" w:rsidRPr="009F1B5A" w:rsidRDefault="00F26847" w:rsidP="00BE4EED">
            <w:pPr>
              <w:keepNext/>
              <w:spacing w:before="40" w:after="40"/>
              <w:rPr>
                <w:rFonts w:cs="Arial"/>
                <w:bCs/>
                <w:sz w:val="16"/>
                <w:szCs w:val="16"/>
              </w:rPr>
            </w:pPr>
          </w:p>
        </w:tc>
        <w:tc>
          <w:tcPr>
            <w:tcW w:w="6662"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Number of passengers per information point (peak hour)</w:t>
            </w:r>
          </w:p>
        </w:tc>
        <w:tc>
          <w:tcPr>
            <w:tcW w:w="1559" w:type="dxa"/>
            <w:tcBorders>
              <w:top w:val="nil"/>
              <w:left w:val="nil"/>
              <w:bottom w:val="nil"/>
              <w:right w:val="nil"/>
            </w:tcBorders>
            <w:vAlign w:val="center"/>
          </w:tcPr>
          <w:p w:rsidR="00F26847" w:rsidRPr="00863BE3" w:rsidRDefault="00F26847" w:rsidP="00BE4EED">
            <w:pPr>
              <w:spacing w:before="40" w:after="40"/>
              <w:rPr>
                <w:i/>
                <w:sz w:val="16"/>
                <w:szCs w:val="16"/>
              </w:rPr>
            </w:pPr>
            <w:r w:rsidRPr="00863BE3">
              <w:rPr>
                <w:i/>
                <w:sz w:val="16"/>
                <w:szCs w:val="16"/>
              </w:rPr>
              <w:t>Objective indicator</w:t>
            </w:r>
          </w:p>
        </w:tc>
        <w:tc>
          <w:tcPr>
            <w:tcW w:w="1559" w:type="dxa"/>
            <w:tcBorders>
              <w:top w:val="nil"/>
              <w:left w:val="nil"/>
              <w:bottom w:val="nil"/>
              <w:right w:val="nil"/>
            </w:tcBorders>
          </w:tcPr>
          <w:p w:rsidR="00F26847" w:rsidRPr="00863BE3" w:rsidRDefault="00F26847" w:rsidP="00BE4EED">
            <w:pPr>
              <w:spacing w:before="40" w:after="40"/>
              <w:rPr>
                <w:i/>
                <w:sz w:val="16"/>
                <w:szCs w:val="16"/>
              </w:rPr>
            </w:pPr>
            <w:r w:rsidRPr="00863BE3">
              <w:rPr>
                <w:i/>
                <w:sz w:val="16"/>
                <w:szCs w:val="16"/>
              </w:rPr>
              <w:t>669 passengers</w:t>
            </w:r>
          </w:p>
        </w:tc>
        <w:tc>
          <w:tcPr>
            <w:tcW w:w="1493" w:type="dxa"/>
            <w:tcBorders>
              <w:top w:val="nil"/>
              <w:left w:val="nil"/>
              <w:bottom w:val="nil"/>
              <w:right w:val="nil"/>
            </w:tcBorders>
          </w:tcPr>
          <w:p w:rsidR="00F26847" w:rsidRPr="009F1B5A" w:rsidRDefault="00F26847" w:rsidP="00BE4EED">
            <w:pPr>
              <w:keepNext/>
              <w:spacing w:before="40" w:after="40"/>
              <w:rPr>
                <w:rFonts w:cs="Arial"/>
                <w:i/>
                <w:sz w:val="16"/>
                <w:szCs w:val="16"/>
                <w:highlight w:val="yellow"/>
              </w:rPr>
            </w:pPr>
            <w:r w:rsidRPr="009F1B5A">
              <w:rPr>
                <w:rFonts w:cs="Arial"/>
                <w:color w:val="F79646" w:themeColor="accent6"/>
                <w:sz w:val="16"/>
                <w:szCs w:val="18"/>
              </w:rPr>
              <w:t>▼</w:t>
            </w:r>
          </w:p>
        </w:tc>
        <w:tc>
          <w:tcPr>
            <w:tcW w:w="1493" w:type="dxa"/>
            <w:tcBorders>
              <w:top w:val="nil"/>
              <w:left w:val="nil"/>
              <w:bottom w:val="nil"/>
              <w:right w:val="nil"/>
            </w:tcBorders>
          </w:tcPr>
          <w:p w:rsidR="00F26847" w:rsidRPr="009F1B5A" w:rsidRDefault="00F26847" w:rsidP="00BE4EED">
            <w:pPr>
              <w:keepNext/>
              <w:spacing w:before="40" w:after="40"/>
              <w:rPr>
                <w:rFonts w:cs="Arial"/>
                <w:i/>
                <w:sz w:val="16"/>
                <w:szCs w:val="16"/>
                <w:highlight w:val="yellow"/>
              </w:rPr>
            </w:pPr>
            <w:r w:rsidRPr="009F1B5A">
              <w:rPr>
                <w:rFonts w:cs="Arial"/>
                <w:color w:val="943634" w:themeColor="accent2" w:themeShade="BF"/>
                <w:sz w:val="16"/>
                <w:szCs w:val="18"/>
              </w:rPr>
              <w:t>▲</w:t>
            </w:r>
          </w:p>
        </w:tc>
      </w:tr>
      <w:tr w:rsidR="00F26847" w:rsidTr="00BE4EED">
        <w:tc>
          <w:tcPr>
            <w:tcW w:w="1266" w:type="dxa"/>
            <w:tcBorders>
              <w:top w:val="nil"/>
              <w:left w:val="nil"/>
              <w:right w:val="nil"/>
            </w:tcBorders>
          </w:tcPr>
          <w:p w:rsidR="00F26847" w:rsidRPr="009F1B5A" w:rsidRDefault="00F26847" w:rsidP="00BE4EED">
            <w:pPr>
              <w:keepNext/>
              <w:spacing w:before="40" w:after="40"/>
              <w:rPr>
                <w:rFonts w:cs="Arial"/>
                <w:bCs/>
                <w:sz w:val="16"/>
                <w:szCs w:val="16"/>
              </w:rPr>
            </w:pPr>
          </w:p>
        </w:tc>
        <w:tc>
          <w:tcPr>
            <w:tcW w:w="6662" w:type="dxa"/>
            <w:tcBorders>
              <w:top w:val="nil"/>
              <w:left w:val="nil"/>
              <w:right w:val="nil"/>
            </w:tcBorders>
            <w:vAlign w:val="center"/>
          </w:tcPr>
          <w:p w:rsidR="00F26847" w:rsidRPr="00863BE3" w:rsidRDefault="00F26847" w:rsidP="00BE4EED">
            <w:pPr>
              <w:spacing w:before="40" w:after="40"/>
              <w:rPr>
                <w:sz w:val="16"/>
                <w:szCs w:val="16"/>
              </w:rPr>
            </w:pPr>
            <w:r w:rsidRPr="00863BE3">
              <w:rPr>
                <w:sz w:val="16"/>
                <w:szCs w:val="16"/>
              </w:rPr>
              <w:t>Signage and wayfinding</w:t>
            </w:r>
          </w:p>
        </w:tc>
        <w:tc>
          <w:tcPr>
            <w:tcW w:w="1559" w:type="dxa"/>
            <w:tcBorders>
              <w:top w:val="nil"/>
              <w:left w:val="nil"/>
              <w:right w:val="nil"/>
            </w:tcBorders>
            <w:vAlign w:val="center"/>
          </w:tcPr>
          <w:p w:rsidR="00F26847" w:rsidRPr="00863BE3" w:rsidRDefault="00F26847" w:rsidP="00BE4EED">
            <w:pPr>
              <w:spacing w:before="40" w:after="40"/>
              <w:rPr>
                <w:sz w:val="16"/>
                <w:szCs w:val="16"/>
              </w:rPr>
            </w:pPr>
            <w:r w:rsidRPr="00863BE3">
              <w:rPr>
                <w:sz w:val="16"/>
                <w:szCs w:val="16"/>
              </w:rPr>
              <w:t>Passenger survey</w:t>
            </w:r>
          </w:p>
        </w:tc>
        <w:tc>
          <w:tcPr>
            <w:tcW w:w="1559" w:type="dxa"/>
            <w:tcBorders>
              <w:top w:val="nil"/>
              <w:left w:val="nil"/>
              <w:right w:val="nil"/>
            </w:tcBorders>
          </w:tcPr>
          <w:p w:rsidR="00F26847" w:rsidRPr="00863BE3" w:rsidRDefault="00F26847" w:rsidP="00BE4EED">
            <w:pPr>
              <w:spacing w:before="40" w:after="40"/>
              <w:rPr>
                <w:sz w:val="16"/>
                <w:szCs w:val="16"/>
              </w:rPr>
            </w:pPr>
            <w:r w:rsidRPr="00863BE3">
              <w:rPr>
                <w:sz w:val="16"/>
                <w:szCs w:val="16"/>
              </w:rPr>
              <w:t>Good</w:t>
            </w:r>
          </w:p>
        </w:tc>
        <w:tc>
          <w:tcPr>
            <w:tcW w:w="1493" w:type="dxa"/>
            <w:tcBorders>
              <w:top w:val="nil"/>
              <w:left w:val="nil"/>
              <w:right w:val="nil"/>
            </w:tcBorders>
          </w:tcPr>
          <w:p w:rsidR="00F26847" w:rsidRPr="009F1B5A" w:rsidRDefault="00F26847" w:rsidP="00BE4EED">
            <w:pPr>
              <w:keepNext/>
              <w:spacing w:before="40" w:after="40"/>
              <w:rPr>
                <w:rFonts w:cs="Arial"/>
                <w:color w:val="F79646" w:themeColor="accent6"/>
                <w:sz w:val="16"/>
                <w:szCs w:val="16"/>
              </w:rPr>
            </w:pPr>
            <w:r w:rsidRPr="009F1B5A">
              <w:rPr>
                <w:rFonts w:cs="Arial"/>
                <w:color w:val="943634" w:themeColor="accent2" w:themeShade="BF"/>
                <w:sz w:val="16"/>
                <w:szCs w:val="18"/>
              </w:rPr>
              <w:t>▲</w:t>
            </w:r>
          </w:p>
        </w:tc>
        <w:tc>
          <w:tcPr>
            <w:tcW w:w="1493" w:type="dxa"/>
            <w:tcBorders>
              <w:top w:val="nil"/>
              <w:left w:val="nil"/>
              <w:right w:val="nil"/>
            </w:tcBorders>
          </w:tcPr>
          <w:p w:rsidR="00F26847" w:rsidRPr="009F1B5A" w:rsidRDefault="00F26847" w:rsidP="00BE4EED">
            <w:pPr>
              <w:keepNext/>
              <w:spacing w:before="40" w:after="40"/>
              <w:rPr>
                <w:rFonts w:cs="Arial"/>
                <w:color w:val="943634" w:themeColor="accent2" w:themeShade="BF"/>
                <w:sz w:val="16"/>
                <w:szCs w:val="16"/>
              </w:rPr>
            </w:pPr>
            <w:r w:rsidRPr="009F1B5A">
              <w:rPr>
                <w:rFonts w:cs="Arial"/>
                <w:color w:val="4BACC6" w:themeColor="accent5"/>
                <w:sz w:val="16"/>
                <w:szCs w:val="16"/>
              </w:rPr>
              <w:t>▬</w:t>
            </w:r>
          </w:p>
        </w:tc>
      </w:tr>
    </w:tbl>
    <w:p w:rsidR="00F26847" w:rsidRDefault="00F26847" w:rsidP="00F26847">
      <w:pPr>
        <w:pStyle w:val="Sourceandnotes"/>
        <w:rPr>
          <w:rFonts w:cs="Arial"/>
          <w:color w:val="000000" w:themeColor="text1"/>
        </w:rPr>
      </w:pPr>
      <w:r>
        <w:t>Notes:</w:t>
      </w:r>
      <w:r>
        <w:tab/>
        <w:t>The rating categories are; very poor, poor, satisfactory, good, and excellent.</w:t>
      </w:r>
      <w:r>
        <w:br/>
        <w:t xml:space="preserve">For each indicator for the period specified: </w:t>
      </w:r>
      <w:r w:rsidRPr="00F617F8">
        <w:rPr>
          <w:rFonts w:eastAsia="Times New Roman" w:cs="Times New Roman"/>
          <w:color w:val="943634"/>
          <w:szCs w:val="24"/>
          <w:lang w:eastAsia="en-AU"/>
        </w:rPr>
        <w:t>▲</w:t>
      </w:r>
      <w:r>
        <w:rPr>
          <w:rFonts w:eastAsia="Times New Roman" w:cs="Times New Roman"/>
          <w:color w:val="943634"/>
          <w:szCs w:val="24"/>
          <w:lang w:eastAsia="en-AU"/>
        </w:rPr>
        <w:t xml:space="preserve"> </w:t>
      </w:r>
      <w:r w:rsidRPr="00753977">
        <w:rPr>
          <w:rFonts w:eastAsia="Times New Roman" w:cs="Times New Roman"/>
          <w:color w:val="000000" w:themeColor="text1"/>
          <w:szCs w:val="24"/>
          <w:lang w:eastAsia="en-AU"/>
        </w:rPr>
        <w:t xml:space="preserve">indicates an improvement; </w:t>
      </w:r>
      <w:r w:rsidRPr="00F617F8">
        <w:rPr>
          <w:rFonts w:eastAsia="Times New Roman" w:cs="Times New Roman"/>
          <w:color w:val="F79646"/>
          <w:szCs w:val="24"/>
          <w:lang w:eastAsia="en-AU"/>
        </w:rPr>
        <w:t>▼</w:t>
      </w:r>
      <w:r>
        <w:rPr>
          <w:rFonts w:eastAsia="Times New Roman" w:cs="Times New Roman"/>
          <w:color w:val="F79646"/>
          <w:szCs w:val="24"/>
          <w:lang w:eastAsia="en-AU"/>
        </w:rPr>
        <w:t xml:space="preserve"> </w:t>
      </w:r>
      <w:r>
        <w:rPr>
          <w:rFonts w:eastAsia="Times New Roman" w:cs="Times New Roman"/>
          <w:color w:val="000000" w:themeColor="text1"/>
          <w:szCs w:val="24"/>
          <w:lang w:eastAsia="en-AU"/>
        </w:rPr>
        <w:t xml:space="preserve">indicates a decline; </w:t>
      </w:r>
      <w:r w:rsidRPr="00F617F8">
        <w:rPr>
          <w:rFonts w:cs="Arial"/>
          <w:color w:val="4BACC6"/>
        </w:rPr>
        <w:t>▬</w:t>
      </w:r>
      <w:r>
        <w:rPr>
          <w:rFonts w:cs="Arial"/>
          <w:color w:val="4BACC6"/>
        </w:rPr>
        <w:t xml:space="preserve"> </w:t>
      </w:r>
      <w:r w:rsidRPr="00753977">
        <w:rPr>
          <w:rFonts w:cs="Arial"/>
          <w:color w:val="000000" w:themeColor="text1"/>
        </w:rPr>
        <w:t>indicates not change.</w:t>
      </w:r>
      <w:r>
        <w:rPr>
          <w:rFonts w:cs="Arial"/>
          <w:color w:val="000000" w:themeColor="text1"/>
        </w:rPr>
        <w:br/>
        <w:t>* Rating changed by a category over the period. ** Rating changed by two categories over the period.</w:t>
      </w:r>
    </w:p>
    <w:p w:rsidR="00F26847" w:rsidRDefault="00F26847" w:rsidP="00F26847">
      <w:pPr>
        <w:spacing w:after="200" w:line="276" w:lineRule="auto"/>
        <w:rPr>
          <w:rFonts w:cs="Arial"/>
          <w:color w:val="000000" w:themeColor="text1"/>
          <w:sz w:val="16"/>
          <w:szCs w:val="16"/>
        </w:rPr>
      </w:pPr>
      <w:r>
        <w:rPr>
          <w:rFonts w:cs="Arial"/>
          <w:color w:val="000000" w:themeColor="text1"/>
        </w:rPr>
        <w:br w:type="page"/>
      </w:r>
    </w:p>
    <w:p w:rsidR="00F26847" w:rsidRDefault="00F26847" w:rsidP="00F26847">
      <w:pPr>
        <w:keepNext/>
        <w:spacing w:before="240" w:after="200" w:line="276" w:lineRule="auto"/>
        <w:ind w:left="1440" w:hanging="1440"/>
        <w:outlineLvl w:val="3"/>
      </w:pPr>
      <w:r w:rsidRPr="00ED4440">
        <w:rPr>
          <w:b/>
          <w:color w:val="51626F"/>
        </w:rPr>
        <w:lastRenderedPageBreak/>
        <w:t>Table 5.3.2:</w:t>
      </w:r>
      <w:r w:rsidRPr="00ED4440">
        <w:rPr>
          <w:b/>
          <w:color w:val="51626F"/>
        </w:rPr>
        <w:tab/>
        <w:t>Sydney Airport—indicators of quality of passenger</w:t>
      </w:r>
      <w:r w:rsidRPr="00ED4440">
        <w:rPr>
          <w:b/>
          <w:color w:val="51626F"/>
        </w:rPr>
        <w:noBreakHyphen/>
        <w:t>related services and facilities – international terminal: 2014</w:t>
      </w:r>
      <w:r w:rsidRPr="00ED4440">
        <w:rPr>
          <w:b/>
          <w:color w:val="51626F"/>
        </w:rPr>
        <w:noBreakHyphen/>
        <w:t>15, 1-year change and change since 2010</w:t>
      </w:r>
      <w:r w:rsidRPr="00ED4440">
        <w:rPr>
          <w:b/>
          <w:color w:val="51626F"/>
        </w:rPr>
        <w:noBreakHyphen/>
        <w:t>11</w:t>
      </w:r>
      <w:r w:rsidRPr="00ED4440" w:rsidDel="00DE4678">
        <w:rPr>
          <w:b/>
          <w:color w:val="51626F"/>
        </w:rPr>
        <w:t xml:space="preserve"> </w:t>
      </w:r>
      <w:r w:rsidRPr="00ED4440">
        <w:rPr>
          <w:b/>
          <w:color w:val="51626F"/>
        </w:rPr>
        <w:t>(cont.)</w:t>
      </w:r>
    </w:p>
    <w:tbl>
      <w:tblPr>
        <w:tblStyle w:val="TableGrid"/>
        <w:tblW w:w="0" w:type="auto"/>
        <w:tblLook w:val="04A0" w:firstRow="1" w:lastRow="0" w:firstColumn="1" w:lastColumn="0" w:noHBand="0" w:noVBand="1"/>
      </w:tblPr>
      <w:tblGrid>
        <w:gridCol w:w="1266"/>
        <w:gridCol w:w="6662"/>
        <w:gridCol w:w="1559"/>
        <w:gridCol w:w="1559"/>
        <w:gridCol w:w="1493"/>
        <w:gridCol w:w="1493"/>
      </w:tblGrid>
      <w:tr w:rsidR="00F26847" w:rsidTr="00BE4EED">
        <w:tc>
          <w:tcPr>
            <w:tcW w:w="1266" w:type="dxa"/>
            <w:tcBorders>
              <w:left w:val="nil"/>
              <w:bottom w:val="single" w:sz="4" w:space="0" w:color="auto"/>
              <w:right w:val="nil"/>
            </w:tcBorders>
            <w:shd w:val="clear" w:color="auto" w:fill="DFE0DC"/>
          </w:tcPr>
          <w:p w:rsidR="00F26847" w:rsidRDefault="00F26847" w:rsidP="00BE4EED">
            <w:pPr>
              <w:pStyle w:val="QOStabletextleftbold"/>
            </w:pPr>
            <w:r>
              <w:t>Category</w:t>
            </w:r>
          </w:p>
        </w:tc>
        <w:tc>
          <w:tcPr>
            <w:tcW w:w="6662" w:type="dxa"/>
            <w:tcBorders>
              <w:left w:val="nil"/>
              <w:bottom w:val="single" w:sz="4" w:space="0" w:color="auto"/>
              <w:right w:val="nil"/>
            </w:tcBorders>
            <w:shd w:val="clear" w:color="auto" w:fill="DFE0DC"/>
          </w:tcPr>
          <w:p w:rsidR="00F26847" w:rsidRDefault="00F26847" w:rsidP="00BE4EED">
            <w:pPr>
              <w:pStyle w:val="QOStabletextleftbold"/>
            </w:pPr>
            <w:r>
              <w:t>Indicator</w:t>
            </w:r>
          </w:p>
        </w:tc>
        <w:tc>
          <w:tcPr>
            <w:tcW w:w="1559" w:type="dxa"/>
            <w:tcBorders>
              <w:left w:val="nil"/>
              <w:bottom w:val="single" w:sz="4" w:space="0" w:color="auto"/>
              <w:right w:val="nil"/>
            </w:tcBorders>
            <w:shd w:val="clear" w:color="auto" w:fill="DFE0DC"/>
          </w:tcPr>
          <w:p w:rsidR="00F26847" w:rsidRDefault="00F26847" w:rsidP="00BE4EED">
            <w:pPr>
              <w:pStyle w:val="QOStabletextleftbold"/>
            </w:pPr>
            <w:r>
              <w:t>Data source</w:t>
            </w:r>
          </w:p>
        </w:tc>
        <w:tc>
          <w:tcPr>
            <w:tcW w:w="1559" w:type="dxa"/>
            <w:tcBorders>
              <w:left w:val="nil"/>
              <w:bottom w:val="single" w:sz="4" w:space="0" w:color="auto"/>
              <w:right w:val="nil"/>
            </w:tcBorders>
            <w:shd w:val="clear" w:color="auto" w:fill="DFE0DC"/>
          </w:tcPr>
          <w:p w:rsidR="00F26847" w:rsidRDefault="00F26847" w:rsidP="00BE4EED">
            <w:pPr>
              <w:pStyle w:val="QOStabletextleftbold"/>
            </w:pPr>
            <w:r>
              <w:t>Indicator result 2014-15</w:t>
            </w:r>
          </w:p>
        </w:tc>
        <w:tc>
          <w:tcPr>
            <w:tcW w:w="1493" w:type="dxa"/>
            <w:tcBorders>
              <w:left w:val="nil"/>
              <w:bottom w:val="single" w:sz="4" w:space="0" w:color="auto"/>
              <w:right w:val="nil"/>
            </w:tcBorders>
            <w:shd w:val="clear" w:color="auto" w:fill="DFE0DC"/>
          </w:tcPr>
          <w:p w:rsidR="00F26847" w:rsidRDefault="00F26847" w:rsidP="00BE4EED">
            <w:pPr>
              <w:pStyle w:val="QOStabletextleftbold"/>
            </w:pPr>
            <w:r>
              <w:t>1-year change</w:t>
            </w:r>
          </w:p>
        </w:tc>
        <w:tc>
          <w:tcPr>
            <w:tcW w:w="1493" w:type="dxa"/>
            <w:tcBorders>
              <w:left w:val="nil"/>
              <w:bottom w:val="single" w:sz="4" w:space="0" w:color="auto"/>
              <w:right w:val="nil"/>
            </w:tcBorders>
            <w:shd w:val="clear" w:color="auto" w:fill="DFE0DC"/>
          </w:tcPr>
          <w:p w:rsidR="00F26847" w:rsidRDefault="00F26847" w:rsidP="00BE4EED">
            <w:pPr>
              <w:pStyle w:val="QOStabletextleftbold"/>
            </w:pPr>
            <w:r>
              <w:t>Change since 2010</w:t>
            </w:r>
            <w:r>
              <w:noBreakHyphen/>
              <w:t>11</w:t>
            </w:r>
          </w:p>
        </w:tc>
      </w:tr>
      <w:tr w:rsidR="00F26847" w:rsidTr="00BE4EED">
        <w:tc>
          <w:tcPr>
            <w:tcW w:w="1266" w:type="dxa"/>
            <w:tcBorders>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Baggage</w:t>
            </w:r>
          </w:p>
        </w:tc>
        <w:tc>
          <w:tcPr>
            <w:tcW w:w="6662" w:type="dxa"/>
            <w:tcBorders>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Baggage processing facilities availability</w:t>
            </w:r>
          </w:p>
        </w:tc>
        <w:tc>
          <w:tcPr>
            <w:tcW w:w="1559" w:type="dxa"/>
            <w:tcBorders>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Airline survey</w:t>
            </w:r>
          </w:p>
        </w:tc>
        <w:tc>
          <w:tcPr>
            <w:tcW w:w="1559" w:type="dxa"/>
            <w:tcBorders>
              <w:left w:val="nil"/>
              <w:bottom w:val="nil"/>
              <w:right w:val="nil"/>
            </w:tcBorders>
            <w:vAlign w:val="center"/>
          </w:tcPr>
          <w:p w:rsidR="00F26847" w:rsidRPr="00FF71EE" w:rsidRDefault="00F26847" w:rsidP="00BE4EED">
            <w:pPr>
              <w:spacing w:before="40" w:after="40"/>
              <w:rPr>
                <w:sz w:val="16"/>
                <w:szCs w:val="16"/>
              </w:rPr>
            </w:pPr>
            <w:r w:rsidRPr="00FF71EE">
              <w:rPr>
                <w:sz w:val="16"/>
                <w:szCs w:val="16"/>
              </w:rPr>
              <w:t>Poor</w:t>
            </w:r>
          </w:p>
        </w:tc>
        <w:tc>
          <w:tcPr>
            <w:tcW w:w="1493" w:type="dxa"/>
            <w:tcBorders>
              <w:left w:val="nil"/>
              <w:bottom w:val="nil"/>
              <w:right w:val="nil"/>
            </w:tcBorders>
            <w:vAlign w:val="center"/>
          </w:tcPr>
          <w:p w:rsidR="00F26847" w:rsidRPr="009F1B5A" w:rsidRDefault="00F26847" w:rsidP="00BE4EED">
            <w:pPr>
              <w:keepNext/>
              <w:spacing w:before="40" w:after="40"/>
              <w:rPr>
                <w:rFonts w:cs="Arial"/>
                <w:color w:val="F79646" w:themeColor="accent6"/>
                <w:sz w:val="16"/>
                <w:szCs w:val="16"/>
              </w:rPr>
            </w:pPr>
            <w:r w:rsidRPr="009F1B5A">
              <w:rPr>
                <w:rFonts w:cs="Arial"/>
                <w:color w:val="F79646" w:themeColor="accent6"/>
                <w:sz w:val="16"/>
                <w:szCs w:val="18"/>
              </w:rPr>
              <w:t>▼</w:t>
            </w:r>
            <w:r w:rsidRPr="009F1B5A">
              <w:rPr>
                <w:rFonts w:cs="Arial"/>
                <w:sz w:val="16"/>
                <w:szCs w:val="18"/>
              </w:rPr>
              <w:t>*</w:t>
            </w:r>
          </w:p>
        </w:tc>
        <w:tc>
          <w:tcPr>
            <w:tcW w:w="1493" w:type="dxa"/>
            <w:tcBorders>
              <w:left w:val="nil"/>
              <w:bottom w:val="nil"/>
              <w:right w:val="nil"/>
            </w:tcBorders>
            <w:vAlign w:val="center"/>
          </w:tcPr>
          <w:p w:rsidR="00F26847" w:rsidRPr="009F1B5A" w:rsidRDefault="00F26847" w:rsidP="00BE4EED">
            <w:pPr>
              <w:keepNext/>
              <w:spacing w:before="40" w:after="40"/>
              <w:rPr>
                <w:rFonts w:cs="Arial"/>
                <w:sz w:val="16"/>
                <w:szCs w:val="16"/>
              </w:rPr>
            </w:pPr>
            <w:r w:rsidRPr="009F1B5A">
              <w:rPr>
                <w:rFonts w:cs="Arial"/>
                <w:color w:val="F79646" w:themeColor="accent6"/>
                <w:sz w:val="16"/>
                <w:szCs w:val="18"/>
              </w:rPr>
              <w:t>▼</w:t>
            </w:r>
            <w:r w:rsidRPr="009F1B5A">
              <w:rPr>
                <w:rFonts w:cs="Arial"/>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Baggage processing facilities standard</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Airline survey</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Poor</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943634" w:themeColor="accent2" w:themeShade="BF"/>
                <w:sz w:val="16"/>
                <w:szCs w:val="16"/>
              </w:rPr>
            </w:pPr>
            <w:r w:rsidRPr="009F1B5A">
              <w:rPr>
                <w:rFonts w:cs="Arial"/>
                <w:color w:val="F79646" w:themeColor="accent6"/>
                <w:sz w:val="16"/>
                <w:szCs w:val="18"/>
              </w:rPr>
              <w:t>▼</w:t>
            </w:r>
            <w:r w:rsidRPr="009F1B5A">
              <w:rPr>
                <w:rFonts w:cs="Arial"/>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rPr>
            </w:pPr>
            <w:r w:rsidRPr="009F1B5A">
              <w:rPr>
                <w:rFonts w:cs="Arial"/>
                <w:color w:val="F79646" w:themeColor="accent6"/>
                <w:sz w:val="16"/>
                <w:szCs w:val="18"/>
              </w:rPr>
              <w:t>▼</w:t>
            </w:r>
            <w:r w:rsidRPr="009F1B5A">
              <w:rPr>
                <w:rFonts w:cs="Arial"/>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E95101" w:rsidRDefault="00F26847" w:rsidP="00BE4EED">
            <w:pPr>
              <w:spacing w:before="40" w:after="40"/>
              <w:rPr>
                <w:i/>
                <w:sz w:val="16"/>
                <w:szCs w:val="16"/>
              </w:rPr>
            </w:pPr>
            <w:r w:rsidRPr="00E95101">
              <w:rPr>
                <w:i/>
                <w:sz w:val="16"/>
                <w:szCs w:val="16"/>
              </w:rPr>
              <w:t>Average throughput of outbound baggage system (per hour)</w:t>
            </w:r>
          </w:p>
        </w:tc>
        <w:tc>
          <w:tcPr>
            <w:tcW w:w="1559" w:type="dxa"/>
            <w:tcBorders>
              <w:top w:val="nil"/>
              <w:left w:val="nil"/>
              <w:bottom w:val="nil"/>
              <w:right w:val="nil"/>
            </w:tcBorders>
            <w:vAlign w:val="center"/>
          </w:tcPr>
          <w:p w:rsidR="00F26847" w:rsidRPr="00E95101" w:rsidRDefault="00F26847" w:rsidP="00BE4EED">
            <w:pPr>
              <w:spacing w:before="40" w:after="40"/>
              <w:rPr>
                <w:i/>
                <w:sz w:val="16"/>
                <w:szCs w:val="16"/>
              </w:rPr>
            </w:pPr>
            <w:r w:rsidRPr="00E95101">
              <w:rPr>
                <w:i/>
                <w:sz w:val="16"/>
                <w:szCs w:val="16"/>
              </w:rPr>
              <w:t>Objective indicator</w:t>
            </w:r>
          </w:p>
        </w:tc>
        <w:tc>
          <w:tcPr>
            <w:tcW w:w="1559" w:type="dxa"/>
            <w:tcBorders>
              <w:top w:val="nil"/>
              <w:left w:val="nil"/>
              <w:bottom w:val="nil"/>
              <w:right w:val="nil"/>
            </w:tcBorders>
            <w:vAlign w:val="center"/>
          </w:tcPr>
          <w:p w:rsidR="00F26847" w:rsidRPr="00E95101" w:rsidRDefault="00F26847" w:rsidP="00BE4EED">
            <w:pPr>
              <w:spacing w:before="40" w:after="40"/>
              <w:rPr>
                <w:i/>
                <w:sz w:val="16"/>
                <w:szCs w:val="16"/>
              </w:rPr>
            </w:pPr>
            <w:r w:rsidRPr="00E95101">
              <w:rPr>
                <w:i/>
                <w:sz w:val="16"/>
                <w:szCs w:val="16"/>
              </w:rPr>
              <w:t>1189 items</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F79646" w:themeColor="accent6"/>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943634" w:themeColor="accent2" w:themeShade="BF"/>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Circulation space for inbound baggage reclaim</w:t>
            </w:r>
          </w:p>
        </w:tc>
        <w:tc>
          <w:tcPr>
            <w:tcW w:w="1559"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Passenger survey</w:t>
            </w:r>
          </w:p>
        </w:tc>
        <w:tc>
          <w:tcPr>
            <w:tcW w:w="1559"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Good</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943634" w:themeColor="accent2" w:themeShade="BF"/>
                <w:sz w:val="16"/>
                <w:szCs w:val="16"/>
                <w:highlight w:val="yellow"/>
              </w:rPr>
            </w:pPr>
            <w:r w:rsidRPr="009F1B5A">
              <w:rPr>
                <w:rFonts w:cs="Arial"/>
                <w:color w:val="4BACC6" w:themeColor="accent5"/>
                <w:sz w:val="16"/>
                <w:szCs w:val="16"/>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F79646" w:themeColor="accent6"/>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Information display for inbound baggage reclaim</w:t>
            </w:r>
          </w:p>
        </w:tc>
        <w:tc>
          <w:tcPr>
            <w:tcW w:w="1559"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Passenger survey</w:t>
            </w:r>
          </w:p>
        </w:tc>
        <w:tc>
          <w:tcPr>
            <w:tcW w:w="1559"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Good</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F79646" w:themeColor="accent6"/>
                <w:sz w:val="16"/>
                <w:szCs w:val="16"/>
              </w:rPr>
            </w:pPr>
            <w:r w:rsidRPr="009F1B5A">
              <w:rPr>
                <w:rFonts w:cs="Arial"/>
                <w:color w:val="943634" w:themeColor="accent2" w:themeShade="BF"/>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F79646" w:themeColor="accent6"/>
                <w:sz w:val="16"/>
                <w:szCs w:val="16"/>
              </w:rPr>
            </w:pPr>
            <w:r w:rsidRPr="009F1B5A">
              <w:rPr>
                <w:rFonts w:cs="Arial"/>
                <w:color w:val="F79646" w:themeColor="accent6"/>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tcPr>
          <w:p w:rsidR="00F26847" w:rsidRPr="00E95101" w:rsidRDefault="00F26847" w:rsidP="00BE4EED">
            <w:pPr>
              <w:spacing w:before="40" w:after="40"/>
              <w:rPr>
                <w:i/>
                <w:sz w:val="16"/>
              </w:rPr>
            </w:pPr>
            <w:r w:rsidRPr="00E95101">
              <w:rPr>
                <w:i/>
                <w:sz w:val="16"/>
              </w:rPr>
              <w:t>Number of arriving passengers per m</w:t>
            </w:r>
            <w:r w:rsidRPr="00E95101">
              <w:rPr>
                <w:i/>
                <w:sz w:val="16"/>
                <w:vertAlign w:val="superscript"/>
              </w:rPr>
              <w:t xml:space="preserve">2 </w:t>
            </w:r>
            <w:r w:rsidRPr="00E95101">
              <w:rPr>
                <w:i/>
                <w:sz w:val="16"/>
              </w:rPr>
              <w:t>of inbound baggage reclaim area (peak hour)</w:t>
            </w:r>
          </w:p>
        </w:tc>
        <w:tc>
          <w:tcPr>
            <w:tcW w:w="1559" w:type="dxa"/>
            <w:tcBorders>
              <w:top w:val="nil"/>
              <w:left w:val="nil"/>
              <w:bottom w:val="nil"/>
              <w:right w:val="nil"/>
            </w:tcBorders>
          </w:tcPr>
          <w:p w:rsidR="00F26847" w:rsidRPr="00E95101" w:rsidRDefault="00F26847" w:rsidP="00BE4EED">
            <w:pPr>
              <w:spacing w:before="40" w:after="40"/>
              <w:rPr>
                <w:i/>
                <w:sz w:val="16"/>
              </w:rPr>
            </w:pPr>
            <w:r w:rsidRPr="00E95101">
              <w:rPr>
                <w:i/>
                <w:sz w:val="16"/>
              </w:rPr>
              <w:t>Objective indicator</w:t>
            </w:r>
          </w:p>
        </w:tc>
        <w:tc>
          <w:tcPr>
            <w:tcW w:w="1559" w:type="dxa"/>
            <w:tcBorders>
              <w:top w:val="nil"/>
              <w:left w:val="nil"/>
              <w:bottom w:val="nil"/>
              <w:right w:val="nil"/>
            </w:tcBorders>
          </w:tcPr>
          <w:p w:rsidR="00F26847" w:rsidRPr="00E95101" w:rsidRDefault="00F26847" w:rsidP="00BE4EED">
            <w:pPr>
              <w:spacing w:before="40" w:after="40"/>
              <w:rPr>
                <w:i/>
                <w:sz w:val="16"/>
              </w:rPr>
            </w:pPr>
            <w:r w:rsidRPr="00E95101">
              <w:rPr>
                <w:i/>
                <w:sz w:val="16"/>
              </w:rPr>
              <w:t>0.1 passengers</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7E7CCD">
              <w:rPr>
                <w:rFonts w:cs="Arial"/>
                <w:sz w:val="16"/>
                <w:szCs w:val="16"/>
              </w:rPr>
              <w:t>n/a</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Findability of baggage trolleys</w:t>
            </w:r>
          </w:p>
        </w:tc>
        <w:tc>
          <w:tcPr>
            <w:tcW w:w="1559"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Passenger survey</w:t>
            </w:r>
          </w:p>
        </w:tc>
        <w:tc>
          <w:tcPr>
            <w:tcW w:w="1559" w:type="dxa"/>
            <w:tcBorders>
              <w:top w:val="nil"/>
              <w:left w:val="nil"/>
              <w:bottom w:val="nil"/>
              <w:right w:val="nil"/>
            </w:tcBorders>
            <w:vAlign w:val="center"/>
          </w:tcPr>
          <w:p w:rsidR="00F26847" w:rsidRPr="00E95101" w:rsidRDefault="00F26847" w:rsidP="00BE4EED">
            <w:pPr>
              <w:spacing w:before="40" w:after="40"/>
              <w:rPr>
                <w:sz w:val="16"/>
                <w:szCs w:val="16"/>
              </w:rPr>
            </w:pPr>
            <w:r w:rsidRPr="00E95101">
              <w:rPr>
                <w:sz w:val="16"/>
                <w:szCs w:val="16"/>
              </w:rPr>
              <w:t>Good</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943634" w:themeColor="accent2" w:themeShade="BF"/>
                <w:sz w:val="16"/>
                <w:szCs w:val="16"/>
              </w:rPr>
            </w:pPr>
            <w:r w:rsidRPr="009F1B5A">
              <w:rPr>
                <w:rFonts w:cs="Arial"/>
                <w:color w:val="943634" w:themeColor="accent2" w:themeShade="BF"/>
                <w:sz w:val="16"/>
                <w:szCs w:val="18"/>
              </w:rPr>
              <w:t>▲</w:t>
            </w:r>
          </w:p>
        </w:tc>
      </w:tr>
      <w:tr w:rsidR="00F26847" w:rsidTr="00BE4EED">
        <w:tc>
          <w:tcPr>
            <w:tcW w:w="1266" w:type="dxa"/>
            <w:tcBorders>
              <w:top w:val="nil"/>
              <w:left w:val="nil"/>
              <w:bottom w:val="single" w:sz="4" w:space="0" w:color="auto"/>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single" w:sz="4" w:space="0" w:color="auto"/>
              <w:right w:val="nil"/>
            </w:tcBorders>
            <w:vAlign w:val="center"/>
          </w:tcPr>
          <w:p w:rsidR="00F26847" w:rsidRPr="003366A1" w:rsidRDefault="00F26847" w:rsidP="00BE4EED">
            <w:pPr>
              <w:spacing w:before="40" w:after="40"/>
              <w:rPr>
                <w:i/>
                <w:sz w:val="16"/>
                <w:szCs w:val="16"/>
              </w:rPr>
            </w:pPr>
            <w:r w:rsidRPr="003366A1">
              <w:rPr>
                <w:i/>
                <w:sz w:val="16"/>
                <w:szCs w:val="16"/>
              </w:rPr>
              <w:t>Number of passengers per baggage trolley (peak hour)</w:t>
            </w:r>
          </w:p>
        </w:tc>
        <w:tc>
          <w:tcPr>
            <w:tcW w:w="1559" w:type="dxa"/>
            <w:tcBorders>
              <w:top w:val="nil"/>
              <w:left w:val="nil"/>
              <w:bottom w:val="single" w:sz="4" w:space="0" w:color="auto"/>
              <w:right w:val="nil"/>
            </w:tcBorders>
            <w:vAlign w:val="center"/>
          </w:tcPr>
          <w:p w:rsidR="00F26847" w:rsidRPr="003366A1" w:rsidRDefault="00F26847" w:rsidP="00BE4EED">
            <w:pPr>
              <w:spacing w:before="40" w:after="40"/>
              <w:rPr>
                <w:i/>
                <w:sz w:val="16"/>
                <w:szCs w:val="16"/>
              </w:rPr>
            </w:pPr>
            <w:r w:rsidRPr="003366A1">
              <w:rPr>
                <w:i/>
                <w:sz w:val="16"/>
                <w:szCs w:val="16"/>
              </w:rPr>
              <w:t>Objective indicator</w:t>
            </w:r>
          </w:p>
        </w:tc>
        <w:tc>
          <w:tcPr>
            <w:tcW w:w="1559" w:type="dxa"/>
            <w:tcBorders>
              <w:top w:val="nil"/>
              <w:left w:val="nil"/>
              <w:bottom w:val="single" w:sz="4" w:space="0" w:color="auto"/>
              <w:right w:val="nil"/>
            </w:tcBorders>
            <w:vAlign w:val="center"/>
          </w:tcPr>
          <w:p w:rsidR="00F26847" w:rsidRPr="003366A1" w:rsidRDefault="00F26847" w:rsidP="00BE4EED">
            <w:pPr>
              <w:spacing w:before="40" w:after="40"/>
              <w:rPr>
                <w:i/>
                <w:sz w:val="16"/>
                <w:szCs w:val="16"/>
              </w:rPr>
            </w:pPr>
            <w:r w:rsidRPr="003366A1">
              <w:rPr>
                <w:i/>
                <w:sz w:val="16"/>
                <w:szCs w:val="16"/>
              </w:rPr>
              <w:t>0.9 passengers</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rPr>
            </w:pPr>
            <w:r w:rsidRPr="009F1B5A">
              <w:rPr>
                <w:rFonts w:cs="Arial"/>
                <w:color w:val="943634" w:themeColor="accent2" w:themeShade="BF"/>
                <w:sz w:val="16"/>
                <w:szCs w:val="18"/>
              </w:rPr>
              <w:t>▲</w:t>
            </w:r>
          </w:p>
        </w:tc>
      </w:tr>
      <w:tr w:rsidR="00F26847" w:rsidTr="00BE4EED">
        <w:tc>
          <w:tcPr>
            <w:tcW w:w="1266" w:type="dxa"/>
            <w:tcBorders>
              <w:top w:val="single" w:sz="4" w:space="0" w:color="auto"/>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Gate lounges</w:t>
            </w:r>
          </w:p>
        </w:tc>
        <w:tc>
          <w:tcPr>
            <w:tcW w:w="6662" w:type="dxa"/>
            <w:tcBorders>
              <w:top w:val="single" w:sz="4" w:space="0" w:color="auto"/>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Seating in lounge area (quality and availability)</w:t>
            </w:r>
            <w:r w:rsidRPr="003366A1">
              <w:rPr>
                <w:sz w:val="16"/>
                <w:szCs w:val="16"/>
                <w:vertAlign w:val="superscript"/>
              </w:rPr>
              <w:t xml:space="preserve"> </w:t>
            </w:r>
          </w:p>
        </w:tc>
        <w:tc>
          <w:tcPr>
            <w:tcW w:w="1559" w:type="dxa"/>
            <w:tcBorders>
              <w:top w:val="single" w:sz="4" w:space="0" w:color="auto"/>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Passenger survey</w:t>
            </w:r>
          </w:p>
        </w:tc>
        <w:tc>
          <w:tcPr>
            <w:tcW w:w="1559" w:type="dxa"/>
            <w:tcBorders>
              <w:top w:val="single" w:sz="4" w:space="0" w:color="auto"/>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Good</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3366A1" w:rsidRDefault="00F26847" w:rsidP="00BE4EED">
            <w:pPr>
              <w:spacing w:before="40" w:after="40"/>
              <w:rPr>
                <w:i/>
                <w:sz w:val="16"/>
                <w:szCs w:val="16"/>
              </w:rPr>
            </w:pPr>
            <w:r w:rsidRPr="003366A1">
              <w:rPr>
                <w:i/>
                <w:sz w:val="16"/>
                <w:szCs w:val="16"/>
              </w:rPr>
              <w:t>Number of departing passengers per seat in gate lounges (peak hour)</w:t>
            </w:r>
          </w:p>
        </w:tc>
        <w:tc>
          <w:tcPr>
            <w:tcW w:w="1559" w:type="dxa"/>
            <w:tcBorders>
              <w:top w:val="nil"/>
              <w:left w:val="nil"/>
              <w:bottom w:val="nil"/>
              <w:right w:val="nil"/>
            </w:tcBorders>
            <w:vAlign w:val="center"/>
          </w:tcPr>
          <w:p w:rsidR="00F26847" w:rsidRPr="003366A1" w:rsidRDefault="00F26847" w:rsidP="00BE4EED">
            <w:pPr>
              <w:spacing w:before="40" w:after="40"/>
              <w:rPr>
                <w:i/>
                <w:sz w:val="16"/>
                <w:szCs w:val="16"/>
              </w:rPr>
            </w:pPr>
            <w:r w:rsidRPr="003366A1">
              <w:rPr>
                <w:i/>
                <w:sz w:val="16"/>
                <w:szCs w:val="16"/>
              </w:rPr>
              <w:t>Objective indicator</w:t>
            </w:r>
          </w:p>
        </w:tc>
        <w:tc>
          <w:tcPr>
            <w:tcW w:w="1559" w:type="dxa"/>
            <w:tcBorders>
              <w:top w:val="nil"/>
              <w:left w:val="nil"/>
              <w:bottom w:val="nil"/>
              <w:right w:val="nil"/>
            </w:tcBorders>
            <w:vAlign w:val="center"/>
          </w:tcPr>
          <w:p w:rsidR="00F26847" w:rsidRPr="003366A1" w:rsidRDefault="00F26847" w:rsidP="00BE4EED">
            <w:pPr>
              <w:spacing w:before="40" w:after="40"/>
              <w:rPr>
                <w:i/>
                <w:sz w:val="16"/>
                <w:szCs w:val="16"/>
              </w:rPr>
            </w:pPr>
            <w:r w:rsidRPr="003366A1">
              <w:rPr>
                <w:i/>
                <w:sz w:val="16"/>
                <w:szCs w:val="16"/>
              </w:rPr>
              <w:t>0.5 passengers</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F79646" w:themeColor="accent6"/>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Crowding in lounge area</w:t>
            </w:r>
          </w:p>
        </w:tc>
        <w:tc>
          <w:tcPr>
            <w:tcW w:w="1559" w:type="dxa"/>
            <w:tcBorders>
              <w:top w:val="nil"/>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Passenger survey</w:t>
            </w:r>
          </w:p>
        </w:tc>
        <w:tc>
          <w:tcPr>
            <w:tcW w:w="1559" w:type="dxa"/>
            <w:tcBorders>
              <w:top w:val="nil"/>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Good</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color w:val="943634" w:themeColor="accent2" w:themeShade="BF"/>
                <w:sz w:val="16"/>
                <w:szCs w:val="16"/>
              </w:rPr>
            </w:pPr>
            <w:r w:rsidRPr="009F1B5A">
              <w:rPr>
                <w:rFonts w:cs="Arial"/>
                <w:color w:val="943634" w:themeColor="accent2" w:themeShade="BF"/>
                <w:sz w:val="16"/>
                <w:szCs w:val="18"/>
              </w:rPr>
              <w:t>▲</w:t>
            </w:r>
          </w:p>
        </w:tc>
      </w:tr>
      <w:tr w:rsidR="00F26847" w:rsidTr="00BE4EED">
        <w:tc>
          <w:tcPr>
            <w:tcW w:w="1266" w:type="dxa"/>
            <w:tcBorders>
              <w:top w:val="nil"/>
              <w:left w:val="nil"/>
              <w:bottom w:val="single" w:sz="4" w:space="0" w:color="auto"/>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single" w:sz="4" w:space="0" w:color="auto"/>
              <w:right w:val="nil"/>
            </w:tcBorders>
            <w:vAlign w:val="center"/>
          </w:tcPr>
          <w:p w:rsidR="00F26847" w:rsidRPr="003366A1" w:rsidRDefault="00F26847" w:rsidP="00BE4EED">
            <w:pPr>
              <w:spacing w:before="40" w:after="40"/>
              <w:rPr>
                <w:i/>
                <w:sz w:val="16"/>
                <w:szCs w:val="16"/>
              </w:rPr>
            </w:pPr>
            <w:r w:rsidRPr="003366A1">
              <w:rPr>
                <w:i/>
                <w:sz w:val="16"/>
                <w:szCs w:val="16"/>
              </w:rPr>
              <w:t>Number of departing passengers per m</w:t>
            </w:r>
            <w:r w:rsidRPr="003366A1">
              <w:rPr>
                <w:i/>
                <w:sz w:val="16"/>
                <w:szCs w:val="16"/>
                <w:vertAlign w:val="superscript"/>
              </w:rPr>
              <w:t>2</w:t>
            </w:r>
            <w:r w:rsidRPr="003366A1">
              <w:rPr>
                <w:i/>
                <w:sz w:val="16"/>
                <w:szCs w:val="16"/>
              </w:rPr>
              <w:t xml:space="preserve"> of lounge area (peak hour)</w:t>
            </w:r>
          </w:p>
        </w:tc>
        <w:tc>
          <w:tcPr>
            <w:tcW w:w="1559" w:type="dxa"/>
            <w:tcBorders>
              <w:top w:val="nil"/>
              <w:left w:val="nil"/>
              <w:bottom w:val="single" w:sz="4" w:space="0" w:color="auto"/>
              <w:right w:val="nil"/>
            </w:tcBorders>
            <w:vAlign w:val="center"/>
          </w:tcPr>
          <w:p w:rsidR="00F26847" w:rsidRPr="003366A1" w:rsidRDefault="00F26847" w:rsidP="00BE4EED">
            <w:pPr>
              <w:spacing w:before="40" w:after="40"/>
              <w:rPr>
                <w:i/>
                <w:sz w:val="16"/>
                <w:szCs w:val="16"/>
              </w:rPr>
            </w:pPr>
            <w:r w:rsidRPr="003366A1">
              <w:rPr>
                <w:i/>
                <w:sz w:val="16"/>
                <w:szCs w:val="16"/>
              </w:rPr>
              <w:t>Objective indicator</w:t>
            </w:r>
          </w:p>
        </w:tc>
        <w:tc>
          <w:tcPr>
            <w:tcW w:w="1559" w:type="dxa"/>
            <w:tcBorders>
              <w:top w:val="nil"/>
              <w:left w:val="nil"/>
              <w:bottom w:val="single" w:sz="4" w:space="0" w:color="auto"/>
              <w:right w:val="nil"/>
            </w:tcBorders>
            <w:vAlign w:val="center"/>
          </w:tcPr>
          <w:p w:rsidR="00F26847" w:rsidRPr="003366A1" w:rsidRDefault="00F26847" w:rsidP="00BE4EED">
            <w:pPr>
              <w:spacing w:before="40" w:after="40"/>
              <w:rPr>
                <w:i/>
                <w:sz w:val="16"/>
                <w:szCs w:val="16"/>
              </w:rPr>
            </w:pPr>
            <w:r w:rsidRPr="003366A1">
              <w:rPr>
                <w:i/>
                <w:sz w:val="16"/>
                <w:szCs w:val="16"/>
              </w:rPr>
              <w:t>0.3 passengers</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F79646" w:themeColor="accent6"/>
                <w:sz w:val="16"/>
                <w:szCs w:val="18"/>
              </w:rPr>
              <w:t>▼</w:t>
            </w:r>
          </w:p>
        </w:tc>
      </w:tr>
      <w:tr w:rsidR="00F26847" w:rsidTr="00BE4EED">
        <w:tc>
          <w:tcPr>
            <w:tcW w:w="1266" w:type="dxa"/>
            <w:tcBorders>
              <w:top w:val="single" w:sz="4" w:space="0" w:color="auto"/>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Amenities</w:t>
            </w:r>
          </w:p>
        </w:tc>
        <w:tc>
          <w:tcPr>
            <w:tcW w:w="6662" w:type="dxa"/>
            <w:tcBorders>
              <w:top w:val="single" w:sz="4" w:space="0" w:color="auto"/>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Standard of washrooms</w:t>
            </w:r>
          </w:p>
        </w:tc>
        <w:tc>
          <w:tcPr>
            <w:tcW w:w="1559" w:type="dxa"/>
            <w:tcBorders>
              <w:top w:val="single" w:sz="4" w:space="0" w:color="auto"/>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Passenger survey</w:t>
            </w:r>
          </w:p>
        </w:tc>
        <w:tc>
          <w:tcPr>
            <w:tcW w:w="1559" w:type="dxa"/>
            <w:tcBorders>
              <w:top w:val="single" w:sz="4" w:space="0" w:color="auto"/>
              <w:left w:val="nil"/>
              <w:bottom w:val="nil"/>
              <w:right w:val="nil"/>
            </w:tcBorders>
            <w:vAlign w:val="center"/>
          </w:tcPr>
          <w:p w:rsidR="00F26847" w:rsidRPr="003366A1" w:rsidRDefault="00F26847" w:rsidP="00BE4EED">
            <w:pPr>
              <w:spacing w:before="40" w:after="40"/>
              <w:rPr>
                <w:sz w:val="16"/>
                <w:szCs w:val="16"/>
              </w:rPr>
            </w:pPr>
            <w:r w:rsidRPr="003366A1">
              <w:rPr>
                <w:sz w:val="16"/>
                <w:szCs w:val="16"/>
              </w:rPr>
              <w:t>Good</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color w:val="F79646" w:themeColor="accent6"/>
                <w:sz w:val="16"/>
                <w:szCs w:val="16"/>
              </w:rPr>
            </w:pPr>
            <w:r w:rsidRPr="009F1B5A">
              <w:rPr>
                <w:rFonts w:cs="Arial"/>
                <w:color w:val="943634" w:themeColor="accent2" w:themeShade="BF"/>
                <w:sz w:val="16"/>
                <w:szCs w:val="18"/>
              </w:rPr>
              <w:t>▲</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color w:val="943634" w:themeColor="accent2" w:themeShade="BF"/>
                <w:sz w:val="16"/>
                <w:szCs w:val="16"/>
              </w:rPr>
            </w:pPr>
            <w:r w:rsidRPr="009F1B5A">
              <w:rPr>
                <w:rFonts w:cs="Arial"/>
                <w:color w:val="4BACC6" w:themeColor="accent5"/>
                <w:sz w:val="16"/>
                <w:szCs w:val="16"/>
              </w:rPr>
              <w:t>▬</w:t>
            </w:r>
          </w:p>
        </w:tc>
      </w:tr>
      <w:tr w:rsidR="00F26847" w:rsidTr="00BE4EED">
        <w:tc>
          <w:tcPr>
            <w:tcW w:w="1266" w:type="dxa"/>
            <w:tcBorders>
              <w:top w:val="nil"/>
              <w:left w:val="nil"/>
              <w:bottom w:val="single" w:sz="4" w:space="0" w:color="auto"/>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single" w:sz="4" w:space="0" w:color="auto"/>
              <w:right w:val="nil"/>
            </w:tcBorders>
          </w:tcPr>
          <w:p w:rsidR="00F26847" w:rsidRPr="003366A1" w:rsidRDefault="00F26847" w:rsidP="00BE4EED">
            <w:pPr>
              <w:spacing w:before="40" w:after="40"/>
              <w:rPr>
                <w:i/>
                <w:sz w:val="16"/>
              </w:rPr>
            </w:pPr>
            <w:r w:rsidRPr="003366A1">
              <w:rPr>
                <w:i/>
                <w:sz w:val="16"/>
              </w:rPr>
              <w:t>Number of departing passengers per washroom (peak hour)</w:t>
            </w:r>
          </w:p>
        </w:tc>
        <w:tc>
          <w:tcPr>
            <w:tcW w:w="1559" w:type="dxa"/>
            <w:tcBorders>
              <w:top w:val="nil"/>
              <w:left w:val="nil"/>
              <w:bottom w:val="single" w:sz="4" w:space="0" w:color="auto"/>
              <w:right w:val="nil"/>
            </w:tcBorders>
          </w:tcPr>
          <w:p w:rsidR="00F26847" w:rsidRPr="003366A1" w:rsidRDefault="00F26847" w:rsidP="00BE4EED">
            <w:pPr>
              <w:spacing w:before="40" w:after="40"/>
              <w:rPr>
                <w:i/>
                <w:sz w:val="16"/>
              </w:rPr>
            </w:pPr>
            <w:r w:rsidRPr="003366A1">
              <w:rPr>
                <w:i/>
                <w:sz w:val="16"/>
              </w:rPr>
              <w:t>Objective indicator</w:t>
            </w:r>
          </w:p>
        </w:tc>
        <w:tc>
          <w:tcPr>
            <w:tcW w:w="1559" w:type="dxa"/>
            <w:tcBorders>
              <w:top w:val="nil"/>
              <w:left w:val="nil"/>
              <w:bottom w:val="single" w:sz="4" w:space="0" w:color="auto"/>
              <w:right w:val="nil"/>
            </w:tcBorders>
          </w:tcPr>
          <w:p w:rsidR="00F26847" w:rsidRPr="003366A1" w:rsidRDefault="00F26847" w:rsidP="00BE4EED">
            <w:pPr>
              <w:spacing w:before="40" w:after="40"/>
              <w:rPr>
                <w:i/>
                <w:sz w:val="16"/>
              </w:rPr>
            </w:pPr>
            <w:r>
              <w:rPr>
                <w:i/>
                <w:sz w:val="16"/>
              </w:rPr>
              <w:t>126.8</w:t>
            </w:r>
            <w:r w:rsidRPr="003366A1">
              <w:rPr>
                <w:i/>
                <w:sz w:val="16"/>
              </w:rPr>
              <w:t xml:space="preserve"> passengers</w:t>
            </w:r>
          </w:p>
        </w:tc>
        <w:tc>
          <w:tcPr>
            <w:tcW w:w="1493" w:type="dxa"/>
            <w:tcBorders>
              <w:top w:val="nil"/>
              <w:left w:val="nil"/>
              <w:bottom w:val="single" w:sz="4" w:space="0" w:color="auto"/>
              <w:right w:val="nil"/>
            </w:tcBorders>
          </w:tcPr>
          <w:p w:rsidR="00F26847" w:rsidRPr="009F1B5A" w:rsidRDefault="00F26847" w:rsidP="00BE4EED">
            <w:pPr>
              <w:spacing w:before="40" w:after="40"/>
              <w:rPr>
                <w:sz w:val="16"/>
                <w:highlight w:val="yellow"/>
              </w:rPr>
            </w:pPr>
            <w:r w:rsidRPr="009F1B5A">
              <w:rPr>
                <w:rFonts w:cs="Arial"/>
                <w:color w:val="F79646" w:themeColor="accent6"/>
                <w:sz w:val="16"/>
                <w:szCs w:val="18"/>
              </w:rPr>
              <w:t>▼</w:t>
            </w:r>
          </w:p>
        </w:tc>
        <w:tc>
          <w:tcPr>
            <w:tcW w:w="1493" w:type="dxa"/>
            <w:tcBorders>
              <w:top w:val="nil"/>
              <w:left w:val="nil"/>
              <w:bottom w:val="single" w:sz="4" w:space="0" w:color="auto"/>
              <w:right w:val="nil"/>
            </w:tcBorders>
          </w:tcPr>
          <w:p w:rsidR="00F26847" w:rsidRPr="009F1B5A" w:rsidRDefault="00F26847" w:rsidP="00BE4EED">
            <w:pPr>
              <w:spacing w:before="40" w:after="40"/>
              <w:rPr>
                <w:sz w:val="16"/>
                <w:highlight w:val="yellow"/>
              </w:rPr>
            </w:pPr>
            <w:r w:rsidRPr="009F1B5A">
              <w:rPr>
                <w:sz w:val="16"/>
              </w:rPr>
              <w:t>n/a</w:t>
            </w:r>
          </w:p>
        </w:tc>
      </w:tr>
      <w:tr w:rsidR="00F26847" w:rsidTr="00BE4EED">
        <w:tc>
          <w:tcPr>
            <w:tcW w:w="1266" w:type="dxa"/>
            <w:tcBorders>
              <w:top w:val="single" w:sz="4" w:space="0" w:color="auto"/>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Aerobridges</w:t>
            </w:r>
          </w:p>
        </w:tc>
        <w:tc>
          <w:tcPr>
            <w:tcW w:w="6662" w:type="dxa"/>
            <w:tcBorders>
              <w:top w:val="single" w:sz="4" w:space="0" w:color="auto"/>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Aerobridges availability</w:t>
            </w:r>
          </w:p>
        </w:tc>
        <w:tc>
          <w:tcPr>
            <w:tcW w:w="1559" w:type="dxa"/>
            <w:tcBorders>
              <w:top w:val="single" w:sz="4" w:space="0" w:color="auto"/>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Airline survey</w:t>
            </w:r>
          </w:p>
        </w:tc>
        <w:tc>
          <w:tcPr>
            <w:tcW w:w="1559" w:type="dxa"/>
            <w:tcBorders>
              <w:top w:val="single" w:sz="4" w:space="0" w:color="auto"/>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Poor</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sz w:val="16"/>
                <w:szCs w:val="16"/>
              </w:rPr>
            </w:pPr>
            <w:r w:rsidRPr="009F1B5A">
              <w:rPr>
                <w:rFonts w:cs="Arial"/>
                <w:color w:val="F79646" w:themeColor="accent6"/>
                <w:sz w:val="16"/>
                <w:szCs w:val="18"/>
              </w:rPr>
              <w:t>▼</w:t>
            </w:r>
            <w:r w:rsidRPr="009F1B5A">
              <w:rPr>
                <w:rFonts w:cs="Arial"/>
                <w:sz w:val="16"/>
                <w:szCs w:val="18"/>
              </w:rPr>
              <w:t>*</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sz w:val="16"/>
                <w:szCs w:val="16"/>
              </w:rPr>
            </w:pPr>
            <w:r w:rsidRPr="009F1B5A">
              <w:rPr>
                <w:rFonts w:cs="Arial"/>
                <w:color w:val="F79646" w:themeColor="accent6"/>
                <w:sz w:val="16"/>
                <w:szCs w:val="18"/>
              </w:rPr>
              <w:t>▼</w:t>
            </w:r>
            <w:r w:rsidRPr="009F1B5A">
              <w:rPr>
                <w:rFonts w:cs="Arial"/>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Aerobridges standard</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Airline survey</w:t>
            </w:r>
          </w:p>
        </w:tc>
        <w:tc>
          <w:tcPr>
            <w:tcW w:w="1559" w:type="dxa"/>
            <w:tcBorders>
              <w:top w:val="nil"/>
              <w:left w:val="nil"/>
              <w:bottom w:val="nil"/>
              <w:right w:val="nil"/>
            </w:tcBorders>
            <w:vAlign w:val="center"/>
          </w:tcPr>
          <w:p w:rsidR="00F26847" w:rsidRPr="00863BE3" w:rsidRDefault="00F26847" w:rsidP="00BE4EED">
            <w:pPr>
              <w:spacing w:before="40" w:after="40"/>
              <w:rPr>
                <w:sz w:val="16"/>
                <w:szCs w:val="16"/>
              </w:rPr>
            </w:pPr>
            <w:r w:rsidRPr="00863BE3">
              <w:rPr>
                <w:sz w:val="16"/>
                <w:szCs w:val="16"/>
              </w:rPr>
              <w:t>Poor</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rPr>
            </w:pPr>
            <w:r w:rsidRPr="009F1B5A">
              <w:rPr>
                <w:rFonts w:cs="Arial"/>
                <w:color w:val="F79646" w:themeColor="accent6"/>
                <w:sz w:val="16"/>
                <w:szCs w:val="18"/>
              </w:rPr>
              <w:t>▼</w:t>
            </w:r>
            <w:r w:rsidRPr="009F1B5A">
              <w:rPr>
                <w:rFonts w:cs="Arial"/>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rPr>
            </w:pPr>
            <w:r w:rsidRPr="009F1B5A">
              <w:rPr>
                <w:rFonts w:cs="Arial"/>
                <w:color w:val="F79646" w:themeColor="accent6"/>
                <w:sz w:val="16"/>
                <w:szCs w:val="18"/>
              </w:rPr>
              <w:t>▼</w:t>
            </w:r>
            <w:r w:rsidRPr="009F1B5A">
              <w:rPr>
                <w:rFonts w:cs="Arial"/>
                <w:sz w:val="16"/>
                <w:szCs w:val="18"/>
              </w:rPr>
              <w:t>*</w:t>
            </w:r>
          </w:p>
        </w:tc>
      </w:tr>
      <w:tr w:rsidR="00F26847" w:rsidTr="00BE4EED">
        <w:tc>
          <w:tcPr>
            <w:tcW w:w="1266" w:type="dxa"/>
            <w:tcBorders>
              <w:top w:val="nil"/>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nil"/>
              <w:right w:val="nil"/>
            </w:tcBorders>
            <w:vAlign w:val="center"/>
          </w:tcPr>
          <w:p w:rsidR="00F26847" w:rsidRPr="004A6795" w:rsidRDefault="00F26847" w:rsidP="00BE4EED">
            <w:pPr>
              <w:spacing w:before="40" w:after="40"/>
              <w:rPr>
                <w:i/>
                <w:sz w:val="16"/>
                <w:szCs w:val="16"/>
              </w:rPr>
            </w:pPr>
            <w:r w:rsidRPr="004A6795">
              <w:rPr>
                <w:i/>
                <w:sz w:val="16"/>
                <w:szCs w:val="16"/>
              </w:rPr>
              <w:t>Percentage of international passengers arriving using an aerobridge</w:t>
            </w:r>
          </w:p>
        </w:tc>
        <w:tc>
          <w:tcPr>
            <w:tcW w:w="1559" w:type="dxa"/>
            <w:tcBorders>
              <w:top w:val="nil"/>
              <w:left w:val="nil"/>
              <w:bottom w:val="nil"/>
              <w:right w:val="nil"/>
            </w:tcBorders>
            <w:vAlign w:val="center"/>
          </w:tcPr>
          <w:p w:rsidR="00F26847" w:rsidRPr="004A6795" w:rsidRDefault="00F26847" w:rsidP="00BE4EED">
            <w:pPr>
              <w:spacing w:before="40" w:after="40"/>
              <w:rPr>
                <w:i/>
                <w:sz w:val="16"/>
                <w:szCs w:val="16"/>
              </w:rPr>
            </w:pPr>
            <w:r w:rsidRPr="004A6795">
              <w:rPr>
                <w:i/>
                <w:sz w:val="16"/>
                <w:szCs w:val="16"/>
              </w:rPr>
              <w:t>Objective indicator</w:t>
            </w:r>
          </w:p>
        </w:tc>
        <w:tc>
          <w:tcPr>
            <w:tcW w:w="1559" w:type="dxa"/>
            <w:tcBorders>
              <w:top w:val="nil"/>
              <w:left w:val="nil"/>
              <w:bottom w:val="nil"/>
              <w:right w:val="nil"/>
            </w:tcBorders>
            <w:vAlign w:val="center"/>
          </w:tcPr>
          <w:p w:rsidR="00F26847" w:rsidRPr="004A6795" w:rsidRDefault="00F26847" w:rsidP="00BE4EED">
            <w:pPr>
              <w:spacing w:before="40" w:after="40"/>
              <w:rPr>
                <w:i/>
                <w:sz w:val="16"/>
                <w:szCs w:val="16"/>
              </w:rPr>
            </w:pPr>
            <w:r w:rsidRPr="004A6795">
              <w:rPr>
                <w:i/>
                <w:sz w:val="16"/>
                <w:szCs w:val="16"/>
              </w:rPr>
              <w:t>97.7%</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sz w:val="16"/>
                <w:szCs w:val="16"/>
              </w:rPr>
            </w:pPr>
            <w:r w:rsidRPr="009F1B5A">
              <w:rPr>
                <w:rFonts w:cs="Arial"/>
                <w:color w:val="943634" w:themeColor="accent2" w:themeShade="BF"/>
                <w:sz w:val="16"/>
                <w:szCs w:val="18"/>
              </w:rPr>
              <w:t>▲</w:t>
            </w:r>
          </w:p>
        </w:tc>
        <w:tc>
          <w:tcPr>
            <w:tcW w:w="1493" w:type="dxa"/>
            <w:tcBorders>
              <w:top w:val="nil"/>
              <w:left w:val="nil"/>
              <w:bottom w:val="nil"/>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F79646" w:themeColor="accent6"/>
                <w:sz w:val="16"/>
                <w:szCs w:val="18"/>
              </w:rPr>
              <w:t>▼</w:t>
            </w:r>
          </w:p>
        </w:tc>
      </w:tr>
      <w:tr w:rsidR="00F26847" w:rsidTr="00BE4EED">
        <w:tc>
          <w:tcPr>
            <w:tcW w:w="1266" w:type="dxa"/>
            <w:tcBorders>
              <w:top w:val="nil"/>
              <w:left w:val="nil"/>
              <w:bottom w:val="single" w:sz="4" w:space="0" w:color="auto"/>
              <w:right w:val="nil"/>
            </w:tcBorders>
            <w:vAlign w:val="center"/>
          </w:tcPr>
          <w:p w:rsidR="00F26847" w:rsidRPr="009F1B5A" w:rsidRDefault="00F26847" w:rsidP="00BE4EED">
            <w:pPr>
              <w:spacing w:before="40" w:after="40"/>
              <w:rPr>
                <w:rFonts w:eastAsia="Times New Roman" w:cs="Times New Roman"/>
                <w:sz w:val="16"/>
                <w:szCs w:val="16"/>
                <w:lang w:eastAsia="en-AU"/>
              </w:rPr>
            </w:pPr>
          </w:p>
        </w:tc>
        <w:tc>
          <w:tcPr>
            <w:tcW w:w="6662" w:type="dxa"/>
            <w:tcBorders>
              <w:top w:val="nil"/>
              <w:left w:val="nil"/>
              <w:bottom w:val="single" w:sz="4" w:space="0" w:color="auto"/>
              <w:right w:val="nil"/>
            </w:tcBorders>
            <w:vAlign w:val="center"/>
          </w:tcPr>
          <w:p w:rsidR="00F26847" w:rsidRPr="004A6795" w:rsidRDefault="00F26847" w:rsidP="00BE4EED">
            <w:pPr>
              <w:spacing w:before="40" w:after="40"/>
              <w:rPr>
                <w:i/>
                <w:sz w:val="16"/>
                <w:szCs w:val="16"/>
              </w:rPr>
            </w:pPr>
            <w:r w:rsidRPr="004A6795">
              <w:rPr>
                <w:i/>
                <w:sz w:val="16"/>
                <w:szCs w:val="16"/>
              </w:rPr>
              <w:t>Percentage of international passengers departing using an aerobridge</w:t>
            </w:r>
          </w:p>
        </w:tc>
        <w:tc>
          <w:tcPr>
            <w:tcW w:w="1559" w:type="dxa"/>
            <w:tcBorders>
              <w:top w:val="nil"/>
              <w:left w:val="nil"/>
              <w:bottom w:val="single" w:sz="4" w:space="0" w:color="auto"/>
              <w:right w:val="nil"/>
            </w:tcBorders>
            <w:vAlign w:val="center"/>
          </w:tcPr>
          <w:p w:rsidR="00F26847" w:rsidRPr="004A6795" w:rsidRDefault="00F26847" w:rsidP="00BE4EED">
            <w:pPr>
              <w:spacing w:before="40" w:after="40"/>
              <w:rPr>
                <w:i/>
                <w:sz w:val="16"/>
                <w:szCs w:val="16"/>
              </w:rPr>
            </w:pPr>
            <w:r w:rsidRPr="004A6795">
              <w:rPr>
                <w:i/>
                <w:sz w:val="16"/>
                <w:szCs w:val="16"/>
              </w:rPr>
              <w:t>Objective indicator</w:t>
            </w:r>
          </w:p>
        </w:tc>
        <w:tc>
          <w:tcPr>
            <w:tcW w:w="1559" w:type="dxa"/>
            <w:tcBorders>
              <w:top w:val="nil"/>
              <w:left w:val="nil"/>
              <w:bottom w:val="single" w:sz="4" w:space="0" w:color="auto"/>
              <w:right w:val="nil"/>
            </w:tcBorders>
            <w:vAlign w:val="center"/>
          </w:tcPr>
          <w:p w:rsidR="00F26847" w:rsidRPr="004A6795" w:rsidRDefault="00F26847" w:rsidP="00BE4EED">
            <w:pPr>
              <w:spacing w:before="40" w:after="40"/>
              <w:rPr>
                <w:i/>
                <w:sz w:val="16"/>
                <w:szCs w:val="16"/>
              </w:rPr>
            </w:pPr>
            <w:r w:rsidRPr="004A6795">
              <w:rPr>
                <w:i/>
                <w:sz w:val="16"/>
                <w:szCs w:val="16"/>
              </w:rPr>
              <w:t>97.1%</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943634" w:themeColor="accent2" w:themeShade="BF"/>
                <w:sz w:val="16"/>
                <w:szCs w:val="18"/>
              </w:rPr>
              <w:t>▲</w:t>
            </w:r>
          </w:p>
        </w:tc>
        <w:tc>
          <w:tcPr>
            <w:tcW w:w="1493" w:type="dxa"/>
            <w:tcBorders>
              <w:top w:val="nil"/>
              <w:left w:val="nil"/>
              <w:bottom w:val="single" w:sz="4" w:space="0" w:color="auto"/>
              <w:right w:val="nil"/>
            </w:tcBorders>
            <w:vAlign w:val="center"/>
          </w:tcPr>
          <w:p w:rsidR="00F26847" w:rsidRPr="009F1B5A" w:rsidRDefault="00F26847" w:rsidP="00BE4EED">
            <w:pPr>
              <w:keepNext/>
              <w:spacing w:before="40" w:after="40"/>
              <w:rPr>
                <w:rFonts w:cs="Arial"/>
                <w:i/>
                <w:sz w:val="16"/>
                <w:szCs w:val="16"/>
                <w:highlight w:val="yellow"/>
              </w:rPr>
            </w:pPr>
            <w:r w:rsidRPr="009F1B5A">
              <w:rPr>
                <w:rFonts w:cs="Arial"/>
                <w:color w:val="F79646" w:themeColor="accent6"/>
                <w:sz w:val="16"/>
                <w:szCs w:val="18"/>
              </w:rPr>
              <w:t>▼</w:t>
            </w:r>
          </w:p>
        </w:tc>
      </w:tr>
      <w:tr w:rsidR="00F26847" w:rsidTr="00BE4EED">
        <w:tc>
          <w:tcPr>
            <w:tcW w:w="1266" w:type="dxa"/>
            <w:tcBorders>
              <w:top w:val="single" w:sz="4" w:space="0" w:color="auto"/>
              <w:left w:val="nil"/>
              <w:bottom w:val="nil"/>
              <w:right w:val="nil"/>
            </w:tcBorders>
            <w:vAlign w:val="center"/>
          </w:tcPr>
          <w:p w:rsidR="00F26847" w:rsidRPr="009F1B5A" w:rsidRDefault="00F26847" w:rsidP="00BE4EED">
            <w:pPr>
              <w:spacing w:before="40" w:after="40"/>
              <w:rPr>
                <w:rFonts w:eastAsia="Times New Roman" w:cs="Times New Roman"/>
                <w:sz w:val="16"/>
                <w:szCs w:val="16"/>
                <w:lang w:eastAsia="en-AU"/>
              </w:rPr>
            </w:pPr>
            <w:r w:rsidRPr="009F1B5A">
              <w:rPr>
                <w:rFonts w:eastAsia="Times New Roman" w:cs="Times New Roman"/>
                <w:sz w:val="16"/>
                <w:szCs w:val="16"/>
                <w:lang w:eastAsia="en-AU"/>
              </w:rPr>
              <w:t>Security</w:t>
            </w:r>
          </w:p>
        </w:tc>
        <w:tc>
          <w:tcPr>
            <w:tcW w:w="6662" w:type="dxa"/>
            <w:tcBorders>
              <w:top w:val="single" w:sz="4" w:space="0" w:color="auto"/>
              <w:left w:val="nil"/>
              <w:bottom w:val="nil"/>
              <w:right w:val="nil"/>
            </w:tcBorders>
            <w:vAlign w:val="center"/>
          </w:tcPr>
          <w:p w:rsidR="00F26847" w:rsidRPr="004A6795" w:rsidRDefault="00F26847" w:rsidP="00BE4EED">
            <w:pPr>
              <w:spacing w:before="40" w:after="40"/>
              <w:rPr>
                <w:sz w:val="16"/>
                <w:szCs w:val="16"/>
              </w:rPr>
            </w:pPr>
            <w:r w:rsidRPr="004A6795">
              <w:rPr>
                <w:sz w:val="16"/>
                <w:szCs w:val="16"/>
              </w:rPr>
              <w:t>Quality of security search process</w:t>
            </w:r>
          </w:p>
        </w:tc>
        <w:tc>
          <w:tcPr>
            <w:tcW w:w="1559" w:type="dxa"/>
            <w:tcBorders>
              <w:top w:val="single" w:sz="4" w:space="0" w:color="auto"/>
              <w:left w:val="nil"/>
              <w:bottom w:val="nil"/>
              <w:right w:val="nil"/>
            </w:tcBorders>
            <w:vAlign w:val="center"/>
          </w:tcPr>
          <w:p w:rsidR="00F26847" w:rsidRPr="004A6795" w:rsidRDefault="00F26847" w:rsidP="00BE4EED">
            <w:pPr>
              <w:spacing w:before="40" w:after="40"/>
              <w:rPr>
                <w:sz w:val="16"/>
                <w:szCs w:val="16"/>
              </w:rPr>
            </w:pPr>
            <w:r w:rsidRPr="004A6795">
              <w:rPr>
                <w:sz w:val="16"/>
                <w:szCs w:val="16"/>
              </w:rPr>
              <w:t>Passenger survey</w:t>
            </w:r>
          </w:p>
        </w:tc>
        <w:tc>
          <w:tcPr>
            <w:tcW w:w="1559" w:type="dxa"/>
            <w:tcBorders>
              <w:top w:val="single" w:sz="4" w:space="0" w:color="auto"/>
              <w:left w:val="nil"/>
              <w:bottom w:val="nil"/>
              <w:right w:val="nil"/>
            </w:tcBorders>
            <w:vAlign w:val="center"/>
          </w:tcPr>
          <w:p w:rsidR="00F26847" w:rsidRPr="004A6795" w:rsidRDefault="00F26847" w:rsidP="00BE4EED">
            <w:pPr>
              <w:spacing w:before="40" w:after="40"/>
              <w:rPr>
                <w:sz w:val="16"/>
                <w:szCs w:val="16"/>
              </w:rPr>
            </w:pPr>
            <w:r w:rsidRPr="004A6795">
              <w:rPr>
                <w:sz w:val="16"/>
                <w:szCs w:val="16"/>
              </w:rPr>
              <w:t>Good</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c>
          <w:tcPr>
            <w:tcW w:w="1493" w:type="dxa"/>
            <w:tcBorders>
              <w:top w:val="single" w:sz="4" w:space="0" w:color="auto"/>
              <w:left w:val="nil"/>
              <w:bottom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4BACC6" w:themeColor="accent5"/>
                <w:sz w:val="16"/>
                <w:szCs w:val="16"/>
              </w:rPr>
              <w:t>▬</w:t>
            </w:r>
          </w:p>
        </w:tc>
      </w:tr>
      <w:tr w:rsidR="00F26847" w:rsidTr="00BE4EED">
        <w:tc>
          <w:tcPr>
            <w:tcW w:w="1266" w:type="dxa"/>
            <w:tcBorders>
              <w:top w:val="nil"/>
              <w:left w:val="nil"/>
              <w:right w:val="nil"/>
            </w:tcBorders>
            <w:vAlign w:val="center"/>
          </w:tcPr>
          <w:p w:rsidR="00F26847" w:rsidRPr="009F1B5A" w:rsidRDefault="00F26847" w:rsidP="00BE4EED">
            <w:pPr>
              <w:keepNext/>
              <w:spacing w:before="40" w:after="40"/>
              <w:rPr>
                <w:rFonts w:cs="Arial"/>
                <w:bCs/>
                <w:sz w:val="16"/>
                <w:szCs w:val="16"/>
              </w:rPr>
            </w:pPr>
          </w:p>
        </w:tc>
        <w:tc>
          <w:tcPr>
            <w:tcW w:w="6662" w:type="dxa"/>
            <w:tcBorders>
              <w:top w:val="nil"/>
              <w:left w:val="nil"/>
              <w:right w:val="nil"/>
            </w:tcBorders>
            <w:vAlign w:val="center"/>
          </w:tcPr>
          <w:p w:rsidR="00F26847" w:rsidRPr="004A6795" w:rsidRDefault="00F26847" w:rsidP="00BE4EED">
            <w:pPr>
              <w:spacing w:before="40" w:after="40"/>
              <w:rPr>
                <w:i/>
                <w:sz w:val="16"/>
                <w:szCs w:val="16"/>
              </w:rPr>
            </w:pPr>
            <w:r w:rsidRPr="004A6795">
              <w:rPr>
                <w:i/>
                <w:sz w:val="16"/>
                <w:szCs w:val="16"/>
              </w:rPr>
              <w:t>Number of departing passengers per security clearance system (peak hour)</w:t>
            </w:r>
          </w:p>
        </w:tc>
        <w:tc>
          <w:tcPr>
            <w:tcW w:w="1559" w:type="dxa"/>
            <w:tcBorders>
              <w:top w:val="nil"/>
              <w:left w:val="nil"/>
              <w:right w:val="nil"/>
            </w:tcBorders>
            <w:vAlign w:val="center"/>
          </w:tcPr>
          <w:p w:rsidR="00F26847" w:rsidRPr="004A6795" w:rsidRDefault="00F26847" w:rsidP="00BE4EED">
            <w:pPr>
              <w:spacing w:before="40" w:after="40"/>
              <w:rPr>
                <w:i/>
                <w:sz w:val="16"/>
                <w:szCs w:val="16"/>
              </w:rPr>
            </w:pPr>
            <w:r w:rsidRPr="004A6795">
              <w:rPr>
                <w:i/>
                <w:sz w:val="16"/>
                <w:szCs w:val="16"/>
              </w:rPr>
              <w:t>Objective indicator</w:t>
            </w:r>
          </w:p>
        </w:tc>
        <w:tc>
          <w:tcPr>
            <w:tcW w:w="1559" w:type="dxa"/>
            <w:tcBorders>
              <w:top w:val="nil"/>
              <w:left w:val="nil"/>
              <w:right w:val="nil"/>
            </w:tcBorders>
            <w:vAlign w:val="center"/>
          </w:tcPr>
          <w:p w:rsidR="00F26847" w:rsidRPr="004A6795" w:rsidRDefault="00F26847" w:rsidP="00BE4EED">
            <w:pPr>
              <w:spacing w:before="40" w:after="40"/>
              <w:rPr>
                <w:i/>
                <w:sz w:val="16"/>
                <w:szCs w:val="16"/>
              </w:rPr>
            </w:pPr>
            <w:r w:rsidRPr="004A6795">
              <w:rPr>
                <w:i/>
                <w:sz w:val="16"/>
                <w:szCs w:val="16"/>
              </w:rPr>
              <w:t>120.7 passengers</w:t>
            </w:r>
          </w:p>
        </w:tc>
        <w:tc>
          <w:tcPr>
            <w:tcW w:w="1493" w:type="dxa"/>
            <w:tcBorders>
              <w:top w:val="nil"/>
              <w:left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c>
          <w:tcPr>
            <w:tcW w:w="1493" w:type="dxa"/>
            <w:tcBorders>
              <w:top w:val="nil"/>
              <w:left w:val="nil"/>
              <w:right w:val="nil"/>
            </w:tcBorders>
            <w:vAlign w:val="center"/>
          </w:tcPr>
          <w:p w:rsidR="00F26847" w:rsidRPr="009F1B5A" w:rsidRDefault="00F26847" w:rsidP="00BE4EED">
            <w:pPr>
              <w:keepNext/>
              <w:spacing w:before="40" w:after="40"/>
              <w:rPr>
                <w:rFonts w:cs="Arial"/>
                <w:i/>
                <w:sz w:val="16"/>
                <w:szCs w:val="16"/>
              </w:rPr>
            </w:pPr>
            <w:r w:rsidRPr="009F1B5A">
              <w:rPr>
                <w:rFonts w:cs="Arial"/>
                <w:color w:val="F79646" w:themeColor="accent6"/>
                <w:sz w:val="16"/>
                <w:szCs w:val="18"/>
              </w:rPr>
              <w:t>▼</w:t>
            </w:r>
          </w:p>
        </w:tc>
      </w:tr>
    </w:tbl>
    <w:p w:rsidR="00F26847" w:rsidRPr="00ED4440" w:rsidRDefault="00F26847" w:rsidP="00F26847">
      <w:pPr>
        <w:spacing w:before="120"/>
        <w:ind w:left="720" w:hanging="720"/>
        <w:contextualSpacing/>
        <w:rPr>
          <w:sz w:val="16"/>
          <w:szCs w:val="16"/>
        </w:rPr>
      </w:pPr>
      <w:r w:rsidRPr="00ED4440">
        <w:rPr>
          <w:sz w:val="16"/>
          <w:szCs w:val="16"/>
        </w:rPr>
        <w:t>Notes:</w:t>
      </w:r>
      <w:r w:rsidRPr="00ED4440">
        <w:rPr>
          <w:sz w:val="16"/>
          <w:szCs w:val="16"/>
        </w:rPr>
        <w:tab/>
        <w:t>The rating categories are: very poor, poor, satisfactory, good and excellent.</w:t>
      </w:r>
      <w:r w:rsidRPr="00ED4440">
        <w:rPr>
          <w:sz w:val="16"/>
          <w:szCs w:val="16"/>
        </w:rPr>
        <w:br/>
        <w:t xml:space="preserve">For each indicator for the period specified: </w:t>
      </w:r>
      <w:r w:rsidRPr="00ED4440">
        <w:rPr>
          <w:rFonts w:cs="Arial"/>
          <w:color w:val="943634" w:themeColor="accent2" w:themeShade="BF"/>
          <w:sz w:val="16"/>
          <w:szCs w:val="16"/>
        </w:rPr>
        <w:t>▲</w:t>
      </w:r>
      <w:r w:rsidRPr="00ED4440">
        <w:rPr>
          <w:rFonts w:cs="Arial"/>
          <w:color w:val="30108C"/>
          <w:sz w:val="16"/>
          <w:szCs w:val="16"/>
        </w:rPr>
        <w:t xml:space="preserve"> </w:t>
      </w:r>
      <w:r w:rsidRPr="00ED4440">
        <w:rPr>
          <w:sz w:val="16"/>
          <w:szCs w:val="16"/>
        </w:rPr>
        <w:t xml:space="preserve">indicates an improvement; </w:t>
      </w:r>
      <w:r w:rsidRPr="00ED4440">
        <w:rPr>
          <w:rFonts w:cs="Arial"/>
          <w:color w:val="F79646" w:themeColor="accent6"/>
          <w:sz w:val="16"/>
          <w:szCs w:val="16"/>
        </w:rPr>
        <w:t>▼</w:t>
      </w:r>
      <w:r w:rsidRPr="00ED4440">
        <w:rPr>
          <w:rFonts w:cs="Arial"/>
          <w:color w:val="30108C"/>
          <w:sz w:val="16"/>
          <w:szCs w:val="16"/>
        </w:rPr>
        <w:t xml:space="preserve"> </w:t>
      </w:r>
      <w:r w:rsidRPr="00ED4440">
        <w:rPr>
          <w:sz w:val="16"/>
          <w:szCs w:val="16"/>
        </w:rPr>
        <w:t xml:space="preserve">indicates a decline; </w:t>
      </w:r>
      <w:r w:rsidRPr="00ED4440">
        <w:rPr>
          <w:rFonts w:cs="Arial"/>
          <w:color w:val="4BACC6" w:themeColor="accent5"/>
          <w:sz w:val="16"/>
          <w:szCs w:val="18"/>
        </w:rPr>
        <w:t xml:space="preserve">▬ </w:t>
      </w:r>
      <w:r w:rsidRPr="00ED4440">
        <w:rPr>
          <w:rFonts w:cs="Arial"/>
          <w:color w:val="000000" w:themeColor="text1"/>
          <w:sz w:val="16"/>
          <w:szCs w:val="18"/>
        </w:rPr>
        <w:t xml:space="preserve">indicates no change. </w:t>
      </w:r>
      <w:r w:rsidRPr="00ED4440">
        <w:rPr>
          <w:sz w:val="16"/>
          <w:szCs w:val="16"/>
        </w:rPr>
        <w:t>*Rating changed by a category over the period.</w:t>
      </w:r>
    </w:p>
    <w:p w:rsidR="00F26847" w:rsidRDefault="00F26847" w:rsidP="00F26847">
      <w:pPr>
        <w:pStyle w:val="Sourceandnotes"/>
        <w:rPr>
          <w:rFonts w:cs="Arial"/>
          <w:color w:val="000000" w:themeColor="text1"/>
        </w:rPr>
        <w:sectPr w:rsidR="00F26847" w:rsidSect="00BE4EED">
          <w:headerReference w:type="even" r:id="rId163"/>
          <w:headerReference w:type="default" r:id="rId164"/>
          <w:footnotePr>
            <w:numStart w:val="93"/>
          </w:footnotePr>
          <w:pgSz w:w="16838" w:h="11906" w:orient="landscape"/>
          <w:pgMar w:top="1729" w:right="1440" w:bottom="1729" w:left="1582" w:header="709" w:footer="709" w:gutter="0"/>
          <w:cols w:space="708"/>
          <w:docGrid w:linePitch="360"/>
        </w:sectPr>
      </w:pPr>
    </w:p>
    <w:p w:rsidR="00F26847" w:rsidRDefault="00F26847" w:rsidP="00114E05">
      <w:pPr>
        <w:pStyle w:val="Non-numberedheading4"/>
      </w:pPr>
      <w:r>
        <w:lastRenderedPageBreak/>
        <w:t xml:space="preserve">Domestic terminal </w:t>
      </w:r>
    </w:p>
    <w:p w:rsidR="00F26847" w:rsidRPr="00ED4440" w:rsidRDefault="00F26847" w:rsidP="00F26847">
      <w:r w:rsidRPr="00ED4440">
        <w:t>Table 5.3.3 presents quality of service passenger-related services and facilities for the domestic terminal.</w:t>
      </w:r>
    </w:p>
    <w:p w:rsidR="00F26847" w:rsidRPr="00ED4440" w:rsidRDefault="00F26847" w:rsidP="00F26847">
      <w:r w:rsidRPr="00ED4440">
        <w:t xml:space="preserve">During 2014-15, passenger ratings for the domestic terminal indicators either improved or had no change within their categories. However, the majority of airline ratings for indicators either remained unchanged or declined within their categories.  </w:t>
      </w:r>
    </w:p>
    <w:p w:rsidR="00F26847" w:rsidRPr="00ED4440" w:rsidRDefault="00F26847" w:rsidP="00F26847">
      <w:r w:rsidRPr="00ED4440">
        <w:t>Passengers’ rating of flight information display screens improved within the ‘good’ category during 2014-15. Passenger ratings of the quality of the security search process also increased within the ‘good’ category during 2014-15.</w:t>
      </w:r>
    </w:p>
    <w:p w:rsidR="00F26847" w:rsidRPr="00ED4440" w:rsidRDefault="00F26847" w:rsidP="00F26847">
      <w:r w:rsidRPr="00ED4440">
        <w:t>Airlines’ ratings of check-in availability were unchanged whereas ratings of the standard increased within the ‘satisfactory’ category during 2014-15. Although the check-in standard rating slightly increased, airline commentary was mixed. Some airlines had no significant issues whereas others commented on the cleanliness of counters and noted that they were poorly maintained.</w:t>
      </w:r>
    </w:p>
    <w:p w:rsidR="00F26847" w:rsidRDefault="00F26847" w:rsidP="00F26847">
      <w:r w:rsidRPr="00ED4440">
        <w:t>Airlines’ ratings of baggage processing facilities availability remained unchanged. However, airlines’ ratings of baggage processing facilities standard decreased within the ‘satisfactory’ category during 2014-15. Commentary from airlines on the standard included that the infrastructure was old and baggage processing facilities often failed during peak periods</w:t>
      </w:r>
      <w:r>
        <w:t>.</w:t>
      </w:r>
    </w:p>
    <w:p w:rsidR="00F26847" w:rsidRDefault="00F26847" w:rsidP="00F26847"/>
    <w:p w:rsidR="00F26847" w:rsidRDefault="00F26847" w:rsidP="00F26847">
      <w:pPr>
        <w:sectPr w:rsidR="00F26847" w:rsidSect="00BE4EED">
          <w:headerReference w:type="even" r:id="rId165"/>
          <w:headerReference w:type="default" r:id="rId166"/>
          <w:footnotePr>
            <w:numStart w:val="93"/>
          </w:footnotePr>
          <w:pgSz w:w="11906" w:h="16838"/>
          <w:pgMar w:top="1440" w:right="1729" w:bottom="1582" w:left="1729" w:header="709" w:footer="709" w:gutter="0"/>
          <w:cols w:space="708"/>
          <w:docGrid w:linePitch="360"/>
        </w:sectPr>
      </w:pPr>
    </w:p>
    <w:p w:rsidR="00F26847" w:rsidRPr="00ED4440" w:rsidRDefault="00F26847" w:rsidP="00F26847">
      <w:pPr>
        <w:keepNext/>
        <w:spacing w:before="240" w:after="200" w:line="276" w:lineRule="auto"/>
        <w:ind w:left="1440" w:hanging="1440"/>
        <w:outlineLvl w:val="3"/>
        <w:rPr>
          <w:b/>
          <w:color w:val="51626F"/>
        </w:rPr>
      </w:pPr>
      <w:r w:rsidRPr="00ED4440">
        <w:rPr>
          <w:b/>
          <w:color w:val="51626F"/>
        </w:rPr>
        <w:lastRenderedPageBreak/>
        <w:t>Table 5.3.3:</w:t>
      </w:r>
      <w:r w:rsidRPr="00ED4440">
        <w:rPr>
          <w:b/>
          <w:color w:val="51626F"/>
        </w:rPr>
        <w:tab/>
        <w:t>Sydney Airport—indicators of quality of passenger</w:t>
      </w:r>
      <w:r w:rsidRPr="00ED4440">
        <w:rPr>
          <w:b/>
          <w:color w:val="51626F"/>
        </w:rPr>
        <w:noBreakHyphen/>
        <w:t>related services and facilities – domestic terminal: 2014</w:t>
      </w:r>
      <w:r w:rsidRPr="00ED4440">
        <w:rPr>
          <w:b/>
          <w:color w:val="51626F"/>
        </w:rPr>
        <w:noBreakHyphen/>
        <w:t>15, 1-year change and change since 2010</w:t>
      </w:r>
      <w:r w:rsidRPr="00ED4440">
        <w:rPr>
          <w:b/>
          <w:color w:val="51626F"/>
        </w:rPr>
        <w:noBreakHyphen/>
        <w:t xml:space="preserve">11 </w:t>
      </w:r>
    </w:p>
    <w:tbl>
      <w:tblPr>
        <w:tblStyle w:val="TableGrid"/>
        <w:tblW w:w="0" w:type="auto"/>
        <w:tblLook w:val="04A0" w:firstRow="1" w:lastRow="0" w:firstColumn="1" w:lastColumn="0" w:noHBand="0" w:noVBand="1"/>
      </w:tblPr>
      <w:tblGrid>
        <w:gridCol w:w="1287"/>
        <w:gridCol w:w="6648"/>
        <w:gridCol w:w="1558"/>
        <w:gridCol w:w="1557"/>
        <w:gridCol w:w="1491"/>
        <w:gridCol w:w="1491"/>
      </w:tblGrid>
      <w:tr w:rsidR="00F26847" w:rsidTr="00BE4EED">
        <w:tc>
          <w:tcPr>
            <w:tcW w:w="1287" w:type="dxa"/>
            <w:tcBorders>
              <w:left w:val="nil"/>
              <w:bottom w:val="single" w:sz="4" w:space="0" w:color="auto"/>
              <w:right w:val="nil"/>
            </w:tcBorders>
            <w:shd w:val="clear" w:color="auto" w:fill="DFE0DC"/>
          </w:tcPr>
          <w:p w:rsidR="00F26847" w:rsidRDefault="00F26847" w:rsidP="00BE4EED">
            <w:pPr>
              <w:pStyle w:val="QOStabletextleftbold"/>
            </w:pPr>
            <w:r>
              <w:t>Category</w:t>
            </w:r>
          </w:p>
        </w:tc>
        <w:tc>
          <w:tcPr>
            <w:tcW w:w="6648" w:type="dxa"/>
            <w:tcBorders>
              <w:left w:val="nil"/>
              <w:bottom w:val="single" w:sz="4" w:space="0" w:color="auto"/>
              <w:right w:val="nil"/>
            </w:tcBorders>
            <w:shd w:val="clear" w:color="auto" w:fill="DFE0DC"/>
          </w:tcPr>
          <w:p w:rsidR="00F26847" w:rsidRDefault="00F26847" w:rsidP="00BE4EED">
            <w:pPr>
              <w:pStyle w:val="QOStabletextleftbold"/>
            </w:pPr>
            <w:r>
              <w:t>Indicator</w:t>
            </w:r>
          </w:p>
        </w:tc>
        <w:tc>
          <w:tcPr>
            <w:tcW w:w="1558" w:type="dxa"/>
            <w:tcBorders>
              <w:left w:val="nil"/>
              <w:bottom w:val="single" w:sz="4" w:space="0" w:color="auto"/>
              <w:right w:val="nil"/>
            </w:tcBorders>
            <w:shd w:val="clear" w:color="auto" w:fill="DFE0DC"/>
          </w:tcPr>
          <w:p w:rsidR="00F26847" w:rsidRDefault="00F26847" w:rsidP="00BE4EED">
            <w:pPr>
              <w:pStyle w:val="QOStabletextleftbold"/>
            </w:pPr>
            <w:r>
              <w:t>Data source</w:t>
            </w:r>
          </w:p>
        </w:tc>
        <w:tc>
          <w:tcPr>
            <w:tcW w:w="1557" w:type="dxa"/>
            <w:tcBorders>
              <w:left w:val="nil"/>
              <w:bottom w:val="single" w:sz="4" w:space="0" w:color="auto"/>
              <w:right w:val="nil"/>
            </w:tcBorders>
            <w:shd w:val="clear" w:color="auto" w:fill="DFE0DC"/>
          </w:tcPr>
          <w:p w:rsidR="00F26847" w:rsidRDefault="00F26847" w:rsidP="00BE4EED">
            <w:pPr>
              <w:pStyle w:val="QOStabletextleftbold"/>
            </w:pPr>
            <w:r>
              <w:t>Indicator result 2014-15</w:t>
            </w:r>
          </w:p>
        </w:tc>
        <w:tc>
          <w:tcPr>
            <w:tcW w:w="1491" w:type="dxa"/>
            <w:tcBorders>
              <w:left w:val="nil"/>
              <w:bottom w:val="single" w:sz="4" w:space="0" w:color="auto"/>
              <w:right w:val="nil"/>
            </w:tcBorders>
            <w:shd w:val="clear" w:color="auto" w:fill="DFE0DC"/>
          </w:tcPr>
          <w:p w:rsidR="00F26847" w:rsidRDefault="00F26847" w:rsidP="00BE4EED">
            <w:pPr>
              <w:pStyle w:val="QOStabletextleftbold"/>
            </w:pPr>
            <w:r>
              <w:t>1-year change</w:t>
            </w:r>
          </w:p>
        </w:tc>
        <w:tc>
          <w:tcPr>
            <w:tcW w:w="1491" w:type="dxa"/>
            <w:tcBorders>
              <w:left w:val="nil"/>
              <w:bottom w:val="single" w:sz="4" w:space="0" w:color="auto"/>
              <w:right w:val="nil"/>
            </w:tcBorders>
            <w:shd w:val="clear" w:color="auto" w:fill="DFE0DC"/>
          </w:tcPr>
          <w:p w:rsidR="00F26847" w:rsidRDefault="00F26847" w:rsidP="00BE4EED">
            <w:pPr>
              <w:pStyle w:val="QOStabletextleftbold"/>
            </w:pPr>
            <w:r>
              <w:t>Change since 2010</w:t>
            </w:r>
            <w:r>
              <w:noBreakHyphen/>
              <w:t>11</w:t>
            </w:r>
          </w:p>
        </w:tc>
      </w:tr>
      <w:tr w:rsidR="00F26847" w:rsidTr="00BE4EED">
        <w:tc>
          <w:tcPr>
            <w:tcW w:w="1287" w:type="dxa"/>
            <w:tcBorders>
              <w:left w:val="nil"/>
              <w:bottom w:val="nil"/>
              <w:right w:val="nil"/>
            </w:tcBorders>
            <w:vAlign w:val="center"/>
          </w:tcPr>
          <w:p w:rsidR="00F26847" w:rsidRPr="009340BD" w:rsidRDefault="00F26847" w:rsidP="00BE4EED">
            <w:pPr>
              <w:keepNext/>
              <w:spacing w:before="20" w:after="20"/>
              <w:rPr>
                <w:bCs/>
                <w:sz w:val="16"/>
                <w:szCs w:val="16"/>
              </w:rPr>
            </w:pPr>
            <w:r w:rsidRPr="009340BD">
              <w:rPr>
                <w:sz w:val="16"/>
                <w:szCs w:val="16"/>
              </w:rPr>
              <w:t>Check-in</w:t>
            </w:r>
          </w:p>
        </w:tc>
        <w:tc>
          <w:tcPr>
            <w:tcW w:w="6648" w:type="dxa"/>
            <w:tcBorders>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Check-in availability</w:t>
            </w:r>
          </w:p>
        </w:tc>
        <w:tc>
          <w:tcPr>
            <w:tcW w:w="1558" w:type="dxa"/>
            <w:tcBorders>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Airline survey</w:t>
            </w:r>
          </w:p>
        </w:tc>
        <w:tc>
          <w:tcPr>
            <w:tcW w:w="1557" w:type="dxa"/>
            <w:tcBorders>
              <w:left w:val="nil"/>
              <w:bottom w:val="nil"/>
              <w:right w:val="nil"/>
            </w:tcBorders>
            <w:vAlign w:val="center"/>
          </w:tcPr>
          <w:p w:rsidR="00F26847" w:rsidRPr="00336EFE" w:rsidRDefault="00F26847" w:rsidP="00BE4EED">
            <w:pPr>
              <w:keepNext/>
              <w:spacing w:before="20" w:after="20"/>
              <w:rPr>
                <w:sz w:val="16"/>
                <w:szCs w:val="16"/>
                <w:highlight w:val="yellow"/>
              </w:rPr>
            </w:pPr>
            <w:r w:rsidRPr="00A1286A">
              <w:rPr>
                <w:sz w:val="16"/>
                <w:szCs w:val="16"/>
              </w:rPr>
              <w:t>Good</w:t>
            </w:r>
          </w:p>
        </w:tc>
        <w:tc>
          <w:tcPr>
            <w:tcW w:w="1491" w:type="dxa"/>
            <w:tcBorders>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4BACC6" w:themeColor="accent5"/>
                <w:sz w:val="16"/>
                <w:szCs w:val="16"/>
              </w:rPr>
              <w:t>▬</w:t>
            </w:r>
          </w:p>
        </w:tc>
        <w:tc>
          <w:tcPr>
            <w:tcW w:w="1491" w:type="dxa"/>
            <w:tcBorders>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4BACC6" w:themeColor="accent5"/>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Check-in standard</w:t>
            </w:r>
          </w:p>
        </w:tc>
        <w:tc>
          <w:tcPr>
            <w:tcW w:w="1558"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Airline survey</w:t>
            </w:r>
          </w:p>
        </w:tc>
        <w:tc>
          <w:tcPr>
            <w:tcW w:w="1557"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Satisfactory</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943634" w:themeColor="accent2" w:themeShade="BF"/>
                <w:sz w:val="16"/>
                <w:szCs w:val="16"/>
              </w:rPr>
              <w:t>▲</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F79646" w:themeColor="accent6"/>
                <w:sz w:val="16"/>
                <w:szCs w:val="16"/>
              </w:rPr>
              <w:t>▼</w:t>
            </w:r>
            <w:r w:rsidRPr="00826557">
              <w:rPr>
                <w:rFonts w:cs="Arial"/>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Check-in waiting time</w:t>
            </w:r>
          </w:p>
        </w:tc>
        <w:tc>
          <w:tcPr>
            <w:tcW w:w="1558"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Passenger survey</w:t>
            </w:r>
          </w:p>
        </w:tc>
        <w:tc>
          <w:tcPr>
            <w:tcW w:w="1557"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Good</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4BACC6" w:themeColor="accent5"/>
                <w:sz w:val="16"/>
                <w:szCs w:val="16"/>
              </w:rPr>
              <w:t>▬</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rPr>
            </w:pPr>
            <w:r w:rsidRPr="008C72D3">
              <w:rPr>
                <w:rFonts w:cs="Arial"/>
                <w:color w:val="943634" w:themeColor="accent2" w:themeShade="BF"/>
                <w:sz w:val="16"/>
                <w:szCs w:val="16"/>
              </w:rPr>
              <w:t>▲</w:t>
            </w:r>
          </w:p>
        </w:tc>
      </w:tr>
      <w:tr w:rsidR="00F26847" w:rsidTr="00BE4EED">
        <w:tc>
          <w:tcPr>
            <w:tcW w:w="1287" w:type="dxa"/>
            <w:tcBorders>
              <w:top w:val="nil"/>
              <w:left w:val="nil"/>
              <w:bottom w:val="single" w:sz="4" w:space="0" w:color="auto"/>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Number of departing passengers per check-in desk, kiosk, and bad drop facility (peak hour)</w:t>
            </w:r>
          </w:p>
        </w:tc>
        <w:tc>
          <w:tcPr>
            <w:tcW w:w="155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Objective indicator</w:t>
            </w:r>
          </w:p>
        </w:tc>
        <w:tc>
          <w:tcPr>
            <w:tcW w:w="1557"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18.8 passengers</w:t>
            </w:r>
          </w:p>
        </w:tc>
        <w:tc>
          <w:tcPr>
            <w:tcW w:w="1491" w:type="dxa"/>
            <w:tcBorders>
              <w:top w:val="nil"/>
              <w:left w:val="nil"/>
              <w:bottom w:val="single" w:sz="4" w:space="0" w:color="auto"/>
              <w:right w:val="nil"/>
            </w:tcBorders>
            <w:vAlign w:val="center"/>
          </w:tcPr>
          <w:p w:rsidR="00F26847" w:rsidRPr="00F40CCB" w:rsidRDefault="00F26847" w:rsidP="00BE4EED">
            <w:pPr>
              <w:keepNext/>
              <w:spacing w:before="20" w:after="20"/>
              <w:rPr>
                <w:sz w:val="16"/>
                <w:szCs w:val="16"/>
              </w:rPr>
            </w:pPr>
            <w:r w:rsidRPr="00F40CCB">
              <w:rPr>
                <w:rFonts w:cs="Arial"/>
                <w:color w:val="F79646" w:themeColor="accent6"/>
                <w:sz w:val="16"/>
                <w:szCs w:val="16"/>
              </w:rPr>
              <w:t>▼</w:t>
            </w:r>
          </w:p>
        </w:tc>
        <w:tc>
          <w:tcPr>
            <w:tcW w:w="1491" w:type="dxa"/>
            <w:tcBorders>
              <w:top w:val="nil"/>
              <w:left w:val="nil"/>
              <w:bottom w:val="single" w:sz="4" w:space="0" w:color="auto"/>
              <w:right w:val="nil"/>
            </w:tcBorders>
            <w:vAlign w:val="center"/>
          </w:tcPr>
          <w:p w:rsidR="00F26847" w:rsidRPr="00F40CCB" w:rsidRDefault="00F26847" w:rsidP="00BE4EED">
            <w:pPr>
              <w:keepNext/>
              <w:spacing w:before="20" w:after="20"/>
              <w:rPr>
                <w:sz w:val="16"/>
                <w:szCs w:val="16"/>
              </w:rPr>
            </w:pPr>
            <w:r w:rsidRPr="008C72D3">
              <w:rPr>
                <w:rFonts w:cs="Arial"/>
                <w:color w:val="943634" w:themeColor="accent2" w:themeShade="BF"/>
                <w:sz w:val="16"/>
                <w:szCs w:val="16"/>
              </w:rPr>
              <w:t>▲</w:t>
            </w:r>
          </w:p>
        </w:tc>
      </w:tr>
      <w:tr w:rsidR="00F26847" w:rsidTr="00BE4EED">
        <w:tc>
          <w:tcPr>
            <w:tcW w:w="1287" w:type="dxa"/>
            <w:tcBorders>
              <w:top w:val="single" w:sz="4" w:space="0" w:color="auto"/>
              <w:left w:val="nil"/>
              <w:bottom w:val="nil"/>
              <w:right w:val="nil"/>
            </w:tcBorders>
            <w:vAlign w:val="center"/>
          </w:tcPr>
          <w:p w:rsidR="00F26847" w:rsidRPr="009340BD" w:rsidRDefault="00F26847" w:rsidP="00BE4EED">
            <w:pPr>
              <w:keepNext/>
              <w:spacing w:before="20" w:after="20"/>
              <w:rPr>
                <w:bCs/>
                <w:sz w:val="16"/>
                <w:szCs w:val="16"/>
              </w:rPr>
            </w:pPr>
            <w:r w:rsidRPr="009340BD">
              <w:rPr>
                <w:sz w:val="16"/>
                <w:szCs w:val="16"/>
              </w:rPr>
              <w:t>Baggage</w:t>
            </w:r>
          </w:p>
        </w:tc>
        <w:tc>
          <w:tcPr>
            <w:tcW w:w="6648" w:type="dxa"/>
            <w:tcBorders>
              <w:top w:val="single" w:sz="4" w:space="0" w:color="auto"/>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Baggage processing facilities availability</w:t>
            </w:r>
          </w:p>
        </w:tc>
        <w:tc>
          <w:tcPr>
            <w:tcW w:w="1558" w:type="dxa"/>
            <w:tcBorders>
              <w:top w:val="single" w:sz="4" w:space="0" w:color="auto"/>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Airline survey</w:t>
            </w:r>
          </w:p>
        </w:tc>
        <w:tc>
          <w:tcPr>
            <w:tcW w:w="1557" w:type="dxa"/>
            <w:tcBorders>
              <w:top w:val="single" w:sz="4" w:space="0" w:color="auto"/>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Satisfactory</w:t>
            </w:r>
          </w:p>
        </w:tc>
        <w:tc>
          <w:tcPr>
            <w:tcW w:w="1491" w:type="dxa"/>
            <w:tcBorders>
              <w:top w:val="single" w:sz="4" w:space="0" w:color="auto"/>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4BACC6" w:themeColor="accent5"/>
                <w:sz w:val="16"/>
                <w:szCs w:val="16"/>
              </w:rPr>
              <w:t>▬</w:t>
            </w:r>
          </w:p>
        </w:tc>
        <w:tc>
          <w:tcPr>
            <w:tcW w:w="1491" w:type="dxa"/>
            <w:tcBorders>
              <w:top w:val="single" w:sz="4" w:space="0" w:color="auto"/>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4BACC6" w:themeColor="accent5"/>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Baggage processing facilities standard</w:t>
            </w:r>
          </w:p>
        </w:tc>
        <w:tc>
          <w:tcPr>
            <w:tcW w:w="1558" w:type="dxa"/>
            <w:tcBorders>
              <w:top w:val="nil"/>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Airline survey</w:t>
            </w:r>
          </w:p>
        </w:tc>
        <w:tc>
          <w:tcPr>
            <w:tcW w:w="1557" w:type="dxa"/>
            <w:tcBorders>
              <w:top w:val="nil"/>
              <w:left w:val="nil"/>
              <w:bottom w:val="nil"/>
              <w:right w:val="nil"/>
            </w:tcBorders>
            <w:vAlign w:val="center"/>
          </w:tcPr>
          <w:p w:rsidR="00F26847" w:rsidRPr="00336EFE" w:rsidRDefault="00F26847" w:rsidP="00BE4EED">
            <w:pPr>
              <w:keepNext/>
              <w:spacing w:before="20" w:after="20"/>
              <w:rPr>
                <w:sz w:val="16"/>
                <w:szCs w:val="16"/>
                <w:highlight w:val="yellow"/>
              </w:rPr>
            </w:pPr>
            <w:r w:rsidRPr="00A1286A">
              <w:rPr>
                <w:sz w:val="16"/>
                <w:szCs w:val="16"/>
              </w:rPr>
              <w:t>Satisfactory</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F79646" w:themeColor="accent6"/>
                <w:sz w:val="16"/>
                <w:szCs w:val="16"/>
              </w:rPr>
              <w:t>▼</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826557">
              <w:rPr>
                <w:rFonts w:cs="Arial"/>
                <w:color w:val="F79646" w:themeColor="accent6"/>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tcPr>
          <w:p w:rsidR="00F26847" w:rsidRPr="00A1286A" w:rsidRDefault="00F26847" w:rsidP="00BE4EED">
            <w:pPr>
              <w:spacing w:before="40" w:after="40"/>
              <w:rPr>
                <w:i/>
                <w:sz w:val="16"/>
              </w:rPr>
            </w:pPr>
            <w:r w:rsidRPr="00A1286A">
              <w:rPr>
                <w:i/>
                <w:sz w:val="16"/>
              </w:rPr>
              <w:t>Number of arriving passengers per m</w:t>
            </w:r>
            <w:r w:rsidRPr="00A1286A">
              <w:rPr>
                <w:i/>
                <w:sz w:val="16"/>
                <w:vertAlign w:val="superscript"/>
              </w:rPr>
              <w:t xml:space="preserve">2 </w:t>
            </w:r>
            <w:r w:rsidRPr="00A1286A">
              <w:rPr>
                <w:i/>
                <w:sz w:val="16"/>
              </w:rPr>
              <w:t>of inbound baggage reclaim area (peak hour)</w:t>
            </w:r>
          </w:p>
        </w:tc>
        <w:tc>
          <w:tcPr>
            <w:tcW w:w="1558" w:type="dxa"/>
            <w:tcBorders>
              <w:top w:val="nil"/>
              <w:left w:val="nil"/>
              <w:bottom w:val="nil"/>
              <w:right w:val="nil"/>
            </w:tcBorders>
          </w:tcPr>
          <w:p w:rsidR="00F26847" w:rsidRPr="00A1286A" w:rsidRDefault="00F26847" w:rsidP="00BE4EED">
            <w:pPr>
              <w:spacing w:before="40" w:after="40"/>
              <w:rPr>
                <w:i/>
                <w:sz w:val="16"/>
              </w:rPr>
            </w:pPr>
            <w:r w:rsidRPr="00A1286A">
              <w:rPr>
                <w:i/>
                <w:sz w:val="16"/>
              </w:rPr>
              <w:t>Objective indicator</w:t>
            </w:r>
          </w:p>
        </w:tc>
        <w:tc>
          <w:tcPr>
            <w:tcW w:w="1557" w:type="dxa"/>
            <w:tcBorders>
              <w:top w:val="nil"/>
              <w:left w:val="nil"/>
              <w:bottom w:val="nil"/>
              <w:right w:val="nil"/>
            </w:tcBorders>
          </w:tcPr>
          <w:p w:rsidR="00F26847" w:rsidRPr="00A1286A" w:rsidRDefault="00F26847" w:rsidP="00BE4EED">
            <w:pPr>
              <w:spacing w:before="40" w:after="40"/>
              <w:rPr>
                <w:i/>
                <w:sz w:val="16"/>
              </w:rPr>
            </w:pPr>
            <w:r w:rsidRPr="00A1286A">
              <w:rPr>
                <w:i/>
                <w:sz w:val="16"/>
              </w:rPr>
              <w:t>0.5 passengers</w:t>
            </w:r>
          </w:p>
        </w:tc>
        <w:tc>
          <w:tcPr>
            <w:tcW w:w="1491" w:type="dxa"/>
            <w:tcBorders>
              <w:top w:val="nil"/>
              <w:left w:val="nil"/>
              <w:bottom w:val="nil"/>
              <w:right w:val="nil"/>
            </w:tcBorders>
          </w:tcPr>
          <w:p w:rsidR="00F26847" w:rsidRPr="00F40CCB" w:rsidRDefault="00F26847" w:rsidP="00BE4EED">
            <w:pPr>
              <w:spacing w:before="40" w:after="40"/>
              <w:rPr>
                <w:sz w:val="16"/>
              </w:rPr>
            </w:pPr>
            <w:r w:rsidRPr="00D92772">
              <w:rPr>
                <w:rFonts w:cs="Arial"/>
                <w:color w:val="943634" w:themeColor="accent2" w:themeShade="BF"/>
                <w:sz w:val="16"/>
                <w:szCs w:val="16"/>
              </w:rPr>
              <w:t>▲</w:t>
            </w:r>
          </w:p>
        </w:tc>
        <w:tc>
          <w:tcPr>
            <w:tcW w:w="1491" w:type="dxa"/>
            <w:tcBorders>
              <w:top w:val="nil"/>
              <w:left w:val="nil"/>
              <w:bottom w:val="nil"/>
              <w:right w:val="nil"/>
            </w:tcBorders>
          </w:tcPr>
          <w:p w:rsidR="00F26847" w:rsidRPr="00F40CCB" w:rsidRDefault="00F26847" w:rsidP="00BE4EED">
            <w:pPr>
              <w:spacing w:before="40" w:after="40"/>
              <w:rPr>
                <w:sz w:val="16"/>
              </w:rPr>
            </w:pPr>
            <w:r w:rsidRPr="00F40CCB">
              <w:rPr>
                <w:sz w:val="16"/>
              </w:rPr>
              <w:t>n/a</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Circulation space for inbound baggage reclaim</w:t>
            </w:r>
          </w:p>
        </w:tc>
        <w:tc>
          <w:tcPr>
            <w:tcW w:w="155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Passenger survey</w:t>
            </w:r>
          </w:p>
        </w:tc>
        <w:tc>
          <w:tcPr>
            <w:tcW w:w="1557"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Good</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D92772">
              <w:rPr>
                <w:rFonts w:cs="Arial"/>
                <w:color w:val="943634" w:themeColor="accent2" w:themeShade="BF"/>
                <w:sz w:val="16"/>
                <w:szCs w:val="16"/>
              </w:rPr>
              <w:t>▲</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D92772">
              <w:rPr>
                <w:rFonts w:cs="Arial"/>
                <w:color w:val="F79646" w:themeColor="accent6"/>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Information display for inbound baggage reclaim</w:t>
            </w:r>
          </w:p>
        </w:tc>
        <w:tc>
          <w:tcPr>
            <w:tcW w:w="155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Passenger survey</w:t>
            </w:r>
          </w:p>
        </w:tc>
        <w:tc>
          <w:tcPr>
            <w:tcW w:w="1557"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Good</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D92772">
              <w:rPr>
                <w:rFonts w:cs="Arial"/>
                <w:color w:val="943634" w:themeColor="accent2" w:themeShade="BF"/>
                <w:sz w:val="16"/>
                <w:szCs w:val="16"/>
              </w:rPr>
              <w:t>▲</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F40CCB">
              <w:rPr>
                <w:rFonts w:cs="Arial"/>
                <w:color w:val="4BACC6" w:themeColor="accent5"/>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Findability of baggage trolleys</w:t>
            </w:r>
          </w:p>
        </w:tc>
        <w:tc>
          <w:tcPr>
            <w:tcW w:w="155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Passenger survey</w:t>
            </w:r>
          </w:p>
        </w:tc>
        <w:tc>
          <w:tcPr>
            <w:tcW w:w="1557"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Good</w:t>
            </w:r>
          </w:p>
        </w:tc>
        <w:tc>
          <w:tcPr>
            <w:tcW w:w="1491" w:type="dxa"/>
            <w:tcBorders>
              <w:top w:val="nil"/>
              <w:left w:val="nil"/>
              <w:bottom w:val="nil"/>
              <w:right w:val="nil"/>
            </w:tcBorders>
            <w:vAlign w:val="center"/>
          </w:tcPr>
          <w:p w:rsidR="00F26847" w:rsidRPr="00D92772" w:rsidRDefault="00F26847" w:rsidP="00BE4EED">
            <w:pPr>
              <w:keepNext/>
              <w:spacing w:before="20" w:after="20"/>
              <w:rPr>
                <w:sz w:val="16"/>
                <w:szCs w:val="16"/>
              </w:rPr>
            </w:pPr>
            <w:r w:rsidRPr="00D92772">
              <w:rPr>
                <w:rFonts w:cs="Arial"/>
                <w:color w:val="4BACC6" w:themeColor="accent5"/>
                <w:sz w:val="16"/>
                <w:szCs w:val="16"/>
              </w:rPr>
              <w:t>▬</w:t>
            </w:r>
          </w:p>
        </w:tc>
        <w:tc>
          <w:tcPr>
            <w:tcW w:w="1491" w:type="dxa"/>
            <w:tcBorders>
              <w:top w:val="nil"/>
              <w:left w:val="nil"/>
              <w:bottom w:val="nil"/>
              <w:right w:val="nil"/>
            </w:tcBorders>
            <w:vAlign w:val="center"/>
          </w:tcPr>
          <w:p w:rsidR="00F26847" w:rsidRPr="00D92772" w:rsidRDefault="00F26847" w:rsidP="00BE4EED">
            <w:pPr>
              <w:keepNext/>
              <w:spacing w:before="20" w:after="20"/>
              <w:rPr>
                <w:sz w:val="16"/>
                <w:szCs w:val="16"/>
              </w:rPr>
            </w:pPr>
            <w:r w:rsidRPr="00D92772">
              <w:rPr>
                <w:rFonts w:cs="Arial"/>
                <w:color w:val="943634" w:themeColor="accent2" w:themeShade="BF"/>
                <w:sz w:val="16"/>
                <w:szCs w:val="16"/>
              </w:rPr>
              <w:t>▲</w:t>
            </w:r>
          </w:p>
        </w:tc>
      </w:tr>
      <w:tr w:rsidR="00F26847" w:rsidTr="00BE4EED">
        <w:tc>
          <w:tcPr>
            <w:tcW w:w="1287" w:type="dxa"/>
            <w:tcBorders>
              <w:top w:val="nil"/>
              <w:left w:val="nil"/>
              <w:bottom w:val="single" w:sz="4" w:space="0" w:color="auto"/>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Number of passengers per baggage trolley (peak hour)</w:t>
            </w:r>
          </w:p>
        </w:tc>
        <w:tc>
          <w:tcPr>
            <w:tcW w:w="155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Objective indicator</w:t>
            </w:r>
          </w:p>
        </w:tc>
        <w:tc>
          <w:tcPr>
            <w:tcW w:w="1557"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12.4 passengers</w:t>
            </w:r>
          </w:p>
        </w:tc>
        <w:tc>
          <w:tcPr>
            <w:tcW w:w="1491" w:type="dxa"/>
            <w:tcBorders>
              <w:top w:val="nil"/>
              <w:left w:val="nil"/>
              <w:bottom w:val="single" w:sz="4" w:space="0" w:color="auto"/>
              <w:right w:val="nil"/>
            </w:tcBorders>
            <w:vAlign w:val="center"/>
          </w:tcPr>
          <w:p w:rsidR="00F26847" w:rsidRPr="008C72D3" w:rsidRDefault="00F26847" w:rsidP="00BE4EED">
            <w:pPr>
              <w:keepNext/>
              <w:spacing w:before="20" w:after="20"/>
              <w:rPr>
                <w:i/>
                <w:sz w:val="16"/>
                <w:szCs w:val="16"/>
                <w:highlight w:val="yellow"/>
              </w:rPr>
            </w:pPr>
            <w:r w:rsidRPr="00D92772">
              <w:rPr>
                <w:rFonts w:cs="Arial"/>
                <w:color w:val="943634" w:themeColor="accent2" w:themeShade="BF"/>
                <w:sz w:val="16"/>
                <w:szCs w:val="16"/>
              </w:rPr>
              <w:t>▲</w:t>
            </w:r>
          </w:p>
        </w:tc>
        <w:tc>
          <w:tcPr>
            <w:tcW w:w="1491" w:type="dxa"/>
            <w:tcBorders>
              <w:top w:val="nil"/>
              <w:left w:val="nil"/>
              <w:bottom w:val="single" w:sz="4" w:space="0" w:color="auto"/>
              <w:right w:val="nil"/>
            </w:tcBorders>
            <w:vAlign w:val="center"/>
          </w:tcPr>
          <w:p w:rsidR="00F26847" w:rsidRPr="008C72D3" w:rsidRDefault="00F26847" w:rsidP="00BE4EED">
            <w:pPr>
              <w:keepNext/>
              <w:spacing w:before="20" w:after="20"/>
              <w:rPr>
                <w:i/>
                <w:sz w:val="16"/>
                <w:szCs w:val="16"/>
                <w:highlight w:val="yellow"/>
              </w:rPr>
            </w:pPr>
            <w:r w:rsidRPr="00F40CCB">
              <w:rPr>
                <w:rFonts w:cs="Arial"/>
                <w:color w:val="F79646" w:themeColor="accent6"/>
                <w:sz w:val="16"/>
                <w:szCs w:val="16"/>
              </w:rPr>
              <w:t>▼</w:t>
            </w:r>
          </w:p>
        </w:tc>
      </w:tr>
      <w:tr w:rsidR="00F26847" w:rsidTr="00BE4EED">
        <w:tc>
          <w:tcPr>
            <w:tcW w:w="1287" w:type="dxa"/>
            <w:tcBorders>
              <w:top w:val="single" w:sz="4" w:space="0" w:color="auto"/>
              <w:left w:val="nil"/>
              <w:bottom w:val="nil"/>
              <w:right w:val="nil"/>
            </w:tcBorders>
            <w:vAlign w:val="center"/>
          </w:tcPr>
          <w:p w:rsidR="00F26847" w:rsidRPr="009340BD" w:rsidDel="00E930F9" w:rsidRDefault="00F26847" w:rsidP="00BE4EED">
            <w:pPr>
              <w:keepNext/>
              <w:spacing w:before="20" w:after="20"/>
              <w:rPr>
                <w:bCs/>
                <w:sz w:val="16"/>
                <w:szCs w:val="16"/>
              </w:rPr>
            </w:pPr>
            <w:r w:rsidRPr="009340BD">
              <w:rPr>
                <w:sz w:val="16"/>
                <w:szCs w:val="16"/>
              </w:rPr>
              <w:t>Information</w:t>
            </w:r>
          </w:p>
        </w:tc>
        <w:tc>
          <w:tcPr>
            <w:tcW w:w="6648" w:type="dxa"/>
            <w:tcBorders>
              <w:top w:val="single" w:sz="4" w:space="0" w:color="auto"/>
              <w:left w:val="nil"/>
              <w:bottom w:val="nil"/>
              <w:right w:val="nil"/>
            </w:tcBorders>
            <w:vAlign w:val="center"/>
          </w:tcPr>
          <w:p w:rsidR="00F26847" w:rsidRPr="00D30D2D" w:rsidRDefault="00F26847" w:rsidP="00BE4EED">
            <w:pPr>
              <w:keepNext/>
              <w:spacing w:before="20" w:after="20"/>
              <w:rPr>
                <w:i/>
                <w:sz w:val="16"/>
                <w:szCs w:val="16"/>
              </w:rPr>
            </w:pPr>
            <w:r w:rsidRPr="00D30D2D">
              <w:rPr>
                <w:sz w:val="16"/>
                <w:szCs w:val="16"/>
              </w:rPr>
              <w:t>Flight information display screens</w:t>
            </w:r>
          </w:p>
        </w:tc>
        <w:tc>
          <w:tcPr>
            <w:tcW w:w="1558" w:type="dxa"/>
            <w:tcBorders>
              <w:top w:val="single" w:sz="4" w:space="0" w:color="auto"/>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Passenger survey</w:t>
            </w:r>
          </w:p>
        </w:tc>
        <w:tc>
          <w:tcPr>
            <w:tcW w:w="1557" w:type="dxa"/>
            <w:tcBorders>
              <w:top w:val="single" w:sz="4" w:space="0" w:color="auto"/>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Good</w:t>
            </w:r>
          </w:p>
        </w:tc>
        <w:tc>
          <w:tcPr>
            <w:tcW w:w="1491" w:type="dxa"/>
            <w:tcBorders>
              <w:top w:val="single" w:sz="4" w:space="0" w:color="auto"/>
              <w:left w:val="nil"/>
              <w:bottom w:val="nil"/>
              <w:right w:val="nil"/>
            </w:tcBorders>
            <w:vAlign w:val="center"/>
          </w:tcPr>
          <w:p w:rsidR="00F26847" w:rsidRPr="00D92772" w:rsidRDefault="00F26847" w:rsidP="00BE4EED">
            <w:pPr>
              <w:keepNext/>
              <w:spacing w:before="20" w:after="20"/>
              <w:rPr>
                <w:rFonts w:cs="Arial"/>
                <w:sz w:val="16"/>
                <w:szCs w:val="16"/>
              </w:rPr>
            </w:pPr>
            <w:r w:rsidRPr="00D92772">
              <w:rPr>
                <w:rFonts w:cs="Arial"/>
                <w:color w:val="943634" w:themeColor="accent2" w:themeShade="BF"/>
                <w:sz w:val="16"/>
                <w:szCs w:val="16"/>
              </w:rPr>
              <w:t>▲</w:t>
            </w:r>
          </w:p>
        </w:tc>
        <w:tc>
          <w:tcPr>
            <w:tcW w:w="1491" w:type="dxa"/>
            <w:tcBorders>
              <w:top w:val="single" w:sz="4" w:space="0" w:color="auto"/>
              <w:left w:val="nil"/>
              <w:bottom w:val="nil"/>
              <w:right w:val="nil"/>
            </w:tcBorders>
            <w:vAlign w:val="center"/>
          </w:tcPr>
          <w:p w:rsidR="00F26847" w:rsidRPr="00D92772" w:rsidRDefault="00F26847" w:rsidP="00BE4EED">
            <w:pPr>
              <w:keepNext/>
              <w:spacing w:before="20" w:after="20"/>
              <w:rPr>
                <w:rFonts w:cs="Arial"/>
                <w:sz w:val="16"/>
                <w:szCs w:val="16"/>
              </w:rPr>
            </w:pPr>
            <w:r w:rsidRPr="00D92772">
              <w:rPr>
                <w:rFonts w:cs="Arial"/>
                <w:color w:val="943634" w:themeColor="accent2" w:themeShade="BF"/>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sz w:val="16"/>
                <w:szCs w:val="16"/>
              </w:rPr>
            </w:pPr>
          </w:p>
        </w:tc>
        <w:tc>
          <w:tcPr>
            <w:tcW w:w="664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Signage and wayfinding</w:t>
            </w:r>
          </w:p>
        </w:tc>
        <w:tc>
          <w:tcPr>
            <w:tcW w:w="155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Passenger survey</w:t>
            </w:r>
          </w:p>
        </w:tc>
        <w:tc>
          <w:tcPr>
            <w:tcW w:w="1557"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Good</w:t>
            </w:r>
          </w:p>
        </w:tc>
        <w:tc>
          <w:tcPr>
            <w:tcW w:w="1491" w:type="dxa"/>
            <w:tcBorders>
              <w:top w:val="nil"/>
              <w:left w:val="nil"/>
              <w:bottom w:val="nil"/>
              <w:right w:val="nil"/>
            </w:tcBorders>
            <w:vAlign w:val="center"/>
          </w:tcPr>
          <w:p w:rsidR="00F26847" w:rsidRPr="00D92772" w:rsidRDefault="00F26847" w:rsidP="00BE4EED">
            <w:pPr>
              <w:keepNext/>
              <w:spacing w:before="20" w:after="20"/>
              <w:rPr>
                <w:sz w:val="16"/>
                <w:szCs w:val="16"/>
              </w:rPr>
            </w:pPr>
            <w:r w:rsidRPr="00D92772">
              <w:rPr>
                <w:rFonts w:cs="Arial"/>
                <w:color w:val="4BACC6" w:themeColor="accent5"/>
                <w:sz w:val="16"/>
                <w:szCs w:val="16"/>
              </w:rPr>
              <w:t>▬</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D92772">
              <w:rPr>
                <w:rFonts w:cs="Arial"/>
                <w:color w:val="F79646" w:themeColor="accent6"/>
                <w:sz w:val="16"/>
                <w:szCs w:val="16"/>
              </w:rPr>
              <w:t>▼</w:t>
            </w:r>
          </w:p>
        </w:tc>
      </w:tr>
      <w:tr w:rsidR="00F26847" w:rsidTr="00BE4EED">
        <w:tc>
          <w:tcPr>
            <w:tcW w:w="1287" w:type="dxa"/>
            <w:tcBorders>
              <w:top w:val="nil"/>
              <w:left w:val="nil"/>
              <w:bottom w:val="single" w:sz="4" w:space="0" w:color="auto"/>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Number of passengers per flight information display screen (peak hour)</w:t>
            </w:r>
          </w:p>
        </w:tc>
        <w:tc>
          <w:tcPr>
            <w:tcW w:w="155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Objective indicator</w:t>
            </w:r>
          </w:p>
        </w:tc>
        <w:tc>
          <w:tcPr>
            <w:tcW w:w="1557"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11.1 passengers</w:t>
            </w:r>
          </w:p>
        </w:tc>
        <w:tc>
          <w:tcPr>
            <w:tcW w:w="1491" w:type="dxa"/>
            <w:tcBorders>
              <w:top w:val="nil"/>
              <w:left w:val="nil"/>
              <w:bottom w:val="single" w:sz="4" w:space="0" w:color="auto"/>
              <w:right w:val="nil"/>
            </w:tcBorders>
            <w:vAlign w:val="center"/>
          </w:tcPr>
          <w:p w:rsidR="00F26847" w:rsidRPr="00F40CCB" w:rsidRDefault="00F26847" w:rsidP="00BE4EED">
            <w:pPr>
              <w:keepNext/>
              <w:spacing w:before="20" w:after="20"/>
              <w:rPr>
                <w:i/>
                <w:sz w:val="16"/>
                <w:szCs w:val="16"/>
              </w:rPr>
            </w:pPr>
            <w:r w:rsidRPr="00F40CCB">
              <w:rPr>
                <w:rFonts w:cs="Arial"/>
                <w:color w:val="943634" w:themeColor="accent2" w:themeShade="BF"/>
                <w:sz w:val="16"/>
                <w:szCs w:val="16"/>
              </w:rPr>
              <w:t>▲</w:t>
            </w:r>
          </w:p>
        </w:tc>
        <w:tc>
          <w:tcPr>
            <w:tcW w:w="1491" w:type="dxa"/>
            <w:tcBorders>
              <w:top w:val="nil"/>
              <w:left w:val="nil"/>
              <w:bottom w:val="single" w:sz="4" w:space="0" w:color="auto"/>
              <w:right w:val="nil"/>
            </w:tcBorders>
            <w:vAlign w:val="center"/>
          </w:tcPr>
          <w:p w:rsidR="00F26847" w:rsidRPr="008C72D3" w:rsidRDefault="00F26847" w:rsidP="00BE4EED">
            <w:pPr>
              <w:keepNext/>
              <w:spacing w:before="20" w:after="20"/>
              <w:rPr>
                <w:i/>
                <w:sz w:val="16"/>
                <w:szCs w:val="16"/>
                <w:highlight w:val="yellow"/>
              </w:rPr>
            </w:pPr>
            <w:r w:rsidRPr="00F40CCB">
              <w:rPr>
                <w:rFonts w:cs="Arial"/>
                <w:color w:val="943634" w:themeColor="accent2" w:themeShade="BF"/>
                <w:sz w:val="16"/>
                <w:szCs w:val="16"/>
              </w:rPr>
              <w:t>▲</w:t>
            </w:r>
          </w:p>
        </w:tc>
      </w:tr>
      <w:tr w:rsidR="00F26847" w:rsidTr="00BE4EED">
        <w:tc>
          <w:tcPr>
            <w:tcW w:w="1287" w:type="dxa"/>
            <w:tcBorders>
              <w:top w:val="single" w:sz="4" w:space="0" w:color="auto"/>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single" w:sz="4" w:space="0" w:color="auto"/>
              <w:left w:val="nil"/>
              <w:bottom w:val="nil"/>
              <w:right w:val="nil"/>
            </w:tcBorders>
            <w:vAlign w:val="center"/>
          </w:tcPr>
          <w:p w:rsidR="00F26847" w:rsidRPr="00A1286A" w:rsidRDefault="00F26847" w:rsidP="00BE4EED">
            <w:pPr>
              <w:keepNext/>
              <w:spacing w:before="20" w:after="20"/>
              <w:rPr>
                <w:i/>
                <w:sz w:val="16"/>
                <w:szCs w:val="16"/>
              </w:rPr>
            </w:pPr>
            <w:r w:rsidRPr="00A1286A">
              <w:rPr>
                <w:i/>
                <w:sz w:val="16"/>
                <w:szCs w:val="16"/>
              </w:rPr>
              <w:t>Number of passengers per information point (peak hour)</w:t>
            </w:r>
          </w:p>
        </w:tc>
        <w:tc>
          <w:tcPr>
            <w:tcW w:w="1558" w:type="dxa"/>
            <w:tcBorders>
              <w:top w:val="single" w:sz="4" w:space="0" w:color="auto"/>
              <w:left w:val="nil"/>
              <w:bottom w:val="nil"/>
              <w:right w:val="nil"/>
            </w:tcBorders>
            <w:vAlign w:val="center"/>
          </w:tcPr>
          <w:p w:rsidR="00F26847" w:rsidRPr="00A1286A" w:rsidRDefault="00F26847" w:rsidP="00BE4EED">
            <w:pPr>
              <w:keepNext/>
              <w:spacing w:before="20" w:after="20"/>
              <w:rPr>
                <w:i/>
                <w:sz w:val="16"/>
                <w:szCs w:val="16"/>
              </w:rPr>
            </w:pPr>
            <w:r w:rsidRPr="00A1286A">
              <w:rPr>
                <w:i/>
                <w:sz w:val="16"/>
                <w:szCs w:val="16"/>
              </w:rPr>
              <w:t>Objective indicator</w:t>
            </w:r>
          </w:p>
        </w:tc>
        <w:tc>
          <w:tcPr>
            <w:tcW w:w="1557" w:type="dxa"/>
            <w:tcBorders>
              <w:top w:val="single" w:sz="4" w:space="0" w:color="auto"/>
              <w:left w:val="nil"/>
              <w:bottom w:val="nil"/>
              <w:right w:val="nil"/>
            </w:tcBorders>
            <w:vAlign w:val="center"/>
          </w:tcPr>
          <w:p w:rsidR="00F26847" w:rsidRPr="00A1286A" w:rsidRDefault="00F26847" w:rsidP="00BE4EED">
            <w:pPr>
              <w:keepNext/>
              <w:spacing w:before="20" w:after="20"/>
              <w:rPr>
                <w:i/>
                <w:sz w:val="16"/>
                <w:szCs w:val="16"/>
              </w:rPr>
            </w:pPr>
            <w:r w:rsidRPr="00A1286A">
              <w:rPr>
                <w:i/>
                <w:sz w:val="16"/>
                <w:szCs w:val="16"/>
              </w:rPr>
              <w:t>1121.3 passengers</w:t>
            </w:r>
          </w:p>
        </w:tc>
        <w:tc>
          <w:tcPr>
            <w:tcW w:w="1491" w:type="dxa"/>
            <w:tcBorders>
              <w:top w:val="single" w:sz="4" w:space="0" w:color="auto"/>
              <w:left w:val="nil"/>
              <w:bottom w:val="nil"/>
              <w:right w:val="nil"/>
            </w:tcBorders>
            <w:vAlign w:val="center"/>
          </w:tcPr>
          <w:p w:rsidR="00F26847" w:rsidRPr="00F40CCB" w:rsidRDefault="00F26847" w:rsidP="00BE4EED">
            <w:pPr>
              <w:keepNext/>
              <w:spacing w:before="20" w:after="20"/>
              <w:rPr>
                <w:sz w:val="16"/>
                <w:szCs w:val="16"/>
              </w:rPr>
            </w:pPr>
            <w:r w:rsidRPr="00F40CCB">
              <w:rPr>
                <w:rFonts w:cs="Arial"/>
                <w:color w:val="943634" w:themeColor="accent2" w:themeShade="BF"/>
                <w:sz w:val="16"/>
                <w:szCs w:val="16"/>
              </w:rPr>
              <w:t>▲</w:t>
            </w:r>
          </w:p>
        </w:tc>
        <w:tc>
          <w:tcPr>
            <w:tcW w:w="1491" w:type="dxa"/>
            <w:tcBorders>
              <w:top w:val="single" w:sz="4" w:space="0" w:color="auto"/>
              <w:left w:val="nil"/>
              <w:bottom w:val="nil"/>
              <w:right w:val="nil"/>
            </w:tcBorders>
            <w:vAlign w:val="center"/>
          </w:tcPr>
          <w:p w:rsidR="00F26847" w:rsidRPr="00F40CCB" w:rsidRDefault="00F26847" w:rsidP="00BE4EED">
            <w:pPr>
              <w:keepNext/>
              <w:spacing w:before="20" w:after="20"/>
              <w:rPr>
                <w:sz w:val="16"/>
                <w:szCs w:val="16"/>
              </w:rPr>
            </w:pPr>
            <w:r w:rsidRPr="00F40CCB">
              <w:rPr>
                <w:rFonts w:cs="Arial"/>
                <w:color w:val="943634" w:themeColor="accent2" w:themeShade="BF"/>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r w:rsidRPr="009340BD">
              <w:rPr>
                <w:sz w:val="16"/>
                <w:szCs w:val="16"/>
              </w:rPr>
              <w:t>Gate lounges</w:t>
            </w:r>
          </w:p>
        </w:tc>
        <w:tc>
          <w:tcPr>
            <w:tcW w:w="664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Seating in lounge area (quality and availability)</w:t>
            </w:r>
            <w:r w:rsidRPr="00D30D2D">
              <w:rPr>
                <w:sz w:val="16"/>
                <w:szCs w:val="16"/>
                <w:vertAlign w:val="superscript"/>
              </w:rPr>
              <w:t xml:space="preserve"> </w:t>
            </w:r>
          </w:p>
        </w:tc>
        <w:tc>
          <w:tcPr>
            <w:tcW w:w="155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Passenger survey</w:t>
            </w:r>
          </w:p>
        </w:tc>
        <w:tc>
          <w:tcPr>
            <w:tcW w:w="1557"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Good</w:t>
            </w:r>
          </w:p>
        </w:tc>
        <w:tc>
          <w:tcPr>
            <w:tcW w:w="1491" w:type="dxa"/>
            <w:tcBorders>
              <w:top w:val="nil"/>
              <w:left w:val="nil"/>
              <w:bottom w:val="nil"/>
              <w:right w:val="nil"/>
            </w:tcBorders>
            <w:vAlign w:val="center"/>
          </w:tcPr>
          <w:p w:rsidR="00F26847" w:rsidRPr="00D92772" w:rsidRDefault="00F26847" w:rsidP="00BE4EED">
            <w:pPr>
              <w:keepNext/>
              <w:spacing w:before="20" w:after="20"/>
              <w:rPr>
                <w:sz w:val="16"/>
                <w:szCs w:val="16"/>
              </w:rPr>
            </w:pPr>
            <w:r w:rsidRPr="00D92772">
              <w:rPr>
                <w:rFonts w:cs="Arial"/>
                <w:color w:val="943634" w:themeColor="accent2" w:themeShade="BF"/>
                <w:sz w:val="16"/>
                <w:szCs w:val="16"/>
              </w:rPr>
              <w:t>▲</w:t>
            </w:r>
          </w:p>
        </w:tc>
        <w:tc>
          <w:tcPr>
            <w:tcW w:w="1491" w:type="dxa"/>
            <w:tcBorders>
              <w:top w:val="nil"/>
              <w:left w:val="nil"/>
              <w:bottom w:val="nil"/>
              <w:right w:val="nil"/>
            </w:tcBorders>
            <w:vAlign w:val="center"/>
          </w:tcPr>
          <w:p w:rsidR="00F26847" w:rsidRPr="00D92772" w:rsidRDefault="00F26847" w:rsidP="00BE4EED">
            <w:pPr>
              <w:keepNext/>
              <w:spacing w:before="20" w:after="20"/>
              <w:rPr>
                <w:sz w:val="16"/>
                <w:szCs w:val="16"/>
              </w:rPr>
            </w:pPr>
            <w:r w:rsidRPr="00D92772">
              <w:rPr>
                <w:rFonts w:cs="Arial"/>
                <w:color w:val="943634" w:themeColor="accent2" w:themeShade="BF"/>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Crowding in lounge area</w:t>
            </w:r>
          </w:p>
        </w:tc>
        <w:tc>
          <w:tcPr>
            <w:tcW w:w="1558"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Passenger survey</w:t>
            </w:r>
          </w:p>
        </w:tc>
        <w:tc>
          <w:tcPr>
            <w:tcW w:w="1557" w:type="dxa"/>
            <w:tcBorders>
              <w:top w:val="nil"/>
              <w:left w:val="nil"/>
              <w:bottom w:val="nil"/>
              <w:right w:val="nil"/>
            </w:tcBorders>
            <w:vAlign w:val="center"/>
          </w:tcPr>
          <w:p w:rsidR="00F26847" w:rsidRPr="00D30D2D" w:rsidRDefault="00F26847" w:rsidP="00BE4EED">
            <w:pPr>
              <w:keepNext/>
              <w:spacing w:before="20" w:after="20"/>
              <w:rPr>
                <w:sz w:val="16"/>
                <w:szCs w:val="16"/>
              </w:rPr>
            </w:pPr>
            <w:r w:rsidRPr="00D30D2D">
              <w:rPr>
                <w:sz w:val="16"/>
                <w:szCs w:val="16"/>
              </w:rPr>
              <w:t>Good</w:t>
            </w:r>
          </w:p>
        </w:tc>
        <w:tc>
          <w:tcPr>
            <w:tcW w:w="1491" w:type="dxa"/>
            <w:tcBorders>
              <w:top w:val="nil"/>
              <w:left w:val="nil"/>
              <w:bottom w:val="nil"/>
              <w:right w:val="nil"/>
            </w:tcBorders>
            <w:vAlign w:val="center"/>
          </w:tcPr>
          <w:p w:rsidR="00F26847" w:rsidRPr="00F40CCB" w:rsidRDefault="00F26847" w:rsidP="00BE4EED">
            <w:pPr>
              <w:keepNext/>
              <w:spacing w:before="20" w:after="20"/>
              <w:rPr>
                <w:sz w:val="16"/>
                <w:szCs w:val="16"/>
              </w:rPr>
            </w:pPr>
            <w:r w:rsidRPr="00F40CCB">
              <w:rPr>
                <w:rFonts w:cs="Arial"/>
                <w:color w:val="943634" w:themeColor="accent2" w:themeShade="BF"/>
                <w:sz w:val="16"/>
                <w:szCs w:val="16"/>
              </w:rPr>
              <w:t>▲</w:t>
            </w:r>
          </w:p>
        </w:tc>
        <w:tc>
          <w:tcPr>
            <w:tcW w:w="1491" w:type="dxa"/>
            <w:tcBorders>
              <w:top w:val="nil"/>
              <w:left w:val="nil"/>
              <w:bottom w:val="nil"/>
              <w:right w:val="nil"/>
            </w:tcBorders>
            <w:vAlign w:val="center"/>
          </w:tcPr>
          <w:p w:rsidR="00F26847" w:rsidRPr="008C72D3" w:rsidRDefault="00F26847" w:rsidP="00BE4EED">
            <w:pPr>
              <w:keepNext/>
              <w:spacing w:before="20" w:after="20"/>
              <w:rPr>
                <w:sz w:val="16"/>
                <w:szCs w:val="16"/>
                <w:highlight w:val="yellow"/>
              </w:rPr>
            </w:pPr>
            <w:r w:rsidRPr="00F40CCB">
              <w:rPr>
                <w:rFonts w:cs="Arial"/>
                <w:color w:val="943634" w:themeColor="accent2" w:themeShade="BF"/>
                <w:sz w:val="16"/>
                <w:szCs w:val="16"/>
              </w:rPr>
              <w:t>▲</w:t>
            </w:r>
            <w:r w:rsidRPr="00F40CCB">
              <w:rPr>
                <w:rFonts w:cs="Arial"/>
                <w:sz w:val="16"/>
                <w:szCs w:val="16"/>
              </w:rPr>
              <w:t>*</w:t>
            </w:r>
          </w:p>
        </w:tc>
      </w:tr>
      <w:tr w:rsidR="00F26847" w:rsidTr="00BE4EED">
        <w:tc>
          <w:tcPr>
            <w:tcW w:w="1287" w:type="dxa"/>
            <w:tcBorders>
              <w:top w:val="nil"/>
              <w:left w:val="nil"/>
              <w:bottom w:val="single" w:sz="4" w:space="0" w:color="auto"/>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Number of departing passengers per seat in gate lounges (peak hour)</w:t>
            </w:r>
          </w:p>
        </w:tc>
        <w:tc>
          <w:tcPr>
            <w:tcW w:w="1558"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Objective indicator</w:t>
            </w:r>
          </w:p>
        </w:tc>
        <w:tc>
          <w:tcPr>
            <w:tcW w:w="1557" w:type="dxa"/>
            <w:tcBorders>
              <w:top w:val="nil"/>
              <w:left w:val="nil"/>
              <w:bottom w:val="single" w:sz="4" w:space="0" w:color="auto"/>
              <w:right w:val="nil"/>
            </w:tcBorders>
            <w:vAlign w:val="center"/>
          </w:tcPr>
          <w:p w:rsidR="00F26847" w:rsidRPr="00A1286A" w:rsidRDefault="00F26847" w:rsidP="00BE4EED">
            <w:pPr>
              <w:keepNext/>
              <w:spacing w:before="20" w:after="20"/>
              <w:rPr>
                <w:i/>
                <w:sz w:val="16"/>
                <w:szCs w:val="16"/>
              </w:rPr>
            </w:pPr>
            <w:r w:rsidRPr="00A1286A">
              <w:rPr>
                <w:i/>
                <w:sz w:val="16"/>
                <w:szCs w:val="16"/>
              </w:rPr>
              <w:t>0.5 passengers</w:t>
            </w:r>
          </w:p>
        </w:tc>
        <w:tc>
          <w:tcPr>
            <w:tcW w:w="1491" w:type="dxa"/>
            <w:tcBorders>
              <w:top w:val="nil"/>
              <w:left w:val="nil"/>
              <w:bottom w:val="single" w:sz="4" w:space="0" w:color="auto"/>
              <w:right w:val="nil"/>
            </w:tcBorders>
            <w:vAlign w:val="center"/>
          </w:tcPr>
          <w:p w:rsidR="00F26847" w:rsidRPr="008C72D3" w:rsidRDefault="00F26847" w:rsidP="00BE4EED">
            <w:pPr>
              <w:keepNext/>
              <w:spacing w:before="20" w:after="20"/>
              <w:rPr>
                <w:sz w:val="16"/>
                <w:szCs w:val="16"/>
                <w:highlight w:val="yellow"/>
              </w:rPr>
            </w:pPr>
            <w:r w:rsidRPr="00D92772">
              <w:rPr>
                <w:rFonts w:cs="Arial"/>
                <w:color w:val="4BACC6" w:themeColor="accent5"/>
                <w:sz w:val="16"/>
                <w:szCs w:val="16"/>
              </w:rPr>
              <w:t>▬</w:t>
            </w:r>
          </w:p>
        </w:tc>
        <w:tc>
          <w:tcPr>
            <w:tcW w:w="1491" w:type="dxa"/>
            <w:tcBorders>
              <w:top w:val="nil"/>
              <w:left w:val="nil"/>
              <w:bottom w:val="single" w:sz="4" w:space="0" w:color="auto"/>
              <w:right w:val="nil"/>
            </w:tcBorders>
            <w:vAlign w:val="center"/>
          </w:tcPr>
          <w:p w:rsidR="00F26847" w:rsidRPr="008C72D3" w:rsidRDefault="00F26847" w:rsidP="00BE4EED">
            <w:pPr>
              <w:keepNext/>
              <w:spacing w:before="20" w:after="20"/>
              <w:rPr>
                <w:sz w:val="16"/>
                <w:szCs w:val="16"/>
                <w:highlight w:val="yellow"/>
              </w:rPr>
            </w:pPr>
            <w:r w:rsidRPr="00F40CCB">
              <w:rPr>
                <w:rFonts w:cs="Arial"/>
                <w:color w:val="943634" w:themeColor="accent2" w:themeShade="BF"/>
                <w:sz w:val="16"/>
                <w:szCs w:val="16"/>
              </w:rPr>
              <w:t>▲</w:t>
            </w:r>
          </w:p>
        </w:tc>
      </w:tr>
      <w:tr w:rsidR="00F26847" w:rsidTr="00BE4EED">
        <w:tc>
          <w:tcPr>
            <w:tcW w:w="1287" w:type="dxa"/>
            <w:tcBorders>
              <w:top w:val="single" w:sz="4" w:space="0" w:color="auto"/>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single" w:sz="4" w:space="0" w:color="auto"/>
              <w:left w:val="nil"/>
              <w:bottom w:val="nil"/>
              <w:right w:val="nil"/>
            </w:tcBorders>
            <w:vAlign w:val="center"/>
          </w:tcPr>
          <w:p w:rsidR="00F26847" w:rsidRPr="00A1286A" w:rsidRDefault="00F26847" w:rsidP="00BE4EED">
            <w:pPr>
              <w:keepNext/>
              <w:spacing w:before="20" w:after="20"/>
              <w:rPr>
                <w:i/>
                <w:sz w:val="16"/>
                <w:szCs w:val="16"/>
              </w:rPr>
            </w:pPr>
            <w:r w:rsidRPr="00A1286A">
              <w:rPr>
                <w:i/>
                <w:sz w:val="16"/>
                <w:szCs w:val="16"/>
              </w:rPr>
              <w:t>Number of departing passengers per m</w:t>
            </w:r>
            <w:r w:rsidRPr="00A1286A">
              <w:rPr>
                <w:i/>
                <w:sz w:val="16"/>
                <w:szCs w:val="16"/>
                <w:vertAlign w:val="superscript"/>
              </w:rPr>
              <w:t>2</w:t>
            </w:r>
            <w:r w:rsidRPr="00A1286A">
              <w:rPr>
                <w:i/>
                <w:sz w:val="16"/>
                <w:szCs w:val="16"/>
              </w:rPr>
              <w:t xml:space="preserve"> of lounge area (peak hour)</w:t>
            </w:r>
          </w:p>
        </w:tc>
        <w:tc>
          <w:tcPr>
            <w:tcW w:w="1558" w:type="dxa"/>
            <w:tcBorders>
              <w:top w:val="single" w:sz="4" w:space="0" w:color="auto"/>
              <w:left w:val="nil"/>
              <w:bottom w:val="nil"/>
              <w:right w:val="nil"/>
            </w:tcBorders>
            <w:vAlign w:val="center"/>
          </w:tcPr>
          <w:p w:rsidR="00F26847" w:rsidRPr="00A1286A" w:rsidRDefault="00F26847" w:rsidP="00BE4EED">
            <w:pPr>
              <w:keepNext/>
              <w:spacing w:before="20" w:after="20"/>
              <w:rPr>
                <w:i/>
                <w:sz w:val="16"/>
                <w:szCs w:val="16"/>
              </w:rPr>
            </w:pPr>
            <w:r w:rsidRPr="00A1286A">
              <w:rPr>
                <w:i/>
                <w:sz w:val="16"/>
                <w:szCs w:val="16"/>
              </w:rPr>
              <w:t>Objective indicator</w:t>
            </w:r>
          </w:p>
        </w:tc>
        <w:tc>
          <w:tcPr>
            <w:tcW w:w="1557" w:type="dxa"/>
            <w:tcBorders>
              <w:top w:val="single" w:sz="4" w:space="0" w:color="auto"/>
              <w:left w:val="nil"/>
              <w:bottom w:val="nil"/>
              <w:right w:val="nil"/>
            </w:tcBorders>
            <w:vAlign w:val="center"/>
          </w:tcPr>
          <w:p w:rsidR="00F26847" w:rsidRPr="00A1286A" w:rsidRDefault="00F26847" w:rsidP="00BE4EED">
            <w:pPr>
              <w:keepNext/>
              <w:spacing w:before="20" w:after="20"/>
              <w:rPr>
                <w:i/>
                <w:sz w:val="16"/>
                <w:szCs w:val="16"/>
              </w:rPr>
            </w:pPr>
            <w:r w:rsidRPr="00A1286A">
              <w:rPr>
                <w:i/>
                <w:sz w:val="16"/>
                <w:szCs w:val="16"/>
              </w:rPr>
              <w:t>0.3</w:t>
            </w:r>
            <w:r>
              <w:rPr>
                <w:i/>
                <w:sz w:val="16"/>
                <w:szCs w:val="16"/>
              </w:rPr>
              <w:t xml:space="preserve"> </w:t>
            </w:r>
            <w:r w:rsidRPr="00A1286A">
              <w:rPr>
                <w:i/>
                <w:sz w:val="16"/>
                <w:szCs w:val="16"/>
              </w:rPr>
              <w:t>passengers</w:t>
            </w:r>
          </w:p>
        </w:tc>
        <w:tc>
          <w:tcPr>
            <w:tcW w:w="1491" w:type="dxa"/>
            <w:tcBorders>
              <w:top w:val="single" w:sz="4" w:space="0" w:color="auto"/>
              <w:left w:val="nil"/>
              <w:bottom w:val="nil"/>
              <w:right w:val="nil"/>
            </w:tcBorders>
            <w:vAlign w:val="center"/>
          </w:tcPr>
          <w:p w:rsidR="00F26847" w:rsidRPr="00F40CCB" w:rsidRDefault="00F26847" w:rsidP="00BE4EED">
            <w:pPr>
              <w:keepNext/>
              <w:spacing w:before="20" w:after="20"/>
              <w:rPr>
                <w:sz w:val="16"/>
                <w:szCs w:val="16"/>
              </w:rPr>
            </w:pPr>
            <w:r w:rsidRPr="00F40CCB">
              <w:rPr>
                <w:rFonts w:cs="Arial"/>
                <w:color w:val="F79646" w:themeColor="accent6"/>
                <w:sz w:val="16"/>
                <w:szCs w:val="16"/>
              </w:rPr>
              <w:t>▼</w:t>
            </w:r>
          </w:p>
        </w:tc>
        <w:tc>
          <w:tcPr>
            <w:tcW w:w="1491" w:type="dxa"/>
            <w:tcBorders>
              <w:top w:val="single" w:sz="4" w:space="0" w:color="auto"/>
              <w:left w:val="nil"/>
              <w:bottom w:val="nil"/>
              <w:right w:val="nil"/>
            </w:tcBorders>
            <w:vAlign w:val="center"/>
          </w:tcPr>
          <w:p w:rsidR="00F26847" w:rsidRPr="008C72D3" w:rsidRDefault="00F26847" w:rsidP="00BE4EED">
            <w:pPr>
              <w:keepNext/>
              <w:spacing w:before="20" w:after="20"/>
              <w:rPr>
                <w:sz w:val="16"/>
                <w:szCs w:val="16"/>
                <w:highlight w:val="yellow"/>
              </w:rPr>
            </w:pPr>
            <w:r w:rsidRPr="00D92772">
              <w:rPr>
                <w:rFonts w:cs="Arial"/>
                <w:color w:val="4BACC6" w:themeColor="accent5"/>
                <w:sz w:val="16"/>
                <w:szCs w:val="16"/>
              </w:rPr>
              <w:t>▬</w:t>
            </w:r>
          </w:p>
        </w:tc>
      </w:tr>
      <w:tr w:rsidR="00F26847" w:rsidTr="00BE4EED">
        <w:tc>
          <w:tcPr>
            <w:tcW w:w="1287" w:type="dxa"/>
            <w:tcBorders>
              <w:top w:val="nil"/>
              <w:left w:val="nil"/>
              <w:bottom w:val="single" w:sz="4" w:space="0" w:color="auto"/>
              <w:right w:val="nil"/>
            </w:tcBorders>
            <w:vAlign w:val="center"/>
          </w:tcPr>
          <w:p w:rsidR="00F26847" w:rsidRPr="009340BD" w:rsidRDefault="00F26847" w:rsidP="00BE4EED">
            <w:pPr>
              <w:keepNext/>
              <w:spacing w:before="20" w:after="20"/>
              <w:rPr>
                <w:bCs/>
                <w:sz w:val="16"/>
                <w:szCs w:val="16"/>
              </w:rPr>
            </w:pPr>
            <w:r w:rsidRPr="009340BD">
              <w:rPr>
                <w:sz w:val="16"/>
                <w:szCs w:val="16"/>
              </w:rPr>
              <w:t>Amenities</w:t>
            </w:r>
          </w:p>
        </w:tc>
        <w:tc>
          <w:tcPr>
            <w:tcW w:w="6648" w:type="dxa"/>
            <w:tcBorders>
              <w:top w:val="nil"/>
              <w:left w:val="nil"/>
              <w:bottom w:val="single" w:sz="4" w:space="0" w:color="auto"/>
              <w:right w:val="nil"/>
            </w:tcBorders>
            <w:vAlign w:val="center"/>
          </w:tcPr>
          <w:p w:rsidR="00F26847" w:rsidRPr="00A1286A" w:rsidRDefault="00F26847" w:rsidP="00BE4EED">
            <w:pPr>
              <w:keepNext/>
              <w:spacing w:before="20" w:after="20"/>
              <w:rPr>
                <w:sz w:val="16"/>
                <w:szCs w:val="16"/>
              </w:rPr>
            </w:pPr>
            <w:r w:rsidRPr="00A1286A">
              <w:rPr>
                <w:sz w:val="16"/>
                <w:szCs w:val="16"/>
              </w:rPr>
              <w:t>Standard of washrooms</w:t>
            </w:r>
          </w:p>
        </w:tc>
        <w:tc>
          <w:tcPr>
            <w:tcW w:w="1558" w:type="dxa"/>
            <w:tcBorders>
              <w:top w:val="nil"/>
              <w:left w:val="nil"/>
              <w:bottom w:val="single" w:sz="4" w:space="0" w:color="auto"/>
              <w:right w:val="nil"/>
            </w:tcBorders>
            <w:vAlign w:val="center"/>
          </w:tcPr>
          <w:p w:rsidR="00F26847" w:rsidRPr="00A1286A" w:rsidRDefault="00F26847" w:rsidP="00BE4EED">
            <w:pPr>
              <w:keepNext/>
              <w:spacing w:before="20" w:after="20"/>
              <w:rPr>
                <w:sz w:val="16"/>
                <w:szCs w:val="16"/>
              </w:rPr>
            </w:pPr>
            <w:r w:rsidRPr="00A1286A">
              <w:rPr>
                <w:sz w:val="16"/>
                <w:szCs w:val="16"/>
              </w:rPr>
              <w:t>Passenger survey</w:t>
            </w:r>
          </w:p>
        </w:tc>
        <w:tc>
          <w:tcPr>
            <w:tcW w:w="1557" w:type="dxa"/>
            <w:tcBorders>
              <w:top w:val="nil"/>
              <w:left w:val="nil"/>
              <w:bottom w:val="single" w:sz="4" w:space="0" w:color="auto"/>
              <w:right w:val="nil"/>
            </w:tcBorders>
            <w:vAlign w:val="center"/>
          </w:tcPr>
          <w:p w:rsidR="00F26847" w:rsidRPr="00A1286A" w:rsidRDefault="00F26847" w:rsidP="00BE4EED">
            <w:pPr>
              <w:keepNext/>
              <w:spacing w:before="20" w:after="20"/>
              <w:rPr>
                <w:sz w:val="16"/>
                <w:szCs w:val="16"/>
              </w:rPr>
            </w:pPr>
            <w:r w:rsidRPr="00A1286A">
              <w:rPr>
                <w:sz w:val="16"/>
                <w:szCs w:val="16"/>
              </w:rPr>
              <w:t>Good</w:t>
            </w:r>
          </w:p>
        </w:tc>
        <w:tc>
          <w:tcPr>
            <w:tcW w:w="1491" w:type="dxa"/>
            <w:tcBorders>
              <w:top w:val="nil"/>
              <w:left w:val="nil"/>
              <w:bottom w:val="single" w:sz="4" w:space="0" w:color="auto"/>
              <w:right w:val="nil"/>
            </w:tcBorders>
            <w:vAlign w:val="center"/>
          </w:tcPr>
          <w:p w:rsidR="00F26847" w:rsidRPr="002D332F" w:rsidRDefault="00F26847" w:rsidP="00BE4EED">
            <w:pPr>
              <w:keepNext/>
              <w:spacing w:before="20" w:after="20"/>
              <w:rPr>
                <w:sz w:val="16"/>
                <w:szCs w:val="16"/>
              </w:rPr>
            </w:pPr>
            <w:r w:rsidRPr="002D332F">
              <w:rPr>
                <w:rFonts w:cs="Arial"/>
                <w:color w:val="943634" w:themeColor="accent2" w:themeShade="BF"/>
                <w:sz w:val="16"/>
                <w:szCs w:val="16"/>
              </w:rPr>
              <w:t>▲</w:t>
            </w:r>
          </w:p>
        </w:tc>
        <w:tc>
          <w:tcPr>
            <w:tcW w:w="1491" w:type="dxa"/>
            <w:tcBorders>
              <w:top w:val="nil"/>
              <w:left w:val="nil"/>
              <w:bottom w:val="single" w:sz="4" w:space="0" w:color="auto"/>
              <w:right w:val="nil"/>
            </w:tcBorders>
            <w:vAlign w:val="center"/>
          </w:tcPr>
          <w:p w:rsidR="00F26847" w:rsidRPr="002D332F" w:rsidRDefault="00F26847" w:rsidP="00BE4EED">
            <w:pPr>
              <w:keepNext/>
              <w:spacing w:before="20" w:after="20"/>
              <w:rPr>
                <w:sz w:val="16"/>
                <w:szCs w:val="16"/>
              </w:rPr>
            </w:pPr>
            <w:r w:rsidRPr="002D332F">
              <w:rPr>
                <w:rFonts w:cs="Arial"/>
                <w:color w:val="943634" w:themeColor="accent2" w:themeShade="BF"/>
                <w:sz w:val="16"/>
                <w:szCs w:val="16"/>
              </w:rPr>
              <w:t>▲</w:t>
            </w:r>
          </w:p>
        </w:tc>
      </w:tr>
      <w:tr w:rsidR="00F26847" w:rsidTr="00BE4EED">
        <w:tc>
          <w:tcPr>
            <w:tcW w:w="1287" w:type="dxa"/>
            <w:tcBorders>
              <w:top w:val="nil"/>
              <w:left w:val="nil"/>
              <w:bottom w:val="nil"/>
              <w:right w:val="nil"/>
            </w:tcBorders>
            <w:vAlign w:val="center"/>
          </w:tcPr>
          <w:p w:rsidR="00F26847" w:rsidRPr="009340BD" w:rsidRDefault="00F26847" w:rsidP="00BE4EED">
            <w:pPr>
              <w:keepNext/>
              <w:spacing w:before="20" w:after="20"/>
              <w:rPr>
                <w:sz w:val="16"/>
                <w:szCs w:val="16"/>
              </w:rPr>
            </w:pPr>
          </w:p>
        </w:tc>
        <w:tc>
          <w:tcPr>
            <w:tcW w:w="6648" w:type="dxa"/>
            <w:tcBorders>
              <w:top w:val="nil"/>
              <w:left w:val="nil"/>
              <w:bottom w:val="nil"/>
              <w:right w:val="nil"/>
            </w:tcBorders>
          </w:tcPr>
          <w:p w:rsidR="00F26847" w:rsidRPr="00A1286A" w:rsidRDefault="00F26847" w:rsidP="00BE4EED">
            <w:pPr>
              <w:spacing w:before="40" w:after="40"/>
              <w:rPr>
                <w:i/>
                <w:sz w:val="16"/>
              </w:rPr>
            </w:pPr>
            <w:r w:rsidRPr="00A1286A">
              <w:rPr>
                <w:i/>
                <w:sz w:val="16"/>
              </w:rPr>
              <w:t>Number of departing passengers per washroom (peak hour)</w:t>
            </w:r>
          </w:p>
        </w:tc>
        <w:tc>
          <w:tcPr>
            <w:tcW w:w="1558" w:type="dxa"/>
            <w:tcBorders>
              <w:top w:val="nil"/>
              <w:left w:val="nil"/>
              <w:bottom w:val="nil"/>
              <w:right w:val="nil"/>
            </w:tcBorders>
          </w:tcPr>
          <w:p w:rsidR="00F26847" w:rsidRPr="00A1286A" w:rsidRDefault="00F26847" w:rsidP="00BE4EED">
            <w:pPr>
              <w:spacing w:before="40" w:after="40"/>
              <w:rPr>
                <w:i/>
                <w:sz w:val="16"/>
              </w:rPr>
            </w:pPr>
            <w:r w:rsidRPr="00A1286A">
              <w:rPr>
                <w:i/>
                <w:sz w:val="16"/>
              </w:rPr>
              <w:t>Objective indicator</w:t>
            </w:r>
          </w:p>
        </w:tc>
        <w:tc>
          <w:tcPr>
            <w:tcW w:w="1557" w:type="dxa"/>
            <w:tcBorders>
              <w:top w:val="nil"/>
              <w:left w:val="nil"/>
              <w:bottom w:val="nil"/>
              <w:right w:val="nil"/>
            </w:tcBorders>
          </w:tcPr>
          <w:p w:rsidR="00F26847" w:rsidRPr="00A1286A" w:rsidRDefault="00F26847" w:rsidP="00BE4EED">
            <w:pPr>
              <w:spacing w:before="40" w:after="40"/>
              <w:rPr>
                <w:i/>
                <w:sz w:val="16"/>
              </w:rPr>
            </w:pPr>
            <w:r>
              <w:rPr>
                <w:i/>
                <w:sz w:val="16"/>
              </w:rPr>
              <w:t>178.9</w:t>
            </w:r>
            <w:r w:rsidRPr="00A1286A">
              <w:rPr>
                <w:i/>
                <w:sz w:val="16"/>
              </w:rPr>
              <w:t xml:space="preserve"> passengers</w:t>
            </w:r>
          </w:p>
        </w:tc>
        <w:tc>
          <w:tcPr>
            <w:tcW w:w="1491" w:type="dxa"/>
            <w:tcBorders>
              <w:top w:val="nil"/>
              <w:left w:val="nil"/>
              <w:bottom w:val="nil"/>
              <w:right w:val="nil"/>
            </w:tcBorders>
          </w:tcPr>
          <w:p w:rsidR="00F26847" w:rsidRPr="002D332F" w:rsidRDefault="00F26847" w:rsidP="00BE4EED">
            <w:pPr>
              <w:spacing w:before="40" w:after="40"/>
              <w:rPr>
                <w:sz w:val="16"/>
              </w:rPr>
            </w:pPr>
            <w:r w:rsidRPr="002D332F">
              <w:rPr>
                <w:rFonts w:cs="Arial"/>
                <w:color w:val="F79646" w:themeColor="accent6"/>
                <w:sz w:val="16"/>
                <w:szCs w:val="16"/>
              </w:rPr>
              <w:t>▼</w:t>
            </w:r>
          </w:p>
        </w:tc>
        <w:tc>
          <w:tcPr>
            <w:tcW w:w="1491" w:type="dxa"/>
            <w:tcBorders>
              <w:top w:val="nil"/>
              <w:left w:val="nil"/>
              <w:bottom w:val="nil"/>
              <w:right w:val="nil"/>
            </w:tcBorders>
            <w:vAlign w:val="center"/>
          </w:tcPr>
          <w:p w:rsidR="00F26847" w:rsidRPr="002D332F" w:rsidRDefault="00F26847" w:rsidP="00BE4EED">
            <w:pPr>
              <w:spacing w:before="40" w:after="40"/>
              <w:rPr>
                <w:sz w:val="16"/>
              </w:rPr>
            </w:pPr>
            <w:r w:rsidRPr="002D332F">
              <w:rPr>
                <w:sz w:val="16"/>
              </w:rPr>
              <w:t>n/a</w:t>
            </w:r>
          </w:p>
        </w:tc>
      </w:tr>
      <w:tr w:rsidR="00F26847" w:rsidTr="00BE4EED">
        <w:tc>
          <w:tcPr>
            <w:tcW w:w="1287" w:type="dxa"/>
            <w:tcBorders>
              <w:top w:val="nil"/>
              <w:left w:val="nil"/>
              <w:bottom w:val="single" w:sz="4" w:space="0" w:color="auto"/>
              <w:right w:val="nil"/>
            </w:tcBorders>
            <w:vAlign w:val="center"/>
          </w:tcPr>
          <w:p w:rsidR="00F26847" w:rsidRPr="009340BD" w:rsidRDefault="00F26847" w:rsidP="00BE4EED">
            <w:pPr>
              <w:keepNext/>
              <w:spacing w:before="20" w:after="20"/>
              <w:rPr>
                <w:bCs/>
                <w:sz w:val="16"/>
                <w:szCs w:val="16"/>
              </w:rPr>
            </w:pPr>
            <w:r w:rsidRPr="009340BD">
              <w:rPr>
                <w:sz w:val="16"/>
                <w:szCs w:val="16"/>
              </w:rPr>
              <w:t>Aerobridges</w:t>
            </w:r>
          </w:p>
        </w:tc>
        <w:tc>
          <w:tcPr>
            <w:tcW w:w="6648" w:type="dxa"/>
            <w:tcBorders>
              <w:top w:val="nil"/>
              <w:left w:val="nil"/>
              <w:bottom w:val="single" w:sz="4" w:space="0" w:color="auto"/>
              <w:right w:val="nil"/>
            </w:tcBorders>
            <w:vAlign w:val="center"/>
          </w:tcPr>
          <w:p w:rsidR="00F26847" w:rsidRPr="00A1286A" w:rsidRDefault="00F26847" w:rsidP="00BE4EED">
            <w:pPr>
              <w:keepNext/>
              <w:spacing w:before="20" w:after="20"/>
              <w:rPr>
                <w:sz w:val="16"/>
                <w:szCs w:val="16"/>
              </w:rPr>
            </w:pPr>
            <w:r w:rsidRPr="00A1286A">
              <w:rPr>
                <w:sz w:val="16"/>
                <w:szCs w:val="16"/>
              </w:rPr>
              <w:t>Aerobridges availability</w:t>
            </w:r>
          </w:p>
        </w:tc>
        <w:tc>
          <w:tcPr>
            <w:tcW w:w="1558" w:type="dxa"/>
            <w:tcBorders>
              <w:top w:val="nil"/>
              <w:left w:val="nil"/>
              <w:bottom w:val="single" w:sz="4" w:space="0" w:color="auto"/>
              <w:right w:val="nil"/>
            </w:tcBorders>
            <w:vAlign w:val="center"/>
          </w:tcPr>
          <w:p w:rsidR="00F26847" w:rsidRPr="00A1286A" w:rsidRDefault="00F26847" w:rsidP="00BE4EED">
            <w:pPr>
              <w:keepNext/>
              <w:spacing w:before="20" w:after="20"/>
              <w:rPr>
                <w:sz w:val="16"/>
                <w:szCs w:val="16"/>
              </w:rPr>
            </w:pPr>
            <w:r w:rsidRPr="00A1286A">
              <w:rPr>
                <w:sz w:val="16"/>
                <w:szCs w:val="16"/>
              </w:rPr>
              <w:t>Airline survey</w:t>
            </w:r>
          </w:p>
        </w:tc>
        <w:tc>
          <w:tcPr>
            <w:tcW w:w="1557" w:type="dxa"/>
            <w:tcBorders>
              <w:top w:val="nil"/>
              <w:left w:val="nil"/>
              <w:bottom w:val="single" w:sz="4" w:space="0" w:color="auto"/>
              <w:right w:val="nil"/>
            </w:tcBorders>
            <w:vAlign w:val="center"/>
          </w:tcPr>
          <w:p w:rsidR="00F26847" w:rsidRPr="00A1286A" w:rsidRDefault="00F26847" w:rsidP="00BE4EED">
            <w:pPr>
              <w:keepNext/>
              <w:spacing w:before="20" w:after="20"/>
              <w:rPr>
                <w:sz w:val="16"/>
                <w:szCs w:val="16"/>
              </w:rPr>
            </w:pPr>
            <w:r w:rsidRPr="00A1286A">
              <w:rPr>
                <w:sz w:val="16"/>
                <w:szCs w:val="16"/>
              </w:rPr>
              <w:t>Satisfactory</w:t>
            </w:r>
          </w:p>
        </w:tc>
        <w:tc>
          <w:tcPr>
            <w:tcW w:w="1491" w:type="dxa"/>
            <w:tcBorders>
              <w:top w:val="nil"/>
              <w:left w:val="nil"/>
              <w:bottom w:val="single" w:sz="4" w:space="0" w:color="auto"/>
              <w:right w:val="nil"/>
            </w:tcBorders>
            <w:vAlign w:val="center"/>
          </w:tcPr>
          <w:p w:rsidR="00F26847" w:rsidRPr="00826557" w:rsidRDefault="00F26847" w:rsidP="00BE4EED">
            <w:pPr>
              <w:keepNext/>
              <w:spacing w:before="20" w:after="20"/>
              <w:rPr>
                <w:sz w:val="16"/>
                <w:szCs w:val="16"/>
              </w:rPr>
            </w:pPr>
            <w:r w:rsidRPr="00826557">
              <w:rPr>
                <w:rFonts w:cs="Arial"/>
                <w:color w:val="4BACC6" w:themeColor="accent5"/>
                <w:sz w:val="16"/>
                <w:szCs w:val="16"/>
              </w:rPr>
              <w:t>▬</w:t>
            </w:r>
          </w:p>
        </w:tc>
        <w:tc>
          <w:tcPr>
            <w:tcW w:w="1491" w:type="dxa"/>
            <w:tcBorders>
              <w:top w:val="nil"/>
              <w:left w:val="nil"/>
              <w:bottom w:val="single" w:sz="4" w:space="0" w:color="auto"/>
              <w:right w:val="nil"/>
            </w:tcBorders>
            <w:vAlign w:val="center"/>
          </w:tcPr>
          <w:p w:rsidR="00F26847" w:rsidRPr="008C72D3" w:rsidRDefault="00F26847" w:rsidP="00BE4EED">
            <w:pPr>
              <w:keepNext/>
              <w:spacing w:before="20" w:after="20"/>
              <w:rPr>
                <w:sz w:val="16"/>
                <w:szCs w:val="16"/>
                <w:highlight w:val="yellow"/>
              </w:rPr>
            </w:pPr>
            <w:r w:rsidRPr="002D332F">
              <w:rPr>
                <w:rFonts w:cs="Arial"/>
                <w:color w:val="943634" w:themeColor="accent2" w:themeShade="BF"/>
                <w:sz w:val="16"/>
                <w:szCs w:val="16"/>
              </w:rPr>
              <w:t>▲</w:t>
            </w:r>
          </w:p>
        </w:tc>
      </w:tr>
      <w:tr w:rsidR="00F26847" w:rsidTr="00BE4EED">
        <w:tc>
          <w:tcPr>
            <w:tcW w:w="1287" w:type="dxa"/>
            <w:tcBorders>
              <w:top w:val="single" w:sz="4" w:space="0" w:color="auto"/>
              <w:left w:val="nil"/>
              <w:bottom w:val="nil"/>
              <w:right w:val="nil"/>
            </w:tcBorders>
            <w:vAlign w:val="center"/>
          </w:tcPr>
          <w:p w:rsidR="00F26847" w:rsidRPr="009340BD" w:rsidRDefault="00F26847" w:rsidP="00BE4EED">
            <w:pPr>
              <w:keepNext/>
              <w:spacing w:before="20" w:after="20"/>
              <w:rPr>
                <w:bCs/>
                <w:sz w:val="16"/>
                <w:szCs w:val="16"/>
              </w:rPr>
            </w:pPr>
          </w:p>
        </w:tc>
        <w:tc>
          <w:tcPr>
            <w:tcW w:w="6648" w:type="dxa"/>
            <w:tcBorders>
              <w:top w:val="single" w:sz="4" w:space="0" w:color="auto"/>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Aerobridges standard</w:t>
            </w:r>
          </w:p>
        </w:tc>
        <w:tc>
          <w:tcPr>
            <w:tcW w:w="1558" w:type="dxa"/>
            <w:tcBorders>
              <w:top w:val="single" w:sz="4" w:space="0" w:color="auto"/>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Airline survey</w:t>
            </w:r>
          </w:p>
        </w:tc>
        <w:tc>
          <w:tcPr>
            <w:tcW w:w="1557" w:type="dxa"/>
            <w:tcBorders>
              <w:top w:val="single" w:sz="4" w:space="0" w:color="auto"/>
              <w:left w:val="nil"/>
              <w:bottom w:val="nil"/>
              <w:right w:val="nil"/>
            </w:tcBorders>
            <w:vAlign w:val="center"/>
          </w:tcPr>
          <w:p w:rsidR="00F26847" w:rsidRPr="00A1286A" w:rsidRDefault="00F26847" w:rsidP="00BE4EED">
            <w:pPr>
              <w:keepNext/>
              <w:spacing w:before="20" w:after="20"/>
              <w:rPr>
                <w:sz w:val="16"/>
                <w:szCs w:val="16"/>
              </w:rPr>
            </w:pPr>
            <w:r w:rsidRPr="00A1286A">
              <w:rPr>
                <w:sz w:val="16"/>
                <w:szCs w:val="16"/>
              </w:rPr>
              <w:t>Satisfactory</w:t>
            </w:r>
          </w:p>
        </w:tc>
        <w:tc>
          <w:tcPr>
            <w:tcW w:w="1491" w:type="dxa"/>
            <w:tcBorders>
              <w:top w:val="single" w:sz="4" w:space="0" w:color="auto"/>
              <w:left w:val="nil"/>
              <w:bottom w:val="nil"/>
              <w:right w:val="nil"/>
            </w:tcBorders>
            <w:vAlign w:val="center"/>
          </w:tcPr>
          <w:p w:rsidR="00F26847" w:rsidRPr="008C72D3" w:rsidRDefault="00F26847" w:rsidP="00BE4EED">
            <w:pPr>
              <w:keepNext/>
              <w:spacing w:before="20" w:after="20"/>
              <w:rPr>
                <w:sz w:val="16"/>
                <w:szCs w:val="16"/>
                <w:highlight w:val="yellow"/>
              </w:rPr>
            </w:pPr>
            <w:r w:rsidRPr="002D332F">
              <w:rPr>
                <w:rFonts w:cs="Arial"/>
                <w:color w:val="F79646" w:themeColor="accent6"/>
                <w:sz w:val="16"/>
                <w:szCs w:val="16"/>
              </w:rPr>
              <w:t>▼</w:t>
            </w:r>
          </w:p>
        </w:tc>
        <w:tc>
          <w:tcPr>
            <w:tcW w:w="1491" w:type="dxa"/>
            <w:tcBorders>
              <w:top w:val="single" w:sz="4" w:space="0" w:color="auto"/>
              <w:left w:val="nil"/>
              <w:bottom w:val="nil"/>
              <w:right w:val="nil"/>
            </w:tcBorders>
            <w:vAlign w:val="center"/>
          </w:tcPr>
          <w:p w:rsidR="00F26847" w:rsidRPr="008C72D3" w:rsidRDefault="00F26847" w:rsidP="00BE4EED">
            <w:pPr>
              <w:keepNext/>
              <w:spacing w:before="20" w:after="20"/>
              <w:rPr>
                <w:sz w:val="16"/>
                <w:szCs w:val="16"/>
                <w:highlight w:val="yellow"/>
              </w:rPr>
            </w:pPr>
            <w:r w:rsidRPr="00F40CCB">
              <w:rPr>
                <w:rFonts w:cs="Arial"/>
                <w:color w:val="943634" w:themeColor="accent2" w:themeShade="BF"/>
                <w:sz w:val="16"/>
                <w:szCs w:val="16"/>
              </w:rPr>
              <w:t>▲</w:t>
            </w:r>
            <w:r w:rsidRPr="00F40CCB">
              <w:rPr>
                <w:rFonts w:cs="Arial"/>
                <w:sz w:val="16"/>
                <w:szCs w:val="16"/>
              </w:rPr>
              <w:t>*</w:t>
            </w:r>
          </w:p>
        </w:tc>
      </w:tr>
      <w:tr w:rsidR="00F26847" w:rsidTr="00BE4EED">
        <w:tc>
          <w:tcPr>
            <w:tcW w:w="1287" w:type="dxa"/>
            <w:tcBorders>
              <w:top w:val="nil"/>
              <w:left w:val="nil"/>
              <w:right w:val="nil"/>
            </w:tcBorders>
            <w:vAlign w:val="center"/>
          </w:tcPr>
          <w:p w:rsidR="00F26847" w:rsidRPr="009340BD" w:rsidRDefault="00F26847" w:rsidP="00BE4EED">
            <w:pPr>
              <w:keepNext/>
              <w:spacing w:before="20" w:after="20"/>
              <w:rPr>
                <w:bCs/>
                <w:sz w:val="16"/>
                <w:szCs w:val="16"/>
              </w:rPr>
            </w:pPr>
          </w:p>
        </w:tc>
        <w:tc>
          <w:tcPr>
            <w:tcW w:w="6648" w:type="dxa"/>
            <w:tcBorders>
              <w:top w:val="nil"/>
              <w:left w:val="nil"/>
              <w:right w:val="nil"/>
            </w:tcBorders>
            <w:vAlign w:val="center"/>
          </w:tcPr>
          <w:p w:rsidR="00F26847" w:rsidRPr="00A1286A" w:rsidRDefault="00F26847" w:rsidP="00BE4EED">
            <w:pPr>
              <w:keepNext/>
              <w:spacing w:before="20" w:after="20"/>
              <w:rPr>
                <w:i/>
                <w:sz w:val="16"/>
                <w:szCs w:val="16"/>
              </w:rPr>
            </w:pPr>
            <w:r w:rsidRPr="00A1286A">
              <w:rPr>
                <w:i/>
                <w:sz w:val="16"/>
                <w:szCs w:val="16"/>
              </w:rPr>
              <w:t>Number of arriving domestic passengers per aerobridge</w:t>
            </w:r>
          </w:p>
        </w:tc>
        <w:tc>
          <w:tcPr>
            <w:tcW w:w="1558" w:type="dxa"/>
            <w:tcBorders>
              <w:top w:val="nil"/>
              <w:left w:val="nil"/>
              <w:right w:val="nil"/>
            </w:tcBorders>
            <w:vAlign w:val="center"/>
          </w:tcPr>
          <w:p w:rsidR="00F26847" w:rsidRPr="00A1286A" w:rsidRDefault="00F26847" w:rsidP="00BE4EED">
            <w:pPr>
              <w:keepNext/>
              <w:spacing w:before="20" w:after="20"/>
              <w:rPr>
                <w:i/>
                <w:sz w:val="16"/>
                <w:szCs w:val="16"/>
              </w:rPr>
            </w:pPr>
            <w:r w:rsidRPr="00A1286A">
              <w:rPr>
                <w:i/>
                <w:sz w:val="16"/>
                <w:szCs w:val="16"/>
              </w:rPr>
              <w:t>Objective indicator</w:t>
            </w:r>
          </w:p>
        </w:tc>
        <w:tc>
          <w:tcPr>
            <w:tcW w:w="1557" w:type="dxa"/>
            <w:tcBorders>
              <w:top w:val="nil"/>
              <w:left w:val="nil"/>
              <w:right w:val="nil"/>
            </w:tcBorders>
            <w:vAlign w:val="center"/>
          </w:tcPr>
          <w:p w:rsidR="00F26847" w:rsidRPr="00A1286A" w:rsidRDefault="00F26847" w:rsidP="00BE4EED">
            <w:pPr>
              <w:keepNext/>
              <w:spacing w:before="20" w:after="20"/>
              <w:rPr>
                <w:i/>
                <w:sz w:val="16"/>
                <w:szCs w:val="16"/>
              </w:rPr>
            </w:pPr>
            <w:r w:rsidRPr="00A1286A">
              <w:rPr>
                <w:i/>
                <w:sz w:val="16"/>
                <w:szCs w:val="16"/>
              </w:rPr>
              <w:t>78.8 passengers</w:t>
            </w:r>
          </w:p>
        </w:tc>
        <w:tc>
          <w:tcPr>
            <w:tcW w:w="1491" w:type="dxa"/>
            <w:tcBorders>
              <w:top w:val="nil"/>
              <w:left w:val="nil"/>
              <w:right w:val="nil"/>
            </w:tcBorders>
          </w:tcPr>
          <w:p w:rsidR="00F26847" w:rsidRPr="002D332F" w:rsidRDefault="00F26847" w:rsidP="00BE4EED">
            <w:pPr>
              <w:keepNext/>
              <w:spacing w:before="20" w:after="20"/>
              <w:rPr>
                <w:i/>
                <w:sz w:val="16"/>
                <w:szCs w:val="16"/>
              </w:rPr>
            </w:pPr>
            <w:r w:rsidRPr="00DB4B2D">
              <w:rPr>
                <w:sz w:val="16"/>
              </w:rPr>
              <w:t>n/a</w:t>
            </w:r>
          </w:p>
        </w:tc>
        <w:tc>
          <w:tcPr>
            <w:tcW w:w="1491" w:type="dxa"/>
            <w:tcBorders>
              <w:top w:val="nil"/>
              <w:left w:val="nil"/>
              <w:right w:val="nil"/>
            </w:tcBorders>
          </w:tcPr>
          <w:p w:rsidR="00F26847" w:rsidRPr="002D332F" w:rsidRDefault="00F26847" w:rsidP="00BE4EED">
            <w:pPr>
              <w:keepNext/>
              <w:spacing w:before="20" w:after="20"/>
              <w:rPr>
                <w:i/>
                <w:sz w:val="16"/>
                <w:szCs w:val="16"/>
              </w:rPr>
            </w:pPr>
            <w:r w:rsidRPr="00DB4B2D">
              <w:rPr>
                <w:sz w:val="16"/>
              </w:rPr>
              <w:t>n/a</w:t>
            </w:r>
          </w:p>
        </w:tc>
      </w:tr>
    </w:tbl>
    <w:p w:rsidR="00F26847" w:rsidRPr="00ED4440" w:rsidRDefault="00F26847" w:rsidP="00F26847">
      <w:pPr>
        <w:pStyle w:val="Sourceandnotes"/>
      </w:pPr>
      <w:r w:rsidRPr="00ED4440">
        <w:t>Notes:</w:t>
      </w:r>
      <w:r w:rsidRPr="00ED4440">
        <w:tab/>
        <w:t>The rating categories are: very poor, poor, satisfactory, good and excellent.</w:t>
      </w:r>
      <w:r w:rsidRPr="00ED4440">
        <w:br/>
        <w:t xml:space="preserve">For each indicator for the period specified: </w:t>
      </w:r>
      <w:r w:rsidRPr="00ED4440">
        <w:rPr>
          <w:rFonts w:cs="Arial"/>
          <w:color w:val="943634" w:themeColor="accent2" w:themeShade="BF"/>
        </w:rPr>
        <w:t>▲</w:t>
      </w:r>
      <w:r w:rsidRPr="00ED4440">
        <w:rPr>
          <w:rFonts w:cs="Arial"/>
          <w:color w:val="30108C"/>
        </w:rPr>
        <w:t xml:space="preserve"> </w:t>
      </w:r>
      <w:r w:rsidRPr="00ED4440">
        <w:t xml:space="preserve">indicates an improvement; </w:t>
      </w:r>
      <w:r w:rsidRPr="00ED4440">
        <w:rPr>
          <w:rFonts w:cs="Arial"/>
          <w:color w:val="F79646" w:themeColor="accent6"/>
        </w:rPr>
        <w:t>▼</w:t>
      </w:r>
      <w:r w:rsidRPr="00ED4440">
        <w:rPr>
          <w:rFonts w:cs="Arial"/>
          <w:color w:val="30108C"/>
        </w:rPr>
        <w:t xml:space="preserve"> </w:t>
      </w:r>
      <w:r w:rsidRPr="00ED4440">
        <w:t xml:space="preserve">indicates a decline; </w:t>
      </w:r>
      <w:r w:rsidRPr="00ED4440">
        <w:rPr>
          <w:rFonts w:cs="Arial"/>
          <w:color w:val="4BACC6" w:themeColor="accent5"/>
        </w:rPr>
        <w:t xml:space="preserve">▬ </w:t>
      </w:r>
      <w:r w:rsidRPr="00ED4440">
        <w:rPr>
          <w:rFonts w:cs="Arial"/>
          <w:color w:val="000000" w:themeColor="text1"/>
        </w:rPr>
        <w:t>indicates no change</w:t>
      </w:r>
      <w:r w:rsidRPr="00ED4440">
        <w:t>. *Rating changed by a category over the period.</w:t>
      </w:r>
    </w:p>
    <w:p w:rsidR="00F26847" w:rsidRDefault="00F26847" w:rsidP="00F26847">
      <w:pPr>
        <w:pStyle w:val="Sourceandnotes"/>
        <w:sectPr w:rsidR="00F26847" w:rsidSect="00BE4EED">
          <w:headerReference w:type="even" r:id="rId167"/>
          <w:headerReference w:type="default" r:id="rId168"/>
          <w:footnotePr>
            <w:numStart w:val="93"/>
          </w:footnotePr>
          <w:pgSz w:w="16838" w:h="11906" w:orient="landscape"/>
          <w:pgMar w:top="1332" w:right="1440" w:bottom="1332" w:left="1582" w:header="709" w:footer="709" w:gutter="0"/>
          <w:cols w:space="708"/>
          <w:docGrid w:linePitch="360"/>
        </w:sectPr>
      </w:pPr>
      <w:proofErr w:type="gramStart"/>
      <w:r>
        <w:rPr>
          <w:rFonts w:cs="Arial"/>
          <w:color w:val="000000" w:themeColor="text1"/>
        </w:rPr>
        <w:t>included</w:t>
      </w:r>
      <w:proofErr w:type="gramEnd"/>
      <w:r>
        <w:rPr>
          <w:rFonts w:cs="Arial"/>
          <w:color w:val="000000" w:themeColor="text1"/>
        </w:rPr>
        <w:t xml:space="preserve"> in average airline survey ratings elsewhere in this chapter.</w:t>
      </w:r>
    </w:p>
    <w:p w:rsidR="00F26847" w:rsidRDefault="00F26847" w:rsidP="00114E05">
      <w:pPr>
        <w:pStyle w:val="Numberedheading2"/>
      </w:pPr>
      <w:r>
        <w:lastRenderedPageBreak/>
        <w:t>Car parking services monitoring results</w:t>
      </w:r>
    </w:p>
    <w:p w:rsidR="00F26847" w:rsidRDefault="00F26847" w:rsidP="00F26847">
      <w:r w:rsidRPr="009072A2">
        <w:t xml:space="preserve">This section </w:t>
      </w:r>
      <w:r>
        <w:t xml:space="preserve">assesses Sydney </w:t>
      </w:r>
      <w:r w:rsidRPr="009072A2">
        <w:t xml:space="preserve">Airport’s </w:t>
      </w:r>
      <w:r>
        <w:t>car parking and landside services and facilities. Areas covered include activity (Section 5.4.1), car park pricing (Section 5.4.2), revenues and margins (Section 5.4.3) and quality of service outcomes (Section 5.4.4)</w:t>
      </w:r>
      <w:r w:rsidRPr="009072A2">
        <w:t>.</w:t>
      </w:r>
    </w:p>
    <w:p w:rsidR="00F26847" w:rsidRDefault="00F26847" w:rsidP="00F26847">
      <w:pPr>
        <w:pStyle w:val="Numberedheading3"/>
        <w:tabs>
          <w:tab w:val="clear" w:pos="1384"/>
          <w:tab w:val="num" w:pos="993"/>
        </w:tabs>
        <w:ind w:left="993" w:hanging="993"/>
      </w:pPr>
      <w:r>
        <w:t>Activity</w:t>
      </w:r>
    </w:p>
    <w:p w:rsidR="00F26847" w:rsidRDefault="00F26847" w:rsidP="00F26847">
      <w:r>
        <w:t>Table 5.4.1 outlines the number of car parking spaces available, and throughput of those facilities at Sydney Airport from 2004-05 to 2014-15.</w:t>
      </w:r>
    </w:p>
    <w:p w:rsidR="00F26847" w:rsidRDefault="00F26847" w:rsidP="00F26847">
      <w:r>
        <w:t xml:space="preserve">The total number of car parking spaces as Sydney Airport decreased by 2.2 per cent to 16 492 spaces during 2014-15. This decrease is related to the construction of new roads in the international and domestic precincts. Car parking spaces at T1 decreased by 4.7 per cent to 6008 car park spaces. The domestic terminal car park also decreased during 2014-15 by 1.8 per cent to 4367 spaces. </w:t>
      </w:r>
    </w:p>
    <w:p w:rsidR="00F26847" w:rsidRPr="00822EBD" w:rsidRDefault="00F26847" w:rsidP="00F26847">
      <w:r>
        <w:t>The average daily throughput of all car park facilities at Sydney Airport grew by 1.4 per cent to 12 660 cars during 2014-15. The domestic car park throughput grew by 1.8 per cent while growth at T1 was 1.1 per cent.</w:t>
      </w:r>
    </w:p>
    <w:p w:rsidR="00F26847" w:rsidRDefault="00F26847" w:rsidP="00F26847">
      <w:pPr>
        <w:pStyle w:val="Numberedheading3"/>
        <w:tabs>
          <w:tab w:val="clear" w:pos="1384"/>
          <w:tab w:val="num" w:pos="993"/>
        </w:tabs>
        <w:ind w:left="993" w:hanging="993"/>
      </w:pPr>
      <w:r>
        <w:t>Prices</w:t>
      </w:r>
    </w:p>
    <w:p w:rsidR="00F26847" w:rsidRDefault="00F26847" w:rsidP="00F26847">
      <w:r w:rsidRPr="008E16DF">
        <w:t>The following section assesses the trend in Sydney Airport’s ‘drive-up' car parking charges in real terms from 2004</w:t>
      </w:r>
      <w:r>
        <w:t>-</w:t>
      </w:r>
      <w:r w:rsidRPr="008E16DF">
        <w:t>05 to 2014</w:t>
      </w:r>
      <w:r>
        <w:t>-</w:t>
      </w:r>
      <w:r w:rsidRPr="008E16DF">
        <w:t xml:space="preserve">15. The ACCC notes that Sydney Airport also provides an online car park booking system, which provides customers with access to charges that are </w:t>
      </w:r>
      <w:r>
        <w:t xml:space="preserve">typically </w:t>
      </w:r>
      <w:r w:rsidRPr="008E16DF">
        <w:t xml:space="preserve">at a discount to the ‘drive up’ charges. </w:t>
      </w:r>
      <w:r>
        <w:t xml:space="preserve">The </w:t>
      </w:r>
      <w:r w:rsidRPr="008E16DF">
        <w:t>ACCC has compared ‘drive-up’, and the average charges that customers pa</w:t>
      </w:r>
      <w:r>
        <w:t>i</w:t>
      </w:r>
      <w:r w:rsidRPr="008E16DF">
        <w:t>d at Sydney Airport’s car parking facilities for selected price points for 2014</w:t>
      </w:r>
      <w:r>
        <w:t>-</w:t>
      </w:r>
      <w:r w:rsidRPr="008E16DF">
        <w:t>15. While online take</w:t>
      </w:r>
      <w:r>
        <w:t>-</w:t>
      </w:r>
      <w:r w:rsidRPr="008E16DF">
        <w:t>up rates appear to be increasing at Sydney Airport, the majority of car parking revenue is still sourced from customers paying ‘drive-up’ rates.</w:t>
      </w:r>
    </w:p>
    <w:p w:rsidR="00F26847" w:rsidRPr="00EC4921" w:rsidRDefault="00F26847" w:rsidP="00F26847">
      <w:pPr>
        <w:keepNext/>
        <w:spacing w:after="200" w:line="276" w:lineRule="auto"/>
        <w:outlineLvl w:val="4"/>
        <w:rPr>
          <w:rFonts w:eastAsiaTheme="majorEastAsia" w:cstheme="majorBidi"/>
          <w:b/>
          <w:bCs/>
          <w:i/>
          <w:color w:val="51626F"/>
          <w:sz w:val="24"/>
          <w:szCs w:val="28"/>
        </w:rPr>
      </w:pPr>
      <w:r w:rsidRPr="00EC4921">
        <w:rPr>
          <w:rFonts w:eastAsiaTheme="majorEastAsia" w:cstheme="majorBidi"/>
          <w:b/>
          <w:bCs/>
          <w:i/>
          <w:color w:val="51626F"/>
          <w:sz w:val="24"/>
          <w:szCs w:val="28"/>
        </w:rPr>
        <w:t>International terminal – short-term parking</w:t>
      </w:r>
    </w:p>
    <w:p w:rsidR="00F26847" w:rsidRDefault="00F26847" w:rsidP="00F26847">
      <w:pPr>
        <w:sectPr w:rsidR="00F26847" w:rsidSect="00BE4EED">
          <w:headerReference w:type="even" r:id="rId169"/>
          <w:headerReference w:type="default" r:id="rId170"/>
          <w:footnotePr>
            <w:numStart w:val="93"/>
          </w:footnotePr>
          <w:pgSz w:w="11906" w:h="16838"/>
          <w:pgMar w:top="1440" w:right="1729" w:bottom="1582" w:left="1729" w:header="709" w:footer="709" w:gutter="0"/>
          <w:cols w:space="708"/>
          <w:docGrid w:linePitch="360"/>
        </w:sectPr>
      </w:pPr>
      <w:r w:rsidRPr="00EC4921">
        <w:t>Chart 5.4.1 shows real prices for Sydney Airport’s international terminal car park increased for all of its short term parking charges displayed apart for one hour as at 30 June 2015. The largest increase occurred for the three hour charge, increasing by 1.4 per cent in real terms during 2014-15. The one hour charge decreased by 1.7 per cent in real terms and was unchanged in nominal terms.</w:t>
      </w:r>
    </w:p>
    <w:p w:rsidR="00F26847" w:rsidRPr="00EC4921" w:rsidRDefault="00F26847" w:rsidP="00F26847">
      <w:pPr>
        <w:keepNext/>
        <w:spacing w:before="240" w:after="200" w:line="276" w:lineRule="auto"/>
        <w:ind w:left="1440" w:hanging="1440"/>
        <w:outlineLvl w:val="3"/>
        <w:rPr>
          <w:b/>
          <w:color w:val="51626F"/>
        </w:rPr>
      </w:pPr>
      <w:r w:rsidRPr="00EC4921">
        <w:rPr>
          <w:b/>
          <w:color w:val="51626F"/>
        </w:rPr>
        <w:lastRenderedPageBreak/>
        <w:t>Table 5.4.1:</w:t>
      </w:r>
      <w:r w:rsidRPr="00EC4921">
        <w:rPr>
          <w:b/>
          <w:color w:val="51626F"/>
        </w:rPr>
        <w:tab/>
        <w:t>Sydney Airport—number of car park spaces and average daily throughput: 2004-05 to 2014-15</w:t>
      </w:r>
    </w:p>
    <w:tbl>
      <w:tblPr>
        <w:tblStyle w:val="TableGrid6"/>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F26847" w:rsidRPr="00EC4921" w:rsidTr="00BE4EED">
        <w:tc>
          <w:tcPr>
            <w:tcW w:w="1214" w:type="dxa"/>
            <w:tcBorders>
              <w:left w:val="nil"/>
              <w:bottom w:val="single" w:sz="4" w:space="0" w:color="auto"/>
              <w:right w:val="nil"/>
            </w:tcBorders>
            <w:shd w:val="clear" w:color="auto" w:fill="DFE0DC"/>
          </w:tcPr>
          <w:p w:rsidR="00F26847" w:rsidRPr="00EC4921" w:rsidRDefault="00F26847" w:rsidP="00BE4EED">
            <w:pPr>
              <w:spacing w:before="40" w:after="40"/>
              <w:rPr>
                <w:sz w:val="18"/>
              </w:rPr>
            </w:pPr>
          </w:p>
        </w:tc>
        <w:tc>
          <w:tcPr>
            <w:tcW w:w="2296" w:type="dxa"/>
            <w:tcBorders>
              <w:left w:val="nil"/>
              <w:bottom w:val="single" w:sz="4" w:space="0" w:color="auto"/>
              <w:right w:val="nil"/>
            </w:tcBorders>
            <w:shd w:val="clear" w:color="auto" w:fill="DFE0DC"/>
          </w:tcPr>
          <w:p w:rsidR="00F26847" w:rsidRPr="00EC4921" w:rsidRDefault="00F26847" w:rsidP="00BE4EED">
            <w:pPr>
              <w:spacing w:before="40" w:after="40"/>
              <w:rPr>
                <w:sz w:val="18"/>
              </w:rPr>
            </w:pPr>
          </w:p>
        </w:tc>
        <w:tc>
          <w:tcPr>
            <w:tcW w:w="956"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2004-05</w:t>
            </w:r>
          </w:p>
        </w:tc>
        <w:tc>
          <w:tcPr>
            <w:tcW w:w="957"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2005-06</w:t>
            </w:r>
          </w:p>
        </w:tc>
        <w:tc>
          <w:tcPr>
            <w:tcW w:w="956"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2006-07</w:t>
            </w:r>
          </w:p>
        </w:tc>
        <w:tc>
          <w:tcPr>
            <w:tcW w:w="957"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2007-08</w:t>
            </w:r>
          </w:p>
        </w:tc>
        <w:tc>
          <w:tcPr>
            <w:tcW w:w="956"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2008-09</w:t>
            </w:r>
          </w:p>
        </w:tc>
        <w:tc>
          <w:tcPr>
            <w:tcW w:w="957"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2009-10</w:t>
            </w:r>
          </w:p>
        </w:tc>
        <w:tc>
          <w:tcPr>
            <w:tcW w:w="956"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2010-11</w:t>
            </w:r>
          </w:p>
        </w:tc>
        <w:tc>
          <w:tcPr>
            <w:tcW w:w="957"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2011-12</w:t>
            </w:r>
          </w:p>
        </w:tc>
        <w:tc>
          <w:tcPr>
            <w:tcW w:w="956"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2012-13</w:t>
            </w:r>
          </w:p>
        </w:tc>
        <w:tc>
          <w:tcPr>
            <w:tcW w:w="957"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2013-14</w:t>
            </w:r>
          </w:p>
        </w:tc>
        <w:tc>
          <w:tcPr>
            <w:tcW w:w="957"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2014-15</w:t>
            </w:r>
          </w:p>
        </w:tc>
      </w:tr>
      <w:tr w:rsidR="00F26847" w:rsidRPr="00EC4921" w:rsidTr="00BE4EED">
        <w:tc>
          <w:tcPr>
            <w:tcW w:w="1214" w:type="dxa"/>
            <w:vMerge w:val="restart"/>
            <w:tcBorders>
              <w:left w:val="nil"/>
              <w:right w:val="nil"/>
            </w:tcBorders>
            <w:vAlign w:val="center"/>
          </w:tcPr>
          <w:p w:rsidR="00F26847" w:rsidRPr="00EC4921" w:rsidRDefault="00F26847" w:rsidP="00BE4EED">
            <w:pPr>
              <w:keepNext/>
              <w:spacing w:before="40" w:after="40"/>
              <w:jc w:val="center"/>
              <w:rPr>
                <w:b/>
                <w:color w:val="000000" w:themeColor="text1"/>
                <w:sz w:val="18"/>
              </w:rPr>
            </w:pPr>
            <w:r w:rsidRPr="00EC4921">
              <w:rPr>
                <w:b/>
                <w:color w:val="000000" w:themeColor="text1"/>
                <w:sz w:val="18"/>
              </w:rPr>
              <w:t>Number of car park spaces</w:t>
            </w:r>
          </w:p>
        </w:tc>
        <w:tc>
          <w:tcPr>
            <w:tcW w:w="2296" w:type="dxa"/>
            <w:tcBorders>
              <w:left w:val="nil"/>
              <w:right w:val="nil"/>
            </w:tcBorders>
          </w:tcPr>
          <w:p w:rsidR="00F26847" w:rsidRPr="00EC4921" w:rsidRDefault="00F26847" w:rsidP="00BE4EED">
            <w:pPr>
              <w:spacing w:before="40" w:after="40"/>
              <w:rPr>
                <w:sz w:val="18"/>
              </w:rPr>
            </w:pPr>
            <w:r w:rsidRPr="00EC4921">
              <w:rPr>
                <w:sz w:val="18"/>
              </w:rPr>
              <w:t>Domestic terminal</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3 045</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3 420</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3 662</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3 662</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3 688</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 xml:space="preserve"> 3 458</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3 244</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3 207</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3 599</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4 446</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4 367</w:t>
            </w:r>
          </w:p>
        </w:tc>
      </w:tr>
      <w:tr w:rsidR="00F26847" w:rsidRPr="00EC4921" w:rsidTr="00BE4EED">
        <w:tc>
          <w:tcPr>
            <w:tcW w:w="1214" w:type="dxa"/>
            <w:vMerge/>
            <w:tcBorders>
              <w:left w:val="nil"/>
              <w:right w:val="nil"/>
            </w:tcBorders>
            <w:vAlign w:val="center"/>
          </w:tcPr>
          <w:p w:rsidR="00F26847" w:rsidRPr="00EC4921" w:rsidRDefault="00F26847" w:rsidP="00BE4EED">
            <w:pPr>
              <w:keepNext/>
              <w:spacing w:before="40" w:after="40"/>
              <w:jc w:val="center"/>
              <w:rPr>
                <w:b/>
                <w:color w:val="000000" w:themeColor="text1"/>
                <w:sz w:val="18"/>
              </w:rPr>
            </w:pPr>
          </w:p>
        </w:tc>
        <w:tc>
          <w:tcPr>
            <w:tcW w:w="2296" w:type="dxa"/>
            <w:tcBorders>
              <w:left w:val="nil"/>
              <w:right w:val="nil"/>
            </w:tcBorders>
          </w:tcPr>
          <w:p w:rsidR="00F26847" w:rsidRPr="00EC4921" w:rsidRDefault="00F26847" w:rsidP="00BE4EED">
            <w:pPr>
              <w:spacing w:before="40" w:after="40"/>
              <w:rPr>
                <w:sz w:val="18"/>
              </w:rPr>
            </w:pPr>
            <w:r w:rsidRPr="00EC4921">
              <w:rPr>
                <w:sz w:val="18"/>
              </w:rPr>
              <w:t>International terminal</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1 560</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1 817</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1 374</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1 356</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2 234</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2 170</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2 306</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1 882</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3 257</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6 301</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6 008</w:t>
            </w:r>
          </w:p>
        </w:tc>
      </w:tr>
      <w:tr w:rsidR="00F26847" w:rsidRPr="00EC4921" w:rsidTr="00BE4EED">
        <w:tc>
          <w:tcPr>
            <w:tcW w:w="1214" w:type="dxa"/>
            <w:vMerge/>
            <w:tcBorders>
              <w:left w:val="nil"/>
              <w:right w:val="nil"/>
            </w:tcBorders>
            <w:vAlign w:val="center"/>
          </w:tcPr>
          <w:p w:rsidR="00F26847" w:rsidRPr="00EC4921" w:rsidRDefault="00F26847" w:rsidP="00BE4EED">
            <w:pPr>
              <w:keepNext/>
              <w:spacing w:before="40" w:after="40"/>
              <w:jc w:val="center"/>
              <w:rPr>
                <w:b/>
                <w:color w:val="000000" w:themeColor="text1"/>
                <w:sz w:val="18"/>
              </w:rPr>
            </w:pPr>
          </w:p>
        </w:tc>
        <w:tc>
          <w:tcPr>
            <w:tcW w:w="2296" w:type="dxa"/>
            <w:tcBorders>
              <w:left w:val="nil"/>
              <w:right w:val="nil"/>
            </w:tcBorders>
          </w:tcPr>
          <w:p w:rsidR="00F26847" w:rsidRPr="00EC4921" w:rsidRDefault="00F26847" w:rsidP="00BE4EED">
            <w:pPr>
              <w:spacing w:before="40" w:after="40"/>
              <w:rPr>
                <w:sz w:val="18"/>
              </w:rPr>
            </w:pPr>
            <w:r w:rsidRPr="00EC4921">
              <w:rPr>
                <w:sz w:val="18"/>
              </w:rPr>
              <w:t>Long-term (Blu Emu)</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4 361</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4 593</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4 577</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4 577</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4 577</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4 194</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4 307</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5 694</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5 817</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6 117</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6 117</w:t>
            </w:r>
          </w:p>
        </w:tc>
      </w:tr>
      <w:tr w:rsidR="00F26847" w:rsidRPr="00EC4921" w:rsidTr="00BE4EED">
        <w:tc>
          <w:tcPr>
            <w:tcW w:w="1214" w:type="dxa"/>
            <w:vMerge/>
            <w:tcBorders>
              <w:left w:val="nil"/>
              <w:right w:val="nil"/>
            </w:tcBorders>
            <w:vAlign w:val="center"/>
          </w:tcPr>
          <w:p w:rsidR="00F26847" w:rsidRPr="00EC4921" w:rsidRDefault="00F26847" w:rsidP="00BE4EED">
            <w:pPr>
              <w:keepNext/>
              <w:spacing w:before="40" w:after="40"/>
              <w:jc w:val="center"/>
              <w:rPr>
                <w:b/>
                <w:color w:val="000000" w:themeColor="text1"/>
                <w:sz w:val="18"/>
              </w:rPr>
            </w:pPr>
          </w:p>
        </w:tc>
        <w:tc>
          <w:tcPr>
            <w:tcW w:w="2296" w:type="dxa"/>
            <w:tcBorders>
              <w:left w:val="nil"/>
              <w:right w:val="nil"/>
            </w:tcBorders>
          </w:tcPr>
          <w:p w:rsidR="00F26847" w:rsidRPr="00EC4921" w:rsidRDefault="00F26847" w:rsidP="00BE4EED">
            <w:pPr>
              <w:spacing w:before="40" w:after="40"/>
              <w:rPr>
                <w:sz w:val="18"/>
              </w:rPr>
            </w:pPr>
            <w:r w:rsidRPr="00EC4921">
              <w:rPr>
                <w:sz w:val="18"/>
              </w:rPr>
              <w:t>Staff</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1 202</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1 256</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1 256</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1 256</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1 911</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2 326</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2 414</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2 333</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3 149</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NA</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NA</w:t>
            </w:r>
          </w:p>
        </w:tc>
      </w:tr>
      <w:tr w:rsidR="00F26847" w:rsidRPr="00EC4921" w:rsidTr="00BE4EED">
        <w:tc>
          <w:tcPr>
            <w:tcW w:w="1214" w:type="dxa"/>
            <w:vMerge/>
            <w:tcBorders>
              <w:left w:val="nil"/>
              <w:bottom w:val="single" w:sz="4" w:space="0" w:color="auto"/>
              <w:right w:val="nil"/>
            </w:tcBorders>
            <w:vAlign w:val="center"/>
          </w:tcPr>
          <w:p w:rsidR="00F26847" w:rsidRPr="00EC4921" w:rsidRDefault="00F26847" w:rsidP="00BE4EED">
            <w:pPr>
              <w:keepNext/>
              <w:spacing w:before="40" w:after="40"/>
              <w:jc w:val="center"/>
              <w:rPr>
                <w:b/>
                <w:color w:val="000000" w:themeColor="text1"/>
                <w:sz w:val="18"/>
              </w:rPr>
            </w:pPr>
          </w:p>
        </w:tc>
        <w:tc>
          <w:tcPr>
            <w:tcW w:w="2296" w:type="dxa"/>
            <w:tcBorders>
              <w:left w:val="nil"/>
              <w:bottom w:val="single" w:sz="4" w:space="0" w:color="auto"/>
              <w:right w:val="nil"/>
            </w:tcBorders>
          </w:tcPr>
          <w:p w:rsidR="00F26847" w:rsidRPr="00EC4921" w:rsidRDefault="00F26847" w:rsidP="00BE4EED">
            <w:pPr>
              <w:keepNext/>
              <w:spacing w:before="40" w:after="40"/>
              <w:rPr>
                <w:b/>
                <w:color w:val="000000" w:themeColor="text1"/>
                <w:sz w:val="18"/>
              </w:rPr>
            </w:pPr>
            <w:r w:rsidRPr="00EC4921">
              <w:rPr>
                <w:b/>
                <w:color w:val="000000" w:themeColor="text1"/>
                <w:sz w:val="18"/>
              </w:rPr>
              <w:t>Total airport</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10 168</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11 086</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10 869</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10 851</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12 410</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12 148</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12 325</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13 116</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15 822</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16 864</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16 492</w:t>
            </w:r>
          </w:p>
        </w:tc>
      </w:tr>
    </w:tbl>
    <w:p w:rsidR="00F26847" w:rsidRDefault="00F26847" w:rsidP="00F26847">
      <w:pPr>
        <w:keepNext/>
        <w:spacing w:before="40" w:after="40"/>
        <w:jc w:val="center"/>
        <w:rPr>
          <w:b/>
          <w:color w:val="000000" w:themeColor="text1"/>
          <w:sz w:val="18"/>
        </w:rPr>
        <w:sectPr w:rsidR="00F26847" w:rsidSect="00BE4EED">
          <w:headerReference w:type="even" r:id="rId171"/>
          <w:headerReference w:type="default" r:id="rId172"/>
          <w:footnotePr>
            <w:numStart w:val="93"/>
          </w:footnotePr>
          <w:pgSz w:w="16838" w:h="11906" w:orient="landscape"/>
          <w:pgMar w:top="1729" w:right="1440" w:bottom="1729" w:left="1582" w:header="709" w:footer="709" w:gutter="0"/>
          <w:cols w:space="708"/>
          <w:docGrid w:linePitch="360"/>
        </w:sectPr>
      </w:pPr>
    </w:p>
    <w:p w:rsidR="00AD0BA6" w:rsidRDefault="00AD0BA6" w:rsidP="00BE4EED">
      <w:pPr>
        <w:keepNext/>
        <w:spacing w:before="40" w:after="40"/>
        <w:jc w:val="center"/>
        <w:rPr>
          <w:b/>
          <w:color w:val="000000" w:themeColor="text1"/>
          <w:sz w:val="18"/>
        </w:rPr>
        <w:sectPr w:rsidR="00AD0BA6" w:rsidSect="00BE4EED">
          <w:footnotePr>
            <w:numStart w:val="93"/>
          </w:footnotePr>
          <w:type w:val="continuous"/>
          <w:pgSz w:w="16838" w:h="11906" w:orient="landscape"/>
          <w:pgMar w:top="1729" w:right="1440" w:bottom="1729" w:left="1582" w:header="709" w:footer="709" w:gutter="0"/>
          <w:cols w:space="708"/>
          <w:docGrid w:linePitch="360"/>
        </w:sectPr>
      </w:pPr>
    </w:p>
    <w:p w:rsidR="00AD0BA6" w:rsidRDefault="00AD0BA6" w:rsidP="00BE4EED">
      <w:pPr>
        <w:keepNext/>
        <w:spacing w:before="40" w:after="40"/>
        <w:jc w:val="center"/>
        <w:rPr>
          <w:b/>
          <w:color w:val="000000" w:themeColor="text1"/>
          <w:sz w:val="18"/>
        </w:rPr>
        <w:sectPr w:rsidR="00AD0BA6" w:rsidSect="00BE4EED">
          <w:footnotePr>
            <w:numStart w:val="93"/>
          </w:footnotePr>
          <w:type w:val="continuous"/>
          <w:pgSz w:w="16838" w:h="11906" w:orient="landscape"/>
          <w:pgMar w:top="1729" w:right="1440" w:bottom="1729" w:left="1582" w:header="709" w:footer="709" w:gutter="0"/>
          <w:cols w:space="708"/>
          <w:docGrid w:linePitch="360"/>
        </w:sectPr>
      </w:pPr>
    </w:p>
    <w:tbl>
      <w:tblPr>
        <w:tblStyle w:val="TableGrid6"/>
        <w:tblW w:w="0" w:type="auto"/>
        <w:tblLayout w:type="fixed"/>
        <w:tblLook w:val="04A0" w:firstRow="1" w:lastRow="0" w:firstColumn="1" w:lastColumn="0" w:noHBand="0" w:noVBand="1"/>
      </w:tblPr>
      <w:tblGrid>
        <w:gridCol w:w="1214"/>
        <w:gridCol w:w="2296"/>
        <w:gridCol w:w="956"/>
        <w:gridCol w:w="957"/>
        <w:gridCol w:w="956"/>
        <w:gridCol w:w="957"/>
        <w:gridCol w:w="956"/>
        <w:gridCol w:w="957"/>
        <w:gridCol w:w="956"/>
        <w:gridCol w:w="957"/>
        <w:gridCol w:w="956"/>
        <w:gridCol w:w="957"/>
        <w:gridCol w:w="957"/>
      </w:tblGrid>
      <w:tr w:rsidR="00F26847" w:rsidRPr="00EC4921" w:rsidTr="00BE4EED">
        <w:tc>
          <w:tcPr>
            <w:tcW w:w="1214" w:type="dxa"/>
            <w:vMerge w:val="restart"/>
            <w:tcBorders>
              <w:top w:val="nil"/>
              <w:left w:val="nil"/>
              <w:right w:val="nil"/>
            </w:tcBorders>
            <w:vAlign w:val="center"/>
          </w:tcPr>
          <w:p w:rsidR="00F26847" w:rsidRPr="00EC4921" w:rsidRDefault="00F26847" w:rsidP="00BE4EED">
            <w:pPr>
              <w:keepNext/>
              <w:spacing w:before="40" w:after="40"/>
              <w:jc w:val="center"/>
              <w:rPr>
                <w:b/>
                <w:color w:val="000000" w:themeColor="text1"/>
                <w:sz w:val="18"/>
              </w:rPr>
            </w:pPr>
            <w:r w:rsidRPr="00EC4921">
              <w:rPr>
                <w:b/>
                <w:color w:val="000000" w:themeColor="text1"/>
                <w:sz w:val="18"/>
              </w:rPr>
              <w:lastRenderedPageBreak/>
              <w:t>Annual throughput of car park facilities (thousand)</w:t>
            </w:r>
            <w:r w:rsidRPr="00EC4921">
              <w:rPr>
                <w:b/>
                <w:color w:val="000000" w:themeColor="text1"/>
                <w:sz w:val="18"/>
                <w:vertAlign w:val="superscript"/>
              </w:rPr>
              <w:footnoteReference w:id="130"/>
            </w:r>
          </w:p>
        </w:tc>
        <w:tc>
          <w:tcPr>
            <w:tcW w:w="2296" w:type="dxa"/>
            <w:tcBorders>
              <w:top w:val="nil"/>
              <w:left w:val="nil"/>
              <w:right w:val="nil"/>
            </w:tcBorders>
          </w:tcPr>
          <w:p w:rsidR="00F26847" w:rsidRPr="00EC4921" w:rsidRDefault="00F26847" w:rsidP="00BE4EED">
            <w:pPr>
              <w:spacing w:before="40" w:after="40"/>
              <w:rPr>
                <w:sz w:val="18"/>
              </w:rPr>
            </w:pPr>
            <w:r w:rsidRPr="00EC4921">
              <w:rPr>
                <w:sz w:val="18"/>
              </w:rPr>
              <w:t>Domestic terminal</w:t>
            </w:r>
          </w:p>
        </w:tc>
        <w:tc>
          <w:tcPr>
            <w:tcW w:w="956"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1 165</w:t>
            </w:r>
          </w:p>
        </w:tc>
        <w:tc>
          <w:tcPr>
            <w:tcW w:w="957"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1 156</w:t>
            </w:r>
          </w:p>
        </w:tc>
        <w:tc>
          <w:tcPr>
            <w:tcW w:w="956"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1 195</w:t>
            </w:r>
          </w:p>
        </w:tc>
        <w:tc>
          <w:tcPr>
            <w:tcW w:w="957"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1 203</w:t>
            </w:r>
          </w:p>
        </w:tc>
        <w:tc>
          <w:tcPr>
            <w:tcW w:w="956"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1 128</w:t>
            </w:r>
          </w:p>
        </w:tc>
        <w:tc>
          <w:tcPr>
            <w:tcW w:w="957"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1 146</w:t>
            </w:r>
          </w:p>
        </w:tc>
        <w:tc>
          <w:tcPr>
            <w:tcW w:w="956"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1 561</w:t>
            </w:r>
          </w:p>
        </w:tc>
        <w:tc>
          <w:tcPr>
            <w:tcW w:w="957"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1 513</w:t>
            </w:r>
          </w:p>
        </w:tc>
        <w:tc>
          <w:tcPr>
            <w:tcW w:w="956"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1 548</w:t>
            </w:r>
          </w:p>
        </w:tc>
        <w:tc>
          <w:tcPr>
            <w:tcW w:w="957"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1 926</w:t>
            </w:r>
          </w:p>
        </w:tc>
        <w:tc>
          <w:tcPr>
            <w:tcW w:w="957" w:type="dxa"/>
            <w:tcBorders>
              <w:top w:val="nil"/>
              <w:left w:val="nil"/>
              <w:right w:val="nil"/>
            </w:tcBorders>
            <w:vAlign w:val="bottom"/>
          </w:tcPr>
          <w:p w:rsidR="00F26847" w:rsidRPr="00EC4921" w:rsidRDefault="00F26847" w:rsidP="00BE4EED">
            <w:pPr>
              <w:spacing w:before="40" w:after="40"/>
              <w:jc w:val="right"/>
              <w:rPr>
                <w:sz w:val="18"/>
              </w:rPr>
            </w:pPr>
            <w:r w:rsidRPr="00EC4921">
              <w:rPr>
                <w:sz w:val="18"/>
              </w:rPr>
              <w:t>1 960</w:t>
            </w:r>
          </w:p>
        </w:tc>
      </w:tr>
      <w:tr w:rsidR="00F26847" w:rsidRPr="00EC4921" w:rsidTr="00BE4EED">
        <w:tc>
          <w:tcPr>
            <w:tcW w:w="1214" w:type="dxa"/>
            <w:vMerge/>
            <w:tcBorders>
              <w:left w:val="nil"/>
              <w:right w:val="nil"/>
            </w:tcBorders>
            <w:vAlign w:val="center"/>
          </w:tcPr>
          <w:p w:rsidR="00F26847" w:rsidRPr="00EC4921" w:rsidRDefault="00F26847" w:rsidP="00BE4EED">
            <w:pPr>
              <w:keepNext/>
              <w:spacing w:before="40" w:after="40"/>
              <w:jc w:val="center"/>
              <w:rPr>
                <w:b/>
                <w:color w:val="000000" w:themeColor="text1"/>
                <w:sz w:val="18"/>
              </w:rPr>
            </w:pPr>
          </w:p>
        </w:tc>
        <w:tc>
          <w:tcPr>
            <w:tcW w:w="2296" w:type="dxa"/>
            <w:tcBorders>
              <w:left w:val="nil"/>
              <w:right w:val="nil"/>
            </w:tcBorders>
          </w:tcPr>
          <w:p w:rsidR="00F26847" w:rsidRPr="00EC4921" w:rsidRDefault="00F26847" w:rsidP="00BE4EED">
            <w:pPr>
              <w:spacing w:before="40" w:after="40"/>
              <w:rPr>
                <w:sz w:val="18"/>
              </w:rPr>
            </w:pPr>
            <w:r w:rsidRPr="00EC4921">
              <w:rPr>
                <w:sz w:val="18"/>
              </w:rPr>
              <w:t>International terminal</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1 659</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1 629</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1 626</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 xml:space="preserve"> 1 665</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1 648</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1 761</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1 888</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1 983</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2 179</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2 388</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2 414</w:t>
            </w:r>
          </w:p>
        </w:tc>
      </w:tr>
      <w:tr w:rsidR="00F26847" w:rsidRPr="00EC4921" w:rsidTr="00BE4EED">
        <w:tc>
          <w:tcPr>
            <w:tcW w:w="1214" w:type="dxa"/>
            <w:vMerge/>
            <w:tcBorders>
              <w:left w:val="nil"/>
              <w:right w:val="nil"/>
            </w:tcBorders>
            <w:vAlign w:val="center"/>
          </w:tcPr>
          <w:p w:rsidR="00F26847" w:rsidRPr="00EC4921" w:rsidRDefault="00F26847" w:rsidP="00BE4EED">
            <w:pPr>
              <w:keepNext/>
              <w:spacing w:before="40" w:after="40"/>
              <w:jc w:val="center"/>
              <w:rPr>
                <w:b/>
                <w:color w:val="000000" w:themeColor="text1"/>
                <w:sz w:val="18"/>
              </w:rPr>
            </w:pPr>
          </w:p>
        </w:tc>
        <w:tc>
          <w:tcPr>
            <w:tcW w:w="2296" w:type="dxa"/>
            <w:tcBorders>
              <w:left w:val="nil"/>
              <w:right w:val="nil"/>
            </w:tcBorders>
          </w:tcPr>
          <w:p w:rsidR="00F26847" w:rsidRPr="00EC4921" w:rsidRDefault="00F26847" w:rsidP="00BE4EED">
            <w:pPr>
              <w:spacing w:before="40" w:after="40"/>
              <w:rPr>
                <w:sz w:val="18"/>
              </w:rPr>
            </w:pPr>
            <w:r w:rsidRPr="00EC4921">
              <w:rPr>
                <w:sz w:val="18"/>
              </w:rPr>
              <w:t>Long-term (Blu Emu)</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169</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169</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180</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218</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212</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229</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232</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228</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246</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240</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246</w:t>
            </w:r>
          </w:p>
        </w:tc>
      </w:tr>
      <w:tr w:rsidR="00F26847" w:rsidRPr="00EC4921" w:rsidTr="00BE4EED">
        <w:tc>
          <w:tcPr>
            <w:tcW w:w="1214" w:type="dxa"/>
            <w:vMerge/>
            <w:tcBorders>
              <w:left w:val="nil"/>
              <w:bottom w:val="single" w:sz="4" w:space="0" w:color="auto"/>
              <w:right w:val="nil"/>
            </w:tcBorders>
            <w:vAlign w:val="center"/>
          </w:tcPr>
          <w:p w:rsidR="00F26847" w:rsidRPr="00EC4921" w:rsidRDefault="00F26847" w:rsidP="00BE4EED">
            <w:pPr>
              <w:keepNext/>
              <w:spacing w:before="40" w:after="40"/>
              <w:jc w:val="center"/>
              <w:rPr>
                <w:b/>
                <w:color w:val="000000" w:themeColor="text1"/>
                <w:sz w:val="18"/>
              </w:rPr>
            </w:pPr>
          </w:p>
        </w:tc>
        <w:tc>
          <w:tcPr>
            <w:tcW w:w="2296" w:type="dxa"/>
            <w:tcBorders>
              <w:left w:val="nil"/>
              <w:bottom w:val="single" w:sz="4" w:space="0" w:color="auto"/>
              <w:right w:val="nil"/>
            </w:tcBorders>
          </w:tcPr>
          <w:p w:rsidR="00F26847" w:rsidRPr="00EC4921" w:rsidRDefault="00F26847" w:rsidP="00BE4EED">
            <w:pPr>
              <w:keepNext/>
              <w:spacing w:before="40" w:after="40"/>
              <w:rPr>
                <w:b/>
                <w:color w:val="000000" w:themeColor="text1"/>
                <w:sz w:val="18"/>
              </w:rPr>
            </w:pPr>
            <w:r w:rsidRPr="00EC4921">
              <w:rPr>
                <w:b/>
                <w:color w:val="000000" w:themeColor="text1"/>
                <w:sz w:val="18"/>
              </w:rPr>
              <w:t>Total airport</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2 993</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2 954</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3 001</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3 085</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2 988</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3 136</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3 680</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3 724</w:t>
            </w:r>
          </w:p>
        </w:tc>
        <w:tc>
          <w:tcPr>
            <w:tcW w:w="956"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3 972</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4 555</w:t>
            </w:r>
          </w:p>
        </w:tc>
        <w:tc>
          <w:tcPr>
            <w:tcW w:w="957" w:type="dxa"/>
            <w:tcBorders>
              <w:left w:val="nil"/>
              <w:bottom w:val="single" w:sz="4" w:space="0" w:color="auto"/>
              <w:right w:val="nil"/>
            </w:tcBorders>
            <w:vAlign w:val="bottom"/>
          </w:tcPr>
          <w:p w:rsidR="00F26847" w:rsidRPr="00EC4921" w:rsidRDefault="00F26847" w:rsidP="00BE4EED">
            <w:pPr>
              <w:spacing w:before="40" w:after="40"/>
              <w:jc w:val="right"/>
              <w:rPr>
                <w:b/>
                <w:sz w:val="18"/>
              </w:rPr>
            </w:pPr>
            <w:r w:rsidRPr="00EC4921">
              <w:rPr>
                <w:b/>
                <w:sz w:val="18"/>
              </w:rPr>
              <w:t>4 621</w:t>
            </w:r>
          </w:p>
        </w:tc>
      </w:tr>
      <w:tr w:rsidR="00F26847" w:rsidRPr="00EC4921" w:rsidTr="00BE4EED">
        <w:tc>
          <w:tcPr>
            <w:tcW w:w="1214" w:type="dxa"/>
            <w:vMerge w:val="restart"/>
            <w:tcBorders>
              <w:left w:val="nil"/>
              <w:right w:val="nil"/>
            </w:tcBorders>
            <w:vAlign w:val="center"/>
          </w:tcPr>
          <w:p w:rsidR="00F26847" w:rsidRPr="00EC4921" w:rsidRDefault="00F26847" w:rsidP="00BE4EED">
            <w:pPr>
              <w:keepNext/>
              <w:spacing w:before="40" w:after="40"/>
              <w:jc w:val="center"/>
              <w:rPr>
                <w:b/>
                <w:color w:val="000000" w:themeColor="text1"/>
                <w:sz w:val="18"/>
              </w:rPr>
            </w:pPr>
            <w:r w:rsidRPr="00EC4921">
              <w:rPr>
                <w:b/>
                <w:color w:val="000000" w:themeColor="text1"/>
                <w:sz w:val="18"/>
              </w:rPr>
              <w:t>Average daily throughput of car park facilities</w:t>
            </w:r>
          </w:p>
        </w:tc>
        <w:tc>
          <w:tcPr>
            <w:tcW w:w="2296" w:type="dxa"/>
            <w:tcBorders>
              <w:left w:val="nil"/>
              <w:right w:val="nil"/>
            </w:tcBorders>
          </w:tcPr>
          <w:p w:rsidR="00F26847" w:rsidRPr="00EC4921" w:rsidRDefault="00F26847" w:rsidP="00BE4EED">
            <w:pPr>
              <w:spacing w:before="40" w:after="40"/>
              <w:rPr>
                <w:sz w:val="18"/>
              </w:rPr>
            </w:pPr>
            <w:r w:rsidRPr="00EC4921">
              <w:rPr>
                <w:sz w:val="18"/>
              </w:rPr>
              <w:t>Domestic terminal</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3 191</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3 168</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3 273</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3 286</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3 091</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3 139</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4 278</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4 133</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4 240</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5 277</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5 370</w:t>
            </w:r>
          </w:p>
        </w:tc>
      </w:tr>
      <w:tr w:rsidR="00F26847" w:rsidRPr="00EC4921" w:rsidTr="00BE4EED">
        <w:tc>
          <w:tcPr>
            <w:tcW w:w="1214" w:type="dxa"/>
            <w:vMerge/>
            <w:tcBorders>
              <w:left w:val="nil"/>
              <w:right w:val="nil"/>
            </w:tcBorders>
          </w:tcPr>
          <w:p w:rsidR="00F26847" w:rsidRPr="00EC4921" w:rsidRDefault="00F26847" w:rsidP="00BE4EED">
            <w:pPr>
              <w:keepNext/>
              <w:spacing w:before="40" w:after="40"/>
              <w:rPr>
                <w:b/>
                <w:color w:val="000000" w:themeColor="text1"/>
                <w:sz w:val="18"/>
              </w:rPr>
            </w:pPr>
          </w:p>
        </w:tc>
        <w:tc>
          <w:tcPr>
            <w:tcW w:w="2296" w:type="dxa"/>
            <w:tcBorders>
              <w:left w:val="nil"/>
              <w:right w:val="nil"/>
            </w:tcBorders>
          </w:tcPr>
          <w:p w:rsidR="00F26847" w:rsidRPr="00EC4921" w:rsidRDefault="00F26847" w:rsidP="00BE4EED">
            <w:pPr>
              <w:spacing w:before="40" w:after="40"/>
              <w:rPr>
                <w:sz w:val="18"/>
              </w:rPr>
            </w:pPr>
            <w:r w:rsidRPr="00EC4921">
              <w:rPr>
                <w:sz w:val="18"/>
              </w:rPr>
              <w:t>International terminal</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4 546</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4 463</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4 455</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4 549</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4 515</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4 824</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5 171</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5 418</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5 969</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6 543</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6 615</w:t>
            </w:r>
          </w:p>
        </w:tc>
      </w:tr>
      <w:tr w:rsidR="00F26847" w:rsidRPr="00EC4921" w:rsidTr="00BE4EED">
        <w:tc>
          <w:tcPr>
            <w:tcW w:w="1214" w:type="dxa"/>
            <w:vMerge/>
            <w:tcBorders>
              <w:left w:val="nil"/>
              <w:right w:val="nil"/>
            </w:tcBorders>
          </w:tcPr>
          <w:p w:rsidR="00F26847" w:rsidRPr="00EC4921" w:rsidRDefault="00F26847" w:rsidP="00BE4EED">
            <w:pPr>
              <w:keepNext/>
              <w:spacing w:before="40" w:after="40"/>
              <w:rPr>
                <w:b/>
                <w:color w:val="000000" w:themeColor="text1"/>
                <w:sz w:val="18"/>
              </w:rPr>
            </w:pPr>
          </w:p>
        </w:tc>
        <w:tc>
          <w:tcPr>
            <w:tcW w:w="2296" w:type="dxa"/>
            <w:tcBorders>
              <w:left w:val="nil"/>
              <w:right w:val="nil"/>
            </w:tcBorders>
          </w:tcPr>
          <w:p w:rsidR="00F26847" w:rsidRPr="00EC4921" w:rsidRDefault="00F26847" w:rsidP="00BE4EED">
            <w:pPr>
              <w:spacing w:before="40" w:after="40"/>
              <w:rPr>
                <w:sz w:val="18"/>
              </w:rPr>
            </w:pPr>
            <w:r w:rsidRPr="00EC4921">
              <w:rPr>
                <w:sz w:val="18"/>
              </w:rPr>
              <w:t>Long-term (Blu Emu)</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464</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462</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494</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594</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581</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628</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634</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624</w:t>
            </w:r>
          </w:p>
        </w:tc>
        <w:tc>
          <w:tcPr>
            <w:tcW w:w="956" w:type="dxa"/>
            <w:tcBorders>
              <w:left w:val="nil"/>
              <w:right w:val="nil"/>
            </w:tcBorders>
            <w:vAlign w:val="bottom"/>
          </w:tcPr>
          <w:p w:rsidR="00F26847" w:rsidRPr="00EC4921" w:rsidRDefault="00F26847" w:rsidP="00BE4EED">
            <w:pPr>
              <w:spacing w:before="40" w:after="40"/>
              <w:jc w:val="right"/>
              <w:rPr>
                <w:sz w:val="18"/>
              </w:rPr>
            </w:pPr>
            <w:r w:rsidRPr="00EC4921">
              <w:rPr>
                <w:sz w:val="18"/>
              </w:rPr>
              <w:t>673</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659</w:t>
            </w:r>
          </w:p>
        </w:tc>
        <w:tc>
          <w:tcPr>
            <w:tcW w:w="957" w:type="dxa"/>
            <w:tcBorders>
              <w:left w:val="nil"/>
              <w:right w:val="nil"/>
            </w:tcBorders>
            <w:vAlign w:val="bottom"/>
          </w:tcPr>
          <w:p w:rsidR="00F26847" w:rsidRPr="00EC4921" w:rsidRDefault="00F26847" w:rsidP="00BE4EED">
            <w:pPr>
              <w:spacing w:before="40" w:after="40"/>
              <w:jc w:val="right"/>
              <w:rPr>
                <w:sz w:val="18"/>
              </w:rPr>
            </w:pPr>
            <w:r w:rsidRPr="00EC4921">
              <w:rPr>
                <w:sz w:val="18"/>
              </w:rPr>
              <w:t>675</w:t>
            </w:r>
          </w:p>
        </w:tc>
      </w:tr>
      <w:tr w:rsidR="00F26847" w:rsidRPr="00EC4921" w:rsidTr="00BE4EED">
        <w:tc>
          <w:tcPr>
            <w:tcW w:w="1214" w:type="dxa"/>
            <w:vMerge/>
            <w:tcBorders>
              <w:left w:val="nil"/>
              <w:right w:val="nil"/>
            </w:tcBorders>
          </w:tcPr>
          <w:p w:rsidR="00F26847" w:rsidRPr="00EC4921" w:rsidRDefault="00F26847" w:rsidP="00BE4EED">
            <w:pPr>
              <w:keepNext/>
              <w:spacing w:before="40" w:after="40"/>
              <w:rPr>
                <w:b/>
                <w:color w:val="000000" w:themeColor="text1"/>
                <w:sz w:val="18"/>
              </w:rPr>
            </w:pPr>
          </w:p>
        </w:tc>
        <w:tc>
          <w:tcPr>
            <w:tcW w:w="2296" w:type="dxa"/>
            <w:tcBorders>
              <w:left w:val="nil"/>
              <w:right w:val="nil"/>
            </w:tcBorders>
          </w:tcPr>
          <w:p w:rsidR="00F26847" w:rsidRPr="00EC4921" w:rsidRDefault="00F26847" w:rsidP="00BE4EED">
            <w:pPr>
              <w:keepNext/>
              <w:spacing w:before="40" w:after="40"/>
              <w:rPr>
                <w:b/>
                <w:color w:val="000000" w:themeColor="text1"/>
                <w:sz w:val="18"/>
              </w:rPr>
            </w:pPr>
            <w:r w:rsidRPr="00EC4921">
              <w:rPr>
                <w:b/>
                <w:color w:val="000000" w:themeColor="text1"/>
                <w:sz w:val="18"/>
              </w:rPr>
              <w:t>Total airport</w:t>
            </w:r>
          </w:p>
        </w:tc>
        <w:tc>
          <w:tcPr>
            <w:tcW w:w="956"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8 201</w:t>
            </w:r>
          </w:p>
        </w:tc>
        <w:tc>
          <w:tcPr>
            <w:tcW w:w="957"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8 094</w:t>
            </w:r>
          </w:p>
        </w:tc>
        <w:tc>
          <w:tcPr>
            <w:tcW w:w="956"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8 222</w:t>
            </w:r>
          </w:p>
        </w:tc>
        <w:tc>
          <w:tcPr>
            <w:tcW w:w="957"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8 429</w:t>
            </w:r>
          </w:p>
        </w:tc>
        <w:tc>
          <w:tcPr>
            <w:tcW w:w="956"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8 187</w:t>
            </w:r>
          </w:p>
        </w:tc>
        <w:tc>
          <w:tcPr>
            <w:tcW w:w="957"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8 591</w:t>
            </w:r>
          </w:p>
        </w:tc>
        <w:tc>
          <w:tcPr>
            <w:tcW w:w="956"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10 083</w:t>
            </w:r>
          </w:p>
        </w:tc>
        <w:tc>
          <w:tcPr>
            <w:tcW w:w="957"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10 176</w:t>
            </w:r>
          </w:p>
        </w:tc>
        <w:tc>
          <w:tcPr>
            <w:tcW w:w="956"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10 882</w:t>
            </w:r>
          </w:p>
        </w:tc>
        <w:tc>
          <w:tcPr>
            <w:tcW w:w="957"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12 479</w:t>
            </w:r>
          </w:p>
        </w:tc>
        <w:tc>
          <w:tcPr>
            <w:tcW w:w="957" w:type="dxa"/>
            <w:tcBorders>
              <w:left w:val="nil"/>
              <w:right w:val="nil"/>
            </w:tcBorders>
            <w:vAlign w:val="bottom"/>
          </w:tcPr>
          <w:p w:rsidR="00F26847" w:rsidRPr="00EC4921" w:rsidRDefault="00F26847" w:rsidP="00BE4EED">
            <w:pPr>
              <w:spacing w:before="40" w:after="40"/>
              <w:jc w:val="right"/>
              <w:rPr>
                <w:b/>
                <w:sz w:val="18"/>
              </w:rPr>
            </w:pPr>
            <w:r w:rsidRPr="00EC4921">
              <w:rPr>
                <w:b/>
                <w:sz w:val="18"/>
              </w:rPr>
              <w:t>12 660</w:t>
            </w:r>
          </w:p>
        </w:tc>
      </w:tr>
    </w:tbl>
    <w:p w:rsidR="00F26847" w:rsidRDefault="00F26847" w:rsidP="00F26847"/>
    <w:p w:rsidR="00F26847" w:rsidRDefault="00F26847" w:rsidP="00F26847">
      <w:pPr>
        <w:keepNext/>
        <w:sectPr w:rsidR="00F26847" w:rsidSect="00BE4EED">
          <w:type w:val="continuous"/>
          <w:pgSz w:w="16838" w:h="11906" w:orient="landscape"/>
          <w:pgMar w:top="1729" w:right="1440" w:bottom="1729" w:left="1582" w:header="709" w:footer="709" w:gutter="0"/>
          <w:cols w:space="708"/>
          <w:docGrid w:linePitch="360"/>
        </w:sectPr>
      </w:pPr>
    </w:p>
    <w:p w:rsidR="00F26847" w:rsidRDefault="00F26847" w:rsidP="00F26847">
      <w:pPr>
        <w:keepNext/>
        <w:spacing w:before="240" w:after="200" w:line="276" w:lineRule="auto"/>
        <w:ind w:left="1440" w:hanging="1440"/>
        <w:outlineLvl w:val="3"/>
        <w:rPr>
          <w:b/>
          <w:color w:val="51626F"/>
        </w:rPr>
      </w:pPr>
      <w:r w:rsidRPr="00EC4921">
        <w:rPr>
          <w:b/>
          <w:color w:val="51626F"/>
        </w:rPr>
        <w:lastRenderedPageBreak/>
        <w:t>Chart 5.4.1:</w:t>
      </w:r>
      <w:r w:rsidRPr="00EC4921">
        <w:rPr>
          <w:b/>
          <w:color w:val="51626F"/>
        </w:rPr>
        <w:tab/>
        <w:t xml:space="preserve">Sydney Airport—prices at international terminal car park in real terms: 30 June 2005 to 30 June 2015 </w:t>
      </w:r>
    </w:p>
    <w:p w:rsidR="00F26847" w:rsidRDefault="00F26847" w:rsidP="00F26847">
      <w:pPr>
        <w:pStyle w:val="Standardheading"/>
      </w:pPr>
      <w:r w:rsidRPr="00541B3E">
        <w:rPr>
          <w:noProof/>
          <w:lang w:eastAsia="en-AU"/>
        </w:rPr>
        <w:drawing>
          <wp:inline distT="0" distB="0" distL="0" distR="0" wp14:anchorId="6C7CB756" wp14:editId="07925E4C">
            <wp:extent cx="5357003" cy="2889849"/>
            <wp:effectExtent l="0" t="0" r="0" b="635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364480" cy="2893882"/>
                    </a:xfrm>
                    <a:prstGeom prst="rect">
                      <a:avLst/>
                    </a:prstGeom>
                    <a:noFill/>
                    <a:ln>
                      <a:noFill/>
                    </a:ln>
                  </pic:spPr>
                </pic:pic>
              </a:graphicData>
            </a:graphic>
          </wp:inline>
        </w:drawing>
      </w:r>
    </w:p>
    <w:p w:rsidR="00F26847" w:rsidRDefault="00F26847" w:rsidP="00F26847">
      <w:pPr>
        <w:pStyle w:val="Sourceandnotes"/>
      </w:pPr>
      <w:r>
        <w:t>Note:</w:t>
      </w:r>
      <w:r>
        <w:tab/>
        <w:t>Real values in 2014-15 dollars</w:t>
      </w:r>
    </w:p>
    <w:p w:rsidR="00F26847" w:rsidRPr="00EC4921" w:rsidRDefault="00F26847" w:rsidP="00F26847">
      <w:pPr>
        <w:keepNext/>
        <w:spacing w:before="120" w:after="120"/>
      </w:pPr>
      <w:r w:rsidRPr="00EC4921">
        <w:t xml:space="preserve">Over the period from 30 June 2005 to 30 June 2015, prices for all categories displayed in Chart 5.4.1 increased in real terms. The largest increase over this period was for the four hours which increased by 79.1 per cent in real terms. The lowest increase over this period was for the one hour which increased by 2.1 per cent in real terms. </w:t>
      </w:r>
    </w:p>
    <w:p w:rsidR="00F26847" w:rsidRPr="00EC4921" w:rsidRDefault="00F26847" w:rsidP="00F26847">
      <w:pPr>
        <w:keepNext/>
      </w:pPr>
      <w:r w:rsidRPr="00EC4921">
        <w:t>As noted, Sydney Airport also provides online pre-booking of car parking spaces, which provides customers with discounted charges at their T1 car park. Table 5.4.2 below compares the ‘drive-up’ charges with the overall average car parking price.</w:t>
      </w:r>
      <w:r w:rsidRPr="00EC4921">
        <w:rPr>
          <w:vertAlign w:val="superscript"/>
        </w:rPr>
        <w:footnoteReference w:id="131"/>
      </w:r>
      <w:r w:rsidRPr="00EC4921">
        <w:t xml:space="preserve"> </w:t>
      </w:r>
    </w:p>
    <w:p w:rsidR="00F26847" w:rsidRPr="00EC4921" w:rsidRDefault="00F26847" w:rsidP="00F26847">
      <w:pPr>
        <w:keepNext/>
        <w:spacing w:before="240" w:after="200" w:line="276" w:lineRule="auto"/>
        <w:ind w:left="1440" w:hanging="1440"/>
        <w:outlineLvl w:val="3"/>
        <w:rPr>
          <w:b/>
          <w:color w:val="51626F"/>
        </w:rPr>
      </w:pPr>
      <w:r w:rsidRPr="00EC4921">
        <w:rPr>
          <w:b/>
          <w:color w:val="51626F"/>
        </w:rPr>
        <w:t>Table 5.4.2:</w:t>
      </w:r>
      <w:r w:rsidRPr="00EC4921">
        <w:rPr>
          <w:b/>
          <w:color w:val="51626F"/>
        </w:rPr>
        <w:tab/>
        <w:t>Sydney Airport—drive-up, online and average parking charges at the international terminal car park: 2014</w:t>
      </w:r>
      <w:r w:rsidRPr="00EC4921">
        <w:rPr>
          <w:b/>
          <w:color w:val="51626F"/>
        </w:rPr>
        <w:noBreakHyphen/>
        <w:t>15</w:t>
      </w:r>
    </w:p>
    <w:tbl>
      <w:tblPr>
        <w:tblStyle w:val="TableGrid7"/>
        <w:tblW w:w="0" w:type="auto"/>
        <w:tblLook w:val="04A0" w:firstRow="1" w:lastRow="0" w:firstColumn="1" w:lastColumn="0" w:noHBand="0" w:noVBand="1"/>
      </w:tblPr>
      <w:tblGrid>
        <w:gridCol w:w="2166"/>
        <w:gridCol w:w="2166"/>
        <w:gridCol w:w="2166"/>
        <w:gridCol w:w="2166"/>
      </w:tblGrid>
      <w:tr w:rsidR="00F26847" w:rsidRPr="00EC4921" w:rsidTr="00BE4EED">
        <w:tc>
          <w:tcPr>
            <w:tcW w:w="2166" w:type="dxa"/>
            <w:tcBorders>
              <w:left w:val="nil"/>
              <w:bottom w:val="single" w:sz="4" w:space="0" w:color="auto"/>
              <w:right w:val="nil"/>
            </w:tcBorders>
            <w:shd w:val="clear" w:color="auto" w:fill="DFE0DC"/>
          </w:tcPr>
          <w:p w:rsidR="00F26847" w:rsidRPr="00EC4921" w:rsidRDefault="00F26847" w:rsidP="00BE4EED">
            <w:pPr>
              <w:keepNext/>
              <w:spacing w:before="40" w:after="40"/>
              <w:rPr>
                <w:b/>
                <w:color w:val="000000" w:themeColor="text1"/>
                <w:sz w:val="18"/>
              </w:rPr>
            </w:pPr>
            <w:r w:rsidRPr="00EC4921">
              <w:rPr>
                <w:b/>
                <w:color w:val="000000" w:themeColor="text1"/>
                <w:sz w:val="18"/>
              </w:rPr>
              <w:t>Length of stay</w:t>
            </w:r>
          </w:p>
        </w:tc>
        <w:tc>
          <w:tcPr>
            <w:tcW w:w="2166" w:type="dxa"/>
            <w:tcBorders>
              <w:left w:val="nil"/>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 xml:space="preserve">Drive-up </w:t>
            </w:r>
            <w:r w:rsidRPr="00EC4921">
              <w:rPr>
                <w:b/>
                <w:color w:val="000000" w:themeColor="text1"/>
                <w:sz w:val="18"/>
              </w:rPr>
              <w:br/>
              <w:t>($)</w:t>
            </w:r>
          </w:p>
        </w:tc>
        <w:tc>
          <w:tcPr>
            <w:tcW w:w="2166" w:type="dxa"/>
            <w:tcBorders>
              <w:left w:val="nil"/>
              <w:bottom w:val="single" w:sz="4" w:space="0" w:color="auto"/>
              <w:right w:val="single" w:sz="4" w:space="0" w:color="auto"/>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 xml:space="preserve">Average online </w:t>
            </w:r>
            <w:r w:rsidRPr="00EC4921">
              <w:rPr>
                <w:b/>
                <w:color w:val="000000" w:themeColor="text1"/>
                <w:sz w:val="18"/>
              </w:rPr>
              <w:br/>
              <w:t>($)</w:t>
            </w:r>
          </w:p>
        </w:tc>
        <w:tc>
          <w:tcPr>
            <w:tcW w:w="2166" w:type="dxa"/>
            <w:tcBorders>
              <w:left w:val="single" w:sz="4" w:space="0" w:color="auto"/>
              <w:bottom w:val="single" w:sz="4" w:space="0" w:color="auto"/>
              <w:right w:val="nil"/>
            </w:tcBorders>
            <w:shd w:val="clear" w:color="auto" w:fill="DFE0DC"/>
          </w:tcPr>
          <w:p w:rsidR="00F26847" w:rsidRPr="00EC4921" w:rsidRDefault="00F26847" w:rsidP="00BE4EED">
            <w:pPr>
              <w:keepNext/>
              <w:spacing w:before="40" w:after="40"/>
              <w:jc w:val="right"/>
              <w:rPr>
                <w:b/>
                <w:color w:val="000000" w:themeColor="text1"/>
                <w:sz w:val="18"/>
              </w:rPr>
            </w:pPr>
            <w:r w:rsidRPr="00EC4921">
              <w:rPr>
                <w:b/>
                <w:color w:val="000000" w:themeColor="text1"/>
                <w:sz w:val="18"/>
              </w:rPr>
              <w:t>Weighted average of drive-up and online ($)</w:t>
            </w:r>
          </w:p>
        </w:tc>
      </w:tr>
      <w:tr w:rsidR="00F26847" w:rsidRPr="00EC4921" w:rsidTr="00BE4EED">
        <w:tc>
          <w:tcPr>
            <w:tcW w:w="2166" w:type="dxa"/>
            <w:tcBorders>
              <w:left w:val="nil"/>
              <w:bottom w:val="nil"/>
              <w:right w:val="nil"/>
            </w:tcBorders>
          </w:tcPr>
          <w:p w:rsidR="00F26847" w:rsidRPr="00EC4921" w:rsidRDefault="00F26847" w:rsidP="00BE4EED">
            <w:pPr>
              <w:keepNext/>
              <w:spacing w:before="40" w:after="40"/>
              <w:rPr>
                <w:sz w:val="18"/>
              </w:rPr>
            </w:pPr>
            <w:r w:rsidRPr="00EC4921">
              <w:rPr>
                <w:sz w:val="18"/>
              </w:rPr>
              <w:t>1 hour</w:t>
            </w:r>
          </w:p>
        </w:tc>
        <w:tc>
          <w:tcPr>
            <w:tcW w:w="2166" w:type="dxa"/>
            <w:tcBorders>
              <w:left w:val="nil"/>
              <w:bottom w:val="nil"/>
              <w:right w:val="nil"/>
            </w:tcBorders>
          </w:tcPr>
          <w:p w:rsidR="00F26847" w:rsidRPr="00EC4921" w:rsidRDefault="00F26847" w:rsidP="00BE4EED">
            <w:pPr>
              <w:keepNext/>
              <w:spacing w:before="40" w:after="40"/>
              <w:jc w:val="right"/>
              <w:rPr>
                <w:sz w:val="18"/>
              </w:rPr>
            </w:pPr>
            <w:r w:rsidRPr="00EC4921">
              <w:rPr>
                <w:sz w:val="18"/>
              </w:rPr>
              <w:t>16.00</w:t>
            </w:r>
          </w:p>
        </w:tc>
        <w:tc>
          <w:tcPr>
            <w:tcW w:w="2166" w:type="dxa"/>
            <w:tcBorders>
              <w:left w:val="nil"/>
              <w:bottom w:val="nil"/>
              <w:right w:val="single" w:sz="4" w:space="0" w:color="auto"/>
            </w:tcBorders>
          </w:tcPr>
          <w:p w:rsidR="00F26847" w:rsidRPr="00EC4921" w:rsidRDefault="00F26847" w:rsidP="00BE4EED">
            <w:pPr>
              <w:keepNext/>
              <w:spacing w:before="40" w:after="40"/>
              <w:jc w:val="right"/>
              <w:rPr>
                <w:sz w:val="18"/>
              </w:rPr>
            </w:pPr>
            <w:r w:rsidRPr="00EC4921">
              <w:rPr>
                <w:sz w:val="18"/>
              </w:rPr>
              <w:t>-</w:t>
            </w:r>
          </w:p>
        </w:tc>
        <w:tc>
          <w:tcPr>
            <w:tcW w:w="2166" w:type="dxa"/>
            <w:tcBorders>
              <w:left w:val="single" w:sz="4" w:space="0" w:color="auto"/>
              <w:bottom w:val="nil"/>
              <w:right w:val="nil"/>
            </w:tcBorders>
          </w:tcPr>
          <w:p w:rsidR="00F26847" w:rsidRPr="00EC4921" w:rsidRDefault="00F26847" w:rsidP="00BE4EED">
            <w:pPr>
              <w:keepNext/>
              <w:spacing w:before="40" w:after="40"/>
              <w:jc w:val="right"/>
              <w:rPr>
                <w:sz w:val="18"/>
              </w:rPr>
            </w:pPr>
            <w:r w:rsidRPr="00EC4921">
              <w:rPr>
                <w:sz w:val="18"/>
              </w:rPr>
              <w:t>15.99</w:t>
            </w:r>
          </w:p>
        </w:tc>
      </w:tr>
      <w:tr w:rsidR="00F26847" w:rsidRPr="00EC4921" w:rsidTr="00BE4EED">
        <w:tc>
          <w:tcPr>
            <w:tcW w:w="2166" w:type="dxa"/>
            <w:tcBorders>
              <w:top w:val="nil"/>
              <w:left w:val="nil"/>
              <w:bottom w:val="nil"/>
              <w:right w:val="nil"/>
            </w:tcBorders>
          </w:tcPr>
          <w:p w:rsidR="00F26847" w:rsidRPr="00EC4921" w:rsidRDefault="00F26847" w:rsidP="00BE4EED">
            <w:pPr>
              <w:keepNext/>
              <w:spacing w:before="40" w:after="40"/>
              <w:rPr>
                <w:sz w:val="18"/>
              </w:rPr>
            </w:pPr>
            <w:r w:rsidRPr="00EC4921">
              <w:rPr>
                <w:sz w:val="18"/>
              </w:rPr>
              <w:t>2 hours</w:t>
            </w:r>
          </w:p>
        </w:tc>
        <w:tc>
          <w:tcPr>
            <w:tcW w:w="2166" w:type="dxa"/>
            <w:tcBorders>
              <w:top w:val="nil"/>
              <w:left w:val="nil"/>
              <w:bottom w:val="nil"/>
              <w:right w:val="nil"/>
            </w:tcBorders>
          </w:tcPr>
          <w:p w:rsidR="00F26847" w:rsidRPr="00EC4921" w:rsidRDefault="00F26847" w:rsidP="00BE4EED">
            <w:pPr>
              <w:keepNext/>
              <w:spacing w:before="40" w:after="40"/>
              <w:jc w:val="right"/>
              <w:rPr>
                <w:sz w:val="18"/>
              </w:rPr>
            </w:pPr>
            <w:r w:rsidRPr="00EC4921">
              <w:rPr>
                <w:sz w:val="18"/>
              </w:rPr>
              <w:t>24.50</w:t>
            </w:r>
          </w:p>
        </w:tc>
        <w:tc>
          <w:tcPr>
            <w:tcW w:w="2166" w:type="dxa"/>
            <w:tcBorders>
              <w:top w:val="nil"/>
              <w:left w:val="nil"/>
              <w:bottom w:val="nil"/>
              <w:right w:val="single" w:sz="4" w:space="0" w:color="auto"/>
            </w:tcBorders>
          </w:tcPr>
          <w:p w:rsidR="00F26847" w:rsidRPr="00EC4921" w:rsidRDefault="00F26847" w:rsidP="00BE4EED">
            <w:pPr>
              <w:keepNext/>
              <w:spacing w:before="40" w:after="40"/>
              <w:jc w:val="right"/>
              <w:rPr>
                <w:sz w:val="18"/>
              </w:rPr>
            </w:pPr>
            <w:r w:rsidRPr="00EC4921">
              <w:rPr>
                <w:sz w:val="18"/>
              </w:rPr>
              <w:t>-</w:t>
            </w:r>
          </w:p>
        </w:tc>
        <w:tc>
          <w:tcPr>
            <w:tcW w:w="2166" w:type="dxa"/>
            <w:tcBorders>
              <w:top w:val="nil"/>
              <w:left w:val="single" w:sz="4" w:space="0" w:color="auto"/>
              <w:bottom w:val="nil"/>
              <w:right w:val="nil"/>
            </w:tcBorders>
          </w:tcPr>
          <w:p w:rsidR="00F26847" w:rsidRPr="00EC4921" w:rsidRDefault="00F26847" w:rsidP="00BE4EED">
            <w:pPr>
              <w:keepNext/>
              <w:spacing w:before="40" w:after="40"/>
              <w:jc w:val="right"/>
              <w:rPr>
                <w:sz w:val="18"/>
              </w:rPr>
            </w:pPr>
            <w:r w:rsidRPr="00EC4921">
              <w:rPr>
                <w:sz w:val="18"/>
              </w:rPr>
              <w:t>23.88</w:t>
            </w:r>
          </w:p>
        </w:tc>
      </w:tr>
      <w:tr w:rsidR="00F26847" w:rsidRPr="00EC4921" w:rsidTr="00BE4EED">
        <w:tc>
          <w:tcPr>
            <w:tcW w:w="2166" w:type="dxa"/>
            <w:tcBorders>
              <w:top w:val="nil"/>
              <w:left w:val="nil"/>
              <w:bottom w:val="nil"/>
              <w:right w:val="nil"/>
            </w:tcBorders>
          </w:tcPr>
          <w:p w:rsidR="00F26847" w:rsidRPr="00EC4921" w:rsidRDefault="00F26847" w:rsidP="00BE4EED">
            <w:pPr>
              <w:keepNext/>
              <w:spacing w:before="40" w:after="40"/>
              <w:rPr>
                <w:sz w:val="18"/>
              </w:rPr>
            </w:pPr>
            <w:r w:rsidRPr="00EC4921">
              <w:rPr>
                <w:sz w:val="18"/>
              </w:rPr>
              <w:t>3 hours</w:t>
            </w:r>
          </w:p>
        </w:tc>
        <w:tc>
          <w:tcPr>
            <w:tcW w:w="2166" w:type="dxa"/>
            <w:tcBorders>
              <w:top w:val="nil"/>
              <w:left w:val="nil"/>
              <w:bottom w:val="nil"/>
              <w:right w:val="nil"/>
            </w:tcBorders>
          </w:tcPr>
          <w:p w:rsidR="00F26847" w:rsidRPr="00EC4921" w:rsidRDefault="00F26847" w:rsidP="00BE4EED">
            <w:pPr>
              <w:keepNext/>
              <w:spacing w:before="40" w:after="40"/>
              <w:jc w:val="right"/>
              <w:rPr>
                <w:sz w:val="18"/>
              </w:rPr>
            </w:pPr>
            <w:r w:rsidRPr="00EC4921">
              <w:rPr>
                <w:sz w:val="18"/>
              </w:rPr>
              <w:t>33.00</w:t>
            </w:r>
          </w:p>
        </w:tc>
        <w:tc>
          <w:tcPr>
            <w:tcW w:w="2166" w:type="dxa"/>
            <w:tcBorders>
              <w:top w:val="nil"/>
              <w:left w:val="nil"/>
              <w:bottom w:val="nil"/>
              <w:right w:val="single" w:sz="4" w:space="0" w:color="auto"/>
            </w:tcBorders>
          </w:tcPr>
          <w:p w:rsidR="00F26847" w:rsidRPr="00EC4921" w:rsidRDefault="00F26847" w:rsidP="00BE4EED">
            <w:pPr>
              <w:keepNext/>
              <w:spacing w:before="40" w:after="40"/>
              <w:jc w:val="right"/>
              <w:rPr>
                <w:sz w:val="18"/>
              </w:rPr>
            </w:pPr>
            <w:r w:rsidRPr="00EC4921">
              <w:rPr>
                <w:sz w:val="18"/>
              </w:rPr>
              <w:t>-</w:t>
            </w:r>
          </w:p>
        </w:tc>
        <w:tc>
          <w:tcPr>
            <w:tcW w:w="2166" w:type="dxa"/>
            <w:tcBorders>
              <w:top w:val="nil"/>
              <w:left w:val="single" w:sz="4" w:space="0" w:color="auto"/>
              <w:bottom w:val="nil"/>
              <w:right w:val="nil"/>
            </w:tcBorders>
          </w:tcPr>
          <w:p w:rsidR="00F26847" w:rsidRPr="00EC4921" w:rsidRDefault="00F26847" w:rsidP="00BE4EED">
            <w:pPr>
              <w:keepNext/>
              <w:spacing w:before="40" w:after="40"/>
              <w:jc w:val="right"/>
              <w:rPr>
                <w:sz w:val="18"/>
              </w:rPr>
            </w:pPr>
            <w:r w:rsidRPr="00EC4921">
              <w:rPr>
                <w:sz w:val="18"/>
              </w:rPr>
              <w:t>31.23</w:t>
            </w:r>
          </w:p>
        </w:tc>
      </w:tr>
      <w:tr w:rsidR="00F26847" w:rsidRPr="00EC4921" w:rsidTr="00BE4EED">
        <w:tc>
          <w:tcPr>
            <w:tcW w:w="2166" w:type="dxa"/>
            <w:tcBorders>
              <w:top w:val="nil"/>
              <w:left w:val="nil"/>
              <w:bottom w:val="nil"/>
              <w:right w:val="nil"/>
            </w:tcBorders>
          </w:tcPr>
          <w:p w:rsidR="00F26847" w:rsidRPr="00EC4921" w:rsidRDefault="00F26847" w:rsidP="00BE4EED">
            <w:pPr>
              <w:keepNext/>
              <w:spacing w:before="40" w:after="40"/>
              <w:rPr>
                <w:sz w:val="18"/>
              </w:rPr>
            </w:pPr>
            <w:r w:rsidRPr="00EC4921">
              <w:rPr>
                <w:sz w:val="18"/>
              </w:rPr>
              <w:t>4 hours</w:t>
            </w:r>
          </w:p>
        </w:tc>
        <w:tc>
          <w:tcPr>
            <w:tcW w:w="2166" w:type="dxa"/>
            <w:tcBorders>
              <w:top w:val="nil"/>
              <w:left w:val="nil"/>
              <w:bottom w:val="nil"/>
              <w:right w:val="nil"/>
            </w:tcBorders>
          </w:tcPr>
          <w:p w:rsidR="00F26847" w:rsidRPr="00EC4921" w:rsidRDefault="00F26847" w:rsidP="00BE4EED">
            <w:pPr>
              <w:keepNext/>
              <w:spacing w:before="40" w:after="40"/>
              <w:jc w:val="right"/>
              <w:rPr>
                <w:sz w:val="18"/>
              </w:rPr>
            </w:pPr>
            <w:r w:rsidRPr="00EC4921">
              <w:rPr>
                <w:sz w:val="18"/>
              </w:rPr>
              <w:t>58.50</w:t>
            </w:r>
          </w:p>
        </w:tc>
        <w:tc>
          <w:tcPr>
            <w:tcW w:w="2166" w:type="dxa"/>
            <w:tcBorders>
              <w:top w:val="nil"/>
              <w:left w:val="nil"/>
              <w:bottom w:val="nil"/>
              <w:right w:val="single" w:sz="4" w:space="0" w:color="auto"/>
            </w:tcBorders>
          </w:tcPr>
          <w:p w:rsidR="00F26847" w:rsidRPr="00EC4921" w:rsidRDefault="00F26847" w:rsidP="00BE4EED">
            <w:pPr>
              <w:keepNext/>
              <w:spacing w:before="40" w:after="40"/>
              <w:jc w:val="right"/>
              <w:rPr>
                <w:sz w:val="18"/>
              </w:rPr>
            </w:pPr>
            <w:r w:rsidRPr="00EC4921">
              <w:rPr>
                <w:sz w:val="18"/>
              </w:rPr>
              <w:t>-</w:t>
            </w:r>
          </w:p>
        </w:tc>
        <w:tc>
          <w:tcPr>
            <w:tcW w:w="2166" w:type="dxa"/>
            <w:tcBorders>
              <w:top w:val="nil"/>
              <w:left w:val="single" w:sz="4" w:space="0" w:color="auto"/>
              <w:bottom w:val="nil"/>
              <w:right w:val="nil"/>
            </w:tcBorders>
          </w:tcPr>
          <w:p w:rsidR="00F26847" w:rsidRPr="00EC4921" w:rsidRDefault="00F26847" w:rsidP="00BE4EED">
            <w:pPr>
              <w:keepNext/>
              <w:spacing w:before="40" w:after="40"/>
              <w:jc w:val="right"/>
              <w:rPr>
                <w:sz w:val="18"/>
              </w:rPr>
            </w:pPr>
            <w:r w:rsidRPr="00EC4921">
              <w:rPr>
                <w:sz w:val="18"/>
              </w:rPr>
              <w:t>50.74</w:t>
            </w:r>
          </w:p>
        </w:tc>
      </w:tr>
      <w:tr w:rsidR="00F26847" w:rsidRPr="00EC4921" w:rsidTr="00BE4EED">
        <w:tc>
          <w:tcPr>
            <w:tcW w:w="2166" w:type="dxa"/>
            <w:tcBorders>
              <w:top w:val="nil"/>
              <w:left w:val="nil"/>
              <w:bottom w:val="single" w:sz="4" w:space="0" w:color="auto"/>
              <w:right w:val="nil"/>
            </w:tcBorders>
          </w:tcPr>
          <w:p w:rsidR="00F26847" w:rsidRPr="00EC4921" w:rsidRDefault="00F26847" w:rsidP="00BE4EED">
            <w:pPr>
              <w:keepNext/>
              <w:spacing w:before="40" w:after="40"/>
              <w:rPr>
                <w:sz w:val="18"/>
              </w:rPr>
            </w:pPr>
            <w:r w:rsidRPr="00EC4921">
              <w:rPr>
                <w:sz w:val="18"/>
              </w:rPr>
              <w:t>24 hours</w:t>
            </w:r>
          </w:p>
        </w:tc>
        <w:tc>
          <w:tcPr>
            <w:tcW w:w="2166" w:type="dxa"/>
            <w:tcBorders>
              <w:top w:val="nil"/>
              <w:left w:val="nil"/>
              <w:bottom w:val="single" w:sz="4" w:space="0" w:color="auto"/>
              <w:right w:val="nil"/>
            </w:tcBorders>
          </w:tcPr>
          <w:p w:rsidR="00F26847" w:rsidRPr="00EC4921" w:rsidRDefault="00F26847" w:rsidP="00BE4EED">
            <w:pPr>
              <w:keepNext/>
              <w:spacing w:before="40" w:after="40"/>
              <w:jc w:val="right"/>
              <w:rPr>
                <w:sz w:val="18"/>
              </w:rPr>
            </w:pPr>
            <w:r w:rsidRPr="00EC4921">
              <w:rPr>
                <w:sz w:val="18"/>
              </w:rPr>
              <w:t>58.50</w:t>
            </w:r>
          </w:p>
        </w:tc>
        <w:tc>
          <w:tcPr>
            <w:tcW w:w="2166" w:type="dxa"/>
            <w:tcBorders>
              <w:top w:val="nil"/>
              <w:left w:val="nil"/>
              <w:bottom w:val="single" w:sz="4" w:space="0" w:color="auto"/>
              <w:right w:val="single" w:sz="4" w:space="0" w:color="auto"/>
            </w:tcBorders>
          </w:tcPr>
          <w:p w:rsidR="00F26847" w:rsidRPr="00EC4921" w:rsidRDefault="00F26847" w:rsidP="00BE4EED">
            <w:pPr>
              <w:keepNext/>
              <w:spacing w:before="40" w:after="40"/>
              <w:jc w:val="right"/>
              <w:rPr>
                <w:sz w:val="18"/>
              </w:rPr>
            </w:pPr>
            <w:r w:rsidRPr="00EC4921">
              <w:rPr>
                <w:sz w:val="18"/>
              </w:rPr>
              <w:t>-</w:t>
            </w:r>
          </w:p>
        </w:tc>
        <w:tc>
          <w:tcPr>
            <w:tcW w:w="2166" w:type="dxa"/>
            <w:tcBorders>
              <w:top w:val="nil"/>
              <w:left w:val="single" w:sz="4" w:space="0" w:color="auto"/>
              <w:bottom w:val="single" w:sz="4" w:space="0" w:color="auto"/>
              <w:right w:val="nil"/>
            </w:tcBorders>
          </w:tcPr>
          <w:p w:rsidR="00F26847" w:rsidRPr="00EC4921" w:rsidRDefault="00F26847" w:rsidP="00BE4EED">
            <w:pPr>
              <w:keepNext/>
              <w:spacing w:before="40" w:after="40"/>
              <w:jc w:val="right"/>
              <w:rPr>
                <w:sz w:val="18"/>
              </w:rPr>
            </w:pPr>
            <w:r w:rsidRPr="00EC4921">
              <w:rPr>
                <w:sz w:val="18"/>
              </w:rPr>
              <w:t>50.74</w:t>
            </w:r>
          </w:p>
        </w:tc>
      </w:tr>
    </w:tbl>
    <w:p w:rsidR="00F26847" w:rsidRPr="00EC4921" w:rsidRDefault="00F26847" w:rsidP="00F26847">
      <w:pPr>
        <w:pStyle w:val="Sourceandnotes"/>
      </w:pPr>
      <w:r w:rsidRPr="00EC4921">
        <w:t>Note:</w:t>
      </w:r>
      <w:r w:rsidRPr="00EC4921">
        <w:tab/>
        <w:t>Average car parking charges are calculated as the weighted average of drive-up and online charges</w:t>
      </w:r>
    </w:p>
    <w:p w:rsidR="00F26847" w:rsidRPr="00EC4921" w:rsidRDefault="00F26847" w:rsidP="00F26847">
      <w:pPr>
        <w:pStyle w:val="Sourceandnotes"/>
      </w:pPr>
      <w:r w:rsidRPr="00EC4921">
        <w:tab/>
        <w:t>- Commercial in confidence</w:t>
      </w:r>
    </w:p>
    <w:p w:rsidR="00F26847" w:rsidRPr="0064134E" w:rsidRDefault="00F26847" w:rsidP="00F26847">
      <w:pPr>
        <w:pStyle w:val="Standardheading"/>
      </w:pPr>
      <w:r w:rsidRPr="0064134E">
        <w:t>Domestic terminal – short-term parking</w:t>
      </w:r>
    </w:p>
    <w:p w:rsidR="00F26847" w:rsidRPr="00C40F67" w:rsidRDefault="00F26847" w:rsidP="00F26847">
      <w:pPr>
        <w:keepNext/>
      </w:pPr>
      <w:r>
        <w:t xml:space="preserve">Chart 5.4.2 shows the trends in real prices for parking at the domestic terminal. Real prices for all durations increased apart from the one hour charge which decreased as at 30 June 2015. Similar to the T1 car park, the largest increase was for the three hours which grew by 1.4 per </w:t>
      </w:r>
      <w:r w:rsidRPr="00C40F67">
        <w:t>cent in real terms. The one hour duration decreased by 1.7 per cent in real terms during 2014</w:t>
      </w:r>
      <w:r>
        <w:noBreakHyphen/>
      </w:r>
      <w:r w:rsidRPr="00C40F67">
        <w:t xml:space="preserve">15. </w:t>
      </w:r>
    </w:p>
    <w:p w:rsidR="00F26847" w:rsidRPr="00C40F67" w:rsidRDefault="00F26847" w:rsidP="00F26847">
      <w:pPr>
        <w:keepNext/>
      </w:pPr>
      <w:r w:rsidRPr="00C40F67">
        <w:lastRenderedPageBreak/>
        <w:t>Over the period from 30 June 2005 to 30 June 2015, prices for all categories increased in real terms. The largest increase occurred for the four hour charge which grew by 79.1 per cent in real terms. Other increases ranged from a low of 2.1 per cent for 60 minutes to 65.9 per cent in real terms for the five hours.</w:t>
      </w:r>
    </w:p>
    <w:p w:rsidR="00F26847" w:rsidRDefault="00F26847" w:rsidP="00F26847">
      <w:pPr>
        <w:keepNext/>
      </w:pPr>
      <w:r w:rsidRPr="00C40F67">
        <w:t>A new domestic car park, P3, was opened in 2013 and provides for longer parking stays at a discount to the equivalent rates in the other domestic car park. This car park is about an eight minute walk to the domestic terminals</w:t>
      </w:r>
    </w:p>
    <w:p w:rsidR="00F26847" w:rsidRPr="00C40F67" w:rsidRDefault="00F26847" w:rsidP="00F26847">
      <w:pPr>
        <w:keepNext/>
        <w:spacing w:before="240" w:after="200" w:line="276" w:lineRule="auto"/>
        <w:ind w:left="1440" w:hanging="1440"/>
        <w:outlineLvl w:val="3"/>
        <w:rPr>
          <w:b/>
          <w:color w:val="51626F"/>
        </w:rPr>
      </w:pPr>
      <w:r w:rsidRPr="00C40F67">
        <w:rPr>
          <w:b/>
          <w:color w:val="51626F"/>
        </w:rPr>
        <w:t>Chart 5.4.2:</w:t>
      </w:r>
      <w:r w:rsidRPr="00C40F67">
        <w:rPr>
          <w:b/>
          <w:color w:val="51626F"/>
        </w:rPr>
        <w:tab/>
        <w:t>Sydney Airport—prices at domestic terminal car park in real terms: 30 June 2005 to 30 June 2015</w:t>
      </w:r>
    </w:p>
    <w:p w:rsidR="00F26847" w:rsidRDefault="00F26847" w:rsidP="00F26847">
      <w:pPr>
        <w:keepNext/>
      </w:pPr>
      <w:r w:rsidRPr="00333390">
        <w:rPr>
          <w:noProof/>
          <w:lang w:eastAsia="en-AU"/>
        </w:rPr>
        <w:drawing>
          <wp:inline distT="0" distB="0" distL="0" distR="0" wp14:anchorId="2784740F" wp14:editId="1F653E1D">
            <wp:extent cx="5358914" cy="271394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64480" cy="2716759"/>
                    </a:xfrm>
                    <a:prstGeom prst="rect">
                      <a:avLst/>
                    </a:prstGeom>
                    <a:noFill/>
                    <a:ln>
                      <a:noFill/>
                    </a:ln>
                  </pic:spPr>
                </pic:pic>
              </a:graphicData>
            </a:graphic>
          </wp:inline>
        </w:drawing>
      </w:r>
    </w:p>
    <w:p w:rsidR="00F26847" w:rsidRDefault="00F26847" w:rsidP="00F26847">
      <w:pPr>
        <w:pStyle w:val="Sourceandnotes"/>
      </w:pPr>
      <w:r>
        <w:t>Note:</w:t>
      </w:r>
      <w:r>
        <w:tab/>
        <w:t>Real values in 2014</w:t>
      </w:r>
      <w:r>
        <w:noBreakHyphen/>
        <w:t>15 dollars</w:t>
      </w:r>
    </w:p>
    <w:p w:rsidR="00F26847" w:rsidRDefault="00F26847" w:rsidP="00F26847">
      <w:pPr>
        <w:keepNext/>
      </w:pPr>
      <w:r>
        <w:t>As noted, Sydney Airport also provides online pre-booking of car parking spaces, which provides customers with discounted charges at their domestic car park. Table 5.4.3 below compares the ‘drive-up’ charges with the overall average car parking price. It indicates that online booking is not leading to significant savings to many consumers.</w:t>
      </w:r>
    </w:p>
    <w:p w:rsidR="00F26847" w:rsidRDefault="00F26847" w:rsidP="00F26847">
      <w:pPr>
        <w:pStyle w:val="Numberedcharttitle"/>
      </w:pPr>
      <w:r>
        <w:t>Table 5.4.3:</w:t>
      </w:r>
      <w:r>
        <w:tab/>
        <w:t>Sydney Airport—drive-up, online and average parking charges at the domestic terminal car park: 2014</w:t>
      </w:r>
      <w:r>
        <w:noBreakHyphen/>
        <w:t>15</w:t>
      </w:r>
    </w:p>
    <w:tbl>
      <w:tblPr>
        <w:tblStyle w:val="TableGrid8"/>
        <w:tblW w:w="0" w:type="auto"/>
        <w:tblLook w:val="04A0" w:firstRow="1" w:lastRow="0" w:firstColumn="1" w:lastColumn="0" w:noHBand="0" w:noVBand="1"/>
      </w:tblPr>
      <w:tblGrid>
        <w:gridCol w:w="2166"/>
        <w:gridCol w:w="2166"/>
        <w:gridCol w:w="2166"/>
        <w:gridCol w:w="2166"/>
      </w:tblGrid>
      <w:tr w:rsidR="00F26847" w:rsidRPr="00E924E1" w:rsidTr="00BE4EED">
        <w:trPr>
          <w:tblHeader/>
        </w:trPr>
        <w:tc>
          <w:tcPr>
            <w:tcW w:w="2166" w:type="dxa"/>
            <w:tcBorders>
              <w:left w:val="nil"/>
              <w:bottom w:val="single" w:sz="4" w:space="0" w:color="auto"/>
              <w:right w:val="nil"/>
            </w:tcBorders>
            <w:shd w:val="clear" w:color="auto" w:fill="DFE0DC"/>
          </w:tcPr>
          <w:p w:rsidR="00F26847" w:rsidRPr="00E924E1" w:rsidRDefault="00F26847" w:rsidP="00BE4EED">
            <w:pPr>
              <w:keepNext/>
              <w:spacing w:before="40" w:after="40"/>
              <w:rPr>
                <w:b/>
                <w:color w:val="000000" w:themeColor="text1"/>
                <w:sz w:val="18"/>
              </w:rPr>
            </w:pPr>
            <w:r w:rsidRPr="00E924E1">
              <w:rPr>
                <w:b/>
                <w:color w:val="000000" w:themeColor="text1"/>
                <w:sz w:val="18"/>
              </w:rPr>
              <w:t>Length of stay</w:t>
            </w:r>
          </w:p>
        </w:tc>
        <w:tc>
          <w:tcPr>
            <w:tcW w:w="2166" w:type="dxa"/>
            <w:tcBorders>
              <w:left w:val="nil"/>
              <w:bottom w:val="single" w:sz="4" w:space="0" w:color="auto"/>
              <w:right w:val="nil"/>
            </w:tcBorders>
            <w:shd w:val="clear" w:color="auto" w:fill="DFE0DC"/>
          </w:tcPr>
          <w:p w:rsidR="00F26847" w:rsidRPr="00E924E1" w:rsidRDefault="00F26847" w:rsidP="00BE4EED">
            <w:pPr>
              <w:keepNext/>
              <w:spacing w:before="40" w:after="40"/>
              <w:jc w:val="right"/>
              <w:rPr>
                <w:b/>
                <w:color w:val="000000" w:themeColor="text1"/>
                <w:sz w:val="18"/>
              </w:rPr>
            </w:pPr>
            <w:r w:rsidRPr="00E924E1">
              <w:rPr>
                <w:b/>
                <w:color w:val="000000" w:themeColor="text1"/>
                <w:sz w:val="18"/>
              </w:rPr>
              <w:t xml:space="preserve">Drive-up </w:t>
            </w:r>
            <w:r w:rsidRPr="00E924E1">
              <w:rPr>
                <w:b/>
                <w:color w:val="000000" w:themeColor="text1"/>
                <w:sz w:val="18"/>
              </w:rPr>
              <w:br/>
              <w:t>($)</w:t>
            </w:r>
          </w:p>
        </w:tc>
        <w:tc>
          <w:tcPr>
            <w:tcW w:w="2166" w:type="dxa"/>
            <w:tcBorders>
              <w:left w:val="nil"/>
              <w:bottom w:val="single" w:sz="4" w:space="0" w:color="auto"/>
              <w:right w:val="single" w:sz="4" w:space="0" w:color="auto"/>
            </w:tcBorders>
            <w:shd w:val="clear" w:color="auto" w:fill="DFE0DC"/>
          </w:tcPr>
          <w:p w:rsidR="00F26847" w:rsidRPr="00E924E1" w:rsidRDefault="00F26847" w:rsidP="00BE4EED">
            <w:pPr>
              <w:keepNext/>
              <w:spacing w:before="40" w:after="40"/>
              <w:jc w:val="right"/>
              <w:rPr>
                <w:b/>
                <w:color w:val="000000" w:themeColor="text1"/>
                <w:sz w:val="18"/>
              </w:rPr>
            </w:pPr>
            <w:r w:rsidRPr="00E924E1">
              <w:rPr>
                <w:b/>
                <w:color w:val="000000" w:themeColor="text1"/>
                <w:sz w:val="18"/>
              </w:rPr>
              <w:t xml:space="preserve">Average online </w:t>
            </w:r>
            <w:r w:rsidRPr="00E924E1">
              <w:rPr>
                <w:b/>
                <w:color w:val="000000" w:themeColor="text1"/>
                <w:sz w:val="18"/>
              </w:rPr>
              <w:br/>
              <w:t>($)</w:t>
            </w:r>
          </w:p>
        </w:tc>
        <w:tc>
          <w:tcPr>
            <w:tcW w:w="2166" w:type="dxa"/>
            <w:tcBorders>
              <w:left w:val="single" w:sz="4" w:space="0" w:color="auto"/>
              <w:bottom w:val="single" w:sz="4" w:space="0" w:color="auto"/>
              <w:right w:val="nil"/>
            </w:tcBorders>
            <w:shd w:val="clear" w:color="auto" w:fill="DFE0DC"/>
          </w:tcPr>
          <w:p w:rsidR="00F26847" w:rsidRPr="00E924E1" w:rsidRDefault="00F26847" w:rsidP="00BE4EED">
            <w:pPr>
              <w:keepNext/>
              <w:spacing w:before="40" w:after="40"/>
              <w:jc w:val="right"/>
              <w:rPr>
                <w:b/>
                <w:color w:val="000000" w:themeColor="text1"/>
                <w:sz w:val="18"/>
              </w:rPr>
            </w:pPr>
            <w:r w:rsidRPr="00E924E1">
              <w:rPr>
                <w:b/>
                <w:color w:val="000000" w:themeColor="text1"/>
                <w:sz w:val="18"/>
              </w:rPr>
              <w:t>Weighted average of drive-up and online ($)</w:t>
            </w:r>
          </w:p>
        </w:tc>
      </w:tr>
      <w:tr w:rsidR="00F26847" w:rsidRPr="00E924E1" w:rsidTr="00BE4EED">
        <w:tc>
          <w:tcPr>
            <w:tcW w:w="2166" w:type="dxa"/>
            <w:tcBorders>
              <w:left w:val="nil"/>
              <w:bottom w:val="nil"/>
              <w:right w:val="nil"/>
            </w:tcBorders>
          </w:tcPr>
          <w:p w:rsidR="00F26847" w:rsidRPr="00E924E1" w:rsidRDefault="00F26847" w:rsidP="00BE4EED">
            <w:pPr>
              <w:keepNext/>
              <w:spacing w:before="40" w:after="40"/>
              <w:rPr>
                <w:sz w:val="18"/>
              </w:rPr>
            </w:pPr>
            <w:r w:rsidRPr="00E924E1">
              <w:rPr>
                <w:sz w:val="18"/>
              </w:rPr>
              <w:t>1 hour</w:t>
            </w:r>
          </w:p>
        </w:tc>
        <w:tc>
          <w:tcPr>
            <w:tcW w:w="2166" w:type="dxa"/>
            <w:tcBorders>
              <w:left w:val="nil"/>
              <w:bottom w:val="nil"/>
              <w:right w:val="nil"/>
            </w:tcBorders>
          </w:tcPr>
          <w:p w:rsidR="00F26847" w:rsidRPr="00E924E1" w:rsidRDefault="00F26847" w:rsidP="00BE4EED">
            <w:pPr>
              <w:keepNext/>
              <w:spacing w:before="40" w:after="40"/>
              <w:jc w:val="right"/>
              <w:rPr>
                <w:sz w:val="18"/>
              </w:rPr>
            </w:pPr>
            <w:r w:rsidRPr="00E924E1">
              <w:rPr>
                <w:sz w:val="18"/>
              </w:rPr>
              <w:t>16.00</w:t>
            </w:r>
          </w:p>
        </w:tc>
        <w:tc>
          <w:tcPr>
            <w:tcW w:w="2166" w:type="dxa"/>
            <w:tcBorders>
              <w:left w:val="nil"/>
              <w:bottom w:val="nil"/>
              <w:right w:val="single" w:sz="4" w:space="0" w:color="auto"/>
            </w:tcBorders>
          </w:tcPr>
          <w:p w:rsidR="00F26847" w:rsidRPr="00E924E1" w:rsidRDefault="00F26847" w:rsidP="00BE4EED">
            <w:pPr>
              <w:keepNext/>
              <w:spacing w:before="40" w:after="40"/>
              <w:jc w:val="right"/>
              <w:rPr>
                <w:sz w:val="18"/>
              </w:rPr>
            </w:pPr>
            <w:r w:rsidRPr="00E924E1">
              <w:rPr>
                <w:sz w:val="18"/>
              </w:rPr>
              <w:t>-</w:t>
            </w:r>
          </w:p>
        </w:tc>
        <w:tc>
          <w:tcPr>
            <w:tcW w:w="2166" w:type="dxa"/>
            <w:tcBorders>
              <w:left w:val="single" w:sz="4" w:space="0" w:color="auto"/>
              <w:bottom w:val="nil"/>
              <w:right w:val="nil"/>
            </w:tcBorders>
          </w:tcPr>
          <w:p w:rsidR="00F26847" w:rsidRPr="00E924E1" w:rsidRDefault="00F26847" w:rsidP="00BE4EED">
            <w:pPr>
              <w:keepNext/>
              <w:spacing w:before="40" w:after="40"/>
              <w:jc w:val="right"/>
              <w:rPr>
                <w:sz w:val="18"/>
              </w:rPr>
            </w:pPr>
            <w:r w:rsidRPr="00E924E1">
              <w:rPr>
                <w:sz w:val="18"/>
              </w:rPr>
              <w:t>16.26</w:t>
            </w:r>
          </w:p>
        </w:tc>
      </w:tr>
      <w:tr w:rsidR="00F26847" w:rsidRPr="00E924E1" w:rsidTr="00BE4EED">
        <w:tc>
          <w:tcPr>
            <w:tcW w:w="2166" w:type="dxa"/>
            <w:tcBorders>
              <w:top w:val="nil"/>
              <w:left w:val="nil"/>
              <w:bottom w:val="nil"/>
              <w:right w:val="nil"/>
            </w:tcBorders>
          </w:tcPr>
          <w:p w:rsidR="00F26847" w:rsidRPr="00E924E1" w:rsidRDefault="00F26847" w:rsidP="00BE4EED">
            <w:pPr>
              <w:keepNext/>
              <w:spacing w:before="40" w:after="40"/>
              <w:rPr>
                <w:sz w:val="18"/>
              </w:rPr>
            </w:pPr>
            <w:r w:rsidRPr="00E924E1">
              <w:rPr>
                <w:sz w:val="18"/>
              </w:rPr>
              <w:t>2 hours</w:t>
            </w:r>
          </w:p>
        </w:tc>
        <w:tc>
          <w:tcPr>
            <w:tcW w:w="2166" w:type="dxa"/>
            <w:tcBorders>
              <w:top w:val="nil"/>
              <w:left w:val="nil"/>
              <w:bottom w:val="nil"/>
              <w:right w:val="nil"/>
            </w:tcBorders>
          </w:tcPr>
          <w:p w:rsidR="00F26847" w:rsidRPr="00E924E1" w:rsidRDefault="00F26847" w:rsidP="00BE4EED">
            <w:pPr>
              <w:keepNext/>
              <w:spacing w:before="40" w:after="40"/>
              <w:jc w:val="right"/>
              <w:rPr>
                <w:sz w:val="18"/>
              </w:rPr>
            </w:pPr>
            <w:r w:rsidRPr="00E924E1">
              <w:rPr>
                <w:sz w:val="18"/>
              </w:rPr>
              <w:t>24.50</w:t>
            </w:r>
          </w:p>
        </w:tc>
        <w:tc>
          <w:tcPr>
            <w:tcW w:w="2166" w:type="dxa"/>
            <w:tcBorders>
              <w:top w:val="nil"/>
              <w:left w:val="nil"/>
              <w:bottom w:val="nil"/>
              <w:right w:val="single" w:sz="4" w:space="0" w:color="auto"/>
            </w:tcBorders>
          </w:tcPr>
          <w:p w:rsidR="00F26847" w:rsidRPr="00E924E1" w:rsidRDefault="00F26847" w:rsidP="00BE4EED">
            <w:pPr>
              <w:keepNext/>
              <w:spacing w:before="40" w:after="40"/>
              <w:jc w:val="right"/>
              <w:rPr>
                <w:sz w:val="18"/>
              </w:rPr>
            </w:pPr>
            <w:r w:rsidRPr="00E924E1">
              <w:rPr>
                <w:sz w:val="18"/>
              </w:rPr>
              <w:t>-</w:t>
            </w:r>
          </w:p>
        </w:tc>
        <w:tc>
          <w:tcPr>
            <w:tcW w:w="2166" w:type="dxa"/>
            <w:tcBorders>
              <w:top w:val="nil"/>
              <w:left w:val="single" w:sz="4" w:space="0" w:color="auto"/>
              <w:bottom w:val="nil"/>
              <w:right w:val="nil"/>
            </w:tcBorders>
          </w:tcPr>
          <w:p w:rsidR="00F26847" w:rsidRPr="00E924E1" w:rsidRDefault="00F26847" w:rsidP="00BE4EED">
            <w:pPr>
              <w:keepNext/>
              <w:spacing w:before="40" w:after="40"/>
              <w:jc w:val="right"/>
              <w:rPr>
                <w:sz w:val="18"/>
              </w:rPr>
            </w:pPr>
            <w:r w:rsidRPr="00E924E1">
              <w:rPr>
                <w:sz w:val="18"/>
              </w:rPr>
              <w:t>24.32</w:t>
            </w:r>
          </w:p>
        </w:tc>
      </w:tr>
      <w:tr w:rsidR="00F26847" w:rsidRPr="00E924E1" w:rsidTr="00BE4EED">
        <w:tc>
          <w:tcPr>
            <w:tcW w:w="2166" w:type="dxa"/>
            <w:tcBorders>
              <w:top w:val="nil"/>
              <w:left w:val="nil"/>
              <w:bottom w:val="nil"/>
              <w:right w:val="nil"/>
            </w:tcBorders>
          </w:tcPr>
          <w:p w:rsidR="00F26847" w:rsidRPr="00E924E1" w:rsidRDefault="00F26847" w:rsidP="00BE4EED">
            <w:pPr>
              <w:keepNext/>
              <w:spacing w:before="40" w:after="40"/>
              <w:rPr>
                <w:sz w:val="18"/>
              </w:rPr>
            </w:pPr>
            <w:r w:rsidRPr="00E924E1">
              <w:rPr>
                <w:sz w:val="18"/>
              </w:rPr>
              <w:t>3 hours</w:t>
            </w:r>
          </w:p>
        </w:tc>
        <w:tc>
          <w:tcPr>
            <w:tcW w:w="2166" w:type="dxa"/>
            <w:tcBorders>
              <w:top w:val="nil"/>
              <w:left w:val="nil"/>
              <w:bottom w:val="nil"/>
              <w:right w:val="nil"/>
            </w:tcBorders>
          </w:tcPr>
          <w:p w:rsidR="00F26847" w:rsidRPr="00E924E1" w:rsidRDefault="00F26847" w:rsidP="00BE4EED">
            <w:pPr>
              <w:keepNext/>
              <w:spacing w:before="40" w:after="40"/>
              <w:jc w:val="right"/>
              <w:rPr>
                <w:sz w:val="18"/>
              </w:rPr>
            </w:pPr>
            <w:r w:rsidRPr="00E924E1">
              <w:rPr>
                <w:sz w:val="18"/>
              </w:rPr>
              <w:t>33.00</w:t>
            </w:r>
          </w:p>
        </w:tc>
        <w:tc>
          <w:tcPr>
            <w:tcW w:w="2166" w:type="dxa"/>
            <w:tcBorders>
              <w:top w:val="nil"/>
              <w:left w:val="nil"/>
              <w:bottom w:val="nil"/>
              <w:right w:val="single" w:sz="4" w:space="0" w:color="auto"/>
            </w:tcBorders>
          </w:tcPr>
          <w:p w:rsidR="00F26847" w:rsidRPr="00E924E1" w:rsidRDefault="00F26847" w:rsidP="00BE4EED">
            <w:pPr>
              <w:keepNext/>
              <w:spacing w:before="40" w:after="40"/>
              <w:jc w:val="right"/>
              <w:rPr>
                <w:sz w:val="18"/>
              </w:rPr>
            </w:pPr>
            <w:r w:rsidRPr="00E924E1">
              <w:rPr>
                <w:sz w:val="18"/>
              </w:rPr>
              <w:t>-</w:t>
            </w:r>
          </w:p>
        </w:tc>
        <w:tc>
          <w:tcPr>
            <w:tcW w:w="2166" w:type="dxa"/>
            <w:tcBorders>
              <w:top w:val="nil"/>
              <w:left w:val="single" w:sz="4" w:space="0" w:color="auto"/>
              <w:bottom w:val="nil"/>
              <w:right w:val="nil"/>
            </w:tcBorders>
          </w:tcPr>
          <w:p w:rsidR="00F26847" w:rsidRPr="00E924E1" w:rsidRDefault="00F26847" w:rsidP="00BE4EED">
            <w:pPr>
              <w:keepNext/>
              <w:spacing w:before="40" w:after="40"/>
              <w:jc w:val="right"/>
              <w:rPr>
                <w:sz w:val="18"/>
              </w:rPr>
            </w:pPr>
            <w:r w:rsidRPr="00E924E1">
              <w:rPr>
                <w:sz w:val="18"/>
              </w:rPr>
              <w:t>32.50</w:t>
            </w:r>
          </w:p>
        </w:tc>
      </w:tr>
      <w:tr w:rsidR="00F26847" w:rsidRPr="00E924E1" w:rsidTr="00BE4EED">
        <w:tc>
          <w:tcPr>
            <w:tcW w:w="2166" w:type="dxa"/>
            <w:tcBorders>
              <w:top w:val="nil"/>
              <w:left w:val="nil"/>
              <w:bottom w:val="nil"/>
              <w:right w:val="nil"/>
            </w:tcBorders>
          </w:tcPr>
          <w:p w:rsidR="00F26847" w:rsidRPr="00E924E1" w:rsidRDefault="00F26847" w:rsidP="00BE4EED">
            <w:pPr>
              <w:keepNext/>
              <w:spacing w:before="40" w:after="40"/>
              <w:rPr>
                <w:sz w:val="18"/>
              </w:rPr>
            </w:pPr>
            <w:r w:rsidRPr="00E924E1">
              <w:rPr>
                <w:sz w:val="18"/>
              </w:rPr>
              <w:t>4 hours</w:t>
            </w:r>
          </w:p>
        </w:tc>
        <w:tc>
          <w:tcPr>
            <w:tcW w:w="2166" w:type="dxa"/>
            <w:tcBorders>
              <w:top w:val="nil"/>
              <w:left w:val="nil"/>
              <w:bottom w:val="nil"/>
              <w:right w:val="nil"/>
            </w:tcBorders>
          </w:tcPr>
          <w:p w:rsidR="00F26847" w:rsidRPr="00E924E1" w:rsidRDefault="00F26847" w:rsidP="00BE4EED">
            <w:pPr>
              <w:keepNext/>
              <w:spacing w:before="40" w:after="40"/>
              <w:jc w:val="right"/>
              <w:rPr>
                <w:sz w:val="18"/>
              </w:rPr>
            </w:pPr>
            <w:r w:rsidRPr="00E924E1">
              <w:rPr>
                <w:sz w:val="18"/>
              </w:rPr>
              <w:t>58.50</w:t>
            </w:r>
          </w:p>
        </w:tc>
        <w:tc>
          <w:tcPr>
            <w:tcW w:w="2166" w:type="dxa"/>
            <w:tcBorders>
              <w:top w:val="nil"/>
              <w:left w:val="nil"/>
              <w:bottom w:val="nil"/>
              <w:right w:val="single" w:sz="4" w:space="0" w:color="auto"/>
            </w:tcBorders>
          </w:tcPr>
          <w:p w:rsidR="00F26847" w:rsidRPr="00E924E1" w:rsidRDefault="00F26847" w:rsidP="00BE4EED">
            <w:pPr>
              <w:keepNext/>
              <w:spacing w:before="40" w:after="40"/>
              <w:jc w:val="right"/>
              <w:rPr>
                <w:sz w:val="18"/>
              </w:rPr>
            </w:pPr>
            <w:r w:rsidRPr="00E924E1">
              <w:rPr>
                <w:sz w:val="18"/>
              </w:rPr>
              <w:t>-</w:t>
            </w:r>
          </w:p>
        </w:tc>
        <w:tc>
          <w:tcPr>
            <w:tcW w:w="2166" w:type="dxa"/>
            <w:tcBorders>
              <w:top w:val="nil"/>
              <w:left w:val="single" w:sz="4" w:space="0" w:color="auto"/>
              <w:bottom w:val="nil"/>
              <w:right w:val="nil"/>
            </w:tcBorders>
          </w:tcPr>
          <w:p w:rsidR="00F26847" w:rsidRPr="00E924E1" w:rsidRDefault="00F26847" w:rsidP="00BE4EED">
            <w:pPr>
              <w:keepNext/>
              <w:spacing w:before="40" w:after="40"/>
              <w:jc w:val="right"/>
              <w:rPr>
                <w:sz w:val="18"/>
              </w:rPr>
            </w:pPr>
            <w:r w:rsidRPr="00E924E1">
              <w:rPr>
                <w:sz w:val="18"/>
              </w:rPr>
              <w:t>57.36</w:t>
            </w:r>
          </w:p>
        </w:tc>
      </w:tr>
      <w:tr w:rsidR="00F26847" w:rsidRPr="00E924E1" w:rsidTr="00BE4EED">
        <w:tc>
          <w:tcPr>
            <w:tcW w:w="2166" w:type="dxa"/>
            <w:tcBorders>
              <w:top w:val="nil"/>
              <w:left w:val="nil"/>
              <w:bottom w:val="single" w:sz="4" w:space="0" w:color="auto"/>
              <w:right w:val="nil"/>
            </w:tcBorders>
          </w:tcPr>
          <w:p w:rsidR="00F26847" w:rsidRPr="00E924E1" w:rsidRDefault="00F26847" w:rsidP="00BE4EED">
            <w:pPr>
              <w:keepNext/>
              <w:spacing w:before="40" w:after="40"/>
              <w:rPr>
                <w:sz w:val="18"/>
              </w:rPr>
            </w:pPr>
            <w:r w:rsidRPr="00E924E1">
              <w:rPr>
                <w:sz w:val="18"/>
              </w:rPr>
              <w:t>24 hours</w:t>
            </w:r>
          </w:p>
        </w:tc>
        <w:tc>
          <w:tcPr>
            <w:tcW w:w="2166" w:type="dxa"/>
            <w:tcBorders>
              <w:top w:val="nil"/>
              <w:left w:val="nil"/>
              <w:bottom w:val="single" w:sz="4" w:space="0" w:color="auto"/>
              <w:right w:val="nil"/>
            </w:tcBorders>
          </w:tcPr>
          <w:p w:rsidR="00F26847" w:rsidRPr="00E924E1" w:rsidRDefault="00F26847" w:rsidP="00BE4EED">
            <w:pPr>
              <w:keepNext/>
              <w:spacing w:before="40" w:after="40"/>
              <w:jc w:val="right"/>
              <w:rPr>
                <w:sz w:val="18"/>
              </w:rPr>
            </w:pPr>
            <w:r w:rsidRPr="00E924E1">
              <w:rPr>
                <w:sz w:val="18"/>
              </w:rPr>
              <w:t>58.50</w:t>
            </w:r>
          </w:p>
        </w:tc>
        <w:tc>
          <w:tcPr>
            <w:tcW w:w="2166" w:type="dxa"/>
            <w:tcBorders>
              <w:top w:val="nil"/>
              <w:left w:val="nil"/>
              <w:bottom w:val="single" w:sz="4" w:space="0" w:color="auto"/>
              <w:right w:val="single" w:sz="4" w:space="0" w:color="auto"/>
            </w:tcBorders>
          </w:tcPr>
          <w:p w:rsidR="00F26847" w:rsidRPr="00E924E1" w:rsidRDefault="00F26847" w:rsidP="00BE4EED">
            <w:pPr>
              <w:keepNext/>
              <w:spacing w:before="40" w:after="40"/>
              <w:jc w:val="right"/>
              <w:rPr>
                <w:sz w:val="18"/>
              </w:rPr>
            </w:pPr>
            <w:r w:rsidRPr="00E924E1">
              <w:rPr>
                <w:sz w:val="18"/>
              </w:rPr>
              <w:t>-</w:t>
            </w:r>
          </w:p>
        </w:tc>
        <w:tc>
          <w:tcPr>
            <w:tcW w:w="2166" w:type="dxa"/>
            <w:tcBorders>
              <w:top w:val="nil"/>
              <w:left w:val="single" w:sz="4" w:space="0" w:color="auto"/>
              <w:bottom w:val="single" w:sz="4" w:space="0" w:color="auto"/>
              <w:right w:val="nil"/>
            </w:tcBorders>
          </w:tcPr>
          <w:p w:rsidR="00F26847" w:rsidRPr="00E924E1" w:rsidRDefault="00F26847" w:rsidP="00BE4EED">
            <w:pPr>
              <w:keepNext/>
              <w:spacing w:before="40" w:after="40"/>
              <w:jc w:val="right"/>
              <w:rPr>
                <w:sz w:val="18"/>
              </w:rPr>
            </w:pPr>
            <w:r w:rsidRPr="00E924E1">
              <w:rPr>
                <w:sz w:val="18"/>
              </w:rPr>
              <w:t>57.36</w:t>
            </w:r>
          </w:p>
        </w:tc>
      </w:tr>
    </w:tbl>
    <w:p w:rsidR="00F26847" w:rsidRPr="00E924E1" w:rsidRDefault="00F26847" w:rsidP="00F26847">
      <w:pPr>
        <w:pStyle w:val="Sourceandnotes"/>
      </w:pPr>
      <w:r w:rsidRPr="00E924E1">
        <w:t>Note:</w:t>
      </w:r>
      <w:r w:rsidRPr="00E924E1">
        <w:tab/>
        <w:t>Average car parking charges are calculated as the weighted average of drive-up and online charges</w:t>
      </w:r>
    </w:p>
    <w:p w:rsidR="00F26847" w:rsidRPr="00E924E1" w:rsidRDefault="00F26847" w:rsidP="00F26847">
      <w:pPr>
        <w:pStyle w:val="Sourceandnotes"/>
      </w:pPr>
      <w:r w:rsidRPr="00E924E1">
        <w:tab/>
        <w:t>- Commercial in confidence</w:t>
      </w:r>
    </w:p>
    <w:p w:rsidR="00F26847" w:rsidRDefault="00F26847" w:rsidP="00F26847">
      <w:pPr>
        <w:keepNext/>
        <w:spacing w:after="200" w:line="276" w:lineRule="auto"/>
        <w:outlineLvl w:val="4"/>
        <w:rPr>
          <w:rFonts w:eastAsiaTheme="majorEastAsia" w:cstheme="majorBidi"/>
          <w:b/>
          <w:bCs/>
          <w:i/>
          <w:color w:val="51626F"/>
          <w:sz w:val="24"/>
          <w:szCs w:val="28"/>
        </w:rPr>
      </w:pPr>
      <w:r>
        <w:rPr>
          <w:rFonts w:eastAsiaTheme="majorEastAsia" w:cstheme="majorBidi"/>
          <w:b/>
          <w:bCs/>
          <w:i/>
          <w:color w:val="51626F"/>
          <w:sz w:val="24"/>
          <w:szCs w:val="28"/>
        </w:rPr>
        <w:t>L</w:t>
      </w:r>
      <w:r w:rsidRPr="005C3FFC">
        <w:rPr>
          <w:rFonts w:eastAsiaTheme="majorEastAsia" w:cstheme="majorBidi"/>
          <w:b/>
          <w:bCs/>
          <w:i/>
          <w:color w:val="51626F"/>
          <w:sz w:val="24"/>
          <w:szCs w:val="28"/>
        </w:rPr>
        <w:t>ong-term parking—Blu Emu car park</w:t>
      </w:r>
    </w:p>
    <w:p w:rsidR="00F26847" w:rsidRPr="005C3FFC" w:rsidRDefault="00F26847" w:rsidP="00F26847">
      <w:pPr>
        <w:keepNext/>
      </w:pPr>
      <w:r>
        <w:t>Chart 5.4.3 shows the trends in parking prices for the long term car park. All durations apart from one day remained the same in nominal terms during the year and therefore decreased in real terms. The one day duration increased by 5.3 per cent while all other prices decreased by 1.7 per cent in real terms</w:t>
      </w:r>
    </w:p>
    <w:p w:rsidR="00F26847" w:rsidRPr="00E924E1" w:rsidRDefault="00F26847" w:rsidP="00F26847">
      <w:pPr>
        <w:keepNext/>
        <w:spacing w:before="240" w:after="200" w:line="276" w:lineRule="auto"/>
        <w:ind w:left="1440" w:hanging="1440"/>
        <w:outlineLvl w:val="3"/>
        <w:rPr>
          <w:b/>
          <w:color w:val="51626F"/>
        </w:rPr>
      </w:pPr>
      <w:r w:rsidRPr="005C3FFC">
        <w:rPr>
          <w:b/>
          <w:color w:val="51626F"/>
        </w:rPr>
        <w:lastRenderedPageBreak/>
        <w:t xml:space="preserve">Chart </w:t>
      </w:r>
      <w:r>
        <w:rPr>
          <w:b/>
          <w:color w:val="51626F"/>
        </w:rPr>
        <w:t>5.4</w:t>
      </w:r>
      <w:r w:rsidRPr="005C3FFC">
        <w:rPr>
          <w:b/>
          <w:color w:val="51626F"/>
        </w:rPr>
        <w:t>.3:</w:t>
      </w:r>
      <w:r w:rsidRPr="005C3FFC">
        <w:rPr>
          <w:b/>
          <w:color w:val="51626F"/>
        </w:rPr>
        <w:tab/>
        <w:t xml:space="preserve">Sydney Airport—prices at long-term (Blu Emu) car park in real terms: </w:t>
      </w:r>
      <w:r>
        <w:rPr>
          <w:b/>
          <w:color w:val="51626F"/>
        </w:rPr>
        <w:t>30 June 2005</w:t>
      </w:r>
      <w:r w:rsidRPr="005C3FFC">
        <w:rPr>
          <w:b/>
          <w:color w:val="51626F"/>
        </w:rPr>
        <w:t xml:space="preserve"> to </w:t>
      </w:r>
      <w:r>
        <w:rPr>
          <w:b/>
          <w:color w:val="51626F"/>
        </w:rPr>
        <w:t>30 June 2015</w:t>
      </w:r>
    </w:p>
    <w:p w:rsidR="00F26847" w:rsidRDefault="00F26847" w:rsidP="00F26847">
      <w:pPr>
        <w:pStyle w:val="Numberedcharttitle"/>
      </w:pPr>
      <w:r w:rsidRPr="00787CAC">
        <w:rPr>
          <w:noProof/>
          <w:lang w:eastAsia="en-AU"/>
        </w:rPr>
        <w:drawing>
          <wp:inline distT="0" distB="0" distL="0" distR="0" wp14:anchorId="0A0CB023" wp14:editId="23CDDAC6">
            <wp:extent cx="5364480" cy="292798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64480" cy="2927985"/>
                    </a:xfrm>
                    <a:prstGeom prst="rect">
                      <a:avLst/>
                    </a:prstGeom>
                    <a:noFill/>
                    <a:ln>
                      <a:noFill/>
                    </a:ln>
                  </pic:spPr>
                </pic:pic>
              </a:graphicData>
            </a:graphic>
          </wp:inline>
        </w:drawing>
      </w:r>
    </w:p>
    <w:p w:rsidR="00F26847" w:rsidRDefault="00F26847" w:rsidP="00F26847">
      <w:pPr>
        <w:keepNext/>
        <w:ind w:left="720" w:hanging="720"/>
        <w:contextualSpacing/>
        <w:rPr>
          <w:sz w:val="16"/>
          <w:szCs w:val="16"/>
        </w:rPr>
      </w:pPr>
      <w:r w:rsidRPr="00E924E1">
        <w:rPr>
          <w:sz w:val="16"/>
          <w:szCs w:val="16"/>
        </w:rPr>
        <w:t>Note:</w:t>
      </w:r>
      <w:r w:rsidRPr="00E924E1">
        <w:rPr>
          <w:sz w:val="16"/>
          <w:szCs w:val="16"/>
        </w:rPr>
        <w:tab/>
        <w:t>Real values in 2014-15 dollars</w:t>
      </w:r>
    </w:p>
    <w:p w:rsidR="00F26847" w:rsidRDefault="00F26847" w:rsidP="00F26847">
      <w:pPr>
        <w:keepNext/>
        <w:ind w:left="720" w:hanging="720"/>
        <w:contextualSpacing/>
        <w:rPr>
          <w:sz w:val="16"/>
          <w:szCs w:val="16"/>
        </w:rPr>
      </w:pPr>
    </w:p>
    <w:p w:rsidR="00F26847" w:rsidRPr="00E924E1" w:rsidRDefault="00F26847" w:rsidP="00F26847">
      <w:pPr>
        <w:keepNext/>
        <w:spacing w:before="120" w:after="120"/>
      </w:pPr>
      <w:r w:rsidRPr="00E924E1">
        <w:t xml:space="preserve">Over the period from 30 June 2005 to 30 June 2015 all prices increased in real terms at Sydney Airport’s long term car park. The largest increase was for one day which increased by 53.1 per cent in real terms. Other increases ranged from 24.2 per cent for the three days to 4.4 per cent in real terms for the seven days. </w:t>
      </w:r>
    </w:p>
    <w:p w:rsidR="00F26847" w:rsidRDefault="00F26847" w:rsidP="00F26847">
      <w:pPr>
        <w:keepNext/>
      </w:pPr>
      <w:r w:rsidRPr="00E924E1">
        <w:t>Table 5.4.4 below compares the ‘drive-up’ charges compares the ‘drive-up’ charges with the overall average car parking price. The weighted average of ‘drive-up’ and online only becomes noticeably cheaper for those parking for seven days</w:t>
      </w:r>
      <w:r>
        <w:t>.</w:t>
      </w:r>
    </w:p>
    <w:p w:rsidR="00F26847" w:rsidRPr="00E924E1" w:rsidRDefault="00F26847" w:rsidP="00F26847">
      <w:pPr>
        <w:pStyle w:val="Numberedcharttitle"/>
      </w:pPr>
      <w:r>
        <w:t>Table 5.4.4</w:t>
      </w:r>
      <w:r>
        <w:tab/>
        <w:t xml:space="preserve">Sydney Airport—drive-up, online and average parking charges at the </w:t>
      </w:r>
      <w:r w:rsidRPr="005C3FFC">
        <w:t>long-term (Blu Emu)</w:t>
      </w:r>
      <w:r>
        <w:t xml:space="preserve"> car park: 2014</w:t>
      </w:r>
      <w:r>
        <w:noBreakHyphen/>
        <w:t>15</w:t>
      </w:r>
    </w:p>
    <w:tbl>
      <w:tblPr>
        <w:tblStyle w:val="TableGrid9"/>
        <w:tblW w:w="0" w:type="auto"/>
        <w:tblLook w:val="04A0" w:firstRow="1" w:lastRow="0" w:firstColumn="1" w:lastColumn="0" w:noHBand="0" w:noVBand="1"/>
      </w:tblPr>
      <w:tblGrid>
        <w:gridCol w:w="2166"/>
        <w:gridCol w:w="2166"/>
        <w:gridCol w:w="2166"/>
        <w:gridCol w:w="2166"/>
      </w:tblGrid>
      <w:tr w:rsidR="00F26847" w:rsidRPr="00D73853" w:rsidTr="00BE4EED">
        <w:tc>
          <w:tcPr>
            <w:tcW w:w="2166" w:type="dxa"/>
            <w:tcBorders>
              <w:left w:val="nil"/>
              <w:bottom w:val="single" w:sz="4" w:space="0" w:color="auto"/>
              <w:right w:val="nil"/>
            </w:tcBorders>
            <w:shd w:val="clear" w:color="auto" w:fill="DFE0DC"/>
          </w:tcPr>
          <w:p w:rsidR="00F26847" w:rsidRPr="00D73853" w:rsidRDefault="00F26847" w:rsidP="00BE4EED">
            <w:pPr>
              <w:keepNext/>
              <w:spacing w:before="40" w:after="40"/>
              <w:rPr>
                <w:b/>
                <w:color w:val="000000" w:themeColor="text1"/>
                <w:sz w:val="18"/>
              </w:rPr>
            </w:pPr>
            <w:r w:rsidRPr="00D73853">
              <w:rPr>
                <w:b/>
                <w:color w:val="000000" w:themeColor="text1"/>
                <w:sz w:val="18"/>
              </w:rPr>
              <w:t>Length of stay</w:t>
            </w:r>
          </w:p>
        </w:tc>
        <w:tc>
          <w:tcPr>
            <w:tcW w:w="2166" w:type="dxa"/>
            <w:tcBorders>
              <w:left w:val="nil"/>
              <w:bottom w:val="single" w:sz="4" w:space="0" w:color="auto"/>
              <w:right w:val="nil"/>
            </w:tcBorders>
            <w:shd w:val="clear" w:color="auto" w:fill="DFE0DC"/>
          </w:tcPr>
          <w:p w:rsidR="00F26847" w:rsidRPr="00D73853" w:rsidRDefault="00F26847" w:rsidP="00BE4EED">
            <w:pPr>
              <w:keepNext/>
              <w:spacing w:before="40" w:after="40"/>
              <w:jc w:val="right"/>
              <w:rPr>
                <w:b/>
                <w:color w:val="000000" w:themeColor="text1"/>
                <w:sz w:val="18"/>
              </w:rPr>
            </w:pPr>
            <w:r w:rsidRPr="00D73853">
              <w:rPr>
                <w:b/>
                <w:color w:val="000000" w:themeColor="text1"/>
                <w:sz w:val="18"/>
              </w:rPr>
              <w:t xml:space="preserve">Drive-up </w:t>
            </w:r>
            <w:r w:rsidRPr="00D73853">
              <w:rPr>
                <w:b/>
                <w:color w:val="000000" w:themeColor="text1"/>
                <w:sz w:val="18"/>
              </w:rPr>
              <w:br/>
              <w:t>($)</w:t>
            </w:r>
          </w:p>
        </w:tc>
        <w:tc>
          <w:tcPr>
            <w:tcW w:w="2166" w:type="dxa"/>
            <w:tcBorders>
              <w:left w:val="nil"/>
              <w:bottom w:val="single" w:sz="4" w:space="0" w:color="auto"/>
              <w:right w:val="single" w:sz="4" w:space="0" w:color="auto"/>
            </w:tcBorders>
            <w:shd w:val="clear" w:color="auto" w:fill="DFE0DC"/>
          </w:tcPr>
          <w:p w:rsidR="00F26847" w:rsidRPr="00D73853" w:rsidRDefault="00F26847" w:rsidP="00BE4EED">
            <w:pPr>
              <w:keepNext/>
              <w:spacing w:before="40" w:after="40"/>
              <w:jc w:val="right"/>
              <w:rPr>
                <w:b/>
                <w:color w:val="000000" w:themeColor="text1"/>
                <w:sz w:val="18"/>
              </w:rPr>
            </w:pPr>
            <w:r w:rsidRPr="00D73853">
              <w:rPr>
                <w:b/>
                <w:color w:val="000000" w:themeColor="text1"/>
                <w:sz w:val="18"/>
              </w:rPr>
              <w:t xml:space="preserve">Average online </w:t>
            </w:r>
            <w:r w:rsidRPr="00D73853">
              <w:rPr>
                <w:b/>
                <w:color w:val="000000" w:themeColor="text1"/>
                <w:sz w:val="18"/>
              </w:rPr>
              <w:br/>
              <w:t>($)</w:t>
            </w:r>
          </w:p>
        </w:tc>
        <w:tc>
          <w:tcPr>
            <w:tcW w:w="2166" w:type="dxa"/>
            <w:tcBorders>
              <w:left w:val="single" w:sz="4" w:space="0" w:color="auto"/>
              <w:bottom w:val="single" w:sz="4" w:space="0" w:color="auto"/>
              <w:right w:val="nil"/>
            </w:tcBorders>
            <w:shd w:val="clear" w:color="auto" w:fill="DFE0DC"/>
          </w:tcPr>
          <w:p w:rsidR="00F26847" w:rsidRPr="00D73853" w:rsidRDefault="00F26847" w:rsidP="00BE4EED">
            <w:pPr>
              <w:keepNext/>
              <w:spacing w:before="40" w:after="40"/>
              <w:jc w:val="right"/>
              <w:rPr>
                <w:b/>
                <w:color w:val="000000" w:themeColor="text1"/>
                <w:sz w:val="18"/>
              </w:rPr>
            </w:pPr>
            <w:r w:rsidRPr="00D73853">
              <w:rPr>
                <w:b/>
                <w:color w:val="000000" w:themeColor="text1"/>
                <w:sz w:val="18"/>
              </w:rPr>
              <w:t>Weighted average of drive-up and online ($)</w:t>
            </w:r>
          </w:p>
        </w:tc>
      </w:tr>
      <w:tr w:rsidR="00F26847" w:rsidRPr="00D73853" w:rsidTr="00BE4EED">
        <w:tc>
          <w:tcPr>
            <w:tcW w:w="2166" w:type="dxa"/>
            <w:tcBorders>
              <w:left w:val="nil"/>
              <w:bottom w:val="nil"/>
              <w:right w:val="nil"/>
            </w:tcBorders>
          </w:tcPr>
          <w:p w:rsidR="00F26847" w:rsidRPr="00D73853" w:rsidRDefault="00F26847" w:rsidP="00BE4EED">
            <w:pPr>
              <w:keepNext/>
              <w:spacing w:before="40" w:after="40"/>
              <w:rPr>
                <w:sz w:val="18"/>
              </w:rPr>
            </w:pPr>
            <w:r w:rsidRPr="00D73853">
              <w:rPr>
                <w:sz w:val="18"/>
              </w:rPr>
              <w:t>1 day</w:t>
            </w:r>
          </w:p>
        </w:tc>
        <w:tc>
          <w:tcPr>
            <w:tcW w:w="2166" w:type="dxa"/>
            <w:tcBorders>
              <w:left w:val="nil"/>
              <w:bottom w:val="nil"/>
              <w:right w:val="nil"/>
            </w:tcBorders>
          </w:tcPr>
          <w:p w:rsidR="00F26847" w:rsidRPr="00D73853" w:rsidRDefault="00F26847" w:rsidP="00BE4EED">
            <w:pPr>
              <w:keepNext/>
              <w:spacing w:before="40" w:after="40"/>
              <w:jc w:val="right"/>
              <w:rPr>
                <w:sz w:val="18"/>
              </w:rPr>
            </w:pPr>
            <w:r w:rsidRPr="00D73853">
              <w:rPr>
                <w:sz w:val="18"/>
              </w:rPr>
              <w:t>30.00</w:t>
            </w:r>
          </w:p>
        </w:tc>
        <w:tc>
          <w:tcPr>
            <w:tcW w:w="2166" w:type="dxa"/>
            <w:tcBorders>
              <w:left w:val="nil"/>
              <w:bottom w:val="nil"/>
              <w:right w:val="single" w:sz="4" w:space="0" w:color="auto"/>
            </w:tcBorders>
          </w:tcPr>
          <w:p w:rsidR="00F26847" w:rsidRPr="00D73853" w:rsidRDefault="00F26847" w:rsidP="00BE4EED">
            <w:pPr>
              <w:keepNext/>
              <w:spacing w:before="40" w:after="40"/>
              <w:jc w:val="right"/>
              <w:rPr>
                <w:sz w:val="18"/>
              </w:rPr>
            </w:pPr>
            <w:r w:rsidRPr="00D73853">
              <w:rPr>
                <w:sz w:val="18"/>
              </w:rPr>
              <w:t>-</w:t>
            </w:r>
          </w:p>
        </w:tc>
        <w:tc>
          <w:tcPr>
            <w:tcW w:w="2166" w:type="dxa"/>
            <w:tcBorders>
              <w:left w:val="single" w:sz="4" w:space="0" w:color="auto"/>
              <w:bottom w:val="nil"/>
              <w:right w:val="nil"/>
            </w:tcBorders>
          </w:tcPr>
          <w:p w:rsidR="00F26847" w:rsidRPr="00D73853" w:rsidRDefault="00F26847" w:rsidP="00BE4EED">
            <w:pPr>
              <w:keepNext/>
              <w:spacing w:before="40" w:after="40"/>
              <w:jc w:val="right"/>
              <w:rPr>
                <w:sz w:val="18"/>
              </w:rPr>
            </w:pPr>
            <w:r w:rsidRPr="00D73853">
              <w:rPr>
                <w:sz w:val="18"/>
              </w:rPr>
              <w:t>31.96</w:t>
            </w:r>
          </w:p>
        </w:tc>
      </w:tr>
      <w:tr w:rsidR="00F26847" w:rsidRPr="00D73853" w:rsidTr="00BE4EED">
        <w:tc>
          <w:tcPr>
            <w:tcW w:w="2166" w:type="dxa"/>
            <w:tcBorders>
              <w:top w:val="nil"/>
              <w:left w:val="nil"/>
              <w:bottom w:val="nil"/>
              <w:right w:val="nil"/>
            </w:tcBorders>
          </w:tcPr>
          <w:p w:rsidR="00F26847" w:rsidRPr="00D73853" w:rsidRDefault="00F26847" w:rsidP="00BE4EED">
            <w:pPr>
              <w:keepNext/>
              <w:spacing w:before="40" w:after="40"/>
              <w:rPr>
                <w:sz w:val="18"/>
              </w:rPr>
            </w:pPr>
            <w:r w:rsidRPr="00D73853">
              <w:rPr>
                <w:sz w:val="18"/>
              </w:rPr>
              <w:t>3 days</w:t>
            </w:r>
          </w:p>
        </w:tc>
        <w:tc>
          <w:tcPr>
            <w:tcW w:w="2166" w:type="dxa"/>
            <w:tcBorders>
              <w:top w:val="nil"/>
              <w:left w:val="nil"/>
              <w:bottom w:val="nil"/>
              <w:right w:val="nil"/>
            </w:tcBorders>
          </w:tcPr>
          <w:p w:rsidR="00F26847" w:rsidRPr="00D73853" w:rsidRDefault="00F26847" w:rsidP="00BE4EED">
            <w:pPr>
              <w:keepNext/>
              <w:spacing w:before="40" w:after="40"/>
              <w:jc w:val="right"/>
              <w:rPr>
                <w:sz w:val="18"/>
              </w:rPr>
            </w:pPr>
            <w:r w:rsidRPr="00D73853">
              <w:rPr>
                <w:sz w:val="18"/>
              </w:rPr>
              <w:t>73.00</w:t>
            </w:r>
          </w:p>
        </w:tc>
        <w:tc>
          <w:tcPr>
            <w:tcW w:w="2166" w:type="dxa"/>
            <w:tcBorders>
              <w:top w:val="nil"/>
              <w:left w:val="nil"/>
              <w:bottom w:val="nil"/>
              <w:right w:val="single" w:sz="4" w:space="0" w:color="auto"/>
            </w:tcBorders>
          </w:tcPr>
          <w:p w:rsidR="00F26847" w:rsidRPr="00D73853" w:rsidRDefault="00F26847" w:rsidP="00BE4EED">
            <w:pPr>
              <w:keepNext/>
              <w:spacing w:before="40" w:after="40"/>
              <w:jc w:val="right"/>
              <w:rPr>
                <w:sz w:val="18"/>
              </w:rPr>
            </w:pPr>
            <w:r w:rsidRPr="00D73853">
              <w:rPr>
                <w:sz w:val="18"/>
              </w:rPr>
              <w:t>-</w:t>
            </w:r>
          </w:p>
        </w:tc>
        <w:tc>
          <w:tcPr>
            <w:tcW w:w="2166" w:type="dxa"/>
            <w:tcBorders>
              <w:top w:val="nil"/>
              <w:left w:val="single" w:sz="4" w:space="0" w:color="auto"/>
              <w:bottom w:val="nil"/>
              <w:right w:val="nil"/>
            </w:tcBorders>
          </w:tcPr>
          <w:p w:rsidR="00F26847" w:rsidRPr="00D73853" w:rsidRDefault="00F26847" w:rsidP="00BE4EED">
            <w:pPr>
              <w:keepNext/>
              <w:spacing w:before="40" w:after="40"/>
              <w:jc w:val="right"/>
              <w:rPr>
                <w:sz w:val="18"/>
              </w:rPr>
            </w:pPr>
            <w:r w:rsidRPr="00D73853">
              <w:rPr>
                <w:sz w:val="18"/>
              </w:rPr>
              <w:t>72.01</w:t>
            </w:r>
          </w:p>
        </w:tc>
      </w:tr>
      <w:tr w:rsidR="00F26847" w:rsidRPr="00D73853" w:rsidTr="00BE4EED">
        <w:tc>
          <w:tcPr>
            <w:tcW w:w="2166" w:type="dxa"/>
            <w:tcBorders>
              <w:top w:val="nil"/>
              <w:left w:val="nil"/>
              <w:bottom w:val="nil"/>
              <w:right w:val="nil"/>
            </w:tcBorders>
          </w:tcPr>
          <w:p w:rsidR="00F26847" w:rsidRPr="00D73853" w:rsidRDefault="00F26847" w:rsidP="00BE4EED">
            <w:pPr>
              <w:keepNext/>
              <w:spacing w:before="40" w:after="40"/>
              <w:rPr>
                <w:sz w:val="18"/>
              </w:rPr>
            </w:pPr>
            <w:r w:rsidRPr="00D73853">
              <w:rPr>
                <w:sz w:val="18"/>
              </w:rPr>
              <w:t>4 days</w:t>
            </w:r>
          </w:p>
        </w:tc>
        <w:tc>
          <w:tcPr>
            <w:tcW w:w="2166" w:type="dxa"/>
            <w:tcBorders>
              <w:top w:val="nil"/>
              <w:left w:val="nil"/>
              <w:bottom w:val="nil"/>
              <w:right w:val="nil"/>
            </w:tcBorders>
          </w:tcPr>
          <w:p w:rsidR="00F26847" w:rsidRPr="00D73853" w:rsidRDefault="00F26847" w:rsidP="00BE4EED">
            <w:pPr>
              <w:keepNext/>
              <w:spacing w:before="40" w:after="40"/>
              <w:jc w:val="right"/>
              <w:rPr>
                <w:sz w:val="18"/>
              </w:rPr>
            </w:pPr>
            <w:r w:rsidRPr="00D73853">
              <w:rPr>
                <w:sz w:val="18"/>
              </w:rPr>
              <w:t>89.00</w:t>
            </w:r>
          </w:p>
        </w:tc>
        <w:tc>
          <w:tcPr>
            <w:tcW w:w="2166" w:type="dxa"/>
            <w:tcBorders>
              <w:top w:val="nil"/>
              <w:left w:val="nil"/>
              <w:bottom w:val="nil"/>
              <w:right w:val="single" w:sz="4" w:space="0" w:color="auto"/>
            </w:tcBorders>
          </w:tcPr>
          <w:p w:rsidR="00F26847" w:rsidRPr="00D73853" w:rsidRDefault="00F26847" w:rsidP="00BE4EED">
            <w:pPr>
              <w:keepNext/>
              <w:spacing w:before="40" w:after="40"/>
              <w:jc w:val="right"/>
              <w:rPr>
                <w:sz w:val="18"/>
              </w:rPr>
            </w:pPr>
            <w:r w:rsidRPr="00D73853">
              <w:rPr>
                <w:sz w:val="18"/>
              </w:rPr>
              <w:t>-</w:t>
            </w:r>
          </w:p>
        </w:tc>
        <w:tc>
          <w:tcPr>
            <w:tcW w:w="2166" w:type="dxa"/>
            <w:tcBorders>
              <w:top w:val="nil"/>
              <w:left w:val="single" w:sz="4" w:space="0" w:color="auto"/>
              <w:bottom w:val="nil"/>
              <w:right w:val="nil"/>
            </w:tcBorders>
          </w:tcPr>
          <w:p w:rsidR="00F26847" w:rsidRPr="00D73853" w:rsidRDefault="00F26847" w:rsidP="00BE4EED">
            <w:pPr>
              <w:keepNext/>
              <w:spacing w:before="40" w:after="40"/>
              <w:jc w:val="right"/>
              <w:rPr>
                <w:sz w:val="18"/>
              </w:rPr>
            </w:pPr>
            <w:r w:rsidRPr="00D73853">
              <w:rPr>
                <w:sz w:val="18"/>
              </w:rPr>
              <w:t>86.82</w:t>
            </w:r>
          </w:p>
        </w:tc>
      </w:tr>
      <w:tr w:rsidR="00F26847" w:rsidRPr="00D73853" w:rsidTr="00BE4EED">
        <w:tc>
          <w:tcPr>
            <w:tcW w:w="2166" w:type="dxa"/>
            <w:tcBorders>
              <w:top w:val="nil"/>
              <w:left w:val="nil"/>
              <w:bottom w:val="nil"/>
              <w:right w:val="nil"/>
            </w:tcBorders>
          </w:tcPr>
          <w:p w:rsidR="00F26847" w:rsidRPr="00D73853" w:rsidRDefault="00F26847" w:rsidP="00BE4EED">
            <w:pPr>
              <w:keepNext/>
              <w:spacing w:before="40" w:after="40"/>
              <w:rPr>
                <w:sz w:val="18"/>
              </w:rPr>
            </w:pPr>
            <w:r w:rsidRPr="00D73853">
              <w:rPr>
                <w:sz w:val="18"/>
              </w:rPr>
              <w:t>5 days</w:t>
            </w:r>
          </w:p>
        </w:tc>
        <w:tc>
          <w:tcPr>
            <w:tcW w:w="2166" w:type="dxa"/>
            <w:tcBorders>
              <w:top w:val="nil"/>
              <w:left w:val="nil"/>
              <w:bottom w:val="nil"/>
              <w:right w:val="nil"/>
            </w:tcBorders>
          </w:tcPr>
          <w:p w:rsidR="00F26847" w:rsidRPr="00D73853" w:rsidRDefault="00F26847" w:rsidP="00BE4EED">
            <w:pPr>
              <w:keepNext/>
              <w:spacing w:before="40" w:after="40"/>
              <w:jc w:val="right"/>
              <w:rPr>
                <w:sz w:val="18"/>
              </w:rPr>
            </w:pPr>
            <w:r w:rsidRPr="00D73853">
              <w:rPr>
                <w:sz w:val="18"/>
              </w:rPr>
              <w:t>105.00</w:t>
            </w:r>
          </w:p>
        </w:tc>
        <w:tc>
          <w:tcPr>
            <w:tcW w:w="2166" w:type="dxa"/>
            <w:tcBorders>
              <w:top w:val="nil"/>
              <w:left w:val="nil"/>
              <w:bottom w:val="nil"/>
              <w:right w:val="single" w:sz="4" w:space="0" w:color="auto"/>
            </w:tcBorders>
          </w:tcPr>
          <w:p w:rsidR="00F26847" w:rsidRPr="00D73853" w:rsidRDefault="00F26847" w:rsidP="00BE4EED">
            <w:pPr>
              <w:keepNext/>
              <w:spacing w:before="40" w:after="40"/>
              <w:jc w:val="right"/>
              <w:rPr>
                <w:sz w:val="18"/>
              </w:rPr>
            </w:pPr>
            <w:r w:rsidRPr="00D73853">
              <w:rPr>
                <w:sz w:val="18"/>
              </w:rPr>
              <w:t>-</w:t>
            </w:r>
          </w:p>
        </w:tc>
        <w:tc>
          <w:tcPr>
            <w:tcW w:w="2166" w:type="dxa"/>
            <w:tcBorders>
              <w:top w:val="nil"/>
              <w:left w:val="single" w:sz="4" w:space="0" w:color="auto"/>
              <w:bottom w:val="nil"/>
              <w:right w:val="nil"/>
            </w:tcBorders>
          </w:tcPr>
          <w:p w:rsidR="00F26847" w:rsidRPr="00D73853" w:rsidRDefault="00F26847" w:rsidP="00BE4EED">
            <w:pPr>
              <w:keepNext/>
              <w:spacing w:before="40" w:after="40"/>
              <w:jc w:val="right"/>
              <w:rPr>
                <w:sz w:val="18"/>
              </w:rPr>
            </w:pPr>
            <w:r w:rsidRPr="00D73853">
              <w:rPr>
                <w:sz w:val="18"/>
              </w:rPr>
              <w:t>105.85</w:t>
            </w:r>
          </w:p>
        </w:tc>
      </w:tr>
      <w:tr w:rsidR="00F26847" w:rsidRPr="00D73853" w:rsidTr="00BE4EED">
        <w:tc>
          <w:tcPr>
            <w:tcW w:w="2166" w:type="dxa"/>
            <w:tcBorders>
              <w:top w:val="nil"/>
              <w:left w:val="nil"/>
              <w:bottom w:val="single" w:sz="4" w:space="0" w:color="auto"/>
              <w:right w:val="nil"/>
            </w:tcBorders>
          </w:tcPr>
          <w:p w:rsidR="00F26847" w:rsidRPr="00D73853" w:rsidRDefault="00F26847" w:rsidP="00BE4EED">
            <w:pPr>
              <w:keepNext/>
              <w:spacing w:before="40" w:after="40"/>
              <w:rPr>
                <w:sz w:val="18"/>
              </w:rPr>
            </w:pPr>
            <w:r w:rsidRPr="00D73853">
              <w:rPr>
                <w:sz w:val="18"/>
              </w:rPr>
              <w:t>7 days</w:t>
            </w:r>
          </w:p>
        </w:tc>
        <w:tc>
          <w:tcPr>
            <w:tcW w:w="2166" w:type="dxa"/>
            <w:tcBorders>
              <w:top w:val="nil"/>
              <w:left w:val="nil"/>
              <w:bottom w:val="single" w:sz="4" w:space="0" w:color="auto"/>
              <w:right w:val="nil"/>
            </w:tcBorders>
          </w:tcPr>
          <w:p w:rsidR="00F26847" w:rsidRPr="00D73853" w:rsidRDefault="00F26847" w:rsidP="00BE4EED">
            <w:pPr>
              <w:keepNext/>
              <w:spacing w:before="40" w:after="40"/>
              <w:jc w:val="right"/>
              <w:rPr>
                <w:sz w:val="18"/>
              </w:rPr>
            </w:pPr>
            <w:r w:rsidRPr="00D73853">
              <w:rPr>
                <w:sz w:val="18"/>
              </w:rPr>
              <w:t>135.00</w:t>
            </w:r>
          </w:p>
        </w:tc>
        <w:tc>
          <w:tcPr>
            <w:tcW w:w="2166" w:type="dxa"/>
            <w:tcBorders>
              <w:top w:val="nil"/>
              <w:left w:val="nil"/>
              <w:bottom w:val="single" w:sz="4" w:space="0" w:color="auto"/>
              <w:right w:val="single" w:sz="4" w:space="0" w:color="auto"/>
            </w:tcBorders>
          </w:tcPr>
          <w:p w:rsidR="00F26847" w:rsidRPr="00D73853" w:rsidRDefault="00F26847" w:rsidP="00BE4EED">
            <w:pPr>
              <w:keepNext/>
              <w:spacing w:before="40" w:after="40"/>
              <w:jc w:val="right"/>
              <w:rPr>
                <w:sz w:val="18"/>
              </w:rPr>
            </w:pPr>
            <w:r w:rsidRPr="00D73853">
              <w:rPr>
                <w:sz w:val="18"/>
              </w:rPr>
              <w:t>-</w:t>
            </w:r>
          </w:p>
        </w:tc>
        <w:tc>
          <w:tcPr>
            <w:tcW w:w="2166" w:type="dxa"/>
            <w:tcBorders>
              <w:top w:val="nil"/>
              <w:left w:val="single" w:sz="4" w:space="0" w:color="auto"/>
              <w:bottom w:val="single" w:sz="4" w:space="0" w:color="auto"/>
              <w:right w:val="nil"/>
            </w:tcBorders>
          </w:tcPr>
          <w:p w:rsidR="00F26847" w:rsidRPr="00D73853" w:rsidRDefault="00F26847" w:rsidP="00BE4EED">
            <w:pPr>
              <w:keepNext/>
              <w:spacing w:before="40" w:after="40"/>
              <w:jc w:val="right"/>
              <w:rPr>
                <w:sz w:val="18"/>
              </w:rPr>
            </w:pPr>
            <w:r w:rsidRPr="00D73853">
              <w:rPr>
                <w:sz w:val="18"/>
              </w:rPr>
              <w:t>111.88</w:t>
            </w:r>
          </w:p>
        </w:tc>
      </w:tr>
    </w:tbl>
    <w:p w:rsidR="00F26847" w:rsidRPr="00D73853" w:rsidRDefault="00F26847" w:rsidP="00F26847">
      <w:pPr>
        <w:pStyle w:val="Sourceandnotes"/>
      </w:pPr>
      <w:r w:rsidRPr="00D73853">
        <w:t>Note:</w:t>
      </w:r>
      <w:r w:rsidRPr="00D73853">
        <w:tab/>
        <w:t>Average car parking charges are calculated as the weighted average of drive-up and online charges</w:t>
      </w:r>
    </w:p>
    <w:p w:rsidR="00F26847" w:rsidRPr="00D73853" w:rsidRDefault="00F26847" w:rsidP="00F26847">
      <w:pPr>
        <w:pStyle w:val="Sourceandnotes"/>
      </w:pPr>
      <w:r w:rsidRPr="00D73853">
        <w:tab/>
        <w:t>- Commercial in confidence</w:t>
      </w:r>
    </w:p>
    <w:p w:rsidR="00F26847" w:rsidRDefault="00F26847" w:rsidP="00F26847">
      <w:pPr>
        <w:pStyle w:val="Numberedheading3"/>
        <w:tabs>
          <w:tab w:val="clear" w:pos="1384"/>
          <w:tab w:val="num" w:pos="993"/>
        </w:tabs>
        <w:ind w:left="993" w:hanging="993"/>
      </w:pPr>
      <w:r>
        <w:t>Revenues, costs and profits</w:t>
      </w:r>
    </w:p>
    <w:p w:rsidR="00F26847" w:rsidRDefault="00F26847" w:rsidP="00F26847">
      <w:r>
        <w:t>Table 5.4.5 outlines Sydney Airport’s revenues, operating expenses and aggregate margin for car parking and the total airport from 2004 05 to 2014-15. In 2014 15, Sydney Airport’s car parking revenue increased by 4.7 per cent in real terms to $127.8 million. Since 2004 05, car parking revenue has increased by an average of 4.0 per cent per year in real terms.</w:t>
      </w:r>
    </w:p>
    <w:p w:rsidR="00F26847" w:rsidRDefault="00F26847" w:rsidP="00F26847">
      <w:r>
        <w:t xml:space="preserve">Car parking operating expenses increased by 11.4 per cent in real terms during 2014 15 while total car parking aggregate margin increased by 2.2 per cent. This is the smallest increase in car parking margin since 2011-12. Since 2004 05, car parking aggregate margin has increased </w:t>
      </w:r>
      <w:r>
        <w:lastRenderedPageBreak/>
        <w:t>by an average of 3.1 per cent per year in real terms. Sydney Airport made a profit of 71.6 cents for each dollar of car parking revenue in 2014-15.</w:t>
      </w:r>
    </w:p>
    <w:p w:rsidR="00F26847" w:rsidRDefault="00F26847" w:rsidP="00F26847">
      <w:proofErr w:type="gramStart"/>
      <w:r>
        <w:t>Revenue per car park space increased by 7.0 per cent in real terms, while operating expenses per car park space declined by 13.9 per cent in real terms.</w:t>
      </w:r>
      <w:proofErr w:type="gramEnd"/>
      <w:r>
        <w:t xml:space="preserve"> Aggregate margin per car park space increased by 4.5 per cent in real terms during 2014 15 to $5551 per car park space.</w:t>
      </w:r>
    </w:p>
    <w:p w:rsidR="00F26847" w:rsidRDefault="00F26847" w:rsidP="00F26847">
      <w:pPr>
        <w:pStyle w:val="Numberedheading3"/>
        <w:tabs>
          <w:tab w:val="clear" w:pos="1384"/>
          <w:tab w:val="num" w:pos="993"/>
        </w:tabs>
        <w:ind w:left="993" w:hanging="993"/>
      </w:pPr>
      <w:r>
        <w:t>Quality of car parking facilities</w:t>
      </w:r>
    </w:p>
    <w:p w:rsidR="00F26847" w:rsidRDefault="00F26847" w:rsidP="00F26847">
      <w:r w:rsidRPr="00ED7CA7">
        <w:t xml:space="preserve">Chart 5.4.4 shows </w:t>
      </w:r>
      <w:proofErr w:type="gramStart"/>
      <w:r w:rsidRPr="00ED7CA7">
        <w:t>that T1 passengers</w:t>
      </w:r>
      <w:proofErr w:type="gramEnd"/>
      <w:r w:rsidRPr="00ED7CA7">
        <w:t>’ ratings of parking availability, standard and time taken to enter remained at ‘good’ during 2014-15. Both standard and time taken to enter slightly improved while availability slightly declined.</w:t>
      </w:r>
    </w:p>
    <w:p w:rsidR="00F26847" w:rsidRDefault="00F26847" w:rsidP="00F26847">
      <w:pPr>
        <w:sectPr w:rsidR="00F26847" w:rsidSect="00BE4EED">
          <w:headerReference w:type="even" r:id="rId176"/>
          <w:headerReference w:type="default" r:id="rId177"/>
          <w:type w:val="continuous"/>
          <w:pgSz w:w="11906" w:h="16838"/>
          <w:pgMar w:top="1440" w:right="1729" w:bottom="1582" w:left="1729" w:header="709" w:footer="709" w:gutter="0"/>
          <w:cols w:space="708"/>
          <w:docGrid w:linePitch="360"/>
        </w:sectPr>
      </w:pPr>
    </w:p>
    <w:p w:rsidR="00F26847" w:rsidRDefault="00F26847" w:rsidP="00F26847">
      <w:pPr>
        <w:pStyle w:val="Numberedcharttitle"/>
      </w:pPr>
      <w:r>
        <w:lastRenderedPageBreak/>
        <w:t>Table 5.4.5:</w:t>
      </w:r>
      <w:r>
        <w:tab/>
        <w:t>Sydney Airport—revenues, operating expenses and aggregate margins for car parking and total airport services in real terms: 2004</w:t>
      </w:r>
      <w:r>
        <w:noBreakHyphen/>
        <w:t>05 to 2014</w:t>
      </w:r>
      <w:r>
        <w:noBreakHyphen/>
        <w:t>15</w:t>
      </w:r>
    </w:p>
    <w:p w:rsidR="00F26847" w:rsidRDefault="00F26847" w:rsidP="00F26847"/>
    <w:tbl>
      <w:tblPr>
        <w:tblStyle w:val="TableGrid10"/>
        <w:tblW w:w="0" w:type="auto"/>
        <w:tblLook w:val="04A0" w:firstRow="1" w:lastRow="0" w:firstColumn="1" w:lastColumn="0" w:noHBand="0" w:noVBand="1"/>
      </w:tblPr>
      <w:tblGrid>
        <w:gridCol w:w="1243"/>
        <w:gridCol w:w="1984"/>
        <w:gridCol w:w="982"/>
        <w:gridCol w:w="982"/>
        <w:gridCol w:w="982"/>
        <w:gridCol w:w="983"/>
        <w:gridCol w:w="982"/>
        <w:gridCol w:w="982"/>
        <w:gridCol w:w="982"/>
        <w:gridCol w:w="983"/>
        <w:gridCol w:w="982"/>
        <w:gridCol w:w="982"/>
        <w:gridCol w:w="983"/>
      </w:tblGrid>
      <w:tr w:rsidR="00F26847" w:rsidRPr="003E53C8" w:rsidTr="00BE4EED">
        <w:tc>
          <w:tcPr>
            <w:tcW w:w="1243" w:type="dxa"/>
            <w:tcBorders>
              <w:left w:val="nil"/>
              <w:bottom w:val="single" w:sz="4" w:space="0" w:color="auto"/>
              <w:right w:val="nil"/>
            </w:tcBorders>
            <w:shd w:val="clear" w:color="auto" w:fill="DFE0DC"/>
          </w:tcPr>
          <w:p w:rsidR="00F26847" w:rsidRPr="003E53C8" w:rsidRDefault="00F26847" w:rsidP="00BE4EED">
            <w:pPr>
              <w:keepNext/>
              <w:spacing w:before="40" w:after="40"/>
              <w:rPr>
                <w:b/>
                <w:color w:val="000000" w:themeColor="text1"/>
                <w:sz w:val="18"/>
              </w:rPr>
            </w:pPr>
          </w:p>
        </w:tc>
        <w:tc>
          <w:tcPr>
            <w:tcW w:w="1984"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2004-05</w:t>
            </w: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2005-06</w:t>
            </w: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2006-07</w:t>
            </w:r>
          </w:p>
        </w:tc>
        <w:tc>
          <w:tcPr>
            <w:tcW w:w="983"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2007-08</w:t>
            </w: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2008-09</w:t>
            </w: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2009-10</w:t>
            </w: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2010-11</w:t>
            </w:r>
          </w:p>
        </w:tc>
        <w:tc>
          <w:tcPr>
            <w:tcW w:w="983"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2011-12</w:t>
            </w: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2012-13</w:t>
            </w:r>
          </w:p>
        </w:tc>
        <w:tc>
          <w:tcPr>
            <w:tcW w:w="982"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2013-14</w:t>
            </w:r>
          </w:p>
        </w:tc>
        <w:tc>
          <w:tcPr>
            <w:tcW w:w="983" w:type="dxa"/>
            <w:tcBorders>
              <w:left w:val="nil"/>
              <w:bottom w:val="single" w:sz="4" w:space="0" w:color="auto"/>
              <w:right w:val="nil"/>
            </w:tcBorders>
            <w:shd w:val="clear" w:color="auto" w:fill="DFE0DC"/>
          </w:tcPr>
          <w:p w:rsidR="00F26847" w:rsidRPr="003E53C8" w:rsidRDefault="00F26847" w:rsidP="00BE4EED">
            <w:pPr>
              <w:keepNext/>
              <w:spacing w:before="40" w:after="40"/>
              <w:jc w:val="right"/>
              <w:rPr>
                <w:b/>
                <w:color w:val="000000" w:themeColor="text1"/>
                <w:sz w:val="18"/>
              </w:rPr>
            </w:pPr>
            <w:r w:rsidRPr="003E53C8">
              <w:rPr>
                <w:b/>
                <w:color w:val="000000" w:themeColor="text1"/>
                <w:sz w:val="18"/>
              </w:rPr>
              <w:t>2014-15</w:t>
            </w:r>
          </w:p>
        </w:tc>
      </w:tr>
      <w:tr w:rsidR="00F26847" w:rsidRPr="003E53C8" w:rsidTr="00BE4EED">
        <w:tc>
          <w:tcPr>
            <w:tcW w:w="1243" w:type="dxa"/>
            <w:vMerge w:val="restart"/>
            <w:tcBorders>
              <w:left w:val="nil"/>
              <w:right w:val="nil"/>
            </w:tcBorders>
            <w:vAlign w:val="center"/>
          </w:tcPr>
          <w:p w:rsidR="00F26847" w:rsidRPr="003E53C8" w:rsidRDefault="00F26847" w:rsidP="00BE4EED">
            <w:pPr>
              <w:keepNext/>
              <w:spacing w:before="40" w:after="40"/>
              <w:jc w:val="center"/>
              <w:rPr>
                <w:b/>
                <w:color w:val="000000" w:themeColor="text1"/>
                <w:sz w:val="18"/>
              </w:rPr>
            </w:pPr>
            <w:r w:rsidRPr="003E53C8">
              <w:rPr>
                <w:b/>
                <w:color w:val="000000" w:themeColor="text1"/>
                <w:sz w:val="18"/>
              </w:rPr>
              <w:t>Revenue ($million)</w:t>
            </w:r>
          </w:p>
        </w:tc>
        <w:tc>
          <w:tcPr>
            <w:tcW w:w="1984" w:type="dxa"/>
            <w:tcBorders>
              <w:left w:val="nil"/>
              <w:right w:val="nil"/>
            </w:tcBorders>
          </w:tcPr>
          <w:p w:rsidR="00F26847" w:rsidRPr="003E53C8" w:rsidRDefault="00F26847" w:rsidP="00BE4EED">
            <w:pPr>
              <w:spacing w:before="40" w:after="40"/>
              <w:rPr>
                <w:sz w:val="18"/>
              </w:rPr>
            </w:pPr>
            <w:r w:rsidRPr="003E53C8">
              <w:rPr>
                <w:sz w:val="18"/>
              </w:rPr>
              <w:t>Car parking</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86.3</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90.5</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96.4</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102.7</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101.9</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107.2</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107.1</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107.3</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116.5</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122.1</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127.8</w:t>
            </w:r>
          </w:p>
        </w:tc>
      </w:tr>
      <w:tr w:rsidR="00F26847" w:rsidRPr="003E53C8" w:rsidTr="00BE4EED">
        <w:tc>
          <w:tcPr>
            <w:tcW w:w="1243" w:type="dxa"/>
            <w:vMerge/>
            <w:tcBorders>
              <w:left w:val="nil"/>
              <w:right w:val="nil"/>
            </w:tcBorders>
          </w:tcPr>
          <w:p w:rsidR="00F26847" w:rsidRPr="003E53C8" w:rsidRDefault="00F26847" w:rsidP="00BE4EED">
            <w:pPr>
              <w:keepNext/>
              <w:spacing w:before="40" w:after="40"/>
              <w:rPr>
                <w:b/>
                <w:color w:val="000000" w:themeColor="text1"/>
                <w:sz w:val="18"/>
              </w:rPr>
            </w:pPr>
          </w:p>
        </w:tc>
        <w:tc>
          <w:tcPr>
            <w:tcW w:w="1984" w:type="dxa"/>
            <w:tcBorders>
              <w:left w:val="nil"/>
              <w:right w:val="nil"/>
            </w:tcBorders>
          </w:tcPr>
          <w:p w:rsidR="00F26847" w:rsidRPr="003E53C8" w:rsidRDefault="00F26847" w:rsidP="00BE4EED">
            <w:pPr>
              <w:keepNext/>
              <w:spacing w:before="40" w:after="40"/>
              <w:rPr>
                <w:b/>
                <w:color w:val="000000" w:themeColor="text1"/>
                <w:sz w:val="18"/>
              </w:rPr>
            </w:pPr>
            <w:r w:rsidRPr="003E53C8">
              <w:rPr>
                <w:b/>
                <w:color w:val="000000" w:themeColor="text1"/>
                <w:sz w:val="18"/>
              </w:rPr>
              <w:t>Total airport</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833.0</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919.4</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1 046.2</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1 224.1</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1 300.4</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1 016.1</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1 053.6</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1 072.8</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1 122.1</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1 165.1</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1 190.0</w:t>
            </w:r>
          </w:p>
        </w:tc>
      </w:tr>
      <w:tr w:rsidR="00F26847" w:rsidRPr="003E53C8" w:rsidTr="00BE4EED">
        <w:tc>
          <w:tcPr>
            <w:tcW w:w="1243" w:type="dxa"/>
            <w:vMerge/>
            <w:tcBorders>
              <w:left w:val="nil"/>
              <w:right w:val="nil"/>
            </w:tcBorders>
          </w:tcPr>
          <w:p w:rsidR="00F26847" w:rsidRPr="003E53C8" w:rsidRDefault="00F26847" w:rsidP="00BE4EED">
            <w:pPr>
              <w:keepNext/>
              <w:spacing w:before="40" w:after="40"/>
              <w:rPr>
                <w:b/>
                <w:color w:val="000000" w:themeColor="text1"/>
                <w:sz w:val="18"/>
              </w:rPr>
            </w:pPr>
          </w:p>
        </w:tc>
        <w:tc>
          <w:tcPr>
            <w:tcW w:w="1984" w:type="dxa"/>
            <w:tcBorders>
              <w:left w:val="nil"/>
              <w:right w:val="nil"/>
            </w:tcBorders>
          </w:tcPr>
          <w:p w:rsidR="00F26847" w:rsidRPr="003E53C8" w:rsidRDefault="00F26847" w:rsidP="00BE4EED">
            <w:pPr>
              <w:spacing w:before="40" w:after="40"/>
              <w:rPr>
                <w:sz w:val="18"/>
              </w:rPr>
            </w:pPr>
            <w:r w:rsidRPr="003E53C8">
              <w:rPr>
                <w:sz w:val="18"/>
              </w:rPr>
              <w:t>Car parking % of total</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10.4</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9.8</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9.2</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8.4</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7.8</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10.6</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10.2</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10.0</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10.4</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10.5</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10.7</w:t>
            </w:r>
          </w:p>
        </w:tc>
      </w:tr>
      <w:tr w:rsidR="00F26847" w:rsidRPr="003E53C8" w:rsidTr="00BE4EED">
        <w:tc>
          <w:tcPr>
            <w:tcW w:w="1243" w:type="dxa"/>
            <w:vMerge w:val="restart"/>
            <w:tcBorders>
              <w:left w:val="nil"/>
              <w:right w:val="nil"/>
            </w:tcBorders>
          </w:tcPr>
          <w:p w:rsidR="00F26847" w:rsidRPr="003E53C8" w:rsidRDefault="00F26847" w:rsidP="00BE4EED">
            <w:pPr>
              <w:keepNext/>
              <w:spacing w:before="40" w:after="40"/>
              <w:rPr>
                <w:b/>
                <w:color w:val="000000" w:themeColor="text1"/>
                <w:sz w:val="18"/>
              </w:rPr>
            </w:pPr>
            <w:r w:rsidRPr="003E53C8">
              <w:rPr>
                <w:b/>
                <w:color w:val="000000" w:themeColor="text1"/>
                <w:sz w:val="18"/>
              </w:rPr>
              <w:t>Operating expenses ($million)</w:t>
            </w:r>
          </w:p>
        </w:tc>
        <w:tc>
          <w:tcPr>
            <w:tcW w:w="1984" w:type="dxa"/>
            <w:tcBorders>
              <w:left w:val="nil"/>
              <w:right w:val="nil"/>
            </w:tcBorders>
          </w:tcPr>
          <w:p w:rsidR="00F26847" w:rsidRPr="003E53C8" w:rsidRDefault="00F26847" w:rsidP="00BE4EED">
            <w:pPr>
              <w:spacing w:before="40" w:after="40"/>
              <w:rPr>
                <w:sz w:val="18"/>
              </w:rPr>
            </w:pPr>
            <w:r w:rsidRPr="003E53C8">
              <w:rPr>
                <w:sz w:val="18"/>
              </w:rPr>
              <w:t>Car parking</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19.0</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19.1</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21.5</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29.6</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27.6</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30.3</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31.5</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33.1</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36.4</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32.5</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36.2</w:t>
            </w:r>
          </w:p>
        </w:tc>
      </w:tr>
      <w:tr w:rsidR="00F26847" w:rsidRPr="003E53C8" w:rsidTr="00BE4EED">
        <w:tc>
          <w:tcPr>
            <w:tcW w:w="1243" w:type="dxa"/>
            <w:vMerge/>
            <w:tcBorders>
              <w:left w:val="nil"/>
              <w:right w:val="nil"/>
            </w:tcBorders>
          </w:tcPr>
          <w:p w:rsidR="00F26847" w:rsidRPr="003E53C8" w:rsidRDefault="00F26847" w:rsidP="00BE4EED">
            <w:pPr>
              <w:keepNext/>
              <w:spacing w:before="40" w:after="40"/>
              <w:rPr>
                <w:b/>
                <w:color w:val="000000" w:themeColor="text1"/>
                <w:sz w:val="18"/>
              </w:rPr>
            </w:pPr>
          </w:p>
        </w:tc>
        <w:tc>
          <w:tcPr>
            <w:tcW w:w="1984" w:type="dxa"/>
            <w:tcBorders>
              <w:left w:val="nil"/>
              <w:right w:val="nil"/>
            </w:tcBorders>
            <w:vAlign w:val="center"/>
          </w:tcPr>
          <w:p w:rsidR="00F26847" w:rsidRPr="003E53C8" w:rsidRDefault="00F26847" w:rsidP="00BE4EED">
            <w:pPr>
              <w:keepNext/>
              <w:spacing w:before="40" w:after="40"/>
              <w:rPr>
                <w:b/>
                <w:color w:val="000000" w:themeColor="text1"/>
                <w:sz w:val="18"/>
              </w:rPr>
            </w:pPr>
            <w:r w:rsidRPr="003E53C8">
              <w:rPr>
                <w:b/>
                <w:color w:val="000000" w:themeColor="text1"/>
                <w:sz w:val="18"/>
              </w:rPr>
              <w:t>Total airport</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303.2</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324.9</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349.9</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387.3</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389.5</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419.0</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414.3</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411.3</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421.3</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422.2</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434.4</w:t>
            </w:r>
          </w:p>
        </w:tc>
      </w:tr>
      <w:tr w:rsidR="00F26847" w:rsidRPr="003E53C8" w:rsidTr="00BE4EED">
        <w:tc>
          <w:tcPr>
            <w:tcW w:w="1243" w:type="dxa"/>
            <w:vMerge w:val="restart"/>
            <w:tcBorders>
              <w:left w:val="nil"/>
              <w:right w:val="nil"/>
            </w:tcBorders>
          </w:tcPr>
          <w:p w:rsidR="00F26847" w:rsidRPr="003E53C8" w:rsidRDefault="00F26847" w:rsidP="00BE4EED">
            <w:pPr>
              <w:keepNext/>
              <w:spacing w:before="40" w:after="40"/>
              <w:rPr>
                <w:b/>
                <w:color w:val="000000" w:themeColor="text1"/>
                <w:sz w:val="18"/>
              </w:rPr>
            </w:pPr>
            <w:r>
              <w:rPr>
                <w:b/>
                <w:color w:val="000000" w:themeColor="text1"/>
                <w:sz w:val="18"/>
              </w:rPr>
              <w:t>Aggregate</w:t>
            </w:r>
            <w:r w:rsidRPr="003E53C8">
              <w:rPr>
                <w:b/>
                <w:color w:val="000000" w:themeColor="text1"/>
                <w:sz w:val="18"/>
              </w:rPr>
              <w:t xml:space="preserve"> margin ($million)</w:t>
            </w:r>
          </w:p>
        </w:tc>
        <w:tc>
          <w:tcPr>
            <w:tcW w:w="1984" w:type="dxa"/>
            <w:tcBorders>
              <w:left w:val="nil"/>
              <w:right w:val="nil"/>
            </w:tcBorders>
          </w:tcPr>
          <w:p w:rsidR="00F26847" w:rsidRPr="003E53C8" w:rsidRDefault="00F26847" w:rsidP="00BE4EED">
            <w:pPr>
              <w:spacing w:before="40" w:after="40"/>
              <w:rPr>
                <w:sz w:val="18"/>
              </w:rPr>
            </w:pPr>
            <w:r w:rsidRPr="003E53C8">
              <w:rPr>
                <w:sz w:val="18"/>
              </w:rPr>
              <w:t>Car parking</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67.3</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71.5</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74.9</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73.1</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74.3</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76.9</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75.5</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74.1</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80.1</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89.6</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91.5</w:t>
            </w:r>
          </w:p>
        </w:tc>
      </w:tr>
      <w:tr w:rsidR="00F26847" w:rsidRPr="003E53C8" w:rsidTr="00BE4EED">
        <w:tc>
          <w:tcPr>
            <w:tcW w:w="1243" w:type="dxa"/>
            <w:vMerge/>
            <w:tcBorders>
              <w:left w:val="nil"/>
              <w:right w:val="nil"/>
            </w:tcBorders>
          </w:tcPr>
          <w:p w:rsidR="00F26847" w:rsidRPr="003E53C8" w:rsidRDefault="00F26847" w:rsidP="00BE4EED">
            <w:pPr>
              <w:keepNext/>
              <w:spacing w:before="40" w:after="40"/>
              <w:rPr>
                <w:b/>
                <w:color w:val="000000" w:themeColor="text1"/>
                <w:sz w:val="18"/>
              </w:rPr>
            </w:pPr>
          </w:p>
        </w:tc>
        <w:tc>
          <w:tcPr>
            <w:tcW w:w="1984" w:type="dxa"/>
            <w:tcBorders>
              <w:left w:val="nil"/>
              <w:right w:val="nil"/>
            </w:tcBorders>
            <w:vAlign w:val="center"/>
          </w:tcPr>
          <w:p w:rsidR="00F26847" w:rsidRPr="003E53C8" w:rsidRDefault="00F26847" w:rsidP="00BE4EED">
            <w:pPr>
              <w:keepNext/>
              <w:spacing w:before="40" w:after="40"/>
              <w:rPr>
                <w:b/>
                <w:color w:val="000000" w:themeColor="text1"/>
                <w:sz w:val="18"/>
              </w:rPr>
            </w:pPr>
            <w:r w:rsidRPr="003E53C8">
              <w:rPr>
                <w:b/>
                <w:color w:val="000000" w:themeColor="text1"/>
                <w:sz w:val="18"/>
              </w:rPr>
              <w:t>Total airport</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529.8</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594.5</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696.3</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836.8</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910.9</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597.1</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638.2</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661.5</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700.8</w:t>
            </w:r>
          </w:p>
        </w:tc>
        <w:tc>
          <w:tcPr>
            <w:tcW w:w="982"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743.0</w:t>
            </w:r>
          </w:p>
        </w:tc>
        <w:tc>
          <w:tcPr>
            <w:tcW w:w="983" w:type="dxa"/>
            <w:tcBorders>
              <w:left w:val="nil"/>
              <w:right w:val="nil"/>
            </w:tcBorders>
            <w:vAlign w:val="center"/>
          </w:tcPr>
          <w:p w:rsidR="00F26847" w:rsidRPr="003E53C8" w:rsidRDefault="00F26847" w:rsidP="00BE4EED">
            <w:pPr>
              <w:spacing w:before="40" w:after="40"/>
              <w:jc w:val="right"/>
              <w:rPr>
                <w:b/>
                <w:sz w:val="18"/>
              </w:rPr>
            </w:pPr>
            <w:r w:rsidRPr="003E53C8">
              <w:rPr>
                <w:b/>
                <w:sz w:val="18"/>
              </w:rPr>
              <w:t>755.6</w:t>
            </w:r>
          </w:p>
        </w:tc>
      </w:tr>
      <w:tr w:rsidR="00F26847" w:rsidRPr="003E53C8" w:rsidTr="00BE4EED">
        <w:tc>
          <w:tcPr>
            <w:tcW w:w="1243" w:type="dxa"/>
            <w:vMerge w:val="restart"/>
            <w:tcBorders>
              <w:left w:val="nil"/>
              <w:right w:val="nil"/>
            </w:tcBorders>
          </w:tcPr>
          <w:p w:rsidR="00F26847" w:rsidRPr="003E53C8" w:rsidRDefault="00F26847" w:rsidP="00BE4EED">
            <w:pPr>
              <w:keepNext/>
              <w:spacing w:before="40" w:after="40"/>
              <w:rPr>
                <w:b/>
                <w:color w:val="000000" w:themeColor="text1"/>
                <w:sz w:val="18"/>
              </w:rPr>
            </w:pPr>
            <w:r>
              <w:rPr>
                <w:b/>
                <w:color w:val="000000" w:themeColor="text1"/>
                <w:sz w:val="18"/>
              </w:rPr>
              <w:t>Aggregate</w:t>
            </w:r>
            <w:r w:rsidRPr="003E53C8">
              <w:rPr>
                <w:b/>
                <w:color w:val="000000" w:themeColor="text1"/>
                <w:sz w:val="18"/>
              </w:rPr>
              <w:t xml:space="preserve"> margin % of revenue</w:t>
            </w:r>
          </w:p>
        </w:tc>
        <w:tc>
          <w:tcPr>
            <w:tcW w:w="1984" w:type="dxa"/>
            <w:tcBorders>
              <w:left w:val="nil"/>
              <w:right w:val="nil"/>
            </w:tcBorders>
          </w:tcPr>
          <w:p w:rsidR="00F26847" w:rsidRPr="003E53C8" w:rsidRDefault="00F26847" w:rsidP="00BE4EED">
            <w:pPr>
              <w:spacing w:before="40" w:after="40"/>
              <w:rPr>
                <w:sz w:val="18"/>
              </w:rPr>
            </w:pPr>
            <w:r w:rsidRPr="003E53C8">
              <w:rPr>
                <w:sz w:val="18"/>
              </w:rPr>
              <w:t>Car parking</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78.0</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79.0</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77.7</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71.2</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72.9</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71.7</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70.6</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69.1</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68.8</w:t>
            </w:r>
          </w:p>
        </w:tc>
        <w:tc>
          <w:tcPr>
            <w:tcW w:w="982" w:type="dxa"/>
            <w:tcBorders>
              <w:left w:val="nil"/>
              <w:right w:val="nil"/>
            </w:tcBorders>
            <w:vAlign w:val="center"/>
          </w:tcPr>
          <w:p w:rsidR="00F26847" w:rsidRPr="003E53C8" w:rsidRDefault="00F26847" w:rsidP="00BE4EED">
            <w:pPr>
              <w:spacing w:before="40" w:after="40"/>
              <w:jc w:val="right"/>
              <w:rPr>
                <w:sz w:val="18"/>
              </w:rPr>
            </w:pPr>
            <w:r w:rsidRPr="003E53C8">
              <w:rPr>
                <w:sz w:val="18"/>
              </w:rPr>
              <w:t>73.3</w:t>
            </w:r>
          </w:p>
        </w:tc>
        <w:tc>
          <w:tcPr>
            <w:tcW w:w="983" w:type="dxa"/>
            <w:tcBorders>
              <w:left w:val="nil"/>
              <w:right w:val="nil"/>
            </w:tcBorders>
            <w:vAlign w:val="center"/>
          </w:tcPr>
          <w:p w:rsidR="00F26847" w:rsidRPr="003E53C8" w:rsidRDefault="00F26847" w:rsidP="00BE4EED">
            <w:pPr>
              <w:spacing w:before="40" w:after="40"/>
              <w:jc w:val="right"/>
              <w:rPr>
                <w:sz w:val="18"/>
              </w:rPr>
            </w:pPr>
            <w:r w:rsidRPr="003E53C8">
              <w:rPr>
                <w:sz w:val="18"/>
              </w:rPr>
              <w:t>71.6</w:t>
            </w:r>
          </w:p>
        </w:tc>
      </w:tr>
      <w:tr w:rsidR="00F26847" w:rsidRPr="003E53C8" w:rsidTr="00BE4EED">
        <w:tc>
          <w:tcPr>
            <w:tcW w:w="1243" w:type="dxa"/>
            <w:vMerge/>
            <w:tcBorders>
              <w:left w:val="nil"/>
              <w:bottom w:val="double" w:sz="4" w:space="0" w:color="auto"/>
              <w:right w:val="nil"/>
            </w:tcBorders>
          </w:tcPr>
          <w:p w:rsidR="00F26847" w:rsidRPr="003E53C8" w:rsidRDefault="00F26847" w:rsidP="00BE4EED">
            <w:pPr>
              <w:keepNext/>
              <w:spacing w:before="40" w:after="40"/>
              <w:rPr>
                <w:b/>
                <w:color w:val="000000" w:themeColor="text1"/>
                <w:sz w:val="18"/>
              </w:rPr>
            </w:pPr>
          </w:p>
        </w:tc>
        <w:tc>
          <w:tcPr>
            <w:tcW w:w="1984" w:type="dxa"/>
            <w:tcBorders>
              <w:left w:val="nil"/>
              <w:bottom w:val="double" w:sz="4" w:space="0" w:color="auto"/>
              <w:right w:val="nil"/>
            </w:tcBorders>
            <w:vAlign w:val="center"/>
          </w:tcPr>
          <w:p w:rsidR="00F26847" w:rsidRPr="003E53C8" w:rsidRDefault="00F26847" w:rsidP="00BE4EED">
            <w:pPr>
              <w:keepNext/>
              <w:spacing w:before="40" w:after="40"/>
              <w:rPr>
                <w:b/>
                <w:color w:val="000000" w:themeColor="text1"/>
                <w:sz w:val="18"/>
              </w:rPr>
            </w:pPr>
            <w:r w:rsidRPr="003E53C8">
              <w:rPr>
                <w:b/>
                <w:color w:val="000000" w:themeColor="text1"/>
                <w:sz w:val="18"/>
              </w:rPr>
              <w:t>Total airport</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63.6</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64.7</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66.6</w:t>
            </w:r>
          </w:p>
        </w:tc>
        <w:tc>
          <w:tcPr>
            <w:tcW w:w="983"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68.4</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70.0</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58.8</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60.6</w:t>
            </w:r>
          </w:p>
        </w:tc>
        <w:tc>
          <w:tcPr>
            <w:tcW w:w="983"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61.7</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62.5</w:t>
            </w:r>
          </w:p>
        </w:tc>
        <w:tc>
          <w:tcPr>
            <w:tcW w:w="982"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63.8</w:t>
            </w:r>
          </w:p>
        </w:tc>
        <w:tc>
          <w:tcPr>
            <w:tcW w:w="983" w:type="dxa"/>
            <w:tcBorders>
              <w:left w:val="nil"/>
              <w:bottom w:val="double" w:sz="4" w:space="0" w:color="auto"/>
              <w:right w:val="nil"/>
            </w:tcBorders>
            <w:vAlign w:val="center"/>
          </w:tcPr>
          <w:p w:rsidR="00F26847" w:rsidRPr="003E53C8" w:rsidRDefault="00F26847" w:rsidP="00BE4EED">
            <w:pPr>
              <w:spacing w:before="40" w:after="40"/>
              <w:jc w:val="right"/>
              <w:rPr>
                <w:b/>
                <w:sz w:val="18"/>
              </w:rPr>
            </w:pPr>
            <w:r w:rsidRPr="003E53C8">
              <w:rPr>
                <w:b/>
                <w:sz w:val="18"/>
              </w:rPr>
              <w:t>63.5</w:t>
            </w:r>
          </w:p>
        </w:tc>
      </w:tr>
      <w:tr w:rsidR="00F26847" w:rsidRPr="003E53C8" w:rsidTr="00BE4EED">
        <w:tc>
          <w:tcPr>
            <w:tcW w:w="3227" w:type="dxa"/>
            <w:gridSpan w:val="2"/>
            <w:tcBorders>
              <w:top w:val="double" w:sz="4" w:space="0" w:color="auto"/>
              <w:left w:val="nil"/>
              <w:bottom w:val="double" w:sz="4" w:space="0" w:color="auto"/>
              <w:right w:val="nil"/>
            </w:tcBorders>
          </w:tcPr>
          <w:p w:rsidR="00F26847" w:rsidRPr="003E53C8" w:rsidRDefault="00F26847" w:rsidP="00BE4EED">
            <w:pPr>
              <w:keepNext/>
              <w:spacing w:before="40" w:after="40"/>
              <w:rPr>
                <w:b/>
                <w:color w:val="000000" w:themeColor="text1"/>
                <w:sz w:val="18"/>
              </w:rPr>
            </w:pPr>
            <w:r w:rsidRPr="003E53C8">
              <w:rPr>
                <w:b/>
                <w:color w:val="000000" w:themeColor="text1"/>
                <w:sz w:val="18"/>
              </w:rPr>
              <w:t>Revenue per space ($)</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8 485</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8 166</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8 868</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9 461</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8 209</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8 828</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8 726</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8 179</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7 363</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7 241</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7 749</w:t>
            </w:r>
          </w:p>
        </w:tc>
      </w:tr>
      <w:tr w:rsidR="00F26847" w:rsidRPr="003E53C8" w:rsidTr="00BE4EED">
        <w:tc>
          <w:tcPr>
            <w:tcW w:w="3227" w:type="dxa"/>
            <w:gridSpan w:val="2"/>
            <w:tcBorders>
              <w:top w:val="double" w:sz="4" w:space="0" w:color="auto"/>
              <w:left w:val="nil"/>
              <w:bottom w:val="double" w:sz="4" w:space="0" w:color="auto"/>
              <w:right w:val="nil"/>
            </w:tcBorders>
          </w:tcPr>
          <w:p w:rsidR="00F26847" w:rsidRPr="003E53C8" w:rsidRDefault="00F26847" w:rsidP="00BE4EED">
            <w:pPr>
              <w:keepNext/>
              <w:spacing w:before="40" w:after="40"/>
              <w:rPr>
                <w:b/>
                <w:color w:val="000000" w:themeColor="text1"/>
                <w:sz w:val="18"/>
              </w:rPr>
            </w:pPr>
            <w:r w:rsidRPr="003E53C8">
              <w:rPr>
                <w:b/>
                <w:color w:val="000000" w:themeColor="text1"/>
                <w:sz w:val="18"/>
              </w:rPr>
              <w:t>Operating expenses per space ($)</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1 869</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1 719</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1 978</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2 729</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2 223</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2 498</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2 570</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2 527</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2 301</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1 930</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2 198</w:t>
            </w:r>
          </w:p>
        </w:tc>
      </w:tr>
      <w:tr w:rsidR="00F26847" w:rsidRPr="003E53C8" w:rsidTr="00BE4EED">
        <w:tc>
          <w:tcPr>
            <w:tcW w:w="3227" w:type="dxa"/>
            <w:gridSpan w:val="2"/>
            <w:tcBorders>
              <w:top w:val="double" w:sz="4" w:space="0" w:color="auto"/>
              <w:left w:val="nil"/>
              <w:bottom w:val="double" w:sz="4" w:space="0" w:color="auto"/>
              <w:right w:val="nil"/>
            </w:tcBorders>
          </w:tcPr>
          <w:p w:rsidR="00F26847" w:rsidRPr="003E53C8" w:rsidRDefault="00F26847" w:rsidP="00BE4EED">
            <w:pPr>
              <w:keepNext/>
              <w:spacing w:before="40" w:after="40"/>
              <w:rPr>
                <w:b/>
                <w:color w:val="000000" w:themeColor="text1"/>
                <w:sz w:val="18"/>
              </w:rPr>
            </w:pPr>
            <w:r>
              <w:rPr>
                <w:b/>
                <w:color w:val="000000" w:themeColor="text1"/>
                <w:sz w:val="18"/>
              </w:rPr>
              <w:t>Aggregate</w:t>
            </w:r>
            <w:r w:rsidRPr="003E53C8">
              <w:rPr>
                <w:b/>
                <w:color w:val="000000" w:themeColor="text1"/>
                <w:sz w:val="18"/>
              </w:rPr>
              <w:t xml:space="preserve"> margin per space ($)</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6 615</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6 448</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6 889</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6 732</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5 986</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6 330</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6 157</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5 652</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5 063</w:t>
            </w:r>
          </w:p>
        </w:tc>
        <w:tc>
          <w:tcPr>
            <w:tcW w:w="982"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5 311</w:t>
            </w:r>
          </w:p>
        </w:tc>
        <w:tc>
          <w:tcPr>
            <w:tcW w:w="983" w:type="dxa"/>
            <w:tcBorders>
              <w:top w:val="double" w:sz="4" w:space="0" w:color="auto"/>
              <w:left w:val="nil"/>
              <w:bottom w:val="double" w:sz="4" w:space="0" w:color="auto"/>
              <w:right w:val="nil"/>
            </w:tcBorders>
            <w:vAlign w:val="center"/>
          </w:tcPr>
          <w:p w:rsidR="00F26847" w:rsidRPr="003E53C8" w:rsidRDefault="00F26847" w:rsidP="00BE4EED">
            <w:pPr>
              <w:spacing w:before="40" w:after="40"/>
              <w:jc w:val="right"/>
              <w:rPr>
                <w:sz w:val="18"/>
              </w:rPr>
            </w:pPr>
            <w:r w:rsidRPr="003E53C8">
              <w:rPr>
                <w:sz w:val="18"/>
              </w:rPr>
              <w:t>5 551</w:t>
            </w:r>
          </w:p>
        </w:tc>
      </w:tr>
    </w:tbl>
    <w:p w:rsidR="00F26847" w:rsidRPr="003E53C8" w:rsidRDefault="00F26847" w:rsidP="00F26847">
      <w:pPr>
        <w:pStyle w:val="Sourceandnotes"/>
      </w:pPr>
      <w:r w:rsidRPr="003E53C8">
        <w:t>Note:</w:t>
      </w:r>
      <w:r w:rsidRPr="003E53C8">
        <w:tab/>
        <w:t>Real values in 2014-15 dollars</w:t>
      </w:r>
    </w:p>
    <w:p w:rsidR="00F26847" w:rsidRDefault="00F26847" w:rsidP="00F26847">
      <w:pPr>
        <w:sectPr w:rsidR="00F26847" w:rsidSect="00BE4EED">
          <w:headerReference w:type="even" r:id="rId178"/>
          <w:headerReference w:type="default" r:id="rId179"/>
          <w:footnotePr>
            <w:numStart w:val="93"/>
          </w:footnotePr>
          <w:pgSz w:w="16838" w:h="11906" w:orient="landscape"/>
          <w:pgMar w:top="1729" w:right="1440" w:bottom="1729" w:left="1582" w:header="709" w:footer="709" w:gutter="0"/>
          <w:cols w:space="708"/>
          <w:docGrid w:linePitch="360"/>
        </w:sectPr>
      </w:pPr>
    </w:p>
    <w:p w:rsidR="00F26847" w:rsidRPr="006D0E69" w:rsidRDefault="00F26847" w:rsidP="00F26847">
      <w:pPr>
        <w:keepNext/>
        <w:spacing w:before="240" w:after="200" w:line="276" w:lineRule="auto"/>
        <w:ind w:left="1440" w:hanging="1440"/>
        <w:outlineLvl w:val="3"/>
        <w:rPr>
          <w:b/>
          <w:color w:val="51626F"/>
        </w:rPr>
      </w:pPr>
      <w:r w:rsidRPr="006D0E69">
        <w:rPr>
          <w:b/>
          <w:color w:val="51626F"/>
        </w:rPr>
        <w:lastRenderedPageBreak/>
        <w:t>Chart 5.3.4:</w:t>
      </w:r>
      <w:r w:rsidRPr="006D0E69">
        <w:rPr>
          <w:b/>
          <w:color w:val="51626F"/>
        </w:rPr>
        <w:tab/>
        <w:t>Sydney Airport—international passenger survey ratings of the quality of car parking facilities: 2004</w:t>
      </w:r>
      <w:r w:rsidRPr="006D0E69">
        <w:rPr>
          <w:b/>
          <w:color w:val="51626F"/>
        </w:rPr>
        <w:noBreakHyphen/>
        <w:t>05 to 2014</w:t>
      </w:r>
      <w:r w:rsidRPr="006D0E69">
        <w:rPr>
          <w:b/>
          <w:color w:val="51626F"/>
        </w:rPr>
        <w:noBreakHyphen/>
        <w:t>15</w:t>
      </w:r>
    </w:p>
    <w:p w:rsidR="00F26847" w:rsidRDefault="00F26847" w:rsidP="00F26847">
      <w:pPr>
        <w:keepNext/>
      </w:pPr>
      <w:r w:rsidRPr="00935928">
        <w:rPr>
          <w:noProof/>
          <w:lang w:eastAsia="en-AU"/>
        </w:rPr>
        <w:drawing>
          <wp:inline distT="0" distB="0" distL="0" distR="0" wp14:anchorId="76896E19" wp14:editId="1151A3FB">
            <wp:extent cx="5362575" cy="3181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64480" cy="3182480"/>
                    </a:xfrm>
                    <a:prstGeom prst="rect">
                      <a:avLst/>
                    </a:prstGeom>
                    <a:noFill/>
                    <a:ln>
                      <a:noFill/>
                    </a:ln>
                  </pic:spPr>
                </pic:pic>
              </a:graphicData>
            </a:graphic>
          </wp:inline>
        </w:drawing>
      </w:r>
    </w:p>
    <w:p w:rsidR="00F26847" w:rsidRDefault="00F26847" w:rsidP="00F26847">
      <w:pPr>
        <w:keepNext/>
      </w:pPr>
      <w:r w:rsidRPr="00CF1FA9">
        <w:rPr>
          <w:sz w:val="16"/>
          <w:szCs w:val="16"/>
        </w:rPr>
        <w:t>Source:</w:t>
      </w:r>
      <w:r w:rsidRPr="00CF1FA9">
        <w:rPr>
          <w:sz w:val="16"/>
          <w:szCs w:val="16"/>
        </w:rPr>
        <w:tab/>
        <w:t>Passenger surveys</w:t>
      </w:r>
    </w:p>
    <w:p w:rsidR="00F26847" w:rsidRDefault="00F26847" w:rsidP="00F26847">
      <w:pPr>
        <w:keepNext/>
      </w:pPr>
      <w:r>
        <w:t xml:space="preserve">Chart 5.4.5 shows </w:t>
      </w:r>
      <w:proofErr w:type="gramStart"/>
      <w:r>
        <w:t xml:space="preserve">that domestic </w:t>
      </w:r>
      <w:r w:rsidRPr="006250D1">
        <w:t>passengers</w:t>
      </w:r>
      <w:proofErr w:type="gramEnd"/>
      <w:r w:rsidRPr="006250D1">
        <w:t xml:space="preserve">’ ratings of parking standard </w:t>
      </w:r>
      <w:r>
        <w:t>increased from ‘satisfactory’ to ‘good’ during 2014-15. The ratings for car parking availability decreased slightly but remained at ‘satisfactory’ while time taken to enter the car park remained at ‘good’.</w:t>
      </w:r>
    </w:p>
    <w:p w:rsidR="00F26847" w:rsidRPr="006D0E69" w:rsidRDefault="00F26847" w:rsidP="00F26847">
      <w:pPr>
        <w:keepNext/>
        <w:spacing w:before="240" w:after="200" w:line="276" w:lineRule="auto"/>
        <w:ind w:left="1440" w:hanging="1440"/>
        <w:outlineLvl w:val="3"/>
        <w:rPr>
          <w:b/>
          <w:color w:val="51626F"/>
        </w:rPr>
      </w:pPr>
      <w:r w:rsidRPr="00D22ADF">
        <w:rPr>
          <w:b/>
          <w:color w:val="51626F"/>
        </w:rPr>
        <w:t xml:space="preserve">Chart </w:t>
      </w:r>
      <w:r>
        <w:rPr>
          <w:b/>
          <w:color w:val="51626F"/>
        </w:rPr>
        <w:t>5</w:t>
      </w:r>
      <w:r w:rsidRPr="00D22ADF">
        <w:rPr>
          <w:b/>
          <w:color w:val="51626F"/>
        </w:rPr>
        <w:t>.4.</w:t>
      </w:r>
      <w:r>
        <w:rPr>
          <w:b/>
          <w:color w:val="51626F"/>
        </w:rPr>
        <w:t>5</w:t>
      </w:r>
      <w:r w:rsidRPr="00D22ADF">
        <w:rPr>
          <w:b/>
          <w:color w:val="51626F"/>
        </w:rPr>
        <w:t>:</w:t>
      </w:r>
      <w:r w:rsidRPr="00D22ADF">
        <w:rPr>
          <w:b/>
          <w:color w:val="51626F"/>
        </w:rPr>
        <w:tab/>
      </w:r>
      <w:r>
        <w:rPr>
          <w:b/>
          <w:color w:val="51626F"/>
        </w:rPr>
        <w:t xml:space="preserve">Sydney </w:t>
      </w:r>
      <w:r w:rsidRPr="00D22ADF">
        <w:rPr>
          <w:b/>
          <w:color w:val="51626F"/>
        </w:rPr>
        <w:t>Airport—</w:t>
      </w:r>
      <w:r w:rsidRPr="00CF1FA9">
        <w:rPr>
          <w:b/>
          <w:color w:val="51626F"/>
        </w:rPr>
        <w:t xml:space="preserve"> domestic passenger survey ratings of the quality of car parking facilities: 200</w:t>
      </w:r>
      <w:r>
        <w:rPr>
          <w:b/>
          <w:color w:val="51626F"/>
        </w:rPr>
        <w:t>4-05</w:t>
      </w:r>
      <w:r w:rsidRPr="00CF1FA9">
        <w:rPr>
          <w:b/>
          <w:color w:val="51626F"/>
        </w:rPr>
        <w:t xml:space="preserve"> to 201</w:t>
      </w:r>
      <w:r>
        <w:rPr>
          <w:b/>
          <w:color w:val="51626F"/>
        </w:rPr>
        <w:t>4</w:t>
      </w:r>
      <w:r w:rsidRPr="00CF1FA9">
        <w:rPr>
          <w:b/>
          <w:color w:val="51626F"/>
        </w:rPr>
        <w:t>-1</w:t>
      </w:r>
      <w:r>
        <w:rPr>
          <w:b/>
          <w:color w:val="51626F"/>
        </w:rPr>
        <w:t>5</w:t>
      </w:r>
    </w:p>
    <w:p w:rsidR="00F26847" w:rsidRDefault="00F26847" w:rsidP="00F26847">
      <w:pPr>
        <w:keepNext/>
      </w:pPr>
      <w:r w:rsidRPr="00F51BE6">
        <w:rPr>
          <w:noProof/>
          <w:lang w:eastAsia="en-AU"/>
        </w:rPr>
        <w:drawing>
          <wp:inline distT="0" distB="0" distL="0" distR="0" wp14:anchorId="040C8112" wp14:editId="6EC03B72">
            <wp:extent cx="5362575" cy="3162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364480" cy="3163423"/>
                    </a:xfrm>
                    <a:prstGeom prst="rect">
                      <a:avLst/>
                    </a:prstGeom>
                    <a:noFill/>
                    <a:ln>
                      <a:noFill/>
                    </a:ln>
                  </pic:spPr>
                </pic:pic>
              </a:graphicData>
            </a:graphic>
          </wp:inline>
        </w:drawing>
      </w:r>
    </w:p>
    <w:p w:rsidR="00F26847" w:rsidRDefault="00F26847" w:rsidP="00F26847">
      <w:pPr>
        <w:pStyle w:val="Sourceandnotes"/>
      </w:pPr>
      <w:r>
        <w:t>Source:</w:t>
      </w:r>
      <w:r>
        <w:tab/>
        <w:t>Passenger surveys</w:t>
      </w:r>
    </w:p>
    <w:p w:rsidR="00F26847" w:rsidRDefault="00F26847" w:rsidP="00F26847">
      <w:pPr>
        <w:pStyle w:val="Numberedheading3"/>
        <w:tabs>
          <w:tab w:val="clear" w:pos="1384"/>
          <w:tab w:val="num" w:pos="993"/>
        </w:tabs>
        <w:ind w:left="993" w:hanging="993"/>
      </w:pPr>
      <w:r>
        <w:lastRenderedPageBreak/>
        <w:t>Other transport options</w:t>
      </w:r>
    </w:p>
    <w:p w:rsidR="00F26847" w:rsidRDefault="00F26847" w:rsidP="00F26847">
      <w:r w:rsidRPr="006D0E69">
        <w:t>In addition to car parking at Sydney Airport, there are a number of alternative transport options to and from the airport, including buses, taxis, train and private cars. Sydney Airport imposes a landside access charge on some of these alternative transport options. Table 5.4.6 outlines the landside access charges for 2014-15, as well as the indexed average list prices between 2010 11 and 2014-15 in real terms.</w:t>
      </w:r>
    </w:p>
    <w:p w:rsidR="00F26847" w:rsidRDefault="00F26847" w:rsidP="00F26847">
      <w:pPr>
        <w:keepNext/>
        <w:spacing w:before="240" w:after="200" w:line="276" w:lineRule="auto"/>
        <w:ind w:left="1440" w:hanging="1440"/>
        <w:outlineLvl w:val="3"/>
      </w:pPr>
      <w:r w:rsidRPr="006D0E69">
        <w:rPr>
          <w:b/>
          <w:color w:val="51626F"/>
        </w:rPr>
        <w:t>Table 5.4.6:</w:t>
      </w:r>
      <w:r w:rsidRPr="006D0E69">
        <w:rPr>
          <w:b/>
          <w:color w:val="51626F"/>
        </w:rPr>
        <w:tab/>
        <w:t>Sydney Airport—landside access charges in 2014</w:t>
      </w:r>
      <w:r w:rsidRPr="006D0E69">
        <w:rPr>
          <w:b/>
          <w:color w:val="51626F"/>
        </w:rPr>
        <w:noBreakHyphen/>
        <w:t>15 and indexed average access charges in real terms: 2010</w:t>
      </w:r>
      <w:r w:rsidRPr="006D0E69">
        <w:rPr>
          <w:b/>
          <w:color w:val="51626F"/>
        </w:rPr>
        <w:noBreakHyphen/>
        <w:t>11 to 2014</w:t>
      </w:r>
      <w:r w:rsidRPr="006D0E69">
        <w:rPr>
          <w:b/>
          <w:color w:val="51626F"/>
        </w:rPr>
        <w:noBreakHyphen/>
        <w:t>15</w:t>
      </w:r>
    </w:p>
    <w:tbl>
      <w:tblPr>
        <w:tblStyle w:val="TableGrid"/>
        <w:tblW w:w="0" w:type="auto"/>
        <w:tblLook w:val="04A0" w:firstRow="1" w:lastRow="0" w:firstColumn="1" w:lastColumn="0" w:noHBand="0" w:noVBand="1"/>
      </w:tblPr>
      <w:tblGrid>
        <w:gridCol w:w="2830"/>
        <w:gridCol w:w="1247"/>
        <w:gridCol w:w="917"/>
        <w:gridCol w:w="917"/>
        <w:gridCol w:w="918"/>
        <w:gridCol w:w="917"/>
        <w:gridCol w:w="918"/>
      </w:tblGrid>
      <w:tr w:rsidR="00F26847" w:rsidTr="00BE4EED">
        <w:trPr>
          <w:trHeight w:val="629"/>
        </w:trPr>
        <w:tc>
          <w:tcPr>
            <w:tcW w:w="2830" w:type="dxa"/>
            <w:tcBorders>
              <w:left w:val="nil"/>
              <w:bottom w:val="nil"/>
              <w:right w:val="nil"/>
            </w:tcBorders>
            <w:shd w:val="clear" w:color="auto" w:fill="DFE0DC"/>
          </w:tcPr>
          <w:p w:rsidR="00F26847" w:rsidRDefault="00F26847" w:rsidP="00BE4EED">
            <w:pPr>
              <w:pStyle w:val="Tabletextheading"/>
              <w:keepNext/>
            </w:pPr>
            <w:r>
              <w:t>Transport option</w:t>
            </w:r>
          </w:p>
        </w:tc>
        <w:tc>
          <w:tcPr>
            <w:tcW w:w="1247" w:type="dxa"/>
            <w:vMerge w:val="restart"/>
            <w:tcBorders>
              <w:left w:val="nil"/>
              <w:bottom w:val="single" w:sz="4" w:space="0" w:color="auto"/>
              <w:right w:val="single" w:sz="4" w:space="0" w:color="auto"/>
            </w:tcBorders>
            <w:shd w:val="clear" w:color="auto" w:fill="DFE0DC"/>
          </w:tcPr>
          <w:p w:rsidR="00F26847" w:rsidRDefault="00F26847" w:rsidP="00BE4EED">
            <w:pPr>
              <w:pStyle w:val="Tabletextheadingright"/>
              <w:keepNext/>
            </w:pPr>
            <w:r>
              <w:t>Average list prices</w:t>
            </w:r>
            <w:r>
              <w:br/>
              <w:t>($)</w:t>
            </w:r>
            <w:r>
              <w:br/>
              <w:t>2014-15</w:t>
            </w:r>
          </w:p>
        </w:tc>
        <w:tc>
          <w:tcPr>
            <w:tcW w:w="4587" w:type="dxa"/>
            <w:gridSpan w:val="5"/>
            <w:tcBorders>
              <w:left w:val="single" w:sz="4" w:space="0" w:color="auto"/>
              <w:bottom w:val="nil"/>
              <w:right w:val="nil"/>
            </w:tcBorders>
            <w:shd w:val="clear" w:color="auto" w:fill="DFE0DC"/>
          </w:tcPr>
          <w:p w:rsidR="00F26847" w:rsidRDefault="00F26847" w:rsidP="00BE4EED">
            <w:pPr>
              <w:pStyle w:val="Tabletextheadingcentre"/>
            </w:pPr>
            <w:r>
              <w:t>Indexed average list prices</w:t>
            </w:r>
            <w:r>
              <w:br/>
              <w:t>(2014-15 base year = 100)</w:t>
            </w:r>
          </w:p>
        </w:tc>
      </w:tr>
      <w:tr w:rsidR="00F26847" w:rsidTr="00BE4EED">
        <w:tc>
          <w:tcPr>
            <w:tcW w:w="2830" w:type="dxa"/>
            <w:tcBorders>
              <w:top w:val="nil"/>
              <w:left w:val="nil"/>
              <w:bottom w:val="single" w:sz="4" w:space="0" w:color="auto"/>
              <w:right w:val="nil"/>
            </w:tcBorders>
            <w:shd w:val="clear" w:color="auto" w:fill="DFE0DC"/>
          </w:tcPr>
          <w:p w:rsidR="00F26847" w:rsidRPr="0078295A" w:rsidRDefault="00F26847" w:rsidP="00BE4EED">
            <w:pPr>
              <w:pStyle w:val="Tabletextleft"/>
              <w:keepNext/>
            </w:pPr>
          </w:p>
        </w:tc>
        <w:tc>
          <w:tcPr>
            <w:tcW w:w="1247" w:type="dxa"/>
            <w:vMerge/>
            <w:tcBorders>
              <w:top w:val="nil"/>
              <w:left w:val="nil"/>
              <w:bottom w:val="single" w:sz="4" w:space="0" w:color="auto"/>
              <w:right w:val="single" w:sz="4" w:space="0" w:color="auto"/>
            </w:tcBorders>
            <w:shd w:val="clear" w:color="auto" w:fill="DFE0DC"/>
          </w:tcPr>
          <w:p w:rsidR="00F26847" w:rsidRDefault="00F26847" w:rsidP="00BE4EED">
            <w:pPr>
              <w:pStyle w:val="Tabletextleft"/>
              <w:keepNext/>
            </w:pPr>
          </w:p>
        </w:tc>
        <w:tc>
          <w:tcPr>
            <w:tcW w:w="917" w:type="dxa"/>
            <w:tcBorders>
              <w:top w:val="nil"/>
              <w:left w:val="single" w:sz="4" w:space="0" w:color="auto"/>
              <w:bottom w:val="single" w:sz="4" w:space="0" w:color="auto"/>
              <w:right w:val="nil"/>
            </w:tcBorders>
            <w:shd w:val="clear" w:color="auto" w:fill="DFE0DC"/>
          </w:tcPr>
          <w:p w:rsidR="00F26847" w:rsidRDefault="00F26847" w:rsidP="00BE4EED">
            <w:pPr>
              <w:pStyle w:val="Tabletextheadingright"/>
              <w:keepNext/>
            </w:pPr>
            <w:r>
              <w:t>2010-11</w:t>
            </w:r>
          </w:p>
        </w:tc>
        <w:tc>
          <w:tcPr>
            <w:tcW w:w="917" w:type="dxa"/>
            <w:tcBorders>
              <w:top w:val="nil"/>
              <w:left w:val="nil"/>
              <w:bottom w:val="single" w:sz="4" w:space="0" w:color="auto"/>
              <w:right w:val="nil"/>
            </w:tcBorders>
            <w:shd w:val="clear" w:color="auto" w:fill="DFE0DC"/>
          </w:tcPr>
          <w:p w:rsidR="00F26847" w:rsidRDefault="00F26847" w:rsidP="00BE4EED">
            <w:pPr>
              <w:pStyle w:val="Tabletextheadingright"/>
              <w:keepNext/>
            </w:pPr>
            <w:r>
              <w:t>2011-12</w:t>
            </w:r>
          </w:p>
        </w:tc>
        <w:tc>
          <w:tcPr>
            <w:tcW w:w="918" w:type="dxa"/>
            <w:tcBorders>
              <w:top w:val="nil"/>
              <w:left w:val="nil"/>
              <w:bottom w:val="single" w:sz="4" w:space="0" w:color="auto"/>
              <w:right w:val="nil"/>
            </w:tcBorders>
            <w:shd w:val="clear" w:color="auto" w:fill="DFE0DC"/>
          </w:tcPr>
          <w:p w:rsidR="00F26847" w:rsidRDefault="00F26847" w:rsidP="00BE4EED">
            <w:pPr>
              <w:pStyle w:val="Tabletextheadingright"/>
              <w:keepNext/>
            </w:pPr>
            <w:r>
              <w:t>2012-13</w:t>
            </w:r>
          </w:p>
        </w:tc>
        <w:tc>
          <w:tcPr>
            <w:tcW w:w="917" w:type="dxa"/>
            <w:tcBorders>
              <w:top w:val="nil"/>
              <w:left w:val="nil"/>
              <w:bottom w:val="single" w:sz="4" w:space="0" w:color="auto"/>
              <w:right w:val="nil"/>
            </w:tcBorders>
            <w:shd w:val="clear" w:color="auto" w:fill="DFE0DC"/>
          </w:tcPr>
          <w:p w:rsidR="00F26847" w:rsidRDefault="00F26847" w:rsidP="00BE4EED">
            <w:pPr>
              <w:pStyle w:val="Tabletextheadingright"/>
              <w:keepNext/>
            </w:pPr>
            <w:r>
              <w:t>2013-14</w:t>
            </w:r>
          </w:p>
        </w:tc>
        <w:tc>
          <w:tcPr>
            <w:tcW w:w="918" w:type="dxa"/>
            <w:tcBorders>
              <w:top w:val="nil"/>
              <w:left w:val="nil"/>
              <w:bottom w:val="single" w:sz="4" w:space="0" w:color="auto"/>
              <w:right w:val="nil"/>
            </w:tcBorders>
            <w:shd w:val="clear" w:color="auto" w:fill="DFE0DC"/>
          </w:tcPr>
          <w:p w:rsidR="00F26847" w:rsidRDefault="00F26847" w:rsidP="00BE4EED">
            <w:pPr>
              <w:pStyle w:val="Tabletextheadingright"/>
              <w:keepNext/>
            </w:pPr>
            <w:r>
              <w:t>2014-15</w:t>
            </w:r>
          </w:p>
        </w:tc>
      </w:tr>
      <w:tr w:rsidR="00F26847" w:rsidTr="00BE4EED">
        <w:tc>
          <w:tcPr>
            <w:tcW w:w="2830" w:type="dxa"/>
            <w:tcBorders>
              <w:left w:val="nil"/>
              <w:bottom w:val="single" w:sz="4" w:space="0" w:color="auto"/>
              <w:right w:val="nil"/>
            </w:tcBorders>
            <w:shd w:val="clear" w:color="auto" w:fill="auto"/>
          </w:tcPr>
          <w:p w:rsidR="00F26847" w:rsidRDefault="00F26847" w:rsidP="00BE4EED">
            <w:pPr>
              <w:pStyle w:val="Tabletextleft"/>
              <w:keepNext/>
            </w:pPr>
            <w:r>
              <w:t>Public bus</w:t>
            </w:r>
          </w:p>
        </w:tc>
        <w:tc>
          <w:tcPr>
            <w:tcW w:w="1247" w:type="dxa"/>
            <w:tcBorders>
              <w:left w:val="nil"/>
              <w:bottom w:val="single" w:sz="4" w:space="0" w:color="auto"/>
            </w:tcBorders>
            <w:shd w:val="clear" w:color="auto" w:fill="auto"/>
            <w:vAlign w:val="center"/>
          </w:tcPr>
          <w:p w:rsidR="00F26847" w:rsidRPr="005C3FFC" w:rsidRDefault="00F26847" w:rsidP="00BE4EED">
            <w:pPr>
              <w:keepNext/>
              <w:spacing w:before="40" w:after="40"/>
              <w:jc w:val="right"/>
              <w:rPr>
                <w:sz w:val="18"/>
                <w:szCs w:val="18"/>
              </w:rPr>
            </w:pPr>
            <w:r w:rsidRPr="005C3FFC">
              <w:rPr>
                <w:sz w:val="18"/>
                <w:szCs w:val="18"/>
              </w:rPr>
              <w:t>No charge</w:t>
            </w:r>
          </w:p>
        </w:tc>
        <w:tc>
          <w:tcPr>
            <w:tcW w:w="917" w:type="dxa"/>
            <w:tcBorders>
              <w:bottom w:val="single" w:sz="4" w:space="0" w:color="auto"/>
              <w:right w:val="nil"/>
            </w:tcBorders>
            <w:shd w:val="clear" w:color="auto" w:fill="auto"/>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7" w:type="dxa"/>
            <w:tcBorders>
              <w:left w:val="nil"/>
              <w:bottom w:val="single" w:sz="4" w:space="0" w:color="auto"/>
              <w:right w:val="nil"/>
            </w:tcBorders>
            <w:shd w:val="clear" w:color="auto" w:fill="auto"/>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8" w:type="dxa"/>
            <w:tcBorders>
              <w:left w:val="nil"/>
              <w:bottom w:val="single" w:sz="4" w:space="0" w:color="auto"/>
              <w:right w:val="nil"/>
            </w:tcBorders>
            <w:shd w:val="clear" w:color="auto" w:fill="auto"/>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7" w:type="dxa"/>
            <w:tcBorders>
              <w:left w:val="nil"/>
              <w:bottom w:val="single" w:sz="4" w:space="0" w:color="auto"/>
              <w:right w:val="nil"/>
            </w:tcBorders>
            <w:shd w:val="clear" w:color="auto" w:fill="auto"/>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8" w:type="dxa"/>
            <w:tcBorders>
              <w:left w:val="nil"/>
              <w:bottom w:val="single" w:sz="4" w:space="0" w:color="auto"/>
              <w:right w:val="nil"/>
            </w:tcBorders>
            <w:shd w:val="clear" w:color="auto" w:fill="auto"/>
            <w:vAlign w:val="center"/>
          </w:tcPr>
          <w:p w:rsidR="00F26847" w:rsidRPr="005B52B2" w:rsidRDefault="00F26847" w:rsidP="00BE4EED">
            <w:pPr>
              <w:keepNext/>
              <w:spacing w:before="40" w:after="40"/>
              <w:jc w:val="right"/>
              <w:rPr>
                <w:sz w:val="18"/>
                <w:szCs w:val="18"/>
              </w:rPr>
            </w:pPr>
            <w:r w:rsidRPr="005B52B2">
              <w:rPr>
                <w:sz w:val="18"/>
                <w:szCs w:val="18"/>
              </w:rPr>
              <w:t>NA</w:t>
            </w:r>
          </w:p>
        </w:tc>
      </w:tr>
      <w:tr w:rsidR="00F26847" w:rsidTr="00BE4EED">
        <w:tc>
          <w:tcPr>
            <w:tcW w:w="2830" w:type="dxa"/>
            <w:tcBorders>
              <w:top w:val="single" w:sz="4" w:space="0" w:color="auto"/>
              <w:left w:val="nil"/>
              <w:bottom w:val="single" w:sz="4" w:space="0" w:color="auto"/>
              <w:right w:val="nil"/>
            </w:tcBorders>
          </w:tcPr>
          <w:p w:rsidR="00F26847" w:rsidRDefault="00F26847" w:rsidP="00BE4EED">
            <w:pPr>
              <w:pStyle w:val="Tabletextleft"/>
              <w:keepNext/>
            </w:pPr>
            <w:r>
              <w:t>Private bus</w:t>
            </w:r>
          </w:p>
        </w:tc>
        <w:tc>
          <w:tcPr>
            <w:tcW w:w="1247" w:type="dxa"/>
            <w:tcBorders>
              <w:top w:val="single" w:sz="4" w:space="0" w:color="auto"/>
              <w:left w:val="nil"/>
              <w:bottom w:val="single" w:sz="4" w:space="0" w:color="auto"/>
            </w:tcBorders>
            <w:vAlign w:val="center"/>
          </w:tcPr>
          <w:p w:rsidR="00F26847" w:rsidRPr="005C3FFC" w:rsidRDefault="00F26847" w:rsidP="00BE4EED">
            <w:pPr>
              <w:keepNext/>
              <w:spacing w:before="40" w:after="40"/>
              <w:jc w:val="right"/>
              <w:rPr>
                <w:sz w:val="18"/>
                <w:szCs w:val="18"/>
              </w:rPr>
            </w:pPr>
            <w:r w:rsidRPr="005C3FFC">
              <w:rPr>
                <w:sz w:val="18"/>
                <w:szCs w:val="18"/>
              </w:rPr>
              <w:t>Various</w:t>
            </w:r>
          </w:p>
        </w:tc>
        <w:tc>
          <w:tcPr>
            <w:tcW w:w="917" w:type="dxa"/>
            <w:tcBorders>
              <w:top w:val="single" w:sz="4" w:space="0" w:color="auto"/>
              <w:bottom w:val="single" w:sz="4" w:space="0" w:color="auto"/>
              <w:right w:val="nil"/>
            </w:tcBorders>
            <w:vAlign w:val="center"/>
          </w:tcPr>
          <w:p w:rsidR="00F26847" w:rsidRPr="00B35919" w:rsidRDefault="00F26847" w:rsidP="00BE4EED">
            <w:pPr>
              <w:keepNext/>
              <w:spacing w:before="40" w:after="40"/>
              <w:jc w:val="right"/>
              <w:rPr>
                <w:sz w:val="18"/>
                <w:szCs w:val="18"/>
              </w:rPr>
            </w:pPr>
            <w:r w:rsidRPr="00B35919">
              <w:rPr>
                <w:sz w:val="18"/>
                <w:szCs w:val="18"/>
              </w:rPr>
              <w:t>NA</w:t>
            </w:r>
          </w:p>
        </w:tc>
        <w:tc>
          <w:tcPr>
            <w:tcW w:w="917" w:type="dxa"/>
            <w:tcBorders>
              <w:top w:val="single" w:sz="4" w:space="0" w:color="auto"/>
              <w:left w:val="nil"/>
              <w:bottom w:val="single" w:sz="4" w:space="0" w:color="auto"/>
              <w:right w:val="nil"/>
            </w:tcBorders>
            <w:vAlign w:val="center"/>
          </w:tcPr>
          <w:p w:rsidR="00F26847" w:rsidRPr="00B35919" w:rsidRDefault="00F26847" w:rsidP="00BE4EED">
            <w:pPr>
              <w:keepNext/>
              <w:spacing w:before="40" w:after="40"/>
              <w:jc w:val="right"/>
              <w:rPr>
                <w:sz w:val="18"/>
                <w:szCs w:val="18"/>
              </w:rPr>
            </w:pPr>
            <w:r w:rsidRPr="00B35919">
              <w:rPr>
                <w:sz w:val="18"/>
                <w:szCs w:val="18"/>
              </w:rPr>
              <w:t>NA</w:t>
            </w:r>
          </w:p>
        </w:tc>
        <w:tc>
          <w:tcPr>
            <w:tcW w:w="918" w:type="dxa"/>
            <w:tcBorders>
              <w:top w:val="single" w:sz="4" w:space="0" w:color="auto"/>
              <w:left w:val="nil"/>
              <w:bottom w:val="single" w:sz="4" w:space="0" w:color="auto"/>
              <w:right w:val="nil"/>
            </w:tcBorders>
            <w:vAlign w:val="center"/>
          </w:tcPr>
          <w:p w:rsidR="00F26847" w:rsidRPr="00B35919" w:rsidRDefault="00F26847" w:rsidP="00BE4EED">
            <w:pPr>
              <w:keepNext/>
              <w:spacing w:before="40" w:after="40"/>
              <w:jc w:val="right"/>
              <w:rPr>
                <w:sz w:val="18"/>
                <w:szCs w:val="18"/>
              </w:rPr>
            </w:pPr>
            <w:r w:rsidRPr="00B35919">
              <w:rPr>
                <w:sz w:val="18"/>
                <w:szCs w:val="18"/>
              </w:rPr>
              <w:t>NA</w:t>
            </w:r>
          </w:p>
        </w:tc>
        <w:tc>
          <w:tcPr>
            <w:tcW w:w="917" w:type="dxa"/>
            <w:tcBorders>
              <w:top w:val="single" w:sz="4" w:space="0" w:color="auto"/>
              <w:left w:val="nil"/>
              <w:bottom w:val="single" w:sz="4" w:space="0" w:color="auto"/>
              <w:right w:val="nil"/>
            </w:tcBorders>
            <w:vAlign w:val="center"/>
          </w:tcPr>
          <w:p w:rsidR="00F26847" w:rsidRPr="00B35919" w:rsidRDefault="00F26847" w:rsidP="00BE4EED">
            <w:pPr>
              <w:keepNext/>
              <w:spacing w:before="40" w:after="40"/>
              <w:jc w:val="right"/>
              <w:rPr>
                <w:sz w:val="18"/>
                <w:szCs w:val="18"/>
              </w:rPr>
            </w:pPr>
            <w:r w:rsidRPr="00B35919">
              <w:rPr>
                <w:sz w:val="18"/>
                <w:szCs w:val="18"/>
              </w:rPr>
              <w:t>NA</w:t>
            </w:r>
          </w:p>
        </w:tc>
        <w:tc>
          <w:tcPr>
            <w:tcW w:w="918" w:type="dxa"/>
            <w:tcBorders>
              <w:top w:val="single" w:sz="4" w:space="0" w:color="auto"/>
              <w:left w:val="nil"/>
              <w:bottom w:val="single" w:sz="4" w:space="0" w:color="auto"/>
              <w:right w:val="nil"/>
            </w:tcBorders>
            <w:vAlign w:val="center"/>
          </w:tcPr>
          <w:p w:rsidR="00F26847" w:rsidRPr="00B35919" w:rsidRDefault="00F26847" w:rsidP="00BE4EED">
            <w:pPr>
              <w:keepNext/>
              <w:spacing w:before="40" w:after="40"/>
              <w:jc w:val="right"/>
              <w:rPr>
                <w:sz w:val="18"/>
                <w:szCs w:val="18"/>
              </w:rPr>
            </w:pPr>
            <w:r w:rsidRPr="00B35919">
              <w:rPr>
                <w:sz w:val="18"/>
                <w:szCs w:val="18"/>
              </w:rPr>
              <w:t>NA</w:t>
            </w:r>
          </w:p>
        </w:tc>
      </w:tr>
      <w:tr w:rsidR="00F26847" w:rsidTr="00BE4EED">
        <w:tc>
          <w:tcPr>
            <w:tcW w:w="2830" w:type="dxa"/>
            <w:tcBorders>
              <w:top w:val="single" w:sz="4" w:space="0" w:color="auto"/>
              <w:left w:val="nil"/>
              <w:bottom w:val="single" w:sz="4" w:space="0" w:color="auto"/>
              <w:right w:val="nil"/>
            </w:tcBorders>
          </w:tcPr>
          <w:p w:rsidR="00F26847" w:rsidRDefault="00F26847" w:rsidP="00BE4EED">
            <w:pPr>
              <w:pStyle w:val="Tabletextleft"/>
              <w:keepNext/>
            </w:pPr>
            <w:r>
              <w:t>Off-airport car parking</w:t>
            </w:r>
          </w:p>
        </w:tc>
        <w:tc>
          <w:tcPr>
            <w:tcW w:w="1247" w:type="dxa"/>
            <w:tcBorders>
              <w:top w:val="single" w:sz="4" w:space="0" w:color="auto"/>
              <w:left w:val="nil"/>
              <w:bottom w:val="single" w:sz="4" w:space="0" w:color="auto"/>
            </w:tcBorders>
            <w:vAlign w:val="center"/>
          </w:tcPr>
          <w:p w:rsidR="00F26847" w:rsidRPr="005C3FFC" w:rsidRDefault="00F26847" w:rsidP="00BE4EED">
            <w:pPr>
              <w:keepNext/>
              <w:spacing w:before="40" w:after="40"/>
              <w:jc w:val="right"/>
              <w:rPr>
                <w:sz w:val="18"/>
                <w:szCs w:val="18"/>
              </w:rPr>
            </w:pPr>
            <w:r w:rsidRPr="005C3FFC">
              <w:rPr>
                <w:sz w:val="18"/>
                <w:szCs w:val="18"/>
              </w:rPr>
              <w:t>Various</w:t>
            </w:r>
          </w:p>
        </w:tc>
        <w:tc>
          <w:tcPr>
            <w:tcW w:w="917" w:type="dxa"/>
            <w:tcBorders>
              <w:top w:val="single" w:sz="4" w:space="0" w:color="auto"/>
              <w:bottom w:val="single" w:sz="4" w:space="0" w:color="auto"/>
              <w:right w:val="nil"/>
            </w:tcBorders>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7" w:type="dxa"/>
            <w:tcBorders>
              <w:top w:val="single" w:sz="4" w:space="0" w:color="auto"/>
              <w:left w:val="nil"/>
              <w:bottom w:val="single" w:sz="4" w:space="0" w:color="auto"/>
              <w:right w:val="nil"/>
            </w:tcBorders>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8" w:type="dxa"/>
            <w:tcBorders>
              <w:top w:val="single" w:sz="4" w:space="0" w:color="auto"/>
              <w:left w:val="nil"/>
              <w:bottom w:val="single" w:sz="4" w:space="0" w:color="auto"/>
              <w:right w:val="nil"/>
            </w:tcBorders>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7" w:type="dxa"/>
            <w:tcBorders>
              <w:top w:val="single" w:sz="4" w:space="0" w:color="auto"/>
              <w:left w:val="nil"/>
              <w:bottom w:val="single" w:sz="4" w:space="0" w:color="auto"/>
              <w:right w:val="nil"/>
            </w:tcBorders>
            <w:vAlign w:val="center"/>
          </w:tcPr>
          <w:p w:rsidR="00F26847" w:rsidRPr="005B52B2" w:rsidRDefault="00F26847" w:rsidP="00BE4EED">
            <w:pPr>
              <w:keepNext/>
              <w:spacing w:before="40" w:after="40"/>
              <w:jc w:val="right"/>
              <w:rPr>
                <w:sz w:val="18"/>
                <w:szCs w:val="18"/>
              </w:rPr>
            </w:pPr>
            <w:r w:rsidRPr="005B52B2">
              <w:rPr>
                <w:sz w:val="18"/>
                <w:szCs w:val="18"/>
              </w:rPr>
              <w:t>NA</w:t>
            </w:r>
          </w:p>
        </w:tc>
        <w:tc>
          <w:tcPr>
            <w:tcW w:w="918" w:type="dxa"/>
            <w:tcBorders>
              <w:top w:val="single" w:sz="4" w:space="0" w:color="auto"/>
              <w:left w:val="nil"/>
              <w:bottom w:val="single" w:sz="4" w:space="0" w:color="auto"/>
              <w:right w:val="nil"/>
            </w:tcBorders>
            <w:vAlign w:val="center"/>
          </w:tcPr>
          <w:p w:rsidR="00F26847" w:rsidRPr="005B52B2" w:rsidRDefault="00F26847" w:rsidP="00BE4EED">
            <w:pPr>
              <w:keepNext/>
              <w:spacing w:before="40" w:after="40"/>
              <w:jc w:val="right"/>
              <w:rPr>
                <w:sz w:val="18"/>
                <w:szCs w:val="18"/>
              </w:rPr>
            </w:pPr>
            <w:r w:rsidRPr="005B52B2">
              <w:rPr>
                <w:sz w:val="18"/>
                <w:szCs w:val="18"/>
              </w:rPr>
              <w:t>NA</w:t>
            </w:r>
          </w:p>
        </w:tc>
      </w:tr>
      <w:tr w:rsidR="00F26847" w:rsidTr="00BE4EED">
        <w:tc>
          <w:tcPr>
            <w:tcW w:w="2830" w:type="dxa"/>
            <w:tcBorders>
              <w:top w:val="single" w:sz="4" w:space="0" w:color="auto"/>
              <w:left w:val="nil"/>
              <w:bottom w:val="single" w:sz="4" w:space="0" w:color="auto"/>
              <w:right w:val="nil"/>
            </w:tcBorders>
          </w:tcPr>
          <w:p w:rsidR="00F26847" w:rsidRDefault="00F26847" w:rsidP="00BE4EED">
            <w:pPr>
              <w:pStyle w:val="Tabletextleft"/>
              <w:keepNext/>
            </w:pPr>
            <w:r>
              <w:t>Taxis (per pick-up)</w:t>
            </w:r>
          </w:p>
        </w:tc>
        <w:tc>
          <w:tcPr>
            <w:tcW w:w="1247" w:type="dxa"/>
            <w:tcBorders>
              <w:top w:val="single" w:sz="4" w:space="0" w:color="auto"/>
              <w:left w:val="nil"/>
              <w:bottom w:val="single" w:sz="4" w:space="0" w:color="auto"/>
            </w:tcBorders>
          </w:tcPr>
          <w:p w:rsidR="00F26847" w:rsidRDefault="00F26847" w:rsidP="00BE4EED">
            <w:pPr>
              <w:pStyle w:val="Tabletextright"/>
              <w:keepNext/>
            </w:pPr>
            <w:r>
              <w:t>4.00</w:t>
            </w:r>
          </w:p>
        </w:tc>
        <w:tc>
          <w:tcPr>
            <w:tcW w:w="917" w:type="dxa"/>
            <w:tcBorders>
              <w:top w:val="single" w:sz="4" w:space="0" w:color="auto"/>
              <w:bottom w:val="single" w:sz="4" w:space="0" w:color="auto"/>
              <w:right w:val="nil"/>
            </w:tcBorders>
            <w:vAlign w:val="center"/>
          </w:tcPr>
          <w:p w:rsidR="00F26847" w:rsidRPr="00CF1FA9" w:rsidRDefault="00F26847" w:rsidP="00BE4EED">
            <w:pPr>
              <w:spacing w:before="40" w:after="40"/>
              <w:jc w:val="right"/>
              <w:rPr>
                <w:sz w:val="18"/>
              </w:rPr>
            </w:pPr>
            <w:r>
              <w:rPr>
                <w:sz w:val="18"/>
              </w:rPr>
              <w:t>82.0</w:t>
            </w:r>
          </w:p>
        </w:tc>
        <w:tc>
          <w:tcPr>
            <w:tcW w:w="917"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93.5</w:t>
            </w:r>
          </w:p>
        </w:tc>
        <w:tc>
          <w:tcPr>
            <w:tcW w:w="918"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91.4</w:t>
            </w:r>
          </w:p>
        </w:tc>
        <w:tc>
          <w:tcPr>
            <w:tcW w:w="917"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95.</w:t>
            </w:r>
            <w:r>
              <w:rPr>
                <w:sz w:val="18"/>
              </w:rPr>
              <w:t>4</w:t>
            </w:r>
          </w:p>
        </w:tc>
        <w:tc>
          <w:tcPr>
            <w:tcW w:w="918"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100.0</w:t>
            </w:r>
          </w:p>
        </w:tc>
      </w:tr>
      <w:tr w:rsidR="00F26847" w:rsidTr="00BE4EED">
        <w:tc>
          <w:tcPr>
            <w:tcW w:w="2830" w:type="dxa"/>
            <w:tcBorders>
              <w:top w:val="single" w:sz="4" w:space="0" w:color="auto"/>
              <w:left w:val="nil"/>
              <w:bottom w:val="single" w:sz="4" w:space="0" w:color="auto"/>
              <w:right w:val="nil"/>
            </w:tcBorders>
          </w:tcPr>
          <w:p w:rsidR="00F26847" w:rsidRDefault="00F26847" w:rsidP="00BE4EED">
            <w:pPr>
              <w:pStyle w:val="Tabletextleft"/>
              <w:keepNext/>
            </w:pPr>
            <w:r>
              <w:t>Limousine (per entry)</w:t>
            </w:r>
          </w:p>
        </w:tc>
        <w:tc>
          <w:tcPr>
            <w:tcW w:w="1247" w:type="dxa"/>
            <w:tcBorders>
              <w:top w:val="single" w:sz="4" w:space="0" w:color="auto"/>
              <w:left w:val="nil"/>
              <w:bottom w:val="single" w:sz="4" w:space="0" w:color="auto"/>
            </w:tcBorders>
          </w:tcPr>
          <w:p w:rsidR="00F26847" w:rsidRDefault="00F26847" w:rsidP="00BE4EED">
            <w:pPr>
              <w:pStyle w:val="Tabletextright"/>
              <w:keepNext/>
            </w:pPr>
            <w:r>
              <w:t>5.00</w:t>
            </w:r>
          </w:p>
        </w:tc>
        <w:tc>
          <w:tcPr>
            <w:tcW w:w="917" w:type="dxa"/>
            <w:tcBorders>
              <w:top w:val="single" w:sz="4" w:space="0" w:color="auto"/>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76.5</w:t>
            </w:r>
          </w:p>
        </w:tc>
        <w:tc>
          <w:tcPr>
            <w:tcW w:w="917"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96.</w:t>
            </w:r>
            <w:r>
              <w:rPr>
                <w:sz w:val="18"/>
              </w:rPr>
              <w:t>2</w:t>
            </w:r>
          </w:p>
        </w:tc>
        <w:tc>
          <w:tcPr>
            <w:tcW w:w="918"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94.</w:t>
            </w:r>
            <w:r>
              <w:rPr>
                <w:sz w:val="18"/>
              </w:rPr>
              <w:t>0</w:t>
            </w:r>
          </w:p>
        </w:tc>
        <w:tc>
          <w:tcPr>
            <w:tcW w:w="917"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96.6</w:t>
            </w:r>
          </w:p>
        </w:tc>
        <w:tc>
          <w:tcPr>
            <w:tcW w:w="918" w:type="dxa"/>
            <w:tcBorders>
              <w:top w:val="single" w:sz="4" w:space="0" w:color="auto"/>
              <w:left w:val="nil"/>
              <w:bottom w:val="single" w:sz="4" w:space="0" w:color="auto"/>
              <w:right w:val="nil"/>
            </w:tcBorders>
            <w:vAlign w:val="center"/>
          </w:tcPr>
          <w:p w:rsidR="00F26847" w:rsidRPr="00CF1FA9" w:rsidRDefault="00F26847" w:rsidP="00BE4EED">
            <w:pPr>
              <w:spacing w:before="40" w:after="40"/>
              <w:jc w:val="right"/>
              <w:rPr>
                <w:sz w:val="18"/>
              </w:rPr>
            </w:pPr>
            <w:r w:rsidRPr="00CF1FA9">
              <w:rPr>
                <w:sz w:val="18"/>
              </w:rPr>
              <w:t>100.0</w:t>
            </w:r>
          </w:p>
        </w:tc>
      </w:tr>
    </w:tbl>
    <w:p w:rsidR="00F26847" w:rsidRDefault="00F26847" w:rsidP="00F26847">
      <w:pPr>
        <w:pStyle w:val="Sourceandnotes"/>
      </w:pPr>
      <w:r>
        <w:t>Note:</w:t>
      </w:r>
      <w:r>
        <w:tab/>
        <w:t>Real prices in 2014-15 dollars</w:t>
      </w:r>
    </w:p>
    <w:p w:rsidR="00F26847" w:rsidRPr="006D0E69" w:rsidRDefault="00F26847" w:rsidP="00F26847">
      <w:pPr>
        <w:keepNext/>
        <w:rPr>
          <w:i/>
          <w:iCs/>
        </w:rPr>
      </w:pPr>
      <w:r w:rsidRPr="006D0E69">
        <w:rPr>
          <w:i/>
          <w:iCs/>
        </w:rPr>
        <w:t>Terminal drop-off and pick-up</w:t>
      </w:r>
    </w:p>
    <w:p w:rsidR="00F26847" w:rsidRPr="006D0E69" w:rsidRDefault="00F26847" w:rsidP="00F26847">
      <w:pPr>
        <w:spacing w:after="0"/>
      </w:pPr>
      <w:r w:rsidRPr="006D0E69">
        <w:t>Sydney Airport provides drop-off areas on the departure levels at both the domestic and international terminals.  Sydney Airport does not provide kerbside pick-up facilities at either the domestic or international terminals but does provide free parking at designated pick-up areas for periods of 10-15 minutes depending on the terminal.</w:t>
      </w:r>
    </w:p>
    <w:p w:rsidR="00F26847" w:rsidRPr="006D0E69" w:rsidRDefault="00F26847" w:rsidP="00F26847">
      <w:pPr>
        <w:spacing w:after="0"/>
        <w:rPr>
          <w:i/>
          <w:iCs/>
        </w:rPr>
      </w:pPr>
    </w:p>
    <w:p w:rsidR="00F26847" w:rsidRPr="006D0E69" w:rsidRDefault="00F26847" w:rsidP="00F26847">
      <w:pPr>
        <w:rPr>
          <w:i/>
          <w:iCs/>
        </w:rPr>
      </w:pPr>
      <w:r w:rsidRPr="006D0E69">
        <w:rPr>
          <w:i/>
          <w:iCs/>
        </w:rPr>
        <w:t>Private and public buses</w:t>
      </w:r>
    </w:p>
    <w:p w:rsidR="00AD0BA6" w:rsidRDefault="00F26847" w:rsidP="00F26847">
      <w:pPr>
        <w:spacing w:after="0"/>
        <w:sectPr w:rsidR="00AD0BA6" w:rsidSect="009F0A92">
          <w:footnotePr>
            <w:numStart w:val="93"/>
          </w:footnotePr>
          <w:pgSz w:w="11906" w:h="16838"/>
          <w:pgMar w:top="1440" w:right="1729" w:bottom="1582" w:left="1729" w:header="709" w:footer="709" w:gutter="0"/>
          <w:cols w:space="708"/>
          <w:docGrid w:linePitch="360"/>
        </w:sectPr>
      </w:pPr>
      <w:r w:rsidRPr="006D0E69">
        <w:t>There is one public bus service (route 400) which runs between Bondi Junction and Burwood with stops at the international and domestic terminals. This service operates approximately every 20 minutes, seven days a week.</w:t>
      </w:r>
    </w:p>
    <w:p w:rsidR="00F26847" w:rsidRPr="006D0E69" w:rsidRDefault="00F26847" w:rsidP="00F26847">
      <w:pPr>
        <w:spacing w:after="0"/>
      </w:pPr>
      <w:r w:rsidRPr="006D0E69">
        <w:rPr>
          <w:vertAlign w:val="superscript"/>
        </w:rPr>
        <w:lastRenderedPageBreak/>
        <w:footnoteReference w:id="132"/>
      </w:r>
      <w:r w:rsidRPr="006D0E69">
        <w:t xml:space="preserve"> There are also several private bus operators connecting the airport to Sydney CBD. For example, Airport Connect charges $16 one way from the CBD to the airport.</w:t>
      </w:r>
      <w:r w:rsidRPr="006D0E69">
        <w:rPr>
          <w:vertAlign w:val="superscript"/>
        </w:rPr>
        <w:footnoteReference w:id="133"/>
      </w:r>
      <w:r w:rsidRPr="006D0E69">
        <w:t xml:space="preserve">  </w:t>
      </w:r>
    </w:p>
    <w:p w:rsidR="00F26847" w:rsidRPr="006D0E69" w:rsidRDefault="00F26847" w:rsidP="00F26847">
      <w:pPr>
        <w:spacing w:after="0"/>
      </w:pPr>
    </w:p>
    <w:p w:rsidR="00F26847" w:rsidRPr="006D0E69" w:rsidRDefault="00F26847" w:rsidP="00F26847">
      <w:pPr>
        <w:rPr>
          <w:i/>
          <w:iCs/>
        </w:rPr>
      </w:pPr>
      <w:r w:rsidRPr="006D0E69">
        <w:rPr>
          <w:i/>
          <w:iCs/>
        </w:rPr>
        <w:t>Off-airport car parking operators</w:t>
      </w:r>
    </w:p>
    <w:p w:rsidR="00F26847" w:rsidRPr="006D0E69" w:rsidRDefault="00F26847" w:rsidP="00F26847">
      <w:pPr>
        <w:rPr>
          <w:iCs/>
        </w:rPr>
      </w:pPr>
      <w:r w:rsidRPr="006D0E69">
        <w:rPr>
          <w:iCs/>
        </w:rPr>
        <w:t>There are a number of off</w:t>
      </w:r>
      <w:r w:rsidRPr="006D0E69">
        <w:rPr>
          <w:iCs/>
        </w:rPr>
        <w:noBreakHyphen/>
        <w:t>airport car parking operators that provide alternatives to the airport’s car parks. Off-airport parking prices sampled by the ACCC ranged from $30 to $35 for one day parking and $50 to $115 for three days parking (all prices are for outdoor parking).</w:t>
      </w:r>
      <w:r w:rsidRPr="006D0E69">
        <w:rPr>
          <w:iCs/>
          <w:vertAlign w:val="superscript"/>
        </w:rPr>
        <w:footnoteReference w:id="134"/>
      </w:r>
      <w:r w:rsidRPr="006D0E69">
        <w:rPr>
          <w:iCs/>
        </w:rPr>
        <w:t xml:space="preserve"> </w:t>
      </w:r>
    </w:p>
    <w:p w:rsidR="00F26847" w:rsidRPr="006D0E69" w:rsidRDefault="00F26847" w:rsidP="00F26847">
      <w:pPr>
        <w:rPr>
          <w:i/>
          <w:iCs/>
        </w:rPr>
      </w:pPr>
      <w:r w:rsidRPr="006D0E69">
        <w:rPr>
          <w:i/>
          <w:iCs/>
        </w:rPr>
        <w:t>Taxis</w:t>
      </w:r>
    </w:p>
    <w:p w:rsidR="00F26847" w:rsidRPr="006D0E69" w:rsidRDefault="00F26847" w:rsidP="00F26847">
      <w:pPr>
        <w:spacing w:after="0"/>
      </w:pPr>
      <w:r w:rsidRPr="006D0E69">
        <w:t xml:space="preserve">Sydney Airport charges a $4 fee on taxis departing the airport with passengers. This charge increased by 4.9 per cent in real terms since 2013-14.  </w:t>
      </w:r>
    </w:p>
    <w:p w:rsidR="00F26847" w:rsidRPr="006D0E69" w:rsidRDefault="00F26847" w:rsidP="00F26847">
      <w:pPr>
        <w:spacing w:after="0"/>
      </w:pPr>
    </w:p>
    <w:p w:rsidR="00F26847" w:rsidRPr="006D0E69" w:rsidRDefault="00F26847" w:rsidP="00F26847">
      <w:pPr>
        <w:spacing w:after="0"/>
      </w:pPr>
    </w:p>
    <w:p w:rsidR="00F26847" w:rsidRDefault="00F26847" w:rsidP="00F26847">
      <w:pPr>
        <w:rPr>
          <w:i/>
          <w:iCs/>
        </w:rPr>
      </w:pPr>
    </w:p>
    <w:p w:rsidR="00F26847" w:rsidRPr="006D0E69" w:rsidRDefault="00F26847" w:rsidP="00F26847">
      <w:pPr>
        <w:rPr>
          <w:i/>
          <w:iCs/>
        </w:rPr>
      </w:pPr>
      <w:r w:rsidRPr="006D0E69">
        <w:rPr>
          <w:i/>
          <w:iCs/>
        </w:rPr>
        <w:lastRenderedPageBreak/>
        <w:t>Hire cars (i.e. rental vehicles) and limousines</w:t>
      </w:r>
    </w:p>
    <w:p w:rsidR="00F26847" w:rsidRPr="006D0E69" w:rsidRDefault="00F26847" w:rsidP="00F26847">
      <w:pPr>
        <w:spacing w:after="0"/>
      </w:pPr>
      <w:r w:rsidRPr="006D0E69">
        <w:t xml:space="preserve">Sydney Airport charges hire car operators various fees on a commercially agreed basis. Limousines are charged differing rates depending on the time period stay at the airport. For example, periods between 0 to 75 minutes were charged $5 per limousine in 2014-15, representing an increase of 3.5 per cent in real terms since 2013-15. </w:t>
      </w:r>
    </w:p>
    <w:p w:rsidR="00F26847" w:rsidRPr="006D0E69" w:rsidRDefault="00F26847" w:rsidP="00F26847">
      <w:pPr>
        <w:spacing w:after="0"/>
      </w:pPr>
    </w:p>
    <w:p w:rsidR="00F26847" w:rsidRPr="006D0E69" w:rsidRDefault="00F26847" w:rsidP="00F26847">
      <w:pPr>
        <w:spacing w:before="120" w:after="120"/>
        <w:ind w:left="360" w:hanging="360"/>
      </w:pPr>
      <w:r w:rsidRPr="006D0E69">
        <w:t>Train</w:t>
      </w:r>
    </w:p>
    <w:p w:rsidR="00F26847" w:rsidRPr="006D0E69" w:rsidRDefault="00F26847" w:rsidP="00F26847">
      <w:pPr>
        <w:spacing w:after="0"/>
      </w:pPr>
      <w:r w:rsidRPr="006D0E69">
        <w:t>The NSW State Government operates rail services through Sydney Airport using privately owned and operated train stations. There is a station at both the domestic terminals and T1. These stations are not owned nor operated by Sydney Airport. The service costs $17 for a single trip and around $34 for a return trip to Kings Cross.</w:t>
      </w:r>
      <w:r w:rsidRPr="006D0E69">
        <w:rPr>
          <w:vertAlign w:val="superscript"/>
        </w:rPr>
        <w:footnoteReference w:id="135"/>
      </w:r>
      <w:r w:rsidRPr="006D0E69">
        <w:t xml:space="preserve"> </w:t>
      </w:r>
    </w:p>
    <w:p w:rsidR="00F26847" w:rsidRPr="006D0E69" w:rsidRDefault="00F26847" w:rsidP="00F26847">
      <w:pPr>
        <w:spacing w:after="0"/>
      </w:pPr>
    </w:p>
    <w:p w:rsidR="00F26847" w:rsidRPr="006D0E69" w:rsidRDefault="00F26847" w:rsidP="00F26847">
      <w:pPr>
        <w:keepNext/>
        <w:spacing w:before="120" w:after="120"/>
        <w:rPr>
          <w:b/>
          <w:i/>
          <w:sz w:val="22"/>
        </w:rPr>
      </w:pPr>
      <w:r w:rsidRPr="006D0E69">
        <w:rPr>
          <w:b/>
          <w:i/>
          <w:sz w:val="22"/>
        </w:rPr>
        <w:t xml:space="preserve">Quality of landside access services and facilities provided by </w:t>
      </w:r>
      <w:r>
        <w:rPr>
          <w:b/>
          <w:i/>
          <w:sz w:val="22"/>
        </w:rPr>
        <w:t>Sydney</w:t>
      </w:r>
      <w:r w:rsidRPr="006D0E69">
        <w:rPr>
          <w:b/>
          <w:i/>
          <w:sz w:val="22"/>
        </w:rPr>
        <w:t xml:space="preserve"> Airport</w:t>
      </w:r>
    </w:p>
    <w:p w:rsidR="00F26847" w:rsidRPr="006D0E69" w:rsidRDefault="00F26847" w:rsidP="00F26847">
      <w:r w:rsidRPr="006D0E69">
        <w:rPr>
          <w:rFonts w:eastAsia="Calibri" w:cs="Times New Roman"/>
        </w:rPr>
        <w:t xml:space="preserve">Airport </w:t>
      </w:r>
      <w:r w:rsidRPr="006D0E69">
        <w:t>operators control access to airport land including landside areas. Further, the landside area of monitored airports is a bottleneck area essential in the supply services to passengers and companies seeking access. Passengers, off</w:t>
      </w:r>
      <w:r w:rsidRPr="006D0E69">
        <w:noBreakHyphen/>
        <w:t>airport car parking operators, taxis, buses and private cars all require access to landside areas for the pick-up and drop</w:t>
      </w:r>
      <w:r w:rsidRPr="006D0E69">
        <w:noBreakHyphen/>
        <w:t>off of passengers. Airport operators have the incentive to restrict access and impede competition from alternatives to on</w:t>
      </w:r>
      <w:r w:rsidRPr="006D0E69">
        <w:noBreakHyphen/>
        <w:t xml:space="preserve">airport parking by imposing excessive charges or restrictive terms and conditions. </w:t>
      </w:r>
    </w:p>
    <w:p w:rsidR="00F26847" w:rsidRPr="006D0E69" w:rsidRDefault="00F26847" w:rsidP="00F26847">
      <w:r w:rsidRPr="006D0E69">
        <w:t>This section contains quality of service results for Sydney Airport’s landside areas gathered from both passengers and businesses seeking access. The ACCC has collected ratings from passengers for landside services for a number of years. Since 2013-14, the ACCC has been collecting ratings on landside areas and facilities from companies requiring access and this includes taxis, buses, and off-airport parking operators.</w:t>
      </w:r>
    </w:p>
    <w:p w:rsidR="00F26847" w:rsidRPr="006D0E69" w:rsidRDefault="00F26847" w:rsidP="00F26847">
      <w:pPr>
        <w:rPr>
          <w:i/>
          <w:iCs/>
        </w:rPr>
      </w:pPr>
      <w:r w:rsidRPr="006D0E69">
        <w:rPr>
          <w:i/>
          <w:iCs/>
        </w:rPr>
        <w:t>Passenger ratings</w:t>
      </w:r>
    </w:p>
    <w:p w:rsidR="00F26847" w:rsidRPr="006D0E69" w:rsidRDefault="00F26847" w:rsidP="00F26847">
      <w:r w:rsidRPr="006D0E69">
        <w:t>Table 5.4.7 shows that passenger ratings for international and domestic terminal landside services and facilities generally increased slightly within their existing ratings in 2014</w:t>
      </w:r>
      <w:r w:rsidRPr="006D0E69">
        <w:noBreakHyphen/>
        <w:t>15.</w:t>
      </w:r>
    </w:p>
    <w:p w:rsidR="00F26847" w:rsidRPr="006D0E69" w:rsidRDefault="00F26847" w:rsidP="00F26847">
      <w:pPr>
        <w:keepNext/>
        <w:spacing w:before="240" w:after="200" w:line="276" w:lineRule="auto"/>
        <w:ind w:left="1440" w:hanging="1440"/>
        <w:outlineLvl w:val="3"/>
        <w:rPr>
          <w:b/>
          <w:color w:val="51626F"/>
        </w:rPr>
      </w:pPr>
      <w:r w:rsidRPr="006D0E69">
        <w:rPr>
          <w:b/>
          <w:color w:val="51626F"/>
        </w:rPr>
        <w:t>Table 5.4.7:</w:t>
      </w:r>
      <w:r w:rsidRPr="006D0E69">
        <w:rPr>
          <w:b/>
          <w:color w:val="51626F"/>
        </w:rPr>
        <w:tab/>
        <w:t>Sydney Airport—ratings of quality of landside access services and facilities: 2014-15, 1-year change, and change since 2010-11</w:t>
      </w:r>
    </w:p>
    <w:tbl>
      <w:tblPr>
        <w:tblStyle w:val="TableGrid11"/>
        <w:tblW w:w="0" w:type="auto"/>
        <w:tblLook w:val="04A0" w:firstRow="1" w:lastRow="0" w:firstColumn="1" w:lastColumn="0" w:noHBand="0" w:noVBand="1"/>
      </w:tblPr>
      <w:tblGrid>
        <w:gridCol w:w="1732"/>
        <w:gridCol w:w="3479"/>
        <w:gridCol w:w="1418"/>
        <w:gridCol w:w="1017"/>
        <w:gridCol w:w="1018"/>
      </w:tblGrid>
      <w:tr w:rsidR="00F26847" w:rsidRPr="006D0E69" w:rsidTr="00BE4EED">
        <w:tc>
          <w:tcPr>
            <w:tcW w:w="1732" w:type="dxa"/>
            <w:tcBorders>
              <w:left w:val="nil"/>
              <w:bottom w:val="single" w:sz="4" w:space="0" w:color="auto"/>
              <w:right w:val="nil"/>
            </w:tcBorders>
            <w:shd w:val="clear" w:color="auto" w:fill="DFE0DC"/>
            <w:vAlign w:val="center"/>
          </w:tcPr>
          <w:p w:rsidR="00F26847" w:rsidRPr="006D0E69" w:rsidRDefault="00F26847" w:rsidP="00BE4EED">
            <w:pPr>
              <w:keepNext/>
              <w:spacing w:before="40" w:after="40"/>
              <w:rPr>
                <w:b/>
                <w:color w:val="000000" w:themeColor="text1"/>
                <w:sz w:val="18"/>
              </w:rPr>
            </w:pPr>
            <w:r w:rsidRPr="006D0E69">
              <w:rPr>
                <w:b/>
                <w:color w:val="000000" w:themeColor="text1"/>
                <w:sz w:val="18"/>
              </w:rPr>
              <w:t>Terminal</w:t>
            </w:r>
          </w:p>
        </w:tc>
        <w:tc>
          <w:tcPr>
            <w:tcW w:w="3479" w:type="dxa"/>
            <w:tcBorders>
              <w:left w:val="nil"/>
              <w:bottom w:val="single" w:sz="4" w:space="0" w:color="auto"/>
              <w:right w:val="nil"/>
            </w:tcBorders>
            <w:shd w:val="clear" w:color="auto" w:fill="DFE0DC"/>
            <w:vAlign w:val="center"/>
          </w:tcPr>
          <w:p w:rsidR="00F26847" w:rsidRPr="006D0E69" w:rsidRDefault="00F26847" w:rsidP="00BE4EED">
            <w:pPr>
              <w:keepNext/>
              <w:spacing w:before="40" w:after="40"/>
              <w:rPr>
                <w:b/>
                <w:color w:val="000000" w:themeColor="text1"/>
                <w:sz w:val="18"/>
              </w:rPr>
            </w:pPr>
            <w:r w:rsidRPr="006D0E69">
              <w:rPr>
                <w:b/>
                <w:color w:val="000000" w:themeColor="text1"/>
                <w:sz w:val="18"/>
              </w:rPr>
              <w:t>Indicator</w:t>
            </w:r>
          </w:p>
        </w:tc>
        <w:tc>
          <w:tcPr>
            <w:tcW w:w="1418" w:type="dxa"/>
            <w:tcBorders>
              <w:left w:val="nil"/>
              <w:bottom w:val="single" w:sz="4" w:space="0" w:color="auto"/>
              <w:right w:val="nil"/>
            </w:tcBorders>
            <w:shd w:val="clear" w:color="auto" w:fill="DFE0DC"/>
            <w:vAlign w:val="center"/>
          </w:tcPr>
          <w:p w:rsidR="00F26847" w:rsidRPr="006D0E69" w:rsidRDefault="00F26847" w:rsidP="00BE4EED">
            <w:pPr>
              <w:keepNext/>
              <w:spacing w:before="40" w:after="40"/>
              <w:rPr>
                <w:b/>
                <w:color w:val="000000" w:themeColor="text1"/>
                <w:sz w:val="18"/>
              </w:rPr>
            </w:pPr>
            <w:r w:rsidRPr="006D0E69">
              <w:rPr>
                <w:b/>
                <w:color w:val="000000" w:themeColor="text1"/>
                <w:sz w:val="18"/>
              </w:rPr>
              <w:t>Rating category</w:t>
            </w:r>
            <w:r w:rsidRPr="006D0E69">
              <w:rPr>
                <w:b/>
                <w:color w:val="000000" w:themeColor="text1"/>
                <w:sz w:val="18"/>
              </w:rPr>
              <w:br/>
              <w:t>2014-15</w:t>
            </w:r>
          </w:p>
        </w:tc>
        <w:tc>
          <w:tcPr>
            <w:tcW w:w="1017" w:type="dxa"/>
            <w:tcBorders>
              <w:left w:val="nil"/>
              <w:bottom w:val="single" w:sz="4" w:space="0" w:color="auto"/>
              <w:right w:val="nil"/>
            </w:tcBorders>
            <w:shd w:val="clear" w:color="auto" w:fill="DFE0DC"/>
            <w:vAlign w:val="center"/>
          </w:tcPr>
          <w:p w:rsidR="00F26847" w:rsidRPr="006D0E69" w:rsidRDefault="00F26847" w:rsidP="00BE4EED">
            <w:pPr>
              <w:keepNext/>
              <w:spacing w:before="40" w:after="40"/>
              <w:rPr>
                <w:b/>
                <w:color w:val="000000" w:themeColor="text1"/>
                <w:sz w:val="18"/>
              </w:rPr>
            </w:pPr>
            <w:r w:rsidRPr="006D0E69">
              <w:rPr>
                <w:b/>
                <w:color w:val="000000" w:themeColor="text1"/>
                <w:sz w:val="18"/>
              </w:rPr>
              <w:t>1-year change</w:t>
            </w:r>
          </w:p>
        </w:tc>
        <w:tc>
          <w:tcPr>
            <w:tcW w:w="1018" w:type="dxa"/>
            <w:tcBorders>
              <w:left w:val="nil"/>
              <w:bottom w:val="single" w:sz="4" w:space="0" w:color="auto"/>
              <w:right w:val="nil"/>
            </w:tcBorders>
            <w:shd w:val="clear" w:color="auto" w:fill="DFE0DC"/>
            <w:vAlign w:val="center"/>
          </w:tcPr>
          <w:p w:rsidR="00F26847" w:rsidRPr="006D0E69" w:rsidRDefault="00F26847" w:rsidP="00BE4EED">
            <w:pPr>
              <w:keepNext/>
              <w:spacing w:before="40" w:after="40"/>
              <w:rPr>
                <w:b/>
                <w:color w:val="000000" w:themeColor="text1"/>
                <w:sz w:val="18"/>
              </w:rPr>
            </w:pPr>
            <w:r w:rsidRPr="006D0E69">
              <w:rPr>
                <w:b/>
                <w:color w:val="000000" w:themeColor="text1"/>
                <w:sz w:val="18"/>
              </w:rPr>
              <w:t>Change since 2010-11</w:t>
            </w:r>
          </w:p>
        </w:tc>
      </w:tr>
      <w:tr w:rsidR="00F26847" w:rsidRPr="006D0E69" w:rsidTr="00BE4EED">
        <w:tc>
          <w:tcPr>
            <w:tcW w:w="1732" w:type="dxa"/>
            <w:vMerge w:val="restart"/>
            <w:tcBorders>
              <w:left w:val="nil"/>
              <w:right w:val="nil"/>
            </w:tcBorders>
          </w:tcPr>
          <w:p w:rsidR="00F26847" w:rsidRPr="006D0E69" w:rsidRDefault="00F26847" w:rsidP="00BE4EED">
            <w:pPr>
              <w:keepNext/>
              <w:spacing w:before="40" w:after="40"/>
              <w:rPr>
                <w:b/>
                <w:color w:val="000000" w:themeColor="text1"/>
                <w:sz w:val="18"/>
              </w:rPr>
            </w:pPr>
            <w:r w:rsidRPr="006D0E69">
              <w:rPr>
                <w:b/>
                <w:color w:val="000000" w:themeColor="text1"/>
                <w:sz w:val="18"/>
              </w:rPr>
              <w:t>International</w:t>
            </w:r>
          </w:p>
        </w:tc>
        <w:tc>
          <w:tcPr>
            <w:tcW w:w="3479" w:type="dxa"/>
            <w:tcBorders>
              <w:left w:val="nil"/>
              <w:bottom w:val="nil"/>
              <w:right w:val="nil"/>
            </w:tcBorders>
          </w:tcPr>
          <w:p w:rsidR="00F26847" w:rsidRPr="006D0E69" w:rsidRDefault="00F26847" w:rsidP="00BE4EED">
            <w:pPr>
              <w:keepNext/>
              <w:spacing w:before="40" w:after="40"/>
              <w:rPr>
                <w:sz w:val="18"/>
              </w:rPr>
            </w:pPr>
            <w:r w:rsidRPr="006D0E69">
              <w:rPr>
                <w:sz w:val="18"/>
              </w:rPr>
              <w:t>Kerbside pick-up and drop-off facilities</w:t>
            </w:r>
          </w:p>
        </w:tc>
        <w:tc>
          <w:tcPr>
            <w:tcW w:w="1418" w:type="dxa"/>
            <w:tcBorders>
              <w:left w:val="nil"/>
              <w:bottom w:val="nil"/>
              <w:right w:val="nil"/>
            </w:tcBorders>
            <w:vAlign w:val="center"/>
          </w:tcPr>
          <w:p w:rsidR="00F26847" w:rsidRPr="006D0E69" w:rsidRDefault="00F26847" w:rsidP="00BE4EED">
            <w:pPr>
              <w:keepNext/>
              <w:spacing w:before="40" w:after="40"/>
              <w:rPr>
                <w:sz w:val="18"/>
              </w:rPr>
            </w:pPr>
            <w:r w:rsidRPr="006D0E69">
              <w:rPr>
                <w:sz w:val="18"/>
              </w:rPr>
              <w:t>Good</w:t>
            </w:r>
          </w:p>
        </w:tc>
        <w:tc>
          <w:tcPr>
            <w:tcW w:w="1017" w:type="dxa"/>
            <w:tcBorders>
              <w:left w:val="nil"/>
              <w:bottom w:val="nil"/>
              <w:right w:val="nil"/>
            </w:tcBorders>
            <w:vAlign w:val="center"/>
          </w:tcPr>
          <w:p w:rsidR="00F26847" w:rsidRPr="006D0E69" w:rsidRDefault="00F26847" w:rsidP="00BE4EED">
            <w:pPr>
              <w:keepNext/>
              <w:spacing w:before="40" w:after="40"/>
            </w:pPr>
            <w:r w:rsidRPr="006D0E69">
              <w:rPr>
                <w:rFonts w:cs="Arial"/>
                <w:color w:val="943634" w:themeColor="accent2" w:themeShade="BF"/>
                <w:sz w:val="18"/>
                <w:szCs w:val="18"/>
              </w:rPr>
              <w:t>▲</w:t>
            </w:r>
          </w:p>
        </w:tc>
        <w:tc>
          <w:tcPr>
            <w:tcW w:w="1018" w:type="dxa"/>
            <w:tcBorders>
              <w:left w:val="nil"/>
              <w:bottom w:val="nil"/>
              <w:right w:val="nil"/>
            </w:tcBorders>
            <w:vAlign w:val="center"/>
          </w:tcPr>
          <w:p w:rsidR="00F26847" w:rsidRPr="006D0E69" w:rsidRDefault="00F26847" w:rsidP="00BE4EED">
            <w:pPr>
              <w:keepNext/>
              <w:spacing w:before="40" w:after="40"/>
            </w:pPr>
            <w:r w:rsidRPr="006D0E69">
              <w:rPr>
                <w:rFonts w:cs="Arial"/>
                <w:color w:val="F79646" w:themeColor="accent6"/>
                <w:sz w:val="18"/>
                <w:szCs w:val="18"/>
              </w:rPr>
              <w:t>▼</w:t>
            </w:r>
          </w:p>
        </w:tc>
      </w:tr>
      <w:tr w:rsidR="00F26847" w:rsidRPr="006D0E69" w:rsidTr="00BE4EED">
        <w:tc>
          <w:tcPr>
            <w:tcW w:w="1732" w:type="dxa"/>
            <w:vMerge/>
            <w:tcBorders>
              <w:left w:val="nil"/>
              <w:right w:val="nil"/>
            </w:tcBorders>
          </w:tcPr>
          <w:p w:rsidR="00F26847" w:rsidRPr="006D0E69" w:rsidRDefault="00F26847" w:rsidP="00BE4EED">
            <w:pPr>
              <w:keepNext/>
              <w:spacing w:before="40" w:after="40"/>
              <w:rPr>
                <w:b/>
                <w:color w:val="000000" w:themeColor="text1"/>
                <w:sz w:val="18"/>
              </w:rPr>
            </w:pPr>
          </w:p>
        </w:tc>
        <w:tc>
          <w:tcPr>
            <w:tcW w:w="3479" w:type="dxa"/>
            <w:tcBorders>
              <w:top w:val="nil"/>
              <w:left w:val="nil"/>
              <w:bottom w:val="nil"/>
              <w:right w:val="nil"/>
            </w:tcBorders>
          </w:tcPr>
          <w:p w:rsidR="00F26847" w:rsidRPr="006D0E69" w:rsidRDefault="00F26847" w:rsidP="00BE4EED">
            <w:pPr>
              <w:keepNext/>
              <w:spacing w:before="40" w:after="40"/>
              <w:rPr>
                <w:sz w:val="18"/>
              </w:rPr>
            </w:pPr>
            <w:r w:rsidRPr="006D0E69">
              <w:rPr>
                <w:sz w:val="18"/>
              </w:rPr>
              <w:t>Taxi facilities waiting time</w:t>
            </w:r>
          </w:p>
        </w:tc>
        <w:tc>
          <w:tcPr>
            <w:tcW w:w="1418" w:type="dxa"/>
            <w:tcBorders>
              <w:top w:val="nil"/>
              <w:left w:val="nil"/>
              <w:bottom w:val="nil"/>
              <w:right w:val="nil"/>
            </w:tcBorders>
            <w:vAlign w:val="center"/>
          </w:tcPr>
          <w:p w:rsidR="00F26847" w:rsidRPr="006D0E69" w:rsidRDefault="00F26847" w:rsidP="00BE4EED">
            <w:pPr>
              <w:keepNext/>
              <w:spacing w:before="40" w:after="40"/>
              <w:rPr>
                <w:sz w:val="18"/>
              </w:rPr>
            </w:pPr>
            <w:r w:rsidRPr="006D0E69">
              <w:rPr>
                <w:sz w:val="18"/>
              </w:rPr>
              <w:t>Good</w:t>
            </w:r>
          </w:p>
        </w:tc>
        <w:tc>
          <w:tcPr>
            <w:tcW w:w="1017" w:type="dxa"/>
            <w:tcBorders>
              <w:top w:val="nil"/>
              <w:left w:val="nil"/>
              <w:bottom w:val="nil"/>
              <w:right w:val="nil"/>
            </w:tcBorders>
            <w:vAlign w:val="center"/>
          </w:tcPr>
          <w:p w:rsidR="00F26847" w:rsidRPr="006D0E69" w:rsidRDefault="00F26847" w:rsidP="00BE4EED">
            <w:pPr>
              <w:keepNext/>
              <w:spacing w:before="40" w:after="40"/>
            </w:pPr>
            <w:r w:rsidRPr="006D0E69">
              <w:rPr>
                <w:rFonts w:cs="Arial"/>
                <w:color w:val="943634" w:themeColor="accent2" w:themeShade="BF"/>
                <w:sz w:val="18"/>
                <w:szCs w:val="18"/>
              </w:rPr>
              <w:t>▲</w:t>
            </w:r>
          </w:p>
        </w:tc>
        <w:tc>
          <w:tcPr>
            <w:tcW w:w="1018" w:type="dxa"/>
            <w:tcBorders>
              <w:top w:val="nil"/>
              <w:left w:val="nil"/>
              <w:bottom w:val="nil"/>
              <w:right w:val="nil"/>
            </w:tcBorders>
            <w:vAlign w:val="center"/>
          </w:tcPr>
          <w:p w:rsidR="00F26847" w:rsidRPr="006D0E69" w:rsidRDefault="00F26847" w:rsidP="00BE4EED">
            <w:pPr>
              <w:keepNext/>
              <w:spacing w:before="40" w:after="40"/>
            </w:pPr>
            <w:r w:rsidRPr="006D0E69">
              <w:rPr>
                <w:rFonts w:cs="Arial"/>
                <w:color w:val="943634" w:themeColor="accent2" w:themeShade="BF"/>
                <w:sz w:val="18"/>
                <w:szCs w:val="18"/>
              </w:rPr>
              <w:t>▲</w:t>
            </w:r>
          </w:p>
        </w:tc>
      </w:tr>
      <w:tr w:rsidR="00F26847" w:rsidRPr="006D0E69" w:rsidTr="00BE4EED">
        <w:tc>
          <w:tcPr>
            <w:tcW w:w="1732" w:type="dxa"/>
            <w:vMerge/>
            <w:tcBorders>
              <w:left w:val="nil"/>
              <w:right w:val="nil"/>
            </w:tcBorders>
          </w:tcPr>
          <w:p w:rsidR="00F26847" w:rsidRPr="006D0E69" w:rsidRDefault="00F26847" w:rsidP="00BE4EED">
            <w:pPr>
              <w:keepNext/>
              <w:spacing w:before="40" w:after="40"/>
              <w:rPr>
                <w:b/>
                <w:color w:val="000000" w:themeColor="text1"/>
                <w:sz w:val="18"/>
              </w:rPr>
            </w:pPr>
          </w:p>
        </w:tc>
        <w:tc>
          <w:tcPr>
            <w:tcW w:w="3479" w:type="dxa"/>
            <w:tcBorders>
              <w:top w:val="nil"/>
              <w:left w:val="nil"/>
              <w:bottom w:val="single" w:sz="4" w:space="0" w:color="auto"/>
              <w:right w:val="nil"/>
            </w:tcBorders>
          </w:tcPr>
          <w:p w:rsidR="00F26847" w:rsidRPr="006D0E69" w:rsidRDefault="00F26847" w:rsidP="00BE4EED">
            <w:pPr>
              <w:keepNext/>
              <w:spacing w:before="40" w:after="40"/>
              <w:rPr>
                <w:sz w:val="18"/>
              </w:rPr>
            </w:pPr>
            <w:r w:rsidRPr="006D0E69">
              <w:rPr>
                <w:sz w:val="18"/>
              </w:rPr>
              <w:t>Kerbside space congestion</w:t>
            </w:r>
          </w:p>
        </w:tc>
        <w:tc>
          <w:tcPr>
            <w:tcW w:w="1418" w:type="dxa"/>
            <w:tcBorders>
              <w:top w:val="nil"/>
              <w:left w:val="nil"/>
              <w:bottom w:val="single" w:sz="4" w:space="0" w:color="auto"/>
              <w:right w:val="nil"/>
            </w:tcBorders>
            <w:vAlign w:val="center"/>
          </w:tcPr>
          <w:p w:rsidR="00F26847" w:rsidRPr="006D0E69" w:rsidRDefault="00F26847" w:rsidP="00BE4EED">
            <w:pPr>
              <w:keepNext/>
              <w:spacing w:before="40" w:after="40"/>
              <w:rPr>
                <w:sz w:val="18"/>
              </w:rPr>
            </w:pPr>
            <w:r w:rsidRPr="006D0E69">
              <w:rPr>
                <w:sz w:val="18"/>
              </w:rPr>
              <w:t>Satisfactory</w:t>
            </w:r>
          </w:p>
        </w:tc>
        <w:tc>
          <w:tcPr>
            <w:tcW w:w="1017" w:type="dxa"/>
            <w:tcBorders>
              <w:top w:val="nil"/>
              <w:left w:val="nil"/>
              <w:bottom w:val="single" w:sz="4" w:space="0" w:color="auto"/>
              <w:right w:val="nil"/>
            </w:tcBorders>
            <w:vAlign w:val="center"/>
          </w:tcPr>
          <w:p w:rsidR="00F26847" w:rsidRPr="006D0E69" w:rsidRDefault="00F26847" w:rsidP="00BE4EED">
            <w:pPr>
              <w:keepNext/>
              <w:spacing w:before="40" w:after="40"/>
            </w:pPr>
            <w:r w:rsidRPr="006D0E69">
              <w:rPr>
                <w:rFonts w:cs="Arial"/>
                <w:color w:val="943634" w:themeColor="accent2" w:themeShade="BF"/>
                <w:sz w:val="18"/>
                <w:szCs w:val="18"/>
              </w:rPr>
              <w:t>▲</w:t>
            </w:r>
          </w:p>
        </w:tc>
        <w:tc>
          <w:tcPr>
            <w:tcW w:w="1018" w:type="dxa"/>
            <w:tcBorders>
              <w:top w:val="nil"/>
              <w:left w:val="nil"/>
              <w:bottom w:val="single" w:sz="4" w:space="0" w:color="auto"/>
              <w:right w:val="nil"/>
            </w:tcBorders>
            <w:vAlign w:val="center"/>
          </w:tcPr>
          <w:p w:rsidR="00F26847" w:rsidRPr="006D0E69" w:rsidRDefault="00F26847" w:rsidP="00BE4EED">
            <w:pPr>
              <w:keepNext/>
              <w:spacing w:before="40" w:after="40"/>
            </w:pPr>
            <w:r w:rsidRPr="006D0E69">
              <w:rPr>
                <w:rFonts w:cs="Arial"/>
                <w:color w:val="F79646" w:themeColor="accent6"/>
                <w:sz w:val="18"/>
                <w:szCs w:val="18"/>
              </w:rPr>
              <w:t>▼</w:t>
            </w:r>
          </w:p>
        </w:tc>
      </w:tr>
      <w:tr w:rsidR="00F26847" w:rsidRPr="006D0E69" w:rsidTr="00BE4EED">
        <w:tc>
          <w:tcPr>
            <w:tcW w:w="1732" w:type="dxa"/>
            <w:vMerge w:val="restart"/>
            <w:tcBorders>
              <w:left w:val="nil"/>
              <w:right w:val="nil"/>
            </w:tcBorders>
          </w:tcPr>
          <w:p w:rsidR="00F26847" w:rsidRPr="006D0E69" w:rsidRDefault="00F26847" w:rsidP="00BE4EED">
            <w:pPr>
              <w:keepNext/>
              <w:spacing w:before="40" w:after="40"/>
              <w:rPr>
                <w:b/>
                <w:color w:val="000000" w:themeColor="text1"/>
                <w:sz w:val="18"/>
              </w:rPr>
            </w:pPr>
            <w:r w:rsidRPr="006D0E69">
              <w:rPr>
                <w:b/>
                <w:color w:val="000000" w:themeColor="text1"/>
                <w:sz w:val="18"/>
              </w:rPr>
              <w:t>Domestic</w:t>
            </w:r>
          </w:p>
        </w:tc>
        <w:tc>
          <w:tcPr>
            <w:tcW w:w="3479" w:type="dxa"/>
            <w:tcBorders>
              <w:top w:val="single" w:sz="4" w:space="0" w:color="auto"/>
              <w:left w:val="nil"/>
              <w:bottom w:val="nil"/>
              <w:right w:val="nil"/>
            </w:tcBorders>
          </w:tcPr>
          <w:p w:rsidR="00F26847" w:rsidRPr="006D0E69" w:rsidRDefault="00F26847" w:rsidP="00BE4EED">
            <w:pPr>
              <w:keepNext/>
              <w:spacing w:before="40" w:after="40"/>
              <w:rPr>
                <w:sz w:val="18"/>
              </w:rPr>
            </w:pPr>
            <w:r w:rsidRPr="006D0E69">
              <w:rPr>
                <w:sz w:val="18"/>
              </w:rPr>
              <w:t>Kerbside pick-up and drop-off facilities</w:t>
            </w:r>
          </w:p>
        </w:tc>
        <w:tc>
          <w:tcPr>
            <w:tcW w:w="1418" w:type="dxa"/>
            <w:tcBorders>
              <w:top w:val="single" w:sz="4" w:space="0" w:color="auto"/>
              <w:left w:val="nil"/>
              <w:bottom w:val="nil"/>
              <w:right w:val="nil"/>
            </w:tcBorders>
            <w:vAlign w:val="center"/>
          </w:tcPr>
          <w:p w:rsidR="00F26847" w:rsidRPr="006D0E69" w:rsidRDefault="00F26847" w:rsidP="00BE4EED">
            <w:pPr>
              <w:keepNext/>
              <w:spacing w:before="40" w:after="40"/>
              <w:rPr>
                <w:sz w:val="18"/>
              </w:rPr>
            </w:pPr>
            <w:r w:rsidRPr="006D0E69">
              <w:rPr>
                <w:sz w:val="18"/>
              </w:rPr>
              <w:t>Good</w:t>
            </w:r>
          </w:p>
        </w:tc>
        <w:tc>
          <w:tcPr>
            <w:tcW w:w="1017" w:type="dxa"/>
            <w:tcBorders>
              <w:top w:val="single" w:sz="4" w:space="0" w:color="auto"/>
              <w:left w:val="nil"/>
              <w:bottom w:val="nil"/>
              <w:right w:val="nil"/>
            </w:tcBorders>
            <w:vAlign w:val="center"/>
          </w:tcPr>
          <w:p w:rsidR="00F26847" w:rsidRPr="006D0E69" w:rsidRDefault="00F26847" w:rsidP="00BE4EED">
            <w:pPr>
              <w:keepNext/>
              <w:spacing w:before="40" w:after="40"/>
            </w:pPr>
            <w:r w:rsidRPr="006D0E69">
              <w:rPr>
                <w:rFonts w:cs="Arial"/>
                <w:color w:val="4BACC6" w:themeColor="accent5"/>
                <w:sz w:val="16"/>
                <w:szCs w:val="18"/>
              </w:rPr>
              <w:t>▬</w:t>
            </w:r>
          </w:p>
        </w:tc>
        <w:tc>
          <w:tcPr>
            <w:tcW w:w="1018" w:type="dxa"/>
            <w:tcBorders>
              <w:top w:val="single" w:sz="4" w:space="0" w:color="auto"/>
              <w:left w:val="nil"/>
              <w:bottom w:val="nil"/>
              <w:right w:val="nil"/>
            </w:tcBorders>
            <w:vAlign w:val="center"/>
          </w:tcPr>
          <w:p w:rsidR="00F26847" w:rsidRPr="006D0E69" w:rsidRDefault="00F26847" w:rsidP="00BE4EED">
            <w:pPr>
              <w:keepNext/>
              <w:spacing w:before="40" w:after="40"/>
            </w:pPr>
            <w:r w:rsidRPr="006D0E69">
              <w:rPr>
                <w:rFonts w:cs="Arial"/>
                <w:color w:val="F79646" w:themeColor="accent6"/>
                <w:sz w:val="18"/>
                <w:szCs w:val="18"/>
              </w:rPr>
              <w:t>▼</w:t>
            </w:r>
          </w:p>
        </w:tc>
      </w:tr>
      <w:tr w:rsidR="00F26847" w:rsidRPr="006D0E69" w:rsidTr="00BE4EED">
        <w:tc>
          <w:tcPr>
            <w:tcW w:w="1732" w:type="dxa"/>
            <w:vMerge/>
            <w:tcBorders>
              <w:left w:val="nil"/>
              <w:right w:val="nil"/>
            </w:tcBorders>
          </w:tcPr>
          <w:p w:rsidR="00F26847" w:rsidRPr="006D0E69" w:rsidRDefault="00F26847" w:rsidP="00BE4EED">
            <w:pPr>
              <w:keepNext/>
              <w:spacing w:before="40" w:after="40"/>
              <w:rPr>
                <w:b/>
                <w:color w:val="000000" w:themeColor="text1"/>
                <w:sz w:val="18"/>
              </w:rPr>
            </w:pPr>
          </w:p>
        </w:tc>
        <w:tc>
          <w:tcPr>
            <w:tcW w:w="3479" w:type="dxa"/>
            <w:tcBorders>
              <w:top w:val="nil"/>
              <w:left w:val="nil"/>
              <w:bottom w:val="nil"/>
              <w:right w:val="nil"/>
            </w:tcBorders>
          </w:tcPr>
          <w:p w:rsidR="00F26847" w:rsidRPr="006D0E69" w:rsidRDefault="00F26847" w:rsidP="00BE4EED">
            <w:pPr>
              <w:keepNext/>
              <w:spacing w:before="40" w:after="40"/>
              <w:rPr>
                <w:sz w:val="18"/>
              </w:rPr>
            </w:pPr>
            <w:r w:rsidRPr="006D0E69">
              <w:rPr>
                <w:sz w:val="18"/>
              </w:rPr>
              <w:t>Taxi facilities waiting time</w:t>
            </w:r>
          </w:p>
        </w:tc>
        <w:tc>
          <w:tcPr>
            <w:tcW w:w="1418" w:type="dxa"/>
            <w:tcBorders>
              <w:top w:val="nil"/>
              <w:left w:val="nil"/>
              <w:bottom w:val="nil"/>
              <w:right w:val="nil"/>
            </w:tcBorders>
            <w:vAlign w:val="center"/>
          </w:tcPr>
          <w:p w:rsidR="00F26847" w:rsidRPr="006D0E69" w:rsidRDefault="00F26847" w:rsidP="00BE4EED">
            <w:pPr>
              <w:keepNext/>
              <w:spacing w:before="40" w:after="40"/>
              <w:rPr>
                <w:sz w:val="18"/>
              </w:rPr>
            </w:pPr>
            <w:r w:rsidRPr="006D0E69">
              <w:rPr>
                <w:sz w:val="18"/>
              </w:rPr>
              <w:t>Good</w:t>
            </w:r>
          </w:p>
        </w:tc>
        <w:tc>
          <w:tcPr>
            <w:tcW w:w="1017" w:type="dxa"/>
            <w:tcBorders>
              <w:top w:val="nil"/>
              <w:left w:val="nil"/>
              <w:bottom w:val="nil"/>
              <w:right w:val="nil"/>
            </w:tcBorders>
            <w:vAlign w:val="center"/>
          </w:tcPr>
          <w:p w:rsidR="00F26847" w:rsidRPr="006D0E69" w:rsidRDefault="00F26847" w:rsidP="00BE4EED">
            <w:pPr>
              <w:keepNext/>
              <w:spacing w:before="40" w:after="40"/>
            </w:pPr>
            <w:r w:rsidRPr="006D0E69">
              <w:rPr>
                <w:rFonts w:cs="Arial"/>
                <w:color w:val="943634" w:themeColor="accent2" w:themeShade="BF"/>
                <w:sz w:val="18"/>
                <w:szCs w:val="18"/>
              </w:rPr>
              <w:t>▲</w:t>
            </w:r>
          </w:p>
        </w:tc>
        <w:tc>
          <w:tcPr>
            <w:tcW w:w="1018" w:type="dxa"/>
            <w:tcBorders>
              <w:top w:val="nil"/>
              <w:left w:val="nil"/>
              <w:bottom w:val="nil"/>
              <w:right w:val="nil"/>
            </w:tcBorders>
            <w:vAlign w:val="center"/>
          </w:tcPr>
          <w:p w:rsidR="00F26847" w:rsidRPr="006D0E69" w:rsidRDefault="00F26847" w:rsidP="00BE4EED">
            <w:pPr>
              <w:keepNext/>
              <w:spacing w:before="40" w:after="40"/>
            </w:pPr>
            <w:r w:rsidRPr="006D0E69">
              <w:rPr>
                <w:rFonts w:cs="Arial"/>
                <w:color w:val="943634" w:themeColor="accent2" w:themeShade="BF"/>
                <w:sz w:val="18"/>
                <w:szCs w:val="18"/>
              </w:rPr>
              <w:t>▲</w:t>
            </w:r>
          </w:p>
        </w:tc>
      </w:tr>
      <w:tr w:rsidR="00F26847" w:rsidRPr="006D0E69" w:rsidTr="00BE4EED">
        <w:tc>
          <w:tcPr>
            <w:tcW w:w="1732" w:type="dxa"/>
            <w:vMerge/>
            <w:tcBorders>
              <w:left w:val="nil"/>
              <w:bottom w:val="single" w:sz="4" w:space="0" w:color="auto"/>
              <w:right w:val="nil"/>
            </w:tcBorders>
          </w:tcPr>
          <w:p w:rsidR="00F26847" w:rsidRPr="006D0E69" w:rsidRDefault="00F26847" w:rsidP="00BE4EED">
            <w:pPr>
              <w:keepNext/>
              <w:spacing w:before="40" w:after="40"/>
              <w:rPr>
                <w:b/>
                <w:color w:val="000000" w:themeColor="text1"/>
                <w:sz w:val="18"/>
              </w:rPr>
            </w:pPr>
          </w:p>
        </w:tc>
        <w:tc>
          <w:tcPr>
            <w:tcW w:w="3479" w:type="dxa"/>
            <w:tcBorders>
              <w:top w:val="nil"/>
              <w:left w:val="nil"/>
              <w:bottom w:val="single" w:sz="4" w:space="0" w:color="auto"/>
              <w:right w:val="nil"/>
            </w:tcBorders>
          </w:tcPr>
          <w:p w:rsidR="00F26847" w:rsidRPr="006D0E69" w:rsidRDefault="00F26847" w:rsidP="00BE4EED">
            <w:pPr>
              <w:keepNext/>
              <w:spacing w:before="40" w:after="40"/>
              <w:rPr>
                <w:sz w:val="18"/>
              </w:rPr>
            </w:pPr>
            <w:r w:rsidRPr="006D0E69">
              <w:rPr>
                <w:sz w:val="18"/>
              </w:rPr>
              <w:t>Kerbside space congestion</w:t>
            </w:r>
          </w:p>
        </w:tc>
        <w:tc>
          <w:tcPr>
            <w:tcW w:w="1418" w:type="dxa"/>
            <w:tcBorders>
              <w:top w:val="nil"/>
              <w:left w:val="nil"/>
              <w:bottom w:val="single" w:sz="4" w:space="0" w:color="auto"/>
              <w:right w:val="nil"/>
            </w:tcBorders>
            <w:vAlign w:val="center"/>
          </w:tcPr>
          <w:p w:rsidR="00F26847" w:rsidRPr="006D0E69" w:rsidRDefault="00F26847" w:rsidP="00BE4EED">
            <w:pPr>
              <w:keepNext/>
              <w:spacing w:before="40" w:after="40"/>
              <w:rPr>
                <w:sz w:val="18"/>
              </w:rPr>
            </w:pPr>
            <w:r w:rsidRPr="006D0E69">
              <w:rPr>
                <w:sz w:val="18"/>
              </w:rPr>
              <w:t>Satisfactory</w:t>
            </w:r>
          </w:p>
        </w:tc>
        <w:tc>
          <w:tcPr>
            <w:tcW w:w="1017" w:type="dxa"/>
            <w:tcBorders>
              <w:top w:val="nil"/>
              <w:left w:val="nil"/>
              <w:bottom w:val="single" w:sz="4" w:space="0" w:color="auto"/>
              <w:right w:val="nil"/>
            </w:tcBorders>
            <w:vAlign w:val="center"/>
          </w:tcPr>
          <w:p w:rsidR="00F26847" w:rsidRPr="006D0E69" w:rsidRDefault="00F26847" w:rsidP="00BE4EED">
            <w:pPr>
              <w:keepNext/>
              <w:spacing w:before="40" w:after="40"/>
            </w:pPr>
            <w:r w:rsidRPr="006D0E69">
              <w:rPr>
                <w:rFonts w:cs="Arial"/>
                <w:color w:val="943634" w:themeColor="accent2" w:themeShade="BF"/>
                <w:sz w:val="18"/>
                <w:szCs w:val="18"/>
              </w:rPr>
              <w:t>▲</w:t>
            </w:r>
          </w:p>
        </w:tc>
        <w:tc>
          <w:tcPr>
            <w:tcW w:w="1018" w:type="dxa"/>
            <w:tcBorders>
              <w:top w:val="nil"/>
              <w:left w:val="nil"/>
              <w:bottom w:val="single" w:sz="4" w:space="0" w:color="auto"/>
              <w:right w:val="nil"/>
            </w:tcBorders>
            <w:vAlign w:val="center"/>
          </w:tcPr>
          <w:p w:rsidR="00F26847" w:rsidRPr="006D0E69" w:rsidRDefault="00F26847" w:rsidP="00BE4EED">
            <w:pPr>
              <w:keepNext/>
              <w:spacing w:before="40" w:after="40"/>
            </w:pPr>
            <w:r w:rsidRPr="006D0E69">
              <w:rPr>
                <w:rFonts w:cs="Arial"/>
                <w:color w:val="F79646" w:themeColor="accent6"/>
                <w:sz w:val="18"/>
                <w:szCs w:val="18"/>
              </w:rPr>
              <w:t>▼</w:t>
            </w:r>
          </w:p>
        </w:tc>
      </w:tr>
    </w:tbl>
    <w:p w:rsidR="00F26847" w:rsidRPr="006D0E69" w:rsidRDefault="00F26847" w:rsidP="00F26847">
      <w:pPr>
        <w:spacing w:before="120"/>
        <w:ind w:left="720" w:hanging="720"/>
        <w:contextualSpacing/>
        <w:rPr>
          <w:sz w:val="16"/>
          <w:szCs w:val="16"/>
        </w:rPr>
      </w:pPr>
      <w:r w:rsidRPr="006D0E69">
        <w:rPr>
          <w:sz w:val="16"/>
          <w:szCs w:val="16"/>
        </w:rPr>
        <w:t>Source:</w:t>
      </w:r>
      <w:r w:rsidRPr="006D0E69">
        <w:rPr>
          <w:sz w:val="16"/>
          <w:szCs w:val="16"/>
        </w:rPr>
        <w:tab/>
        <w:t>Passenger surveys</w:t>
      </w:r>
    </w:p>
    <w:p w:rsidR="00F26847" w:rsidRPr="006D0E69" w:rsidRDefault="00F26847" w:rsidP="00F26847">
      <w:pPr>
        <w:spacing w:before="120"/>
        <w:ind w:left="720" w:hanging="720"/>
        <w:contextualSpacing/>
        <w:rPr>
          <w:sz w:val="16"/>
          <w:szCs w:val="16"/>
        </w:rPr>
      </w:pPr>
      <w:r w:rsidRPr="006D0E69">
        <w:rPr>
          <w:sz w:val="16"/>
          <w:szCs w:val="16"/>
        </w:rPr>
        <w:t>Note:</w:t>
      </w:r>
      <w:r w:rsidRPr="006D0E69">
        <w:rPr>
          <w:sz w:val="16"/>
          <w:szCs w:val="16"/>
        </w:rPr>
        <w:tab/>
        <w:t>The rating categories are: very poor, poor, satisfactory, good, and excellent.</w:t>
      </w:r>
      <w:r w:rsidRPr="006D0E69">
        <w:rPr>
          <w:sz w:val="16"/>
          <w:szCs w:val="16"/>
        </w:rPr>
        <w:br/>
        <w:t xml:space="preserve">For each indicator for the period specified: </w:t>
      </w:r>
      <w:r w:rsidRPr="006D0E69">
        <w:rPr>
          <w:rFonts w:eastAsia="Times New Roman" w:cs="Times New Roman"/>
          <w:color w:val="943634"/>
          <w:sz w:val="16"/>
          <w:szCs w:val="24"/>
          <w:lang w:eastAsia="en-AU"/>
        </w:rPr>
        <w:t>▲</w:t>
      </w:r>
      <w:r w:rsidRPr="006D0E69">
        <w:rPr>
          <w:rFonts w:eastAsia="Times New Roman" w:cs="Times New Roman"/>
          <w:color w:val="943634"/>
          <w:sz w:val="18"/>
          <w:szCs w:val="24"/>
          <w:lang w:eastAsia="en-AU"/>
        </w:rPr>
        <w:t xml:space="preserve"> </w:t>
      </w:r>
      <w:r w:rsidRPr="006D0E69">
        <w:rPr>
          <w:sz w:val="16"/>
          <w:szCs w:val="16"/>
        </w:rPr>
        <w:t>indicates an improvement;</w:t>
      </w:r>
      <w:r w:rsidRPr="006D0E69">
        <w:rPr>
          <w:rFonts w:eastAsia="Times New Roman" w:cs="Times New Roman"/>
          <w:color w:val="943634"/>
          <w:sz w:val="18"/>
          <w:szCs w:val="24"/>
          <w:lang w:eastAsia="en-AU"/>
        </w:rPr>
        <w:t xml:space="preserve"> </w:t>
      </w:r>
      <w:r w:rsidRPr="006D0E69">
        <w:rPr>
          <w:rFonts w:eastAsia="Times New Roman" w:cs="Times New Roman"/>
          <w:color w:val="F79646"/>
          <w:sz w:val="16"/>
          <w:szCs w:val="24"/>
          <w:lang w:eastAsia="en-AU"/>
        </w:rPr>
        <w:t xml:space="preserve">▼ </w:t>
      </w:r>
      <w:r w:rsidRPr="006D0E69">
        <w:rPr>
          <w:sz w:val="16"/>
          <w:szCs w:val="16"/>
        </w:rPr>
        <w:t>indicates a decline;</w:t>
      </w:r>
      <w:r w:rsidRPr="006D0E69">
        <w:rPr>
          <w:rFonts w:eastAsia="Times New Roman" w:cs="Times New Roman"/>
          <w:color w:val="F79646"/>
          <w:sz w:val="16"/>
          <w:szCs w:val="24"/>
          <w:lang w:eastAsia="en-AU"/>
        </w:rPr>
        <w:t xml:space="preserve"> </w:t>
      </w:r>
      <w:r w:rsidRPr="006D0E69">
        <w:rPr>
          <w:rFonts w:cs="Arial"/>
          <w:color w:val="4BACC6"/>
          <w:sz w:val="16"/>
          <w:szCs w:val="16"/>
        </w:rPr>
        <w:t>▬</w:t>
      </w:r>
      <w:r w:rsidRPr="006D0E69">
        <w:rPr>
          <w:sz w:val="16"/>
          <w:szCs w:val="16"/>
        </w:rPr>
        <w:t xml:space="preserve"> indicates no change. *Rating changed by a category over the period.</w:t>
      </w:r>
    </w:p>
    <w:p w:rsidR="00F26847" w:rsidRPr="006D0E69" w:rsidRDefault="00F26847" w:rsidP="00F26847">
      <w:pPr>
        <w:rPr>
          <w:i/>
          <w:iCs/>
        </w:rPr>
      </w:pPr>
    </w:p>
    <w:p w:rsidR="00F26847" w:rsidRDefault="00F26847" w:rsidP="00F26847">
      <w:pPr>
        <w:rPr>
          <w:i/>
          <w:iCs/>
        </w:rPr>
      </w:pPr>
    </w:p>
    <w:p w:rsidR="00F26847" w:rsidRDefault="00F26847" w:rsidP="00F26847">
      <w:pPr>
        <w:rPr>
          <w:i/>
          <w:iCs/>
        </w:rPr>
      </w:pPr>
    </w:p>
    <w:p w:rsidR="00F26847" w:rsidRPr="006D0E69" w:rsidRDefault="00F26847" w:rsidP="00F26847">
      <w:pPr>
        <w:rPr>
          <w:i/>
          <w:iCs/>
        </w:rPr>
      </w:pPr>
      <w:r w:rsidRPr="006D0E69">
        <w:rPr>
          <w:i/>
          <w:iCs/>
        </w:rPr>
        <w:lastRenderedPageBreak/>
        <w:t>Landside operator ratings</w:t>
      </w:r>
    </w:p>
    <w:p w:rsidR="00F26847" w:rsidRPr="006D0E69" w:rsidRDefault="00F26847" w:rsidP="00F26847">
      <w:r w:rsidRPr="006D0E69">
        <w:t xml:space="preserve">The overall average rating of landside operator responses at Sydney Airport during 2014-15 increased from ‘satisfactory’ to ‘good’. </w:t>
      </w:r>
    </w:p>
    <w:p w:rsidR="00F26847" w:rsidRPr="006D0E69" w:rsidRDefault="00F26847" w:rsidP="00F26847"/>
    <w:p w:rsidR="00F26847" w:rsidRDefault="00F26847" w:rsidP="00F26847">
      <w:pPr>
        <w:pStyle w:val="Sourceandnotes"/>
      </w:pPr>
      <w:r>
        <w:tab/>
        <w:t xml:space="preserve"> </w:t>
      </w: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F26847" w:rsidRDefault="00F26847" w:rsidP="00F26847">
      <w:pPr>
        <w:pStyle w:val="Sourceandnotes"/>
      </w:pPr>
    </w:p>
    <w:p w:rsidR="009543DB" w:rsidRDefault="009543DB" w:rsidP="009543DB"/>
    <w:p w:rsidR="00F26847" w:rsidRDefault="00F26847" w:rsidP="009543DB"/>
    <w:p w:rsidR="00F26847" w:rsidRDefault="00F26847" w:rsidP="009543DB"/>
    <w:p w:rsidR="00F26847" w:rsidRDefault="00F26847" w:rsidP="009543DB"/>
    <w:p w:rsidR="00F26847" w:rsidRDefault="00F26847" w:rsidP="009543DB">
      <w:pPr>
        <w:sectPr w:rsidR="00F26847" w:rsidSect="00AD0BA6">
          <w:type w:val="continuous"/>
          <w:pgSz w:w="11906" w:h="16838"/>
          <w:pgMar w:top="1440" w:right="1729" w:bottom="1582" w:left="1729" w:header="709" w:footer="709" w:gutter="0"/>
          <w:cols w:space="708"/>
          <w:docGrid w:linePitch="360"/>
        </w:sectPr>
      </w:pPr>
    </w:p>
    <w:p w:rsidR="008C0FF7" w:rsidRDefault="008C0FF7" w:rsidP="008C0FF7">
      <w:pPr>
        <w:pStyle w:val="Non-numberedheading1"/>
        <w:keepNext/>
      </w:pPr>
      <w:r>
        <w:lastRenderedPageBreak/>
        <w:t>A1.</w:t>
      </w:r>
      <w:r>
        <w:tab/>
        <w:t xml:space="preserve">History of airport regulation in Australia </w:t>
      </w:r>
    </w:p>
    <w:p w:rsidR="008C0FF7" w:rsidRDefault="008C0FF7" w:rsidP="00114E05">
      <w:pPr>
        <w:pStyle w:val="Non-numberedheading2"/>
      </w:pPr>
      <w:r>
        <w:t>A1.1</w:t>
      </w:r>
      <w:r>
        <w:tab/>
        <w:t xml:space="preserve">Privatisation of airports </w:t>
      </w:r>
    </w:p>
    <w:p w:rsidR="008C0FF7" w:rsidRDefault="008C0FF7" w:rsidP="008C0FF7">
      <w:pPr>
        <w:keepNext/>
      </w:pPr>
      <w:r>
        <w:t xml:space="preserve">The Australian government established the Federal Airports Corporation (FAC) in the 1980s to operate airports on a commercial basis. Initially the FAC was required to notify the relevant Minister prior to imposing or varying an aeronautical charge. In 1991, the government declared the FAC’s aeronautical charges under s. 21 of the </w:t>
      </w:r>
      <w:r w:rsidRPr="006A11AC">
        <w:rPr>
          <w:i/>
        </w:rPr>
        <w:t>Prices Surveillance Act 1983</w:t>
      </w:r>
      <w:r>
        <w:t>. The declaration required the FAC to instead notify the Prices Surveillance Authority (PSA) prior to raising its aeronautical charges.</w:t>
      </w:r>
    </w:p>
    <w:p w:rsidR="008C0FF7" w:rsidRDefault="008C0FF7" w:rsidP="008C0FF7">
      <w:pPr>
        <w:keepNext/>
      </w:pPr>
      <w:r>
        <w:t>In 1995, the government decided to privatise to all 22 FAC through leasing arrangements to improve the efficiency of airport investment and operations, and to facilitate innovative management.</w:t>
      </w:r>
      <w:r>
        <w:rPr>
          <w:rStyle w:val="FootnoteReference"/>
        </w:rPr>
        <w:footnoteReference w:id="136"/>
      </w:r>
      <w:r>
        <w:t xml:space="preserve"> </w:t>
      </w:r>
    </w:p>
    <w:p w:rsidR="008C0FF7" w:rsidRDefault="008C0FF7" w:rsidP="008C0FF7">
      <w:pPr>
        <w:keepNext/>
      </w:pPr>
      <w:r>
        <w:t>The sale was completed with ‘phase one’ in 1997 and ‘phase two’ in 1998. Phase one included Brisbane, Melbourne and Perth airports, while phase two included Adelaide, Darwin and Canberra airports. Sydney Airport was corporatised in 1998, but not sold until 2002.</w:t>
      </w:r>
    </w:p>
    <w:p w:rsidR="008C0FF7" w:rsidRDefault="008C0FF7" w:rsidP="008C0FF7">
      <w:pPr>
        <w:keepNext/>
      </w:pPr>
      <w:r>
        <w:t>The privatisation of phase one and phase two airports was accompanied by a transitional regulatory framework designed to limit the potential for the airports to exercise their market power. The regime (administered by the ACCC</w:t>
      </w:r>
      <w:r>
        <w:rPr>
          <w:rStyle w:val="FootnoteReference"/>
        </w:rPr>
        <w:footnoteReference w:id="137"/>
      </w:r>
      <w:r>
        <w:t>) consisted of:</w:t>
      </w:r>
    </w:p>
    <w:p w:rsidR="008C0FF7" w:rsidRDefault="008C0FF7" w:rsidP="008C0FF7">
      <w:pPr>
        <w:pStyle w:val="Listbullet1"/>
        <w:keepNext/>
      </w:pPr>
      <w:r>
        <w:t>price notification for aeronautical services</w:t>
      </w:r>
    </w:p>
    <w:p w:rsidR="008C0FF7" w:rsidRDefault="008C0FF7" w:rsidP="008C0FF7">
      <w:pPr>
        <w:pStyle w:val="Listbullet1"/>
        <w:keepNext/>
      </w:pPr>
      <w:r>
        <w:t>a Consumer Price Index minus X price cap on aeronautical services</w:t>
      </w:r>
    </w:p>
    <w:p w:rsidR="008C0FF7" w:rsidRDefault="008C0FF7" w:rsidP="008C0FF7">
      <w:pPr>
        <w:pStyle w:val="Listbullet1"/>
        <w:keepNext/>
      </w:pPr>
      <w:r>
        <w:t>prices monitoring of certain aeronautical related services</w:t>
      </w:r>
    </w:p>
    <w:p w:rsidR="008C0FF7" w:rsidRDefault="008C0FF7" w:rsidP="008C0FF7">
      <w:pPr>
        <w:pStyle w:val="Listbullet1"/>
        <w:keepNext/>
      </w:pPr>
      <w:proofErr w:type="gramStart"/>
      <w:r>
        <w:t>cost</w:t>
      </w:r>
      <w:proofErr w:type="gramEnd"/>
      <w:r>
        <w:t xml:space="preserve"> pass-through provisions for necessary new investment and government mandated security services.</w:t>
      </w:r>
    </w:p>
    <w:p w:rsidR="008C0FF7" w:rsidRDefault="008C0FF7" w:rsidP="008C0FF7">
      <w:pPr>
        <w:keepNext/>
      </w:pPr>
      <w:r>
        <w:t xml:space="preserve">The airports subject to price regulation were also subject to quality of service monitoring to ensure that airport assets were not allowed to run down at the expense of service standards. </w:t>
      </w:r>
    </w:p>
    <w:p w:rsidR="008C0FF7" w:rsidRDefault="008C0FF7" w:rsidP="008C0FF7">
      <w:pPr>
        <w:keepNext/>
      </w:pPr>
      <w:r>
        <w:t xml:space="preserve">The government stated that it would determine the subsequent, ongoing regulatory framework after a detailed review.   </w:t>
      </w:r>
    </w:p>
    <w:p w:rsidR="008C0FF7" w:rsidRDefault="008C0FF7" w:rsidP="00114E05">
      <w:pPr>
        <w:pStyle w:val="Non-numberedheading2"/>
      </w:pPr>
      <w:r>
        <w:t>A1.2</w:t>
      </w:r>
      <w:r>
        <w:tab/>
        <w:t xml:space="preserve">Productivity Commission inquiries into the price regulation of airport services </w:t>
      </w:r>
    </w:p>
    <w:p w:rsidR="008C0FF7" w:rsidRPr="00FA692B" w:rsidRDefault="008C0FF7" w:rsidP="008C0FF7">
      <w:pPr>
        <w:keepNext/>
        <w:rPr>
          <w:b/>
        </w:rPr>
      </w:pPr>
      <w:r>
        <w:rPr>
          <w:b/>
        </w:rPr>
        <w:t xml:space="preserve">Productivity Commission </w:t>
      </w:r>
      <w:r w:rsidRPr="00FA692B">
        <w:rPr>
          <w:b/>
        </w:rPr>
        <w:t>2002 Inquiry</w:t>
      </w:r>
    </w:p>
    <w:p w:rsidR="008C0FF7" w:rsidRDefault="008C0FF7" w:rsidP="008C0FF7">
      <w:pPr>
        <w:keepNext/>
      </w:pPr>
      <w:r>
        <w:t>In December 2000, the government referred the review of the regulatory arrangements for airports to the Productivity Commission (PC). The review was concluded in 2002. The government accepted the PC’s recommendation that price notification and price caps under the PSA should be discontinued for all airports, with the exception of regional air services at Sydney Airport.</w:t>
      </w:r>
      <w:r>
        <w:rPr>
          <w:rStyle w:val="FootnoteReference"/>
        </w:rPr>
        <w:footnoteReference w:id="138"/>
      </w:r>
      <w:r>
        <w:t xml:space="preserve"> Additionally, the PC recommended that the ACCC should monitor prices at Adelaide, Brisbane, Canberra, Darwin, Melbourne, Perth and Sydney airports for a five-year </w:t>
      </w:r>
      <w:r>
        <w:lastRenderedPageBreak/>
        <w:t xml:space="preserve">period, and that a review of price regulation of airport services should be conducted at the end of that period to ascertain the need for future regulation. The government supported the PC’s recommendation that quality of service monitoring be continued at all price monitored airports, with some modifications. </w:t>
      </w:r>
    </w:p>
    <w:p w:rsidR="008C0FF7" w:rsidRPr="004545EF" w:rsidRDefault="008C0FF7" w:rsidP="008C0FF7">
      <w:pPr>
        <w:keepNext/>
        <w:rPr>
          <w:b/>
        </w:rPr>
      </w:pPr>
      <w:r>
        <w:rPr>
          <w:b/>
        </w:rPr>
        <w:t>Productivity Commission 2006</w:t>
      </w:r>
      <w:r w:rsidRPr="004545EF">
        <w:rPr>
          <w:b/>
        </w:rPr>
        <w:t xml:space="preserve"> Inquiry</w:t>
      </w:r>
    </w:p>
    <w:p w:rsidR="008C0FF7" w:rsidRDefault="008C0FF7" w:rsidP="008C0FF7">
      <w:pPr>
        <w:keepNext/>
      </w:pPr>
      <w:r>
        <w:t xml:space="preserve">In 2006, the PC conducted its next review of the price regulation of airport services. In its response to the PC’s recommendations, the government announced that the airport price and quality of service monitoring would continue for a further six year period and that, following this period, an independent review of the regulatory regime would be undertaken to assess the need for future regulation. The government supported the PC’s recommendation that the monitoring regime apply only to Adelaide, Brisbane, Melbourne, Perth and Sydney airports. Canberra and Darwin airports were excluded because the PC considered these airports to have less market power. </w:t>
      </w:r>
    </w:p>
    <w:p w:rsidR="008C0FF7" w:rsidRPr="00FA692B" w:rsidRDefault="008C0FF7" w:rsidP="008C0FF7">
      <w:pPr>
        <w:keepNext/>
        <w:rPr>
          <w:b/>
        </w:rPr>
      </w:pPr>
      <w:r w:rsidRPr="00FA692B">
        <w:rPr>
          <w:b/>
        </w:rPr>
        <w:t xml:space="preserve">Productivity Commission 2011 </w:t>
      </w:r>
      <w:r>
        <w:rPr>
          <w:b/>
        </w:rPr>
        <w:t>inquiry</w:t>
      </w:r>
    </w:p>
    <w:p w:rsidR="008C0FF7" w:rsidRDefault="008C0FF7" w:rsidP="008C0FF7">
      <w:pPr>
        <w:keepNext/>
      </w:pPr>
      <w:r>
        <w:t>In December 2010, the government brought forward the PC’s next review of the economic regulation of airport services from 2012. The PC’s review found that there had been a number of positive outcomes under the existing price monitoring regime, including:</w:t>
      </w:r>
    </w:p>
    <w:p w:rsidR="008C0FF7" w:rsidRDefault="008C0FF7" w:rsidP="008C0FF7">
      <w:pPr>
        <w:pStyle w:val="Listbullet1"/>
        <w:keepNext/>
      </w:pPr>
      <w:r>
        <w:t xml:space="preserve">strong investment in new aeronautical assets, </w:t>
      </w:r>
    </w:p>
    <w:p w:rsidR="008C0FF7" w:rsidRDefault="008C0FF7" w:rsidP="008C0FF7">
      <w:pPr>
        <w:pStyle w:val="Listbullet1"/>
        <w:keepNext/>
      </w:pPr>
      <w:r>
        <w:t xml:space="preserve">a generally good level of service provision, and </w:t>
      </w:r>
    </w:p>
    <w:p w:rsidR="008C0FF7" w:rsidRDefault="008C0FF7" w:rsidP="008C0FF7">
      <w:pPr>
        <w:pStyle w:val="Listbullet1"/>
        <w:keepNext/>
      </w:pPr>
      <w:proofErr w:type="gramStart"/>
      <w:r>
        <w:t>reasonable</w:t>
      </w:r>
      <w:proofErr w:type="gramEnd"/>
      <w:r>
        <w:t xml:space="preserve"> aeronautical charges, revenues and profits compared to international benchmarks. </w:t>
      </w:r>
    </w:p>
    <w:p w:rsidR="008C0FF7" w:rsidRDefault="008C0FF7" w:rsidP="008C0FF7">
      <w:pPr>
        <w:keepNext/>
      </w:pPr>
      <w:r>
        <w:t xml:space="preserve">The PC found no evidence of any systemic misuse of market power by the airports, when considered alongside investment outcomes and international benchmarks. However, the PC considered that Brisbane, Melbourne, Perth and Sydney airports’ market power to be of concern and recommended the continuation of the existing price and quality of service monitoring arrangements with some amendments to the regime. </w:t>
      </w:r>
    </w:p>
    <w:p w:rsidR="008C0FF7" w:rsidRDefault="008C0FF7" w:rsidP="008C0FF7">
      <w:pPr>
        <w:keepNext/>
      </w:pPr>
      <w:r>
        <w:t>The government agreed in principle with the PC’s recommendations to continue monitoring and improve the operation of the regime, with the next review of the economic regulation of airport services scheduled for 2018. The government also asked the ACCC to conduct a review of quality of service monitoring, which was completed in June 2013. The government agreed in principle that the ACCC take steps to make as much of its underlying methodology publicly available as possible and focus on trends over time at a given airport.</w:t>
      </w:r>
    </w:p>
    <w:p w:rsidR="008C0FF7" w:rsidRDefault="008C0FF7" w:rsidP="008C0FF7">
      <w:pPr>
        <w:keepNext/>
      </w:pPr>
      <w:r>
        <w:t xml:space="preserve">On 12 June 2012, the government issued new directions pursuant to s. 95ZF (Part VIIA) of the </w:t>
      </w:r>
      <w:r w:rsidRPr="00E51BC6">
        <w:rPr>
          <w:i/>
        </w:rPr>
        <w:t xml:space="preserve">Competition and Consumer Act </w:t>
      </w:r>
      <w:r w:rsidRPr="00DB6B0C">
        <w:rPr>
          <w:i/>
        </w:rPr>
        <w:t>2010</w:t>
      </w:r>
      <w:r>
        <w:t xml:space="preserve"> (CCA), directing the ACCC to monitor the prices, costs and profits related to the supply of aeronautical services and car parking services at the four specified airports, with Adelaide Airport being removed from the monitoring regime. The government stated that these arrangements would continue until 2020.</w:t>
      </w:r>
    </w:p>
    <w:p w:rsidR="008C0FF7" w:rsidRPr="007F434A" w:rsidRDefault="008C0FF7" w:rsidP="008C0FF7"/>
    <w:p w:rsidR="00F26847" w:rsidRDefault="00F26847" w:rsidP="009543DB"/>
    <w:p w:rsidR="009543DB" w:rsidRDefault="009543DB" w:rsidP="009543DB"/>
    <w:p w:rsidR="008C0FF7" w:rsidRDefault="008C0FF7" w:rsidP="008C0FF7">
      <w:pPr>
        <w:spacing w:before="100" w:beforeAutospacing="1" w:after="100" w:afterAutospacing="1"/>
        <w:rPr>
          <w:rFonts w:cs="Arial"/>
          <w:color w:val="000000"/>
          <w:sz w:val="16"/>
          <w:szCs w:val="16"/>
        </w:rPr>
        <w:sectPr w:rsidR="008C0FF7" w:rsidSect="00114E05">
          <w:headerReference w:type="even" r:id="rId182"/>
          <w:headerReference w:type="default" r:id="rId183"/>
          <w:footerReference w:type="even" r:id="rId184"/>
          <w:footerReference w:type="default" r:id="rId185"/>
          <w:type w:val="continuous"/>
          <w:pgSz w:w="11906" w:h="16838"/>
          <w:pgMar w:top="1440" w:right="1729" w:bottom="1582" w:left="1729" w:header="709" w:footer="709" w:gutter="0"/>
          <w:cols w:space="708"/>
          <w:docGrid w:linePitch="360"/>
        </w:sectPr>
      </w:pPr>
    </w:p>
    <w:p w:rsidR="008C0FF7" w:rsidRDefault="008C0FF7" w:rsidP="008C0FF7">
      <w:pPr>
        <w:pStyle w:val="Non-numberedheading1"/>
      </w:pPr>
      <w:r>
        <w:lastRenderedPageBreak/>
        <w:t>A2</w:t>
      </w:r>
      <w:r>
        <w:tab/>
        <w:t>.</w:t>
      </w:r>
      <w:r>
        <w:tab/>
        <w:t>Regulatory framework</w:t>
      </w:r>
    </w:p>
    <w:p w:rsidR="008C0FF7" w:rsidRDefault="008C0FF7" w:rsidP="000615C0">
      <w:r>
        <w:t xml:space="preserve">The ACCC’s regulatory role involves monitoring the performance of the airports under directions pursuant to the </w:t>
      </w:r>
      <w:r w:rsidRPr="001F0385">
        <w:rPr>
          <w:i/>
        </w:rPr>
        <w:t>Competition and Consumer Act 2010</w:t>
      </w:r>
      <w:r>
        <w:t xml:space="preserve"> (CCA) as well as the </w:t>
      </w:r>
      <w:r w:rsidRPr="00CD1A30">
        <w:rPr>
          <w:i/>
        </w:rPr>
        <w:t>Airports Act 1996</w:t>
      </w:r>
      <w:r>
        <w:t xml:space="preserve"> and associated regulations. </w:t>
      </w:r>
    </w:p>
    <w:p w:rsidR="008C0FF7" w:rsidRDefault="008C0FF7" w:rsidP="008C0FF7">
      <w:r w:rsidRPr="00894BCD">
        <w:t>Regional air services at Sydney Airport are also subject to the price notification regime under Direction 93 under s. 95X of the CCA.</w:t>
      </w:r>
    </w:p>
    <w:p w:rsidR="008C0FF7" w:rsidRDefault="008C0FF7" w:rsidP="00114E05">
      <w:pPr>
        <w:pStyle w:val="Non-numberedheading2"/>
      </w:pPr>
      <w:r>
        <w:t>A2.1</w:t>
      </w:r>
      <w:r>
        <w:tab/>
        <w:t>Prices, costs and profits monitoring</w:t>
      </w:r>
    </w:p>
    <w:p w:rsidR="008C0FF7" w:rsidRDefault="008C0FF7" w:rsidP="00114E05">
      <w:pPr>
        <w:pStyle w:val="Non-numberedheading3"/>
      </w:pPr>
      <w:r w:rsidRPr="00114E05">
        <w:t>A2.1.1</w:t>
      </w:r>
      <w:r>
        <w:tab/>
        <w:t>Aeronautical and car parking services monitoring</w:t>
      </w:r>
    </w:p>
    <w:p w:rsidR="008C0FF7" w:rsidRDefault="008C0FF7" w:rsidP="008C0FF7">
      <w:r>
        <w:t>A direction made pursuant to s. 95ZF of Part VIIA of the CCA, and issued on 12 June 2012, directs the ACCC to monitor the prices, costs and profits related to the supply of aeronautical services and facilities by Brisbane, Melbourne, Perth and Sydney airports. This direction took effect on 1 July 2012 and replaced an earlier version.</w:t>
      </w:r>
    </w:p>
    <w:p w:rsidR="008C0FF7" w:rsidRDefault="008C0FF7" w:rsidP="008C0FF7">
      <w:r>
        <w:t>Separately, a direction made pursuant to s. 95ZF of Part VIIA of the CCA issued on 12 June 2012, directs the ACCC to monitor the prices, costs and profits relating to the supply of car parking by Brisbane, Melbourne, Perth and Sydney airports. This direction took effect on 1 July 2012 and replaced Direction 31, issued on 7 April 2008.</w:t>
      </w:r>
    </w:p>
    <w:p w:rsidR="008C0FF7" w:rsidRDefault="008C0FF7" w:rsidP="008C0FF7">
      <w:r>
        <w:t>In performing its price, costs and profits monitoring function, the ACCC must also, under subs. </w:t>
      </w:r>
      <w:proofErr w:type="gramStart"/>
      <w:r>
        <w:t>95G(</w:t>
      </w:r>
      <w:proofErr w:type="gramEnd"/>
      <w:r>
        <w:t>7) of the CCA, have particular regard to the following matters:</w:t>
      </w:r>
    </w:p>
    <w:p w:rsidR="008C0FF7" w:rsidRDefault="008C0FF7" w:rsidP="008C0FF7">
      <w:pPr>
        <w:pStyle w:val="Listbullet1"/>
      </w:pPr>
      <w:r>
        <w:t>the need to maintain investment and employment, including the influence of profitability on investment and employment</w:t>
      </w:r>
    </w:p>
    <w:p w:rsidR="008C0FF7" w:rsidRDefault="008C0FF7" w:rsidP="008C0FF7">
      <w:pPr>
        <w:pStyle w:val="Listbullet1"/>
      </w:pPr>
      <w:r>
        <w:t>the need to discourage a person who is in a position to substantially influence a market for goods or services from taking advantage of that power in setting prices</w:t>
      </w:r>
    </w:p>
    <w:p w:rsidR="008C0FF7" w:rsidRDefault="008C0FF7" w:rsidP="008C0FF7">
      <w:pPr>
        <w:pStyle w:val="Listbullet1"/>
      </w:pPr>
      <w:proofErr w:type="gramStart"/>
      <w:r>
        <w:t>the</w:t>
      </w:r>
      <w:proofErr w:type="gramEnd"/>
      <w:r>
        <w:t xml:space="preserve"> need to discourage cost increases arising from increases in wages and changes in conditions of employment inconsistent with principles established by relevant industrial tribunals.</w:t>
      </w:r>
    </w:p>
    <w:p w:rsidR="008C0FF7" w:rsidRDefault="008C0FF7" w:rsidP="00114E05">
      <w:pPr>
        <w:pStyle w:val="Non-numberedheading3"/>
      </w:pPr>
      <w:r w:rsidRPr="00114E05">
        <w:t>A2.1.2</w:t>
      </w:r>
      <w:r>
        <w:tab/>
        <w:t>Financial accounts</w:t>
      </w:r>
    </w:p>
    <w:p w:rsidR="008C0FF7" w:rsidRDefault="008C0FF7" w:rsidP="008C0FF7">
      <w:r>
        <w:t xml:space="preserve">Under Part 7 of the Airports Act and Part 7 of the </w:t>
      </w:r>
      <w:r w:rsidRPr="001F0385">
        <w:rPr>
          <w:i/>
        </w:rPr>
        <w:t>Airports Regulations 1997</w:t>
      </w:r>
      <w:r>
        <w:t xml:space="preserve"> (Airports Regulations), the ACCC collects and reports annual regulatory accounting statements, including an income statement, balance sheet and statement of cash flows, from the four monitored airports. </w:t>
      </w:r>
    </w:p>
    <w:p w:rsidR="008C0FF7" w:rsidRDefault="008C0FF7" w:rsidP="008C0FF7">
      <w:r>
        <w:t xml:space="preserve">In particular, regulation 7.03 of the Airports Regulations, under subs. 141(2) of the Airports Act, stipulates that a specified airport must prepare a financial report, which includes an income statement, balance sheet and cash flow statement. These statements must separately show the financial details in relation to the provision and use of aeronautical and non-aeronautical services. Under regulation 7.06 of the Airports Regulations, airports must lodge these accounts with the ACCC within 90 days of the end of the relevant accounting period. </w:t>
      </w:r>
    </w:p>
    <w:p w:rsidR="008C0FF7" w:rsidRDefault="008C0FF7" w:rsidP="008C0FF7">
      <w:r>
        <w:t xml:space="preserve">The ACCC’s price monitoring and financial reporting information requirements for airport operators are outlined in the </w:t>
      </w:r>
      <w:r w:rsidRPr="00701835">
        <w:rPr>
          <w:i/>
        </w:rPr>
        <w:t>ACCC Airport prices monitoring and financial reporting guideline June 2009</w:t>
      </w:r>
      <w:r>
        <w:t>.</w:t>
      </w:r>
    </w:p>
    <w:p w:rsidR="008C0FF7" w:rsidRDefault="008C0FF7" w:rsidP="00114E05">
      <w:pPr>
        <w:pStyle w:val="Non-numberedheading2"/>
      </w:pPr>
      <w:r>
        <w:lastRenderedPageBreak/>
        <w:t>A2.2</w:t>
      </w:r>
      <w:r>
        <w:tab/>
        <w:t xml:space="preserve">Quality of service monitoring </w:t>
      </w:r>
    </w:p>
    <w:p w:rsidR="008C0FF7" w:rsidRDefault="008C0FF7" w:rsidP="008C0FF7">
      <w:r>
        <w:t>Part 8 of the Airports Act provides for the ACCC to monitor the quality of services and facilities at the specified airports. More specifically, Part 8 provides for:</w:t>
      </w:r>
    </w:p>
    <w:p w:rsidR="008C0FF7" w:rsidRDefault="008C0FF7" w:rsidP="008C0FF7">
      <w:pPr>
        <w:pStyle w:val="Listbullet1"/>
      </w:pPr>
      <w:r>
        <w:t>quality of service aspects to be specified in regulations</w:t>
      </w:r>
    </w:p>
    <w:p w:rsidR="008C0FF7" w:rsidRDefault="008C0FF7" w:rsidP="008C0FF7">
      <w:pPr>
        <w:pStyle w:val="Listbullet1"/>
      </w:pPr>
      <w:r>
        <w:t>the ACCC to monitor and evaluate the quality of the aspects of airport services and facilities, against criteria determined by the ACCC in writing</w:t>
      </w:r>
    </w:p>
    <w:p w:rsidR="008C0FF7" w:rsidRDefault="008C0FF7" w:rsidP="008C0FF7">
      <w:pPr>
        <w:pStyle w:val="Listbullet1"/>
      </w:pPr>
      <w:r>
        <w:t>records to be kept and retained in relation to quality of service matters</w:t>
      </w:r>
    </w:p>
    <w:p w:rsidR="008C0FF7" w:rsidRDefault="008C0FF7" w:rsidP="008C0FF7">
      <w:pPr>
        <w:pStyle w:val="Listbullet1"/>
      </w:pPr>
      <w:r>
        <w:t>information to be provided to the ACCC by airport operators and other relevant parties, including airlines, relevant to quality of service matters</w:t>
      </w:r>
    </w:p>
    <w:p w:rsidR="008C0FF7" w:rsidRDefault="008C0FF7" w:rsidP="008C0FF7">
      <w:pPr>
        <w:pStyle w:val="Listbullet1"/>
      </w:pPr>
      <w:proofErr w:type="gramStart"/>
      <w:r>
        <w:t>the</w:t>
      </w:r>
      <w:proofErr w:type="gramEnd"/>
      <w:r>
        <w:t xml:space="preserve"> ACCC to publish reports relating to the monitoring or evaluation of the quality of aspects of airport services and facilities. </w:t>
      </w:r>
    </w:p>
    <w:p w:rsidR="008C0FF7" w:rsidRDefault="008C0FF7" w:rsidP="008C0FF7">
      <w:r>
        <w:t>Regulation 8.01A of the Airports Regulations specifies the particular aspects of passenger-related and aircraft-related services and facilities for which the ACCC is to monitor and evaluate quality of service. Schedule 2 of the Airports Regulations splits each of the required aspects into a variety of measures for which the airports must keep data. Regulation 8.03 of the Airports Regulations requires the specified airports to give the ACCC copies of the quality of service records for a financial year within 90 days after the end of that financial year.</w:t>
      </w:r>
    </w:p>
    <w:p w:rsidR="008C0FF7" w:rsidRDefault="008C0FF7" w:rsidP="008C0FF7">
      <w:r>
        <w:t xml:space="preserve">The ACCC’s approach to its quality of service monitoring role is outlined in its </w:t>
      </w:r>
      <w:r w:rsidRPr="00894BCD">
        <w:rPr>
          <w:i/>
        </w:rPr>
        <w:t>Airport quality of service monitoring guideline June 201</w:t>
      </w:r>
      <w:r>
        <w:rPr>
          <w:i/>
        </w:rPr>
        <w:t>4</w:t>
      </w:r>
      <w:r>
        <w:t>.</w:t>
      </w:r>
    </w:p>
    <w:p w:rsidR="008C0FF7" w:rsidRDefault="008C0FF7" w:rsidP="008C0FF7">
      <w:r>
        <w:t>In June 2013, the ACCC completed a review of quality of service monitoring, which was requested by the government in its response to the 2011 PC’s inquiry into the economic regulation of airport services. The review recommended a number of amendments to the Airports Regulations. As a result, amendments were made to the Airports Regulations 1996 on 1 July 2014 to include new objective indicators (such as, number of departing passengers per check</w:t>
      </w:r>
      <w:r>
        <w:noBreakHyphen/>
        <w:t>in desk, bag drop and check</w:t>
      </w:r>
      <w:r>
        <w:noBreakHyphen/>
        <w:t>in kiosk during peak hour) and to remove some objective indicators (such as the percentage of hours when more than 80 per cent of check</w:t>
      </w:r>
      <w:r>
        <w:noBreakHyphen/>
        <w:t xml:space="preserve">in desks are in use). </w:t>
      </w:r>
    </w:p>
    <w:p w:rsidR="008C0FF7" w:rsidRDefault="008C0FF7" w:rsidP="00114E05">
      <w:pPr>
        <w:pStyle w:val="Non-numberedheading2"/>
      </w:pPr>
      <w:r>
        <w:t>A2.3</w:t>
      </w:r>
      <w:r>
        <w:tab/>
        <w:t>Regulation of regional air services at Sydney Airport</w:t>
      </w:r>
    </w:p>
    <w:p w:rsidR="008C0FF7" w:rsidRDefault="008C0FF7" w:rsidP="008C0FF7">
      <w:r>
        <w:t xml:space="preserve">Prices charged by Sydney Airport for regional air services at Sydney Airport are regulated under the price notification regime in Part VIIA of the CCA. Declaration 93 under s. 95X of the CCA requires Sydney Airport to notify the ACCC if it intends to increase the prices of its aeronautical services and facilities provided to regional air services. Declaration 93 was issued 12 June 2013, commenced on 1 July 2013 and will cease 30 June 2016. </w:t>
      </w:r>
    </w:p>
    <w:p w:rsidR="008C0FF7" w:rsidRDefault="008C0FF7" w:rsidP="00114E05">
      <w:pPr>
        <w:pStyle w:val="Non-numberedheading2"/>
      </w:pPr>
    </w:p>
    <w:p w:rsidR="008C0FF7" w:rsidRDefault="008C0FF7" w:rsidP="00114E05">
      <w:pPr>
        <w:pStyle w:val="Non-numberedheading3"/>
      </w:pPr>
    </w:p>
    <w:p w:rsidR="008C0FF7" w:rsidRDefault="008C0FF7" w:rsidP="008C0FF7">
      <w:pPr>
        <w:spacing w:before="100" w:beforeAutospacing="1" w:after="100" w:afterAutospacing="1"/>
        <w:rPr>
          <w:rFonts w:cs="Arial"/>
          <w:color w:val="000000"/>
          <w:sz w:val="16"/>
          <w:szCs w:val="16"/>
        </w:rPr>
        <w:sectPr w:rsidR="008C0FF7" w:rsidSect="009F0A92">
          <w:headerReference w:type="even" r:id="rId186"/>
          <w:headerReference w:type="default" r:id="rId187"/>
          <w:footnotePr>
            <w:numStart w:val="93"/>
          </w:footnotePr>
          <w:pgSz w:w="11906" w:h="16838"/>
          <w:pgMar w:top="1440" w:right="1729" w:bottom="1582" w:left="1729" w:header="709" w:footer="709" w:gutter="0"/>
          <w:cols w:space="708"/>
          <w:docGrid w:linePitch="360"/>
        </w:sectPr>
      </w:pPr>
    </w:p>
    <w:p w:rsidR="00CA5F27" w:rsidRDefault="00CA5F27" w:rsidP="00CA5F27">
      <w:pPr>
        <w:pStyle w:val="Non-numberedheading1"/>
      </w:pPr>
      <w:r>
        <w:lastRenderedPageBreak/>
        <w:t>A3</w:t>
      </w:r>
      <w:r>
        <w:tab/>
        <w:t>.</w:t>
      </w:r>
      <w:r>
        <w:tab/>
        <w:t>Services provided by</w:t>
      </w:r>
      <w:r>
        <w:tab/>
      </w:r>
      <w:r>
        <w:tab/>
      </w:r>
      <w:r>
        <w:tab/>
      </w:r>
      <w:r>
        <w:tab/>
        <w:t>airports</w:t>
      </w:r>
    </w:p>
    <w:p w:rsidR="00CA5F27" w:rsidRDefault="00CA5F27" w:rsidP="00CA5F27">
      <w:r>
        <w:t>Services and facilities provided by airports are categorised as either aeronautical (section A3.1) or non-aeronautical services (section A3.2).</w:t>
      </w:r>
    </w:p>
    <w:p w:rsidR="00CA5F27" w:rsidRDefault="00CA5F27" w:rsidP="00114E05">
      <w:pPr>
        <w:pStyle w:val="Non-numberedheading2"/>
      </w:pPr>
      <w:r>
        <w:t>A3.1</w:t>
      </w:r>
      <w:r>
        <w:tab/>
        <w:t>Aeronautical services</w:t>
      </w:r>
    </w:p>
    <w:p w:rsidR="00CA5F27" w:rsidRDefault="00CA5F27" w:rsidP="00CA5F27">
      <w:r>
        <w:t>The ACCC’s direction to monitor the prices, costs and profits relates to the supply of aeronautical services and facilities by the monitored airports, refers to Part 7 of the Airports Regulations, which defines aeronautical services as those services and facilities at an airport that are necessary for the operation and maintenance of civil aviation at the airport.</w:t>
      </w:r>
    </w:p>
    <w:p w:rsidR="00CA5F27" w:rsidRDefault="00CA5F27" w:rsidP="00CA5F27">
      <w:r>
        <w:t>Some of the aircraft-related aeronautical services and facilities provided by airports are:</w:t>
      </w:r>
    </w:p>
    <w:p w:rsidR="00CA5F27" w:rsidRDefault="00CA5F27" w:rsidP="00CA5F27">
      <w:pPr>
        <w:pStyle w:val="Listbullet1"/>
      </w:pPr>
      <w:r>
        <w:t>runways, taxiways, aprons, airside roads and airside grounds</w:t>
      </w:r>
    </w:p>
    <w:p w:rsidR="00CA5F27" w:rsidRDefault="00CA5F27" w:rsidP="00CA5F27">
      <w:pPr>
        <w:pStyle w:val="Listbullet1"/>
      </w:pPr>
      <w:r>
        <w:t>airfield and airside lighting</w:t>
      </w:r>
    </w:p>
    <w:p w:rsidR="00CA5F27" w:rsidRDefault="00CA5F27" w:rsidP="00CA5F27">
      <w:pPr>
        <w:pStyle w:val="Listbullet1"/>
      </w:pPr>
      <w:r>
        <w:t>aircraft parking sites</w:t>
      </w:r>
    </w:p>
    <w:p w:rsidR="00CA5F27" w:rsidRDefault="00CA5F27" w:rsidP="00CA5F27">
      <w:pPr>
        <w:pStyle w:val="Listbullet1"/>
      </w:pPr>
      <w:r>
        <w:t>ground handling (including equipment storage and refuelling)</w:t>
      </w:r>
    </w:p>
    <w:p w:rsidR="00CA5F27" w:rsidRDefault="00CA5F27" w:rsidP="00CA5F27">
      <w:pPr>
        <w:pStyle w:val="Listbullet1"/>
      </w:pPr>
      <w:proofErr w:type="gramStart"/>
      <w:r>
        <w:t>airside</w:t>
      </w:r>
      <w:proofErr w:type="gramEnd"/>
      <w:r>
        <w:t xml:space="preserve"> freight handling and staging areas essential for aircraft loading and unloading.</w:t>
      </w:r>
    </w:p>
    <w:p w:rsidR="00CA5F27" w:rsidRDefault="00CA5F27" w:rsidP="00CA5F27">
      <w:r>
        <w:t xml:space="preserve">The basis of charging for aeronautical services is substantially different among airports. For example, airports determine charges based on a variety of factors, such as the number of passengers, maximum take-off weight (MTOW) and time. While some airports levy charges for each aeronautical service component, other airports bundle some of those services. </w:t>
      </w:r>
    </w:p>
    <w:p w:rsidR="00CA5F27" w:rsidRDefault="00CA5F27" w:rsidP="00CA5F27">
      <w:r>
        <w:t>Some of the passenger-related aeronautical services and facilities provided by airports include:</w:t>
      </w:r>
    </w:p>
    <w:p w:rsidR="00CA5F27" w:rsidRDefault="00CA5F27" w:rsidP="00CA5F27">
      <w:pPr>
        <w:pStyle w:val="Listbullet1"/>
      </w:pPr>
      <w:r>
        <w:t>necessary departure and holding lounges, and related facilities</w:t>
      </w:r>
    </w:p>
    <w:p w:rsidR="00CA5F27" w:rsidRDefault="00CA5F27" w:rsidP="00CA5F27">
      <w:pPr>
        <w:pStyle w:val="Listbullet1"/>
      </w:pPr>
      <w:r>
        <w:t>aerobridges and buses used in airside areas</w:t>
      </w:r>
    </w:p>
    <w:p w:rsidR="00CA5F27" w:rsidRDefault="00CA5F27" w:rsidP="00CA5F27">
      <w:pPr>
        <w:pStyle w:val="Listbullet1"/>
      </w:pPr>
      <w:r>
        <w:t>facilities to enable the processing of passengers through customs, immigration and biosecurity (quarantine)</w:t>
      </w:r>
    </w:p>
    <w:p w:rsidR="00CA5F27" w:rsidRDefault="00CA5F27" w:rsidP="00CA5F27">
      <w:pPr>
        <w:pStyle w:val="Listbullet1"/>
      </w:pPr>
      <w:r>
        <w:t>check-in counters and related facilities (including any associated queuing areas)</w:t>
      </w:r>
    </w:p>
    <w:p w:rsidR="00CA5F27" w:rsidRDefault="00CA5F27" w:rsidP="00CA5F27">
      <w:pPr>
        <w:pStyle w:val="Listbullet1"/>
      </w:pPr>
      <w:r>
        <w:t>terminal access roads and facilities in landside areas (including lighting and covered walkways)</w:t>
      </w:r>
    </w:p>
    <w:p w:rsidR="00CA5F27" w:rsidRDefault="00CA5F27" w:rsidP="00CA5F27">
      <w:pPr>
        <w:pStyle w:val="Listbullet1"/>
      </w:pPr>
      <w:proofErr w:type="gramStart"/>
      <w:r>
        <w:t>baggage</w:t>
      </w:r>
      <w:proofErr w:type="gramEnd"/>
      <w:r>
        <w:t xml:space="preserve"> make-up, handling and reclaiming facilities.</w:t>
      </w:r>
    </w:p>
    <w:p w:rsidR="00CA5F27" w:rsidRDefault="00CA5F27" w:rsidP="00114E05">
      <w:pPr>
        <w:pStyle w:val="Non-numberedheading2"/>
      </w:pPr>
      <w:r>
        <w:t>A3.2</w:t>
      </w:r>
      <w:r>
        <w:tab/>
        <w:t xml:space="preserve">Non-aeronautical services </w:t>
      </w:r>
    </w:p>
    <w:p w:rsidR="00CA5F27" w:rsidRDefault="00CA5F27" w:rsidP="00CA5F27">
      <w:r>
        <w:t>The ACCC’s monitoring role does not extend to non</w:t>
      </w:r>
      <w:r>
        <w:noBreakHyphen/>
        <w:t>aeronautical services and facilities such as retail outlets, hotels, corporate parks and factory outlets these services and facilities.</w:t>
      </w:r>
    </w:p>
    <w:p w:rsidR="00CA5F27" w:rsidRDefault="00CA5F27" w:rsidP="00CA5F27">
      <w:r>
        <w:t>Car parking is a non-aeronautical service and is monitored by the ACCC under a separate direction made pursuant to s. 95ZF of Part VIIA of the CCA, issued on 12 June 2012. This directs the ACCC to monitor the prices, costs and profits relating to the supply of car parking by Brisbane, Melbourne, Perth and Sydney airports. This direction took effect on 1 July 2012 and replaced Direction 31, issued on 7 April 2008.</w:t>
      </w:r>
    </w:p>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Pr="007F434A" w:rsidRDefault="00CA5F27" w:rsidP="00CA5F27"/>
    <w:p w:rsidR="009F0A92" w:rsidRDefault="009F0A92" w:rsidP="008C0FF7">
      <w:pPr>
        <w:spacing w:before="100" w:beforeAutospacing="1" w:after="100" w:afterAutospacing="1"/>
        <w:rPr>
          <w:rFonts w:cs="Arial"/>
          <w:color w:val="000000"/>
          <w:sz w:val="16"/>
          <w:szCs w:val="16"/>
        </w:rPr>
      </w:pPr>
    </w:p>
    <w:p w:rsidR="009F0A92" w:rsidRDefault="009F0A92" w:rsidP="00E93068">
      <w:pPr>
        <w:spacing w:before="100" w:beforeAutospacing="1" w:after="100" w:afterAutospacing="1"/>
        <w:rPr>
          <w:rFonts w:cs="Arial"/>
          <w:color w:val="000000"/>
          <w:sz w:val="16"/>
          <w:szCs w:val="16"/>
        </w:rPr>
      </w:pPr>
    </w:p>
    <w:p w:rsidR="009F0A92" w:rsidRDefault="009F0A92" w:rsidP="00E93068">
      <w:pPr>
        <w:spacing w:before="100" w:beforeAutospacing="1" w:after="100" w:afterAutospacing="1"/>
        <w:rPr>
          <w:rFonts w:cs="Arial"/>
          <w:color w:val="000000"/>
          <w:sz w:val="16"/>
          <w:szCs w:val="16"/>
        </w:rPr>
      </w:pPr>
    </w:p>
    <w:p w:rsidR="00CA5F27" w:rsidRDefault="00CA5F27" w:rsidP="00E93068">
      <w:pPr>
        <w:spacing w:before="100" w:beforeAutospacing="1" w:after="100" w:afterAutospacing="1"/>
        <w:rPr>
          <w:rFonts w:cs="Arial"/>
          <w:color w:val="000000"/>
          <w:sz w:val="16"/>
          <w:szCs w:val="16"/>
        </w:rPr>
      </w:pPr>
    </w:p>
    <w:p w:rsidR="00CA5F27" w:rsidRDefault="00CA5F27" w:rsidP="00E93068">
      <w:pPr>
        <w:spacing w:before="100" w:beforeAutospacing="1" w:after="100" w:afterAutospacing="1"/>
        <w:rPr>
          <w:rFonts w:cs="Arial"/>
          <w:color w:val="000000"/>
          <w:sz w:val="16"/>
          <w:szCs w:val="16"/>
        </w:rPr>
      </w:pPr>
    </w:p>
    <w:p w:rsidR="00CA5F27" w:rsidRDefault="00CA5F27" w:rsidP="00E93068">
      <w:pPr>
        <w:spacing w:before="100" w:beforeAutospacing="1" w:after="100" w:afterAutospacing="1"/>
        <w:rPr>
          <w:rFonts w:cs="Arial"/>
          <w:color w:val="000000"/>
          <w:sz w:val="16"/>
          <w:szCs w:val="16"/>
        </w:rPr>
      </w:pPr>
    </w:p>
    <w:p w:rsidR="00CA5F27" w:rsidRDefault="00CA5F27" w:rsidP="00E93068">
      <w:pPr>
        <w:spacing w:before="100" w:beforeAutospacing="1" w:after="100" w:afterAutospacing="1"/>
        <w:rPr>
          <w:rFonts w:cs="Arial"/>
          <w:color w:val="000000"/>
          <w:sz w:val="16"/>
          <w:szCs w:val="16"/>
        </w:rPr>
      </w:pPr>
    </w:p>
    <w:p w:rsidR="00CA5F27" w:rsidRDefault="00CA5F27" w:rsidP="00E93068">
      <w:pPr>
        <w:spacing w:before="100" w:beforeAutospacing="1" w:after="100" w:afterAutospacing="1"/>
        <w:rPr>
          <w:rFonts w:cs="Arial"/>
          <w:color w:val="000000"/>
          <w:sz w:val="16"/>
          <w:szCs w:val="16"/>
        </w:rPr>
      </w:pPr>
    </w:p>
    <w:p w:rsidR="00CA5F27" w:rsidRDefault="00CA5F27" w:rsidP="00E93068">
      <w:pPr>
        <w:spacing w:before="100" w:beforeAutospacing="1" w:after="100" w:afterAutospacing="1"/>
        <w:rPr>
          <w:rFonts w:cs="Arial"/>
          <w:color w:val="000000"/>
          <w:sz w:val="16"/>
          <w:szCs w:val="16"/>
        </w:rPr>
      </w:pPr>
    </w:p>
    <w:p w:rsidR="00CA5F27" w:rsidRDefault="00CA5F27" w:rsidP="00CA5F27">
      <w:pPr>
        <w:spacing w:before="100" w:beforeAutospacing="1" w:after="100" w:afterAutospacing="1"/>
        <w:rPr>
          <w:rFonts w:cs="Arial"/>
          <w:color w:val="000000"/>
          <w:sz w:val="16"/>
          <w:szCs w:val="16"/>
        </w:rPr>
        <w:sectPr w:rsidR="00CA5F27" w:rsidSect="009F0A92">
          <w:headerReference w:type="even" r:id="rId188"/>
          <w:headerReference w:type="default" r:id="rId189"/>
          <w:footnotePr>
            <w:numStart w:val="93"/>
          </w:footnotePr>
          <w:pgSz w:w="11906" w:h="16838"/>
          <w:pgMar w:top="1440" w:right="1729" w:bottom="1582" w:left="1729" w:header="709" w:footer="709" w:gutter="0"/>
          <w:cols w:space="708"/>
          <w:docGrid w:linePitch="360"/>
        </w:sectPr>
      </w:pPr>
    </w:p>
    <w:p w:rsidR="00CA5F27" w:rsidRDefault="00CA5F27" w:rsidP="00CA5F27">
      <w:pPr>
        <w:pStyle w:val="Non-numberedheading1"/>
      </w:pPr>
      <w:r>
        <w:lastRenderedPageBreak/>
        <w:t>A4</w:t>
      </w:r>
      <w:r>
        <w:tab/>
        <w:t>.</w:t>
      </w:r>
      <w:r>
        <w:tab/>
        <w:t xml:space="preserve">Methodology </w:t>
      </w:r>
    </w:p>
    <w:p w:rsidR="00CA5F27" w:rsidRDefault="00CA5F27" w:rsidP="00CA5F27">
      <w:r>
        <w:t>This appendix sets out the methodology used by the ACCC in preparing the measures used in this report for price, costs and profits monitoring, financial reporting and quality of service monitoring.</w:t>
      </w:r>
    </w:p>
    <w:p w:rsidR="00CA5F27" w:rsidRDefault="00CA5F27" w:rsidP="00114E05">
      <w:pPr>
        <w:pStyle w:val="Non-numberedheading2"/>
      </w:pPr>
      <w:r>
        <w:t>A4.1</w:t>
      </w:r>
      <w:r>
        <w:tab/>
        <w:t xml:space="preserve">Prices, costs and profits </w:t>
      </w:r>
    </w:p>
    <w:p w:rsidR="00CA5F27" w:rsidRDefault="00CA5F27" w:rsidP="00CA5F27">
      <w:r>
        <w:t>The monitoring results presented in Chapters 2</w:t>
      </w:r>
      <w:r w:rsidRPr="00D50B35">
        <w:t xml:space="preserve"> to </w:t>
      </w:r>
      <w:r>
        <w:t xml:space="preserve">5 of this report cover the annual financial performance of the monitored airports as well as information on the level and trends in the airports’ prices, costs and profits. While these results may serve as indirect indicators of economic efficiency, they do not indicate conclusively whether or not the airports are exercising their market power to earn monopoly rents. The limitations of this data are discussed in </w:t>
      </w:r>
      <w:r w:rsidRPr="004F7BBB">
        <w:t>A4.3</w:t>
      </w:r>
      <w:r>
        <w:t xml:space="preserve"> </w:t>
      </w:r>
    </w:p>
    <w:p w:rsidR="00CA5F27" w:rsidRDefault="00CA5F27" w:rsidP="00114E05">
      <w:pPr>
        <w:pStyle w:val="Non-numberedheading3"/>
      </w:pPr>
      <w:r w:rsidRPr="00D55A19">
        <w:t>A</w:t>
      </w:r>
      <w:r>
        <w:t>4</w:t>
      </w:r>
      <w:r w:rsidRPr="00D55A19">
        <w:t>.1.1</w:t>
      </w:r>
      <w:r>
        <w:tab/>
        <w:t>Aeronautical and total airport measures</w:t>
      </w:r>
    </w:p>
    <w:p w:rsidR="00CA5F27" w:rsidRDefault="00CA5F27" w:rsidP="00CA5F27">
      <w:r>
        <w:t xml:space="preserve">The ACCC uses aeronautical revenue per passenger as an indicator of the airports’ average prices, and operating margins and returns on aeronautical assets as an indicator of the airports’ profitability. </w:t>
      </w:r>
    </w:p>
    <w:p w:rsidR="00CA5F27" w:rsidRDefault="00CA5F27" w:rsidP="00CA5F27">
      <w:pPr>
        <w:sectPr w:rsidR="00CA5F27" w:rsidSect="00BE4EED">
          <w:headerReference w:type="even" r:id="rId190"/>
          <w:headerReference w:type="default" r:id="rId191"/>
          <w:footerReference w:type="even" r:id="rId192"/>
          <w:footerReference w:type="default" r:id="rId193"/>
          <w:headerReference w:type="first" r:id="rId194"/>
          <w:footerReference w:type="first" r:id="rId195"/>
          <w:footnotePr>
            <w:numStart w:val="93"/>
          </w:footnotePr>
          <w:pgSz w:w="11906" w:h="16838"/>
          <w:pgMar w:top="1440" w:right="1729" w:bottom="1582" w:left="1729" w:header="709" w:footer="709" w:gutter="0"/>
          <w:pgNumType w:start="169"/>
          <w:cols w:space="708"/>
          <w:docGrid w:linePitch="360"/>
        </w:sectPr>
      </w:pPr>
      <w:r>
        <w:t>The ACCC is not required to monitor non-aeronautical services</w:t>
      </w:r>
    </w:p>
    <w:p w:rsidR="00CA5F27" w:rsidRDefault="00CA5F27" w:rsidP="00CA5F27">
      <w:r>
        <w:rPr>
          <w:rStyle w:val="FootnoteReference"/>
        </w:rPr>
        <w:lastRenderedPageBreak/>
        <w:footnoteReference w:id="139"/>
      </w:r>
      <w:r>
        <w:t xml:space="preserve"> </w:t>
      </w:r>
      <w:proofErr w:type="gramStart"/>
      <w:r>
        <w:t>and</w:t>
      </w:r>
      <w:proofErr w:type="gramEnd"/>
      <w:r>
        <w:t xml:space="preserve"> therefore does not report on the prices, costs and profits related to the supply of non-aeronautical services. However, the ACCC reports on total airport revenue, costs and profits partly because the difficulties in allocating costs and revenues between aeronautical and non-aeronautical services and the complementarity between airport services. </w:t>
      </w:r>
    </w:p>
    <w:p w:rsidR="00CA5F27" w:rsidRDefault="00CA5F27" w:rsidP="00CA5F27">
      <w:r>
        <w:t>There have been some changes in the scope of aeronautical services in the past. This has resulted in the inclusion of revenue of some services (e.g. aircraft refuelling) in the airports’ regulatory accounts which were previously excluded in airports regulatory accounts now being included.</w:t>
      </w:r>
      <w:r>
        <w:rPr>
          <w:rStyle w:val="FootnoteReference"/>
        </w:rPr>
        <w:footnoteReference w:id="140"/>
      </w:r>
      <w:r>
        <w:t xml:space="preserve"> This demonstrates the complexities in comparing data across airports and over time. </w:t>
      </w:r>
    </w:p>
    <w:p w:rsidR="00CA5F27" w:rsidRDefault="00CA5F27" w:rsidP="00CA5F27">
      <w:r>
        <w:t>Where appropriate the ACCC also excludes security charges from aeronautical revenues, operating expenses and margins to provide a better indication of the charges imposed by the airports as government security requirements do not reflect decisions made by airport operators.</w:t>
      </w:r>
    </w:p>
    <w:p w:rsidR="00CA5F27" w:rsidRDefault="00CA5F27" w:rsidP="00114E05">
      <w:pPr>
        <w:pStyle w:val="Non-numberedheading4"/>
      </w:pPr>
      <w:r>
        <w:t>Prices</w:t>
      </w:r>
    </w:p>
    <w:p w:rsidR="00CA5F27" w:rsidRDefault="00CA5F27" w:rsidP="00CA5F27">
      <w:r>
        <w:t>The ACCC’s primary measure of the change in ‘average’ airport prices is aeronautical revenue per passenger. The ACCC has reported on changes in this measure since 2003</w:t>
      </w:r>
      <w:r>
        <w:noBreakHyphen/>
        <w:t>04. As noted, the ACCC also reports limited data on aeronautical revenue per passenger excluding security revenues.</w:t>
      </w:r>
    </w:p>
    <w:p w:rsidR="00CA5F27" w:rsidRDefault="00CA5F27" w:rsidP="00CA5F27">
      <w:r>
        <w:t xml:space="preserve">Ideally the ACCC would use a direct measure of prices in the form of a price index. However, in most cases it is not possible for the ACCC to compile such an index. For example, the price of using an airport cannot simply be measured by adding up the different charges in place at a given point in time because charges can be levied on different bases—such as on a per </w:t>
      </w:r>
      <w:r>
        <w:lastRenderedPageBreak/>
        <w:t>passenger basis or by aircraft weight. Also, airports might offer discounts for certain periods or to certain users, or there might be minimum and maximum charges in place which affect some users but not others.</w:t>
      </w:r>
    </w:p>
    <w:p w:rsidR="00CA5F27" w:rsidRDefault="00CA5F27" w:rsidP="00CA5F27">
      <w:r>
        <w:t>In addition, the price changes for particular airport users might vary depending on the composition of the airport services they utilise, the times at which they use them and so on. For example, the costs to an airline of a domestic flight are likely to be different to those associated with an international one due to differing security and processing requirements. Similarly, changes in price structure by an airport might affect users in different ways—even to the point of effectively lowering the costs for one user while raising them for another. The regulatory accounts for individual airports are available on the ACCC’s website</w:t>
      </w:r>
      <w:r>
        <w:rPr>
          <w:rStyle w:val="FootnoteReference"/>
        </w:rPr>
        <w:footnoteReference w:id="141"/>
      </w:r>
      <w:r>
        <w:t>. The schedules of charges for each airport are included in the individual airport chapters (Chapters 2</w:t>
      </w:r>
      <w:r w:rsidRPr="00D50B35">
        <w:t xml:space="preserve"> to </w:t>
      </w:r>
      <w:r>
        <w:t>5). Where possible, the ACCC has reported on the percentage change in list prices for aeronautical services in real terms, with 2014</w:t>
      </w:r>
      <w:r>
        <w:noBreakHyphen/>
        <w:t xml:space="preserve">15 taken as the base year. </w:t>
      </w:r>
    </w:p>
    <w:p w:rsidR="00CA5F27" w:rsidRDefault="00CA5F27" w:rsidP="00114E05">
      <w:pPr>
        <w:pStyle w:val="Non-numberedheading4"/>
      </w:pPr>
      <w:r>
        <w:t>Costs and profits</w:t>
      </w:r>
    </w:p>
    <w:p w:rsidR="00CA5F27" w:rsidRDefault="00CA5F27" w:rsidP="00CA5F27">
      <w:r>
        <w:t xml:space="preserve">This ACCC reports a number of measures of profitability in this report. The use and interpretation of these measures are discussed below. </w:t>
      </w:r>
    </w:p>
    <w:p w:rsidR="00CA5F27" w:rsidRPr="00D55A19" w:rsidRDefault="00CA5F27" w:rsidP="00CA5F27">
      <w:pPr>
        <w:pStyle w:val="Standardheading"/>
      </w:pPr>
      <w:r>
        <w:t>Aggregate</w:t>
      </w:r>
      <w:r w:rsidRPr="00D55A19">
        <w:t xml:space="preserve"> margins</w:t>
      </w:r>
    </w:p>
    <w:p w:rsidR="00CA5F27" w:rsidRDefault="00CA5F27" w:rsidP="00CA5F27">
      <w:r>
        <w:t>Aeronautical aggregate margin per passenger is defined as aeronautical revenue per passenger less aeronautical operating expenses per passenger (more specifically, aeronautical expenses excluding interest, tax and amortisation expenses, but including depreciation, divided by total passengers). Total airport aggregate margin was also calculated and is defined as total airport revenue less operating expenses (more specifically, total expenditure excluding interest, tax and amortisation expenses but including depreciation). Aggregate margins can be represented as a percentage of revenue.</w:t>
      </w:r>
    </w:p>
    <w:p w:rsidR="00CA5F27" w:rsidRDefault="00CA5F27" w:rsidP="00CA5F27">
      <w:r>
        <w:t>The ACCC has reported on changes in aeronautical operating expenses per passenger and aeronautical aggregate margin per passenger since 2002</w:t>
      </w:r>
      <w:r>
        <w:noBreakHyphen/>
        <w:t>03. Aeronautical aggregate margin excluding security is not discussed because government mandated security revenue is set to recover the costs associated with security services and does not affect the overall profitability of the airports.</w:t>
      </w:r>
    </w:p>
    <w:p w:rsidR="00CA5F27" w:rsidRDefault="00CA5F27" w:rsidP="00CA5F27">
      <w:r>
        <w:t>Aggregate margins provide a measure of airport operating performance, as distinct from financial performance. In this respect, it can provide a consistent approach to revealing trends in operating performance over time. However, using operating margin as a measure of profitability does not take into account the full capital cost associated with the provision of services as it makes no allowance for a return on capital. Since it also includes non-cash items such as depreciation, operating margin does not provide a measure of net cash flow from airport operations either.</w:t>
      </w:r>
    </w:p>
    <w:p w:rsidR="00CA5F27" w:rsidRDefault="00CA5F27" w:rsidP="00CA5F27">
      <w:pPr>
        <w:pStyle w:val="Numberedheading4"/>
      </w:pPr>
      <w:r>
        <w:t>Rates of return</w:t>
      </w:r>
    </w:p>
    <w:p w:rsidR="00CA5F27" w:rsidRDefault="00CA5F27" w:rsidP="00CA5F27">
      <w:r>
        <w:t>Most analyses of profitability focus on rate of return measures. Two common types of rate of return measures are return on assets and return on equity. Within these two broad groups are a number of alternative measures. For example, the returns may be pre- or post</w:t>
      </w:r>
      <w:r>
        <w:noBreakHyphen/>
        <w:t>tax or they may include or exclude interest expenses and/or depreciation and amortisation. In this report, the ACCC has used a return on assets measure, as outlined below.</w:t>
      </w:r>
    </w:p>
    <w:p w:rsidR="00CA5F27" w:rsidRDefault="00CA5F27" w:rsidP="00CA5F27">
      <w:pPr>
        <w:pStyle w:val="Standardheading"/>
      </w:pPr>
      <w:r>
        <w:t>Return on equity</w:t>
      </w:r>
    </w:p>
    <w:p w:rsidR="00CA5F27" w:rsidRDefault="00CA5F27" w:rsidP="00CA5F27">
      <w:r>
        <w:t xml:space="preserve">Return on equity (calculated as profit after tax divided by total shareholder equity) is an indicator of the rate of return that an entity is providing to shareholders. However, the ACCC considers this measure currently to be of limited value in relation to the monitored airports </w:t>
      </w:r>
      <w:r>
        <w:lastRenderedPageBreak/>
        <w:t xml:space="preserve">because of the specific shareholder arrangements in place at the majority of Australian airports. Shareholders at Australian airports are, generally speaking, also significant debt-holders. This means that the shareholder return may take the form of interest (return) on debt, rather than the form of return on equity (i.e. dividends or capital growth). </w:t>
      </w:r>
    </w:p>
    <w:p w:rsidR="00CA5F27" w:rsidRDefault="00CA5F27" w:rsidP="00CA5F27">
      <w:r>
        <w:t xml:space="preserve">The results generated from the return on equity measure at the monitored airports appear to show that shareholders earned significant negative returns on their investment, or held negative levels of equity, while continuing to trade. The low base of shareholder equity at some of these airports results in extreme and variable rates of return on equity. However, the airports have generally been earning positive profits before interest, tax, depreciation and amortisation (EBITDA). </w:t>
      </w:r>
    </w:p>
    <w:p w:rsidR="00CA5F27" w:rsidRDefault="00CA5F27" w:rsidP="00CA5F27">
      <w:pPr>
        <w:pStyle w:val="Standardheading"/>
      </w:pPr>
      <w:r>
        <w:t>Return on assets</w:t>
      </w:r>
    </w:p>
    <w:p w:rsidR="00CA5F27" w:rsidRDefault="00CA5F27" w:rsidP="00CA5F27">
      <w:r>
        <w:t xml:space="preserve">Earnings before interest, tax and amortisation (EBITA) on the average value (of opening and closing balances) of tangible non-current assets is an indicator of the rate of return earned from all assets. The ratio provides a measure of the efficiency with which an entity uses its assets to produce operating profit before interest, tax and amortisation. Given the limitations in using a return on equity measure for the price monitored airports, the ACCC considers that a return on assets measure is a more useful indicator of an airport’s rate of return and operating performance. </w:t>
      </w:r>
    </w:p>
    <w:p w:rsidR="00CA5F27" w:rsidRDefault="00CA5F27" w:rsidP="00CA5F27">
      <w:r>
        <w:t>EBITA on average tangible non-current assets is not affected by management decisions regarding capital structure, which can significantly affect interest expenses and tax payable and therefore post-tax returns. Financing decisions do not reflect the operating profitability of providing airport services. Therefore, measures of EBITA on average tangible non-current assets allow for a more comparable basis for comparing operating performance across airports.</w:t>
      </w:r>
    </w:p>
    <w:p w:rsidR="00CA5F27" w:rsidRDefault="00CA5F27" w:rsidP="00CA5F27">
      <w:r>
        <w:t>Only tangible non-current assets are used in this measure to limit the extent to which airport owners’ expectations of growth in value (as reflected in goodwill or lease premiums) may obscure changes in the profitability of providing services. In particular, lease premiums paid could reflect the expectation of future price and profit increases that take advantage of the airports’ monopoly power.</w:t>
      </w:r>
    </w:p>
    <w:p w:rsidR="00CA5F27" w:rsidRDefault="00CA5F27" w:rsidP="00CA5F27">
      <w:r>
        <w:t>While having some advantages, measures of return on assets also have their limitations. For example, they are affected by the airport operator’s valuation of its assets. Since the ACCC’s monitoring regime commenced, a number of airports have revalued their assets upwards, thereby lowering the measure of return on assets. A line in the sand (LIS) measure was introduced in 2007</w:t>
      </w:r>
      <w:r>
        <w:noBreakHyphen/>
        <w:t>08 to reduce the effect of such revaluations (discussed below).</w:t>
      </w:r>
    </w:p>
    <w:p w:rsidR="00CA5F27" w:rsidRDefault="00CA5F27" w:rsidP="00CA5F27">
      <w:r>
        <w:t xml:space="preserve">Finally, in preparing this report the ACCC has not assessed the appropriateness of airport asset valuations as it has done in some other industries where prices are regulated. However, this report does provide details of asset values reported by the airports over time. </w:t>
      </w:r>
    </w:p>
    <w:p w:rsidR="00CA5F27" w:rsidRDefault="00CA5F27" w:rsidP="00114E05">
      <w:pPr>
        <w:pStyle w:val="Non-numberedheading4"/>
      </w:pPr>
      <w:r>
        <w:t>‘Line in the sand’ aeronautical asset base</w:t>
      </w:r>
    </w:p>
    <w:p w:rsidR="00CA5F27" w:rsidRDefault="00CA5F27" w:rsidP="00CA5F27">
      <w:r>
        <w:t>The ACCC has required airport operators to report under the LIS approach since 2007-08.</w:t>
      </w:r>
      <w:r>
        <w:rPr>
          <w:rStyle w:val="FootnoteReference"/>
        </w:rPr>
        <w:footnoteReference w:id="142"/>
      </w:r>
      <w:r>
        <w:t xml:space="preserve"> Under this approach, the value of an airport’s aeronautical asset base is the value of tangible non-current assets as at 30 June 2005, adjusted for depreciation, additions (or new investment) and disposals for subsequent reporting periods. This information was required in addition to the airport operators’ regulatory accounts based on Australian International Financial Reporting Standards (AIFRS) (which include any revaluations to the assets recorded since 30 June 2005).</w:t>
      </w:r>
      <w:r w:rsidRPr="000D1B34">
        <w:t xml:space="preserve"> </w:t>
      </w:r>
    </w:p>
    <w:p w:rsidR="00CA5F27" w:rsidRDefault="00CA5F27" w:rsidP="00CA5F27">
      <w:r>
        <w:lastRenderedPageBreak/>
        <w:t>The LIS approach removes the effect of revaluations of aeronautical assets by airports for monitoring purposes. For example, after 30 June 2005, an upward revaluation of a tangible non-current aeronautical asset would be recognised in the regulatory accounts prepared under AIFRS but not in the LIS asset base. As a result, to the extent that subsequent revaluations took place, the LIS asset base will be lower. There is also a flow-on effect of a lower value of depreciation and, therefore, lower operating expenses.</w:t>
      </w:r>
    </w:p>
    <w:p w:rsidR="00CA5F27" w:rsidRDefault="00CA5F27" w:rsidP="00CA5F27">
      <w:r>
        <w:t>Where applicable, the ACCC has provided details of the LIS values in the prices monitoring section of this report and comments regarding its effects. So far, only Brisbane Airport and Sydney Airport have revalued their assets since 30 June 2005. It should also be noted that airport revaluations that occurred prior to the 30 June 2005 cut-off date remain in the LIS asset base. This means that the LIS asset values do not completely remove the effect of asset revaluation undertaken historically by the airports.</w:t>
      </w:r>
    </w:p>
    <w:p w:rsidR="00CA5F27" w:rsidRDefault="00CA5F27" w:rsidP="00114E05">
      <w:pPr>
        <w:pStyle w:val="Non-numberedheading3"/>
      </w:pPr>
      <w:r w:rsidRPr="00D55A19">
        <w:t>A</w:t>
      </w:r>
      <w:r>
        <w:t>4</w:t>
      </w:r>
      <w:r w:rsidRPr="00D55A19">
        <w:t>.1.2</w:t>
      </w:r>
      <w:r>
        <w:tab/>
        <w:t xml:space="preserve">Airport car parking </w:t>
      </w:r>
    </w:p>
    <w:p w:rsidR="00CA5F27" w:rsidRDefault="00CA5F27" w:rsidP="00CA5F27">
      <w:r>
        <w:t>The ACCC monitors and reports on airport car parking prices, revenue, costs and profits (in real terms</w:t>
      </w:r>
      <w:r>
        <w:rPr>
          <w:rStyle w:val="FootnoteReference"/>
        </w:rPr>
        <w:footnoteReference w:id="143"/>
      </w:r>
      <w:r>
        <w:t xml:space="preserve">) under a direction issued pursuant to s. 95ZF of Part VIIA of the CCA on 12 June 2012. The ACCC also reports on changes in the supply of airport car parking, and the quality of airport car parking services.  </w:t>
      </w:r>
    </w:p>
    <w:p w:rsidR="00CA5F27" w:rsidRPr="00A1418B" w:rsidRDefault="00CA5F27" w:rsidP="00CA5F27">
      <w:r>
        <w:t xml:space="preserve">The ACCC has also commenced collecting of online prices (as distinct from drive-up rates) for airport car parking for this year’s report following consultation with the monitored airports. As a result of the confidentiality claims made by the airports regarding the online rates data for 2014-15, this data has not been disclosed in this report. However, the average rates, which are volume weighted average of the drive-up and online rates, are included in the report. </w:t>
      </w:r>
    </w:p>
    <w:p w:rsidR="00CA5F27" w:rsidRDefault="00CA5F27" w:rsidP="00CA5F27">
      <w:r>
        <w:t>Finally, while the car parking monitoring results can provide some indications about the performance of the monitored airports, they also have some limitations. One such limitation is that the indicators reported are based on regulatory accounts prepared under standard accounting practices, which do not enable an assessment of the efficient long-run costs of providing the services.</w:t>
      </w:r>
      <w:r w:rsidRPr="00342A24">
        <w:t xml:space="preserve"> </w:t>
      </w:r>
      <w:r>
        <w:t xml:space="preserve"> Further, comparisons of airport car parking prices, revenues, costs and profits may not be done on a ‘like-with-like’ basis due to differences in the car parking configurations at different airports. In addition, trends in various price points need careful interpretation to inform an assessment of changes in overall price levels for car parking.</w:t>
      </w:r>
      <w:r>
        <w:rPr>
          <w:rStyle w:val="FootnoteReference"/>
        </w:rPr>
        <w:footnoteReference w:id="144"/>
      </w:r>
      <w:r>
        <w:t xml:space="preserve">  </w:t>
      </w:r>
    </w:p>
    <w:p w:rsidR="00CA5F27" w:rsidRDefault="00CA5F27" w:rsidP="00CA5F27">
      <w:pPr>
        <w:pStyle w:val="Numberedheading4"/>
      </w:pPr>
      <w:r>
        <w:t>Landside access charges and revenues</w:t>
      </w:r>
    </w:p>
    <w:p w:rsidR="00CA5F27" w:rsidRDefault="00CA5F27" w:rsidP="00CA5F27">
      <w:r>
        <w:t>The ACCC also collects information on landside access charges and revenues although it is not required to do so. It collects this information because access to airport land and in particular, landside areas controlled by airport operators is generally considered a bottleneck in the supply of downstream services taxis, buses and off-airport parking. The suppliers of these services require landside access to drop-off and/or pick-up airport users at the terminals.</w:t>
      </w:r>
    </w:p>
    <w:p w:rsidR="00CA5F27" w:rsidRDefault="00CA5F27" w:rsidP="00CA5F27">
      <w:r>
        <w:t xml:space="preserve">As a result, airports may have incentives to obstruct competition from alternatives to on-airport car parking by imposing excessive charges or restrictive terms and conditions for landside access, which shifts demand to an airport’s own car parking services. Therefore, the ACCC also collects information about airports’ charges for operators who provide competing services to on-airport car parking as well as the amount of revenue received from those operators. </w:t>
      </w:r>
    </w:p>
    <w:p w:rsidR="00CA5F27" w:rsidRDefault="00CA5F27" w:rsidP="00114E05">
      <w:pPr>
        <w:pStyle w:val="Non-numberedheading2"/>
      </w:pPr>
      <w:r>
        <w:t>A4.2</w:t>
      </w:r>
      <w:r>
        <w:tab/>
        <w:t>Quality of service</w:t>
      </w:r>
    </w:p>
    <w:p w:rsidR="00CA5F27" w:rsidRDefault="00CA5F27" w:rsidP="00CA5F27">
      <w:r>
        <w:lastRenderedPageBreak/>
        <w:t>The results for quality of service monitoring are presented in this report on a service-by-service basis. Quality of service monitoring is a complement to prices monitoring because rather than by increasing prices, an airport may take advantage of market power by saving money through the lowering of service standards.</w:t>
      </w:r>
      <w:r>
        <w:rPr>
          <w:rStyle w:val="FootnoteReference"/>
        </w:rPr>
        <w:footnoteReference w:id="145"/>
      </w:r>
      <w:r>
        <w:t xml:space="preserve"> </w:t>
      </w:r>
    </w:p>
    <w:p w:rsidR="00CA5F27" w:rsidRDefault="00CA5F27" w:rsidP="00CA5F27">
      <w:r>
        <w:t xml:space="preserve">The ACCC monitors the quality of service at the facilities that are subject to price monitoring, including: </w:t>
      </w:r>
    </w:p>
    <w:p w:rsidR="00CA5F27" w:rsidRPr="00BB1430" w:rsidRDefault="00CA5F27" w:rsidP="00CA5F27">
      <w:pPr>
        <w:pStyle w:val="Listbullet1"/>
        <w:rPr>
          <w:b/>
        </w:rPr>
      </w:pPr>
      <w:r w:rsidRPr="00BB1430">
        <w:t>airside facilities such as runways, taxiways and aprons</w:t>
      </w:r>
    </w:p>
    <w:p w:rsidR="00CA5F27" w:rsidRPr="00BB1430" w:rsidRDefault="00CA5F27" w:rsidP="00CA5F27">
      <w:pPr>
        <w:pStyle w:val="Listbullet1"/>
        <w:rPr>
          <w:b/>
        </w:rPr>
      </w:pPr>
      <w:r w:rsidRPr="00BB1430">
        <w:t>terminal facilities such as international departure lounges and baggage systems</w:t>
      </w:r>
    </w:p>
    <w:p w:rsidR="00CA5F27" w:rsidRPr="00BB1430" w:rsidRDefault="00CA5F27" w:rsidP="00CA5F27">
      <w:pPr>
        <w:pStyle w:val="Listbullet1"/>
        <w:rPr>
          <w:b/>
        </w:rPr>
      </w:pPr>
      <w:r w:rsidRPr="00BB1430">
        <w:t>car parking</w:t>
      </w:r>
    </w:p>
    <w:p w:rsidR="00CA5F27" w:rsidRPr="00BB1430" w:rsidRDefault="00CA5F27" w:rsidP="00CA5F27">
      <w:pPr>
        <w:pStyle w:val="Listbullet1"/>
        <w:rPr>
          <w:b/>
        </w:rPr>
      </w:pPr>
      <w:proofErr w:type="gramStart"/>
      <w:r w:rsidRPr="00BB1430">
        <w:t>taxi</w:t>
      </w:r>
      <w:proofErr w:type="gramEnd"/>
      <w:r w:rsidRPr="00BB1430">
        <w:t xml:space="preserve"> facilities and kerbside pick-up and drop-off points. </w:t>
      </w:r>
    </w:p>
    <w:p w:rsidR="00CA5F27" w:rsidRDefault="00CA5F27" w:rsidP="00CA5F27">
      <w:r>
        <w:t>However, domestic terminals owned and/or operated by airlines are not within the scope of the quality of service monitoring program.</w:t>
      </w:r>
    </w:p>
    <w:p w:rsidR="00CA5F27" w:rsidRDefault="00CA5F27" w:rsidP="00114E05">
      <w:pPr>
        <w:pStyle w:val="Non-numberedheading3"/>
      </w:pPr>
      <w:r w:rsidRPr="00D55A19">
        <w:t>A</w:t>
      </w:r>
      <w:r>
        <w:t>4</w:t>
      </w:r>
      <w:r w:rsidRPr="00D55A19">
        <w:t>.2.1</w:t>
      </w:r>
      <w:r>
        <w:tab/>
        <w:t>Issues concerning interpretation of results</w:t>
      </w:r>
    </w:p>
    <w:p w:rsidR="00CA5F27" w:rsidRDefault="00CA5F27" w:rsidP="00CA5F27">
      <w:r>
        <w:t>A variety of factors outside the immediate control of the airport operator may influence the quality of service results. For example, the staffing and provision of IT equipment for check-in services by airlines and the staffing by the on-airport government border agencies may affect the quality of experience for passengers as they pass through an airport. This in turn may influence those passengers’ ratings of the airport. Airservices Australia, airlines and other service providers may also affect quality outcomes such as causing delays in aircraft departure.</w:t>
      </w:r>
    </w:p>
    <w:p w:rsidR="00CA5F27" w:rsidRDefault="00CA5F27" w:rsidP="00CA5F27">
      <w:r>
        <w:t>In addition, investment in terminal infrastructure is ‘lumpy’ and there may be a lag between an increase in passenger and flight numbers and an increase in the capacity of the terminal infrastructure. Such a lag could highlight capacity constraints in the results of some quality of service indicators and therefore identify areas for increased investment.</w:t>
      </w:r>
    </w:p>
    <w:p w:rsidR="00CA5F27" w:rsidRDefault="00CA5F27" w:rsidP="00CA5F27">
      <w:r>
        <w:t xml:space="preserve">To inform its analysis of the monitoring data, the ACCC provides airports with the opportunity to explain where there have been mitigating circumstances influencing the results of monitoring. </w:t>
      </w:r>
    </w:p>
    <w:p w:rsidR="00CA5F27" w:rsidRDefault="00CA5F27" w:rsidP="00114E05">
      <w:pPr>
        <w:pStyle w:val="Non-numberedheading3"/>
      </w:pPr>
      <w:r w:rsidRPr="004E51A4">
        <w:t>A</w:t>
      </w:r>
      <w:r>
        <w:t>4</w:t>
      </w:r>
      <w:r w:rsidRPr="004E51A4">
        <w:t>.2.2</w:t>
      </w:r>
      <w:r>
        <w:tab/>
        <w:t>Sources of information</w:t>
      </w:r>
    </w:p>
    <w:p w:rsidR="00CA5F27" w:rsidRDefault="00CA5F27" w:rsidP="00CA5F27">
      <w:r>
        <w:t>The quality of service analysis in this report draws on information from a number of different sources. These sources include airport operators, surveys of passengers, airlines and landside operators</w:t>
      </w:r>
      <w:r>
        <w:rPr>
          <w:rStyle w:val="FootnoteReference"/>
        </w:rPr>
        <w:footnoteReference w:id="146"/>
      </w:r>
      <w:r>
        <w:t xml:space="preserve">, as well as Airservices Australia. </w:t>
      </w:r>
    </w:p>
    <w:p w:rsidR="00CA5F27" w:rsidRDefault="00CA5F27" w:rsidP="00114E05">
      <w:pPr>
        <w:pStyle w:val="Non-numberedheading4"/>
      </w:pPr>
      <w:r>
        <w:t>Airport operators</w:t>
      </w:r>
    </w:p>
    <w:p w:rsidR="00CA5F27" w:rsidRDefault="00CA5F27" w:rsidP="00CA5F27">
      <w:r>
        <w:t xml:space="preserve">Airport operators provide the ACCC with a range of objective data related to the number or size of various facilities and throughput at those facilities. These include the number of passengers at peak hours, the number of aerobridges and the size of gate lounges. The ACCC has converted these numbers and sizes to indicators of quality of service, such as the number of passengers per square metre of lounge area during peak hour. </w:t>
      </w:r>
    </w:p>
    <w:p w:rsidR="00CA5F27" w:rsidRDefault="00CA5F27" w:rsidP="00CA5F27">
      <w:r>
        <w:t>The derived objective indicators are shown in charts in the body of the report and in Appendix </w:t>
      </w:r>
      <w:r w:rsidRPr="004F7BBB">
        <w:t>A2</w:t>
      </w:r>
      <w:r>
        <w:t xml:space="preserve"> for each airport for the 2010-11 to 2014-15 reporting period. The data on which these objective indicators are based can be found be found in a separate spreadsheet on the ACCC’s website </w:t>
      </w:r>
      <w:hyperlink r:id="rId196" w:history="1">
        <w:r w:rsidRPr="00AD47C3">
          <w:rPr>
            <w:rStyle w:val="Hyperlink"/>
          </w:rPr>
          <w:t>http://www.accc.gov.au/regulated-infrastructure/airports-aviation/airports-monitoring</w:t>
        </w:r>
      </w:hyperlink>
      <w:r>
        <w:t xml:space="preserve">. Measures relating to the size of facilities are generally presented as at the end of the relevant financial year, whereas measures of throughput—such as numbers of passengers </w:t>
      </w:r>
      <w:r>
        <w:lastRenderedPageBreak/>
        <w:t>or bags—relate to the whole financial year, unless otherwise specified (such as daily or during peak hour).</w:t>
      </w:r>
    </w:p>
    <w:p w:rsidR="00CA5F27" w:rsidRDefault="00CA5F27" w:rsidP="00114E05">
      <w:pPr>
        <w:pStyle w:val="Non-numberedheading4"/>
      </w:pPr>
      <w:r>
        <w:t>Passenger perception surveys</w:t>
      </w:r>
    </w:p>
    <w:p w:rsidR="00CA5F27" w:rsidRDefault="00CA5F27" w:rsidP="00CA5F27">
      <w:r>
        <w:t>The yearly passenger perception surveys are arranged by each airport and may differ in their coverage and detail. However, these surveys should provide information consistent with that specified in the Airports Regulations and quality of service guideline. The areas covered include passenger check-in, security clearance, government inspection, gate lounges, washrooms, baggage processing and trolleys, signage and wayfinding, car parking and airport access for arriving and departing passengers.</w:t>
      </w:r>
    </w:p>
    <w:p w:rsidR="00CA5F27" w:rsidRDefault="00CA5F27" w:rsidP="00CA5F27">
      <w:r>
        <w:t xml:space="preserve">Surveys at most airports ask respondents to rate their level of satisfaction with the facilities on a scale from 1 to 5 (table </w:t>
      </w:r>
      <w:r w:rsidRPr="004F7BBB">
        <w:t>A4.2.1)</w:t>
      </w:r>
      <w:r>
        <w:t xml:space="preserve">. These are then converted into five ratings ranging from ‘very poor’ to ‘excellent’. In this year’s report, we have corrected how average scores are rounded up or down to correlate to a rating, as shown in Table A7.2.1 below. This correction means that an airport does not require a perfect score of 5 from every survey participant in order to achieve a rating of ‘excellent’. To ensure consistency when comparing across years, the new scale has been applied retrospectively over the entire comparison period. </w:t>
      </w:r>
    </w:p>
    <w:p w:rsidR="00CA5F27" w:rsidRDefault="00CA5F27" w:rsidP="00CA5F27">
      <w:pPr>
        <w:pStyle w:val="Numberedcharttitle"/>
      </w:pPr>
      <w:r>
        <w:t xml:space="preserve">Table </w:t>
      </w:r>
      <w:r w:rsidRPr="004F7BBB">
        <w:t>A4.2.1</w:t>
      </w:r>
      <w:r>
        <w:t>:</w:t>
      </w:r>
      <w:r>
        <w:tab/>
        <w:t>Ratings of satisfaction for airport facilities and services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1312"/>
        <w:gridCol w:w="1286"/>
        <w:gridCol w:w="1523"/>
        <w:gridCol w:w="1286"/>
        <w:gridCol w:w="1246"/>
      </w:tblGrid>
      <w:tr w:rsidR="00CA5F27" w:rsidTr="00BE4EED">
        <w:tc>
          <w:tcPr>
            <w:tcW w:w="1160" w:type="pct"/>
          </w:tcPr>
          <w:p w:rsidR="00CA5F27" w:rsidRDefault="00CA5F27" w:rsidP="00BE4EED">
            <w:pPr>
              <w:pStyle w:val="Tabletextleft"/>
              <w:jc w:val="center"/>
            </w:pPr>
            <w:r>
              <w:t>2014-15 report</w:t>
            </w:r>
          </w:p>
        </w:tc>
        <w:tc>
          <w:tcPr>
            <w:tcW w:w="757" w:type="pct"/>
          </w:tcPr>
          <w:p w:rsidR="00CA5F27" w:rsidRDefault="00CA5F27" w:rsidP="00BE4EED">
            <w:pPr>
              <w:pStyle w:val="Tabletextleft"/>
              <w:jc w:val="center"/>
            </w:pPr>
            <w:r>
              <w:t>1-1.49</w:t>
            </w:r>
          </w:p>
        </w:tc>
        <w:tc>
          <w:tcPr>
            <w:tcW w:w="742" w:type="pct"/>
          </w:tcPr>
          <w:p w:rsidR="00CA5F27" w:rsidRDefault="00CA5F27" w:rsidP="00BE4EED">
            <w:pPr>
              <w:pStyle w:val="Tabletextleft"/>
              <w:jc w:val="center"/>
            </w:pPr>
            <w:r>
              <w:t>1.50-2.49</w:t>
            </w:r>
          </w:p>
        </w:tc>
        <w:tc>
          <w:tcPr>
            <w:tcW w:w="879" w:type="pct"/>
          </w:tcPr>
          <w:p w:rsidR="00CA5F27" w:rsidRDefault="00CA5F27" w:rsidP="00BE4EED">
            <w:pPr>
              <w:pStyle w:val="Tabletextleft"/>
              <w:jc w:val="center"/>
            </w:pPr>
            <w:r>
              <w:t>2.50-3.49</w:t>
            </w:r>
          </w:p>
        </w:tc>
        <w:tc>
          <w:tcPr>
            <w:tcW w:w="742" w:type="pct"/>
          </w:tcPr>
          <w:p w:rsidR="00CA5F27" w:rsidRDefault="00CA5F27" w:rsidP="00BE4EED">
            <w:pPr>
              <w:pStyle w:val="Tabletextleft"/>
              <w:jc w:val="center"/>
            </w:pPr>
            <w:r>
              <w:t>3.50-4.49</w:t>
            </w:r>
          </w:p>
        </w:tc>
        <w:tc>
          <w:tcPr>
            <w:tcW w:w="719" w:type="pct"/>
          </w:tcPr>
          <w:p w:rsidR="00CA5F27" w:rsidRDefault="00CA5F27" w:rsidP="00BE4EED">
            <w:pPr>
              <w:pStyle w:val="Tabletextleft"/>
              <w:jc w:val="center"/>
            </w:pPr>
            <w:r>
              <w:t>4.5-5</w:t>
            </w:r>
          </w:p>
        </w:tc>
      </w:tr>
      <w:tr w:rsidR="00CA5F27" w:rsidTr="00BE4EED">
        <w:tc>
          <w:tcPr>
            <w:tcW w:w="1160" w:type="pct"/>
          </w:tcPr>
          <w:p w:rsidR="00CA5F27" w:rsidRDefault="00CA5F27" w:rsidP="00BE4EED">
            <w:pPr>
              <w:pStyle w:val="Tabletextleft"/>
              <w:jc w:val="center"/>
            </w:pPr>
            <w:r>
              <w:t>Previous reports</w:t>
            </w:r>
          </w:p>
        </w:tc>
        <w:tc>
          <w:tcPr>
            <w:tcW w:w="757" w:type="pct"/>
          </w:tcPr>
          <w:p w:rsidR="00CA5F27" w:rsidRDefault="00CA5F27" w:rsidP="00BE4EED">
            <w:pPr>
              <w:pStyle w:val="Tabletextleft"/>
              <w:jc w:val="center"/>
            </w:pPr>
            <w:r>
              <w:t>1-1.99</w:t>
            </w:r>
          </w:p>
        </w:tc>
        <w:tc>
          <w:tcPr>
            <w:tcW w:w="742" w:type="pct"/>
          </w:tcPr>
          <w:p w:rsidR="00CA5F27" w:rsidRDefault="00CA5F27" w:rsidP="00BE4EED">
            <w:pPr>
              <w:pStyle w:val="Tabletextleft"/>
              <w:jc w:val="center"/>
            </w:pPr>
            <w:r>
              <w:t>2-2.99</w:t>
            </w:r>
          </w:p>
        </w:tc>
        <w:tc>
          <w:tcPr>
            <w:tcW w:w="879" w:type="pct"/>
          </w:tcPr>
          <w:p w:rsidR="00CA5F27" w:rsidRDefault="00CA5F27" w:rsidP="00BE4EED">
            <w:pPr>
              <w:pStyle w:val="Tabletextleft"/>
              <w:jc w:val="center"/>
            </w:pPr>
            <w:r>
              <w:t>3-3.99</w:t>
            </w:r>
          </w:p>
        </w:tc>
        <w:tc>
          <w:tcPr>
            <w:tcW w:w="742" w:type="pct"/>
          </w:tcPr>
          <w:p w:rsidR="00CA5F27" w:rsidRDefault="00CA5F27" w:rsidP="00BE4EED">
            <w:pPr>
              <w:pStyle w:val="Tabletextleft"/>
              <w:jc w:val="center"/>
            </w:pPr>
            <w:r>
              <w:t>4-4.99</w:t>
            </w:r>
          </w:p>
        </w:tc>
        <w:tc>
          <w:tcPr>
            <w:tcW w:w="719" w:type="pct"/>
          </w:tcPr>
          <w:p w:rsidR="00CA5F27" w:rsidRDefault="00CA5F27" w:rsidP="00BE4EED">
            <w:pPr>
              <w:pStyle w:val="Tabletextleft"/>
              <w:jc w:val="center"/>
            </w:pPr>
            <w:r>
              <w:t>5</w:t>
            </w:r>
          </w:p>
        </w:tc>
      </w:tr>
      <w:tr w:rsidR="00CA5F27" w:rsidTr="00BE4EED">
        <w:tc>
          <w:tcPr>
            <w:tcW w:w="1160" w:type="pct"/>
          </w:tcPr>
          <w:p w:rsidR="00CA5F27" w:rsidRDefault="00CA5F27" w:rsidP="00BE4EED">
            <w:pPr>
              <w:pStyle w:val="Tabletextleft"/>
              <w:jc w:val="center"/>
            </w:pPr>
          </w:p>
        </w:tc>
        <w:tc>
          <w:tcPr>
            <w:tcW w:w="757" w:type="pct"/>
          </w:tcPr>
          <w:p w:rsidR="00CA5F27" w:rsidRDefault="00CA5F27" w:rsidP="00BE4EED">
            <w:pPr>
              <w:pStyle w:val="Tabletextleft"/>
              <w:jc w:val="center"/>
            </w:pPr>
            <w:r>
              <w:t>Very poor</w:t>
            </w:r>
          </w:p>
        </w:tc>
        <w:tc>
          <w:tcPr>
            <w:tcW w:w="742" w:type="pct"/>
          </w:tcPr>
          <w:p w:rsidR="00CA5F27" w:rsidRDefault="00CA5F27" w:rsidP="00BE4EED">
            <w:pPr>
              <w:pStyle w:val="Tabletextleft"/>
              <w:jc w:val="center"/>
            </w:pPr>
            <w:r>
              <w:t>Poor</w:t>
            </w:r>
          </w:p>
        </w:tc>
        <w:tc>
          <w:tcPr>
            <w:tcW w:w="879" w:type="pct"/>
          </w:tcPr>
          <w:p w:rsidR="00CA5F27" w:rsidRDefault="00CA5F27" w:rsidP="00BE4EED">
            <w:pPr>
              <w:pStyle w:val="Tabletextleft"/>
              <w:jc w:val="center"/>
            </w:pPr>
            <w:r>
              <w:t>Satisfactory</w:t>
            </w:r>
          </w:p>
        </w:tc>
        <w:tc>
          <w:tcPr>
            <w:tcW w:w="742" w:type="pct"/>
          </w:tcPr>
          <w:p w:rsidR="00CA5F27" w:rsidRDefault="00CA5F27" w:rsidP="00BE4EED">
            <w:pPr>
              <w:pStyle w:val="Tabletextleft"/>
              <w:jc w:val="center"/>
            </w:pPr>
            <w:r>
              <w:t>Good</w:t>
            </w:r>
          </w:p>
        </w:tc>
        <w:tc>
          <w:tcPr>
            <w:tcW w:w="719" w:type="pct"/>
          </w:tcPr>
          <w:p w:rsidR="00CA5F27" w:rsidRDefault="00CA5F27" w:rsidP="00BE4EED">
            <w:pPr>
              <w:pStyle w:val="Tabletextleft"/>
              <w:jc w:val="center"/>
            </w:pPr>
            <w:r>
              <w:t>Excellent</w:t>
            </w:r>
          </w:p>
        </w:tc>
      </w:tr>
    </w:tbl>
    <w:p w:rsidR="00CA5F27" w:rsidRDefault="00CA5F27" w:rsidP="00CA5F27"/>
    <w:p w:rsidR="00CA5F27" w:rsidRDefault="00CA5F27" w:rsidP="00CA5F27">
      <w:r>
        <w:t>The average ratings for each indicator in the passenger perception surveys are shown for each airport. The average ratings for domestic terminals and international terminals are presented over time where possible. A limitation of this survey is that passengers’ perceptions may not fully reflect the quality of service that the airport operators provide as they can be influenced by the services provided by airlines and border agencies.</w:t>
      </w:r>
    </w:p>
    <w:p w:rsidR="00CA5F27" w:rsidRDefault="00CA5F27" w:rsidP="00CA5F27">
      <w:pPr>
        <w:pStyle w:val="Numberedheading4"/>
      </w:pPr>
      <w:r>
        <w:t>Airline survey</w:t>
      </w:r>
    </w:p>
    <w:p w:rsidR="00CA5F27" w:rsidRDefault="00CA5F27" w:rsidP="00CA5F27">
      <w:r>
        <w:t xml:space="preserve">The ACCC conducts an annual survey of airlines about their perception of the quality of facilities they used at the monitored airports. Questions relate to both </w:t>
      </w:r>
      <w:r w:rsidRPr="00BB1430">
        <w:t>terminal facilities</w:t>
      </w:r>
      <w:r>
        <w:t xml:space="preserve"> (</w:t>
      </w:r>
      <w:r w:rsidRPr="00BB1430">
        <w:t>aerobridges, check-in and baggage processing</w:t>
      </w:r>
      <w:r>
        <w:t xml:space="preserve">) and </w:t>
      </w:r>
      <w:r w:rsidRPr="00BB1430">
        <w:t>airside facilitie</w:t>
      </w:r>
      <w:r>
        <w:t>s (</w:t>
      </w:r>
      <w:r w:rsidRPr="00BB1430">
        <w:t>runways, taxiways, aprons, aircraft gates and ground equipment sites</w:t>
      </w:r>
      <w:r>
        <w:t>)</w:t>
      </w:r>
      <w:r w:rsidRPr="00BB1430">
        <w:t>.</w:t>
      </w:r>
      <w:r>
        <w:t xml:space="preserve"> Airlines are asked to rate two aspects of these facilities:</w:t>
      </w:r>
    </w:p>
    <w:p w:rsidR="00CA5F27" w:rsidRPr="00BB1430" w:rsidRDefault="00CA5F27" w:rsidP="00CA5F27">
      <w:pPr>
        <w:pStyle w:val="Listbullet1"/>
        <w:rPr>
          <w:b/>
        </w:rPr>
      </w:pPr>
      <w:r w:rsidRPr="00BB1430">
        <w:t>availability—that is, the availability of infrastructure and equipment and the occurrence of delays in gaining access to those facilities</w:t>
      </w:r>
    </w:p>
    <w:p w:rsidR="00CA5F27" w:rsidRPr="00BB1430" w:rsidRDefault="00CA5F27" w:rsidP="00CA5F27">
      <w:pPr>
        <w:pStyle w:val="Listbullet1"/>
        <w:rPr>
          <w:b/>
        </w:rPr>
      </w:pPr>
      <w:proofErr w:type="gramStart"/>
      <w:r w:rsidRPr="00BB1430">
        <w:t>standard—</w:t>
      </w:r>
      <w:proofErr w:type="gramEnd"/>
      <w:r w:rsidRPr="00BB1430">
        <w:t>that is, the ability of equipment to perform the function intended, the reliability of the equipment and the probability of it breaking down.</w:t>
      </w:r>
    </w:p>
    <w:p w:rsidR="00CA5F27" w:rsidRDefault="00CA5F27" w:rsidP="00CA5F27">
      <w:r>
        <w:t xml:space="preserve">The airlines are also asked to rate the airport operator’s responsiveness or approach to addressing problems and concerns with the above facilities. Full details of the questions are contained in a spreadsheet on the ACCC’s website </w:t>
      </w:r>
      <w:hyperlink r:id="rId197" w:history="1">
        <w:r w:rsidRPr="00AD47C3">
          <w:rPr>
            <w:rStyle w:val="Hyperlink"/>
          </w:rPr>
          <w:t>http://www.accc.gov.au/regulated-infrastructure/airports-aviation/airports-monitoring</w:t>
        </w:r>
      </w:hyperlink>
      <w:r>
        <w:t>.</w:t>
      </w:r>
    </w:p>
    <w:p w:rsidR="00CA5F27" w:rsidRDefault="00CA5F27" w:rsidP="00CA5F27">
      <w:r>
        <w:t xml:space="preserve">The scale used for airline </w:t>
      </w:r>
      <w:proofErr w:type="gramStart"/>
      <w:r>
        <w:t>ratings is</w:t>
      </w:r>
      <w:proofErr w:type="gramEnd"/>
      <w:r>
        <w:t xml:space="preserve"> the same as that of the passenger perceptions surveys and shown in table </w:t>
      </w:r>
      <w:r w:rsidRPr="004F7BBB">
        <w:t>A4.2.1</w:t>
      </w:r>
      <w:r>
        <w:t xml:space="preserve"> above. Ratings given by airlines were averaged across airlines (with equal weights) to give an average rating for each facility at each airport.  In addition, airlines are given the opportunity to provide an explanation of their ratings for the availability and standard of each facility that they have rated. </w:t>
      </w:r>
    </w:p>
    <w:p w:rsidR="00CA5F27" w:rsidRDefault="00CA5F27" w:rsidP="00CA5F27">
      <w:r>
        <w:lastRenderedPageBreak/>
        <w:t>Given that airlines may potentially have an incentive to deliberately under-report quality for the airports, the ACCC verifies the airlines’ responses when needed. In particular, if an airline gives an airport a rating of below ‘satisfactory’, the ACCC will seek comments and additional information from the airline, and provide the relevant airport operator with an opportunity to respond to non-confidential commentary by the airlines.</w:t>
      </w:r>
    </w:p>
    <w:p w:rsidR="00CA5F27" w:rsidRDefault="00CA5F27" w:rsidP="00CA5F27">
      <w:r>
        <w:t xml:space="preserve">Under the ACCC monitoring regime, airlines are not required to provide survey information for the domestic facilities they operate under domestic terminal leases. </w:t>
      </w:r>
    </w:p>
    <w:p w:rsidR="00CA5F27" w:rsidRDefault="00CA5F27" w:rsidP="00114E05">
      <w:pPr>
        <w:pStyle w:val="Non-numberedheading4"/>
      </w:pPr>
      <w:r>
        <w:t>Landside operator survey</w:t>
      </w:r>
    </w:p>
    <w:p w:rsidR="00CA5F27" w:rsidRPr="00BB1430" w:rsidRDefault="00CA5F27" w:rsidP="00CA5F27">
      <w:r>
        <w:t>The ACCC commenced surveying landside operators about their perception of the quality of landside access facilities from 2013-14. Operators surveyed include a selection of off</w:t>
      </w:r>
      <w:r>
        <w:noBreakHyphen/>
        <w:t xml:space="preserve">airport car parking operators and taxi and bus industry bodies. The survey covers </w:t>
      </w:r>
      <w:r w:rsidRPr="00BB1430">
        <w:t>taxi facilities</w:t>
      </w:r>
      <w:r>
        <w:t xml:space="preserve">, </w:t>
      </w:r>
      <w:r w:rsidRPr="00BB1430">
        <w:t>terminal kerbside pick</w:t>
      </w:r>
      <w:r w:rsidRPr="00BB1430">
        <w:noBreakHyphen/>
        <w:t>up and drop</w:t>
      </w:r>
      <w:r w:rsidRPr="00BB1430">
        <w:noBreakHyphen/>
        <w:t>off facilities</w:t>
      </w:r>
      <w:r>
        <w:t>. The aspects of the services and facilities being rated and the scale of the ratings are consistent with those for the airline survey.</w:t>
      </w:r>
      <w:r>
        <w:rPr>
          <w:rStyle w:val="FootnoteReference"/>
        </w:rPr>
        <w:footnoteReference w:id="147"/>
      </w:r>
      <w:r>
        <w:t xml:space="preserve">  </w:t>
      </w:r>
    </w:p>
    <w:p w:rsidR="00CA5F27" w:rsidRDefault="00CA5F27" w:rsidP="00CA5F27">
      <w:r>
        <w:t xml:space="preserve">Ratings given by landside operators were averaged to give an average rating for each facility at each airport. The ratings from off-airport car parking operators, taxi industry bodies, and bus industry bodies each contribute a third to the average rating. In addition, landside operators are given the opportunity to provide an explanation of their ratings for the availability and standard of each facility that they rate. </w:t>
      </w:r>
    </w:p>
    <w:p w:rsidR="00CA5F27" w:rsidRDefault="00CA5F27" w:rsidP="00CA5F27">
      <w:r>
        <w:t>While access for landside operators may be influenced by a range of factors beyond the airport operators’ control, the ACCC considers that useful insights about factors within an airport operator’s control can be gleaned through surveys with carefully targeted questions. As with airline surveys, if a landside operator gives an airport a rating of below ‘satisfactory’, the ACCC seeks comments and additional information from the operator. Further, the ACCC provides the relevant airport operator with an opportunity to respond to non</w:t>
      </w:r>
      <w:r>
        <w:noBreakHyphen/>
        <w:t>confidential commentary by landside operators.</w:t>
      </w:r>
    </w:p>
    <w:p w:rsidR="00CA5F27" w:rsidRDefault="00CA5F27" w:rsidP="00114E05">
      <w:pPr>
        <w:pStyle w:val="Non-numberedheading4"/>
      </w:pPr>
      <w:r>
        <w:t xml:space="preserve">Airservices Australia </w:t>
      </w:r>
    </w:p>
    <w:p w:rsidR="00CA5F27" w:rsidRDefault="00CA5F27" w:rsidP="00CA5F27">
      <w:r>
        <w:t xml:space="preserve">Airservices Australia (Airservices) provides air traffic control and airport rescue and fire-fighting services at major airports in Australia.  </w:t>
      </w:r>
    </w:p>
    <w:p w:rsidR="00CA5F27" w:rsidRDefault="00CA5F27" w:rsidP="00CA5F27">
      <w:r>
        <w:t>The ACCC incorporates Airservices data on the number of arrivals and departures, and airborne delays at Brisbane, Melbourne, Perth and Sydney airports in the quality of service section of the results chapter for each airport.</w:t>
      </w:r>
    </w:p>
    <w:p w:rsidR="00CA5F27" w:rsidRDefault="00CA5F27" w:rsidP="00CA5F27">
      <w:r>
        <w:t>While Airservices data may g</w:t>
      </w:r>
      <w:r w:rsidRPr="00FF77D8">
        <w:t>ive some indication of airport constraints and therefore the adequacy of runway infrastructure or management</w:t>
      </w:r>
      <w:r>
        <w:t>, t</w:t>
      </w:r>
      <w:r w:rsidRPr="00FF77D8">
        <w:t>he full extent of capacity constraints cannot be observed from this data</w:t>
      </w:r>
      <w:r>
        <w:t>. This is</w:t>
      </w:r>
      <w:r w:rsidRPr="00FF77D8">
        <w:t xml:space="preserve"> because there may be a number of factors that influence delays, such as weather conditions and aircraft mix. </w:t>
      </w:r>
    </w:p>
    <w:p w:rsidR="00CA5F27" w:rsidRDefault="00CA5F27" w:rsidP="00114E05">
      <w:pPr>
        <w:pStyle w:val="Non-numberedheading2"/>
      </w:pPr>
      <w:r>
        <w:t>A4.3</w:t>
      </w:r>
      <w:r>
        <w:tab/>
        <w:t>Limitations of monitoring</w:t>
      </w:r>
    </w:p>
    <w:p w:rsidR="00CA5F27" w:rsidRDefault="00CA5F27" w:rsidP="00CA5F27">
      <w:r>
        <w:t>Monitoring does not directly restrict the airports from increasing prices and/or lowering service-quality. Nor does it provide the ACCC with a general power to intervene in the airports’ setting of terms and conditions of access to the airports’ infrastructure.</w:t>
      </w:r>
    </w:p>
    <w:p w:rsidR="00CA5F27" w:rsidRDefault="00CA5F27" w:rsidP="00CA5F27">
      <w:r>
        <w:t>In addition, the ACCC’s monitoring of airports is limited in scope and does not enable a detailed assessment of the airports’ performance to establish whether or not an airport has exercised market power to earn monopoly profits (discussed further below).</w:t>
      </w:r>
    </w:p>
    <w:p w:rsidR="00CA5F27" w:rsidRDefault="00CA5F27" w:rsidP="00114E05">
      <w:pPr>
        <w:pStyle w:val="Non-numberedheading4"/>
      </w:pPr>
      <w:r>
        <w:lastRenderedPageBreak/>
        <w:t>Monitoring information cannot be used to assess the appropriateness of the level of prices and profits</w:t>
      </w:r>
    </w:p>
    <w:p w:rsidR="00CA5F27" w:rsidRDefault="00CA5F27" w:rsidP="00CA5F27">
      <w:r>
        <w:t>In undertaking an assessment of the level of prices and profits, it is common regulatory practice to undertake an assessment of the firm’s economic returns against a benchmark of their efficient long-run costs for providing services. This involves a rigorous public process to determine an economic value of the firm’s asset base—referred to as the regulatory asset base (RAB)—and to determine an efficient benchmark for the firm’s return on capital—referred to as the weighted average cost of capital (WACC). Once a benchmark for efficient long-run costs and the revenues required to recover those costs has been established, the regulated firm’s performance in subsequent years can be assessed.</w:t>
      </w:r>
    </w:p>
    <w:p w:rsidR="00CA5F27" w:rsidRDefault="00CA5F27" w:rsidP="00CA5F27">
      <w:r>
        <w:t xml:space="preserve">In the case of airports, however, the benchmark for sufficient long run costs has not been set. Instead, the airports’ asset values under monitoring are based on their accounting values rather than their economic value. Importantly, the accounting value of assets may include revaluation that have been undertaken at the airports’ discretion and that can distort assessments of airports’ performance. For example, in some years, some airports have revalued their </w:t>
      </w:r>
      <w:proofErr w:type="gramStart"/>
      <w:r>
        <w:t>assets upwards, which lowers</w:t>
      </w:r>
      <w:proofErr w:type="gramEnd"/>
      <w:r>
        <w:t xml:space="preserve"> their apparent return on assets. Consequently, the airports’ asset values under monitoring do not provide a reliable indicator of the airports’ RAB, which is needed to make a meaningful assessment of whether the airports are earning monopoly rents.</w:t>
      </w:r>
    </w:p>
    <w:p w:rsidR="00CA5F27" w:rsidRDefault="00CA5F27" w:rsidP="00CA5F27">
      <w:r>
        <w:t>As discussed earlier, the ACCC has adopted the ‘line in the sand’ approach since 2007</w:t>
      </w:r>
      <w:r>
        <w:noBreakHyphen/>
        <w:t>08 to address the issues associated with the airports revaluing their assets. However this approach only removes any asset valuations occurred after 30 June 2005.</w:t>
      </w:r>
    </w:p>
    <w:p w:rsidR="00CA5F27" w:rsidRDefault="00CA5F27" w:rsidP="00114E05">
      <w:pPr>
        <w:pStyle w:val="Non-numberedheading4"/>
      </w:pPr>
      <w:r>
        <w:t>Judgement about the airports’ performance cannot be made based on trends in the airports’ prices, profits and quality of service alone</w:t>
      </w:r>
    </w:p>
    <w:p w:rsidR="00CA5F27" w:rsidRDefault="00CA5F27" w:rsidP="00CA5F27">
      <w:r>
        <w:t>An airport that is already pricing at or near monopoly levels would only be expected to report gradual increases in prices and profitability over time.</w:t>
      </w:r>
    </w:p>
    <w:p w:rsidR="00CA5F27" w:rsidRDefault="00CA5F27" w:rsidP="00CA5F27">
      <w:r>
        <w:t xml:space="preserve">Further, monitoring cannot clearly distinguish between various factors that may contribute to increasing profitability, some of which may raise cause for concern about an airport’s performance while others may not. For example, increasing profitability by increasing prices whilst lowering or holding quality of services constant over a sustained period of time may indicate an airport exercising market power, which may be a concern. In contrast, increasing profitability due to increased efficiency in operations or economies of scale may not necessarily raise cause for concerns.  </w:t>
      </w:r>
    </w:p>
    <w:p w:rsidR="00CA5F27" w:rsidRDefault="00CA5F27" w:rsidP="00114E05">
      <w:pPr>
        <w:pStyle w:val="Non-numberedheading4"/>
      </w:pPr>
      <w:r>
        <w:t>Monitoring does not provide meaningful comparisons of the prices, profits and quality of service across airports</w:t>
      </w:r>
    </w:p>
    <w:p w:rsidR="00CA5F27" w:rsidRDefault="00CA5F27" w:rsidP="00CA5F27">
      <w:r>
        <w:t>Because the airports have taken different approaches to valuing their assets, it can be difficult to meaningfully compare profitability between the airports based on reported return on assets. There are also some other specific reasons that make comparisons difficult.</w:t>
      </w:r>
    </w:p>
    <w:p w:rsidR="00CA5F27" w:rsidRDefault="00CA5F27" w:rsidP="00CA5F27">
      <w:r>
        <w:t>For example, the ACCC’s monitoring role for aeronautical services relates only to those terminals that are owned and operated by the airports. However, some of the airports’ domestic terminals are leased and operated by those airlines and are not subject to the ACCC’s monitoring. Therefore, the revenues, prices, costs, profits and quality of service associated with those terminals are not included in the monitoring results presented in this report. Such terminals include such as the Qantas domestic terminals at Melbourne, Perth and Sydney airports, as well as the Qantas and Virgin Australia domestic terminals at Brisbane Airport</w:t>
      </w:r>
    </w:p>
    <w:p w:rsidR="00CA5F27" w:rsidRDefault="00CA5F27" w:rsidP="00CA5F27">
      <w:r>
        <w:t xml:space="preserve">In the case of airport car parking, the range of services provided by the airports varies significantly with some parking provided in close proximity to the airport terminals for convenience, as well as some at a distance from the terminals. Comparisons of airport car </w:t>
      </w:r>
      <w:r>
        <w:lastRenderedPageBreak/>
        <w:t>parking prices, revenues, costs and profits are therefore complicated by these various car parking configurations. Importantly, highlighting differences across the airports will only be robust if comparisons are on a ‘like-with-like’ basis as far as is practicable.</w:t>
      </w:r>
    </w:p>
    <w:p w:rsidR="00CA5F27" w:rsidRDefault="00CA5F27" w:rsidP="00114E05">
      <w:pPr>
        <w:pStyle w:val="Non-numberedheading2"/>
      </w:pPr>
      <w:r>
        <w:t>A4.4</w:t>
      </w:r>
      <w:r>
        <w:tab/>
        <w:t>Consultation</w:t>
      </w:r>
    </w:p>
    <w:p w:rsidR="00CA5F27" w:rsidRDefault="00CA5F27" w:rsidP="00CA5F27">
      <w:r>
        <w:t>The ACCC provides the monitored airports with the opportunity to provide comments in their quality of service and price monitoring submissions for the ACCC airport monitoring report. This process allows the airports to provide explanations as to why ratings or objective data have changed in the period. In addition, the monitored airports are given an opportunity to comment on their respective sections to ensure accuracy of the data presented in chapters 2 to 5. Where appropriate, the ACCC has incorporated these comments into the report, particularly where these comments provide a possible explanation for changes in ratings.</w:t>
      </w:r>
    </w:p>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Default="00CA5F27" w:rsidP="00CA5F27"/>
    <w:p w:rsidR="00CA5F27" w:rsidRPr="007F434A" w:rsidRDefault="00CA5F27" w:rsidP="00CA5F27"/>
    <w:p w:rsidR="00CA5F27" w:rsidRPr="001C309D" w:rsidRDefault="00CA5F27" w:rsidP="00CA5F27">
      <w:pPr>
        <w:spacing w:before="100" w:beforeAutospacing="1" w:after="100" w:afterAutospacing="1"/>
        <w:rPr>
          <w:rFonts w:cs="Arial"/>
          <w:color w:val="000000"/>
          <w:sz w:val="16"/>
          <w:szCs w:val="16"/>
        </w:rPr>
      </w:pPr>
    </w:p>
    <w:sectPr w:rsidR="00CA5F27" w:rsidRPr="001C309D" w:rsidSect="00BE4EED">
      <w:type w:val="continuous"/>
      <w:pgSz w:w="11906" w:h="16838"/>
      <w:pgMar w:top="1440" w:right="1729" w:bottom="1582" w:left="1729" w:header="709" w:footer="709" w:gutter="0"/>
      <w:pgNumType w:start="1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C42" w:rsidRDefault="007A2C42" w:rsidP="00EE001A">
      <w:pPr>
        <w:spacing w:after="0"/>
      </w:pPr>
      <w:r>
        <w:separator/>
      </w:r>
    </w:p>
  </w:endnote>
  <w:endnote w:type="continuationSeparator" w:id="0">
    <w:p w:rsidR="007A2C42" w:rsidRDefault="007A2C42" w:rsidP="00EE00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iStock Maquett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621922"/>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xviii</w:t>
        </w:r>
        <w:r>
          <w:rPr>
            <w:noProof/>
          </w:rPr>
          <w:fldChar w:fldCharType="end"/>
        </w:r>
      </w:p>
    </w:sdtContent>
  </w:sdt>
  <w:p w:rsidR="007A2C42" w:rsidRDefault="007A2C4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028023"/>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104</w:t>
        </w:r>
        <w:r>
          <w:rPr>
            <w:noProof/>
          </w:rPr>
          <w:fldChar w:fldCharType="end"/>
        </w:r>
      </w:p>
    </w:sdtContent>
  </w:sdt>
  <w:p w:rsidR="007A2C42" w:rsidRDefault="007A2C4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901114"/>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103</w:t>
        </w:r>
        <w:r>
          <w:rPr>
            <w:noProof/>
          </w:rPr>
          <w:fldChar w:fldCharType="end"/>
        </w:r>
      </w:p>
    </w:sdtContent>
  </w:sdt>
  <w:p w:rsidR="007A2C42" w:rsidRDefault="007A2C4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518715"/>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130</w:t>
        </w:r>
        <w:r>
          <w:rPr>
            <w:noProof/>
          </w:rPr>
          <w:fldChar w:fldCharType="end"/>
        </w:r>
      </w:p>
    </w:sdtContent>
  </w:sdt>
  <w:p w:rsidR="007A2C42" w:rsidRDefault="007A2C4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65353"/>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129</w:t>
        </w:r>
        <w:r>
          <w:rPr>
            <w:noProof/>
          </w:rPr>
          <w:fldChar w:fldCharType="end"/>
        </w:r>
      </w:p>
    </w:sdtContent>
  </w:sdt>
  <w:p w:rsidR="007A2C42" w:rsidRDefault="007A2C4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56906"/>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162</w:t>
        </w:r>
        <w:r>
          <w:rPr>
            <w:noProof/>
          </w:rPr>
          <w:fldChar w:fldCharType="end"/>
        </w:r>
      </w:p>
    </w:sdtContent>
  </w:sdt>
  <w:p w:rsidR="007A2C42" w:rsidRDefault="007A2C4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728590"/>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161</w:t>
        </w:r>
        <w:r>
          <w:rPr>
            <w:noProof/>
          </w:rPr>
          <w:fldChar w:fldCharType="end"/>
        </w:r>
      </w:p>
    </w:sdtContent>
  </w:sdt>
  <w:p w:rsidR="007A2C42" w:rsidRDefault="007A2C42" w:rsidP="00BE4EED">
    <w:pPr>
      <w:pStyle w:val="Footer"/>
      <w:tabs>
        <w:tab w:val="clear" w:pos="4513"/>
        <w:tab w:val="clear" w:pos="9026"/>
        <w:tab w:val="left" w:pos="3220"/>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207247"/>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168</w:t>
        </w:r>
        <w:r>
          <w:rPr>
            <w:noProof/>
          </w:rPr>
          <w:fldChar w:fldCharType="end"/>
        </w:r>
      </w:p>
    </w:sdtContent>
  </w:sdt>
  <w:p w:rsidR="007A2C42" w:rsidRDefault="007A2C4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136566"/>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167</w:t>
        </w:r>
        <w:r>
          <w:rPr>
            <w:noProof/>
          </w:rPr>
          <w:fldChar w:fldCharType="end"/>
        </w:r>
      </w:p>
    </w:sdtContent>
  </w:sdt>
  <w:p w:rsidR="007A2C42" w:rsidRDefault="007A2C4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048099"/>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180</w:t>
        </w:r>
        <w:r>
          <w:rPr>
            <w:noProof/>
          </w:rPr>
          <w:fldChar w:fldCharType="end"/>
        </w:r>
      </w:p>
    </w:sdtContent>
  </w:sdt>
  <w:p w:rsidR="007A2C42" w:rsidRDefault="007A2C4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248547"/>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179</w:t>
        </w:r>
        <w:r>
          <w:rPr>
            <w:noProof/>
          </w:rPr>
          <w:fldChar w:fldCharType="end"/>
        </w:r>
      </w:p>
    </w:sdtContent>
  </w:sdt>
  <w:p w:rsidR="007A2C42" w:rsidRDefault="007A2C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03191"/>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i</w:t>
        </w:r>
        <w:r>
          <w:rPr>
            <w:noProof/>
          </w:rPr>
          <w:fldChar w:fldCharType="end"/>
        </w:r>
      </w:p>
    </w:sdtContent>
  </w:sdt>
  <w:p w:rsidR="007A2C42" w:rsidRDefault="007A2C4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21146"/>
      <w:docPartObj>
        <w:docPartGallery w:val="Page Numbers (Bottom of Page)"/>
        <w:docPartUnique/>
      </w:docPartObj>
    </w:sdtPr>
    <w:sdtEndPr>
      <w:rPr>
        <w:noProof/>
      </w:rPr>
    </w:sdtEndPr>
    <w:sdtContent>
      <w:p w:rsidR="007A2C42" w:rsidRDefault="007A2C42" w:rsidP="00DC084A">
        <w:pPr>
          <w:pStyle w:val="Footer"/>
          <w:tabs>
            <w:tab w:val="left" w:pos="2987"/>
            <w:tab w:val="right" w:pos="8448"/>
          </w:tabs>
        </w:pPr>
        <w:r>
          <w:tab/>
        </w:r>
        <w:r>
          <w:tab/>
        </w:r>
        <w:r>
          <w:tab/>
        </w:r>
        <w:r>
          <w:fldChar w:fldCharType="begin"/>
        </w:r>
        <w:r>
          <w:instrText xml:space="preserve"> PAGE   \* MERGEFORMAT </w:instrText>
        </w:r>
        <w:r>
          <w:fldChar w:fldCharType="separate"/>
        </w:r>
        <w:r w:rsidR="00BB74EE">
          <w:rPr>
            <w:noProof/>
          </w:rPr>
          <w:t>2</w:t>
        </w:r>
        <w:r>
          <w:rPr>
            <w:noProof/>
          </w:rPr>
          <w:fldChar w:fldCharType="end"/>
        </w:r>
      </w:p>
    </w:sdtContent>
  </w:sdt>
  <w:p w:rsidR="007A2C42" w:rsidRDefault="007A2C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837980"/>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1</w:t>
        </w:r>
        <w:r>
          <w:rPr>
            <w:noProof/>
          </w:rPr>
          <w:fldChar w:fldCharType="end"/>
        </w:r>
      </w:p>
    </w:sdtContent>
  </w:sdt>
  <w:p w:rsidR="007A2C42" w:rsidRDefault="007A2C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684024"/>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46</w:t>
        </w:r>
        <w:r>
          <w:rPr>
            <w:noProof/>
          </w:rPr>
          <w:fldChar w:fldCharType="end"/>
        </w:r>
      </w:p>
    </w:sdtContent>
  </w:sdt>
  <w:p w:rsidR="007A2C42" w:rsidRDefault="007A2C4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898995"/>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45</w:t>
        </w:r>
        <w:r>
          <w:rPr>
            <w:noProof/>
          </w:rPr>
          <w:fldChar w:fldCharType="end"/>
        </w:r>
      </w:p>
    </w:sdtContent>
  </w:sdt>
  <w:p w:rsidR="007A2C42" w:rsidRDefault="007A2C4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713470"/>
      <w:docPartObj>
        <w:docPartGallery w:val="Page Numbers (Bottom of Page)"/>
        <w:docPartUnique/>
      </w:docPartObj>
    </w:sdtPr>
    <w:sdtEndPr>
      <w:rPr>
        <w:noProof/>
      </w:rPr>
    </w:sdtEndPr>
    <w:sdtContent>
      <w:p w:rsidR="007A2C42" w:rsidRDefault="007A2C42">
        <w:pPr>
          <w:pStyle w:val="Footer"/>
        </w:pPr>
        <w:r>
          <w:fldChar w:fldCharType="begin"/>
        </w:r>
        <w:r>
          <w:instrText xml:space="preserve"> PAGE   \* MERGEFORMAT </w:instrText>
        </w:r>
        <w:r>
          <w:fldChar w:fldCharType="separate"/>
        </w:r>
        <w:r w:rsidR="00BB74EE">
          <w:rPr>
            <w:noProof/>
          </w:rPr>
          <w:t>74</w:t>
        </w:r>
        <w:r>
          <w:rPr>
            <w:noProof/>
          </w:rPr>
          <w:fldChar w:fldCharType="end"/>
        </w:r>
      </w:p>
    </w:sdtContent>
  </w:sdt>
  <w:p w:rsidR="007A2C42" w:rsidRDefault="007A2C4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446755"/>
      <w:docPartObj>
        <w:docPartGallery w:val="Page Numbers (Bottom of Page)"/>
        <w:docPartUnique/>
      </w:docPartObj>
    </w:sdtPr>
    <w:sdtEndPr>
      <w:rPr>
        <w:noProof/>
      </w:rPr>
    </w:sdtEndPr>
    <w:sdtContent>
      <w:p w:rsidR="007A2C42" w:rsidRDefault="007A2C42">
        <w:pPr>
          <w:pStyle w:val="Footer"/>
          <w:jc w:val="right"/>
        </w:pPr>
        <w:r>
          <w:fldChar w:fldCharType="begin"/>
        </w:r>
        <w:r>
          <w:instrText xml:space="preserve"> PAGE   \* MERGEFORMAT </w:instrText>
        </w:r>
        <w:r>
          <w:fldChar w:fldCharType="separate"/>
        </w:r>
        <w:r w:rsidR="00BB74EE">
          <w:rPr>
            <w:noProof/>
          </w:rPr>
          <w:t>73</w:t>
        </w:r>
        <w:r>
          <w:rPr>
            <w:noProof/>
          </w:rPr>
          <w:fldChar w:fldCharType="end"/>
        </w:r>
      </w:p>
    </w:sdtContent>
  </w:sdt>
  <w:p w:rsidR="007A2C42" w:rsidRDefault="007A2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C42" w:rsidRDefault="007A2C42" w:rsidP="00EE001A">
      <w:pPr>
        <w:spacing w:after="0"/>
      </w:pPr>
      <w:r>
        <w:separator/>
      </w:r>
    </w:p>
  </w:footnote>
  <w:footnote w:type="continuationSeparator" w:id="0">
    <w:p w:rsidR="007A2C42" w:rsidRDefault="007A2C42" w:rsidP="00EE001A">
      <w:pPr>
        <w:spacing w:after="0"/>
      </w:pPr>
      <w:r>
        <w:continuationSeparator/>
      </w:r>
    </w:p>
  </w:footnote>
  <w:footnote w:id="1">
    <w:p w:rsidR="007A2C42" w:rsidRDefault="007A2C42" w:rsidP="004D263A">
      <w:pPr>
        <w:pStyle w:val="FootnoteText"/>
      </w:pPr>
      <w:r>
        <w:rPr>
          <w:rStyle w:val="FootnoteReference"/>
        </w:rPr>
        <w:footnoteRef/>
      </w:r>
      <w:r>
        <w:t xml:space="preserve"> A ‘tax on future generations’ refers to possible higher prices and lower quality of service that may occur to airport users under monopoly ownership of the two airports (in difference to more competitive outcomes that would be achieved under different owners).</w:t>
      </w:r>
    </w:p>
  </w:footnote>
  <w:footnote w:id="2">
    <w:p w:rsidR="007A2C42" w:rsidRDefault="007A2C42" w:rsidP="00883552">
      <w:pPr>
        <w:pStyle w:val="FootnoteText"/>
      </w:pPr>
      <w:r>
        <w:rPr>
          <w:rStyle w:val="FootnoteReference"/>
        </w:rPr>
        <w:footnoteRef/>
      </w:r>
      <w:r>
        <w:t xml:space="preserve"> Domestic terminal leases (DTLs) are contractual arrangements between an airport and one airline where the airline leases exclusively a domestic terminal through a long-term lease.</w:t>
      </w:r>
    </w:p>
  </w:footnote>
  <w:footnote w:id="3">
    <w:p w:rsidR="007A2C42" w:rsidRDefault="007A2C42" w:rsidP="00883552">
      <w:pPr>
        <w:pStyle w:val="FootnoteText"/>
      </w:pPr>
      <w:r>
        <w:rPr>
          <w:rStyle w:val="FootnoteReference"/>
        </w:rPr>
        <w:footnoteRef/>
      </w:r>
      <w:r>
        <w:t xml:space="preserve"> Revenues associated with DTLs are included in the results for total airport services. </w:t>
      </w:r>
    </w:p>
  </w:footnote>
  <w:footnote w:id="4">
    <w:p w:rsidR="007A2C42" w:rsidRDefault="007A2C42" w:rsidP="00883552">
      <w:pPr>
        <w:pStyle w:val="FootnoteText"/>
      </w:pPr>
      <w:r>
        <w:rPr>
          <w:rStyle w:val="FootnoteReference"/>
        </w:rPr>
        <w:footnoteRef/>
      </w:r>
      <w:r>
        <w:t xml:space="preserve"> Australian National Audit Office (2003), </w:t>
      </w:r>
      <w:r w:rsidRPr="007264F4">
        <w:rPr>
          <w:i/>
        </w:rPr>
        <w:t>The Sale of Sydney (Kingsford Smith) Airport</w:t>
      </w:r>
      <w:r>
        <w:t xml:space="preserve">, Audit report No. 43 2002-03 Performance Audit, Commonwealth of Australia, 8 May </w:t>
      </w:r>
      <w:hyperlink r:id="rId1" w:history="1">
        <w:r w:rsidRPr="00B02985">
          <w:rPr>
            <w:rStyle w:val="Hyperlink"/>
          </w:rPr>
          <w:t>http://www.anao.gov.au/~/media/Uploads/Documents/2002%2003_audit_report_43.pdf</w:t>
        </w:r>
      </w:hyperlink>
    </w:p>
  </w:footnote>
  <w:footnote w:id="5">
    <w:p w:rsidR="007A2C42" w:rsidRDefault="007A2C42" w:rsidP="00883552">
      <w:pPr>
        <w:pStyle w:val="FootnoteText"/>
      </w:pPr>
      <w:r>
        <w:rPr>
          <w:rStyle w:val="FootnoteReference"/>
        </w:rPr>
        <w:footnoteRef/>
      </w:r>
      <w:r>
        <w:t xml:space="preserve"> Harper, I., Anderson, P., McCluskey, S. &amp; O’Bryan, M.(2015), </w:t>
      </w:r>
      <w:r w:rsidRPr="00E75149">
        <w:rPr>
          <w:i/>
        </w:rPr>
        <w:t>Competition Policy Review, Final Report</w:t>
      </w:r>
      <w:r>
        <w:t xml:space="preserve">, March </w:t>
      </w:r>
      <w:hyperlink r:id="rId2" w:history="1">
        <w:r w:rsidRPr="00645A6A">
          <w:rPr>
            <w:rStyle w:val="Hyperlink"/>
          </w:rPr>
          <w:t>http://competitionpolicyreview.gov.au/files/2015/03/Competition-policy-review-report_online.pdf</w:t>
        </w:r>
      </w:hyperlink>
    </w:p>
  </w:footnote>
  <w:footnote w:id="6">
    <w:p w:rsidR="007A2C42" w:rsidRDefault="007A2C42" w:rsidP="00883552">
      <w:pPr>
        <w:pStyle w:val="FootnoteText"/>
      </w:pPr>
      <w:r>
        <w:rPr>
          <w:rStyle w:val="FootnoteReference"/>
        </w:rPr>
        <w:footnoteRef/>
      </w:r>
      <w:r>
        <w:t xml:space="preserve"> Sydney Airport (2015), Harper Competition Policy Review – Final Report submission, 3 June </w:t>
      </w:r>
      <w:hyperlink r:id="rId3" w:history="1">
        <w:r w:rsidRPr="00E95ED2">
          <w:rPr>
            <w:rStyle w:val="Hyperlink"/>
          </w:rPr>
          <w:t>http://www.treasury.gov.au/~/media/Treasury/Consultations%20and%20Reviews/Consultations/2015/Competition%20Policy%20Review%20Final%20Report/Submissions/PDF/Sydney_Airport.ashx</w:t>
        </w:r>
      </w:hyperlink>
    </w:p>
  </w:footnote>
  <w:footnote w:id="7">
    <w:p w:rsidR="007A2C42" w:rsidRDefault="007A2C42" w:rsidP="00883552">
      <w:pPr>
        <w:pStyle w:val="FootnoteText"/>
      </w:pPr>
      <w:r>
        <w:rPr>
          <w:rStyle w:val="FootnoteReference"/>
        </w:rPr>
        <w:footnoteRef/>
      </w:r>
      <w:r>
        <w:t xml:space="preserve"> Department of Infrastructure and Regional Development ( 2015), </w:t>
      </w:r>
      <w:r w:rsidRPr="00930AD9">
        <w:rPr>
          <w:i/>
        </w:rPr>
        <w:t>Western Sydney Airport – Draft Airport Plan</w:t>
      </w:r>
      <w:r>
        <w:t xml:space="preserve">, Commonwealth of Australia, </w:t>
      </w:r>
      <w:hyperlink r:id="rId4" w:history="1">
        <w:r w:rsidRPr="00C72E5A">
          <w:rPr>
            <w:rStyle w:val="Hyperlink"/>
          </w:rPr>
          <w:t>http://westernsydneyairport.gov.au/resources/index.aspx</w:t>
        </w:r>
      </w:hyperlink>
    </w:p>
  </w:footnote>
  <w:footnote w:id="8">
    <w:p w:rsidR="007A2C42" w:rsidRDefault="007A2C42" w:rsidP="00883552">
      <w:pPr>
        <w:pStyle w:val="FootnoteText"/>
      </w:pPr>
      <w:r>
        <w:rPr>
          <w:rStyle w:val="FootnoteReference"/>
        </w:rPr>
        <w:footnoteRef/>
      </w:r>
      <w:r>
        <w:t xml:space="preserve"> The four monitored airports operate some of their terminals through common</w:t>
      </w:r>
      <w:r>
        <w:noBreakHyphen/>
        <w:t>user arrangements where all airlines can access the terminal subject to agreements with each airport operator. However, some terminals are operated by airlines under Domestic Terminal Leases (DTLs), where an airline exclusively leases a terminal, or sections of a terminal, through a long-term lease. Revenues, costs and profits associated with these DTLs are not included in the ACCC’s aeronautical monitoring program (although, revenues from the leasing of DTLs to airlines are included in the non</w:t>
      </w:r>
      <w:r>
        <w:noBreakHyphen/>
        <w:t>aeronautical section of the airports’ financial accounts). Details of each airport’s terminal configurations can be found in Chapters 2 to 5.</w:t>
      </w:r>
    </w:p>
  </w:footnote>
  <w:footnote w:id="9">
    <w:p w:rsidR="007A2C42" w:rsidRDefault="007A2C42" w:rsidP="00883552">
      <w:pPr>
        <w:pStyle w:val="FootnoteText"/>
      </w:pPr>
      <w:r>
        <w:rPr>
          <w:rStyle w:val="FootnoteReference"/>
        </w:rPr>
        <w:footnoteRef/>
      </w:r>
      <w:r>
        <w:t xml:space="preserve"> A description of all quality of service indicators and results for 2014</w:t>
      </w:r>
      <w:r>
        <w:noBreakHyphen/>
        <w:t>15 can be found in on the ACCC’s website. Appendix 4 provides further information on the methodology of the quality of service monitoring program.</w:t>
      </w:r>
    </w:p>
  </w:footnote>
  <w:footnote w:id="10">
    <w:p w:rsidR="007A2C42" w:rsidRDefault="007A2C42" w:rsidP="00883552">
      <w:pPr>
        <w:pStyle w:val="FootnoteText"/>
      </w:pPr>
      <w:r>
        <w:rPr>
          <w:rStyle w:val="FootnoteReference"/>
        </w:rPr>
        <w:footnoteRef/>
      </w:r>
      <w:r>
        <w:t xml:space="preserve"> The Australian Customs and Border Protection Service were integrated with the Department of Immigration and Border Protection on 1 July 2015. The Australian Border Force was established as the front-line operational agency within the Department. </w:t>
      </w:r>
    </w:p>
  </w:footnote>
  <w:footnote w:id="11">
    <w:p w:rsidR="007A2C42" w:rsidRDefault="007A2C42" w:rsidP="00883552">
      <w:pPr>
        <w:pStyle w:val="FootnoteText"/>
      </w:pPr>
      <w:r>
        <w:rPr>
          <w:rStyle w:val="FootnoteReference"/>
        </w:rPr>
        <w:footnoteRef/>
      </w:r>
      <w:r>
        <w:t xml:space="preserve"> </w:t>
      </w:r>
      <w:r w:rsidRPr="000D6EF3">
        <w:t>SmartGates are an automated border processing technology that allows eligible passengers to self-process through passport control when arriving into Australia. This technology uses electronic information in ePassports to perform the customs and immigration checks usually performed by Border Force staff.</w:t>
      </w:r>
    </w:p>
  </w:footnote>
  <w:footnote w:id="12">
    <w:p w:rsidR="007A2C42" w:rsidRDefault="007A2C42" w:rsidP="00883552">
      <w:pPr>
        <w:pStyle w:val="FootnoteText"/>
        <w:spacing w:after="60"/>
      </w:pPr>
      <w:r>
        <w:rPr>
          <w:rStyle w:val="FootnoteReference"/>
        </w:rPr>
        <w:footnoteRef/>
      </w:r>
      <w:r>
        <w:t xml:space="preserve"> The Minister for Immigration and Border Protection announced in April 2015 that 92 SmartGates will be installed at Australia’s eight international airports. It is expected that there will be 155 SmartGates in operation at the international airports by April 2016.</w:t>
      </w:r>
    </w:p>
    <w:p w:rsidR="007A2C42" w:rsidRDefault="007A2C42" w:rsidP="00883552">
      <w:pPr>
        <w:pStyle w:val="FootnoteText"/>
      </w:pPr>
      <w:r>
        <w:t xml:space="preserve">   Source: The Hon. Peter Dutton, (2015), Minister – New security measures at international airports, Media release, 23 April </w:t>
      </w:r>
      <w:hyperlink r:id="rId5" w:history="1">
        <w:r w:rsidRPr="00F92C5E">
          <w:rPr>
            <w:rStyle w:val="Hyperlink"/>
          </w:rPr>
          <w:t>http://www.minister.border.gov.au/peterdutton/2015/Pages/new-security-measures-at-international-airports.aspx</w:t>
        </w:r>
      </w:hyperlink>
    </w:p>
  </w:footnote>
  <w:footnote w:id="13">
    <w:p w:rsidR="007A2C42" w:rsidRPr="00AF0D95" w:rsidRDefault="007A2C42" w:rsidP="00883552">
      <w:pPr>
        <w:rPr>
          <w:sz w:val="16"/>
          <w:szCs w:val="20"/>
        </w:rPr>
      </w:pPr>
      <w:r>
        <w:rPr>
          <w:rStyle w:val="FootnoteReference"/>
        </w:rPr>
        <w:footnoteRef/>
      </w:r>
      <w:r>
        <w:rPr>
          <w:color w:val="17365D" w:themeColor="text2" w:themeShade="BF"/>
        </w:rPr>
        <w:t xml:space="preserve"> </w:t>
      </w:r>
      <w:r w:rsidRPr="00AF0D95">
        <w:rPr>
          <w:sz w:val="16"/>
          <w:szCs w:val="20"/>
        </w:rPr>
        <w:t xml:space="preserve">Note that these ratings on the performance of </w:t>
      </w:r>
      <w:r>
        <w:rPr>
          <w:sz w:val="16"/>
          <w:szCs w:val="20"/>
        </w:rPr>
        <w:t>ABF activities</w:t>
      </w:r>
      <w:r w:rsidRPr="00AF0D95">
        <w:rPr>
          <w:sz w:val="16"/>
          <w:szCs w:val="20"/>
        </w:rPr>
        <w:t xml:space="preserve"> are not included in overall airport quality of service ratings</w:t>
      </w:r>
      <w:r>
        <w:rPr>
          <w:sz w:val="16"/>
          <w:szCs w:val="20"/>
        </w:rPr>
        <w:t>.</w:t>
      </w:r>
    </w:p>
    <w:p w:rsidR="007A2C42" w:rsidRDefault="007A2C42" w:rsidP="00883552">
      <w:pPr>
        <w:pStyle w:val="FootnoteText"/>
      </w:pPr>
      <w:r>
        <w:t xml:space="preserve"> </w:t>
      </w:r>
    </w:p>
  </w:footnote>
  <w:footnote w:id="14">
    <w:p w:rsidR="007A2C42" w:rsidRDefault="007A2C42" w:rsidP="00883552">
      <w:pPr>
        <w:pStyle w:val="FootnoteText"/>
      </w:pPr>
      <w:r>
        <w:rPr>
          <w:rStyle w:val="FootnoteReference"/>
        </w:rPr>
        <w:footnoteRef/>
      </w:r>
      <w:r>
        <w:t xml:space="preserve"> Note that airlines are generally rating different services and facilities at airports.</w:t>
      </w:r>
    </w:p>
  </w:footnote>
  <w:footnote w:id="15">
    <w:p w:rsidR="007A2C42" w:rsidRPr="008D4720" w:rsidRDefault="007A2C42" w:rsidP="00883552">
      <w:pPr>
        <w:pStyle w:val="FootnoteText"/>
      </w:pPr>
      <w:r>
        <w:rPr>
          <w:rStyle w:val="FootnoteReference"/>
        </w:rPr>
        <w:footnoteRef/>
      </w:r>
      <w:r>
        <w:t xml:space="preserve"> See; ACCC (2015), </w:t>
      </w:r>
      <w:r>
        <w:rPr>
          <w:i/>
        </w:rPr>
        <w:t>Airport Monitoring Report 2013-14</w:t>
      </w:r>
      <w:r>
        <w:t xml:space="preserve">, 9 April 2015, pp. 16-21, </w:t>
      </w:r>
      <w:hyperlink r:id="rId6" w:history="1">
        <w:r w:rsidRPr="008D4720">
          <w:rPr>
            <w:rStyle w:val="Hyperlink"/>
          </w:rPr>
          <w:t>http://www.accc.gov.au/publications/airport-monitoring-reports/airport-monitoring-report-2013-14</w:t>
        </w:r>
      </w:hyperlink>
    </w:p>
  </w:footnote>
  <w:footnote w:id="16">
    <w:p w:rsidR="007A2C42" w:rsidRDefault="007A2C42" w:rsidP="00883552">
      <w:pPr>
        <w:pStyle w:val="FootnoteText"/>
      </w:pPr>
      <w:r>
        <w:rPr>
          <w:rStyle w:val="FootnoteReference"/>
        </w:rPr>
        <w:footnoteRef/>
      </w:r>
      <w:r>
        <w:t xml:space="preserve"> Monitoring of industries such as Australia’s four largest airports allows for the dissemination of information that otherwise may not be available to the Australian Government and the public. The monitoring program can also provide information to consumers of airports services such as airlines and businesses seeking access to landside areas. </w:t>
      </w:r>
    </w:p>
  </w:footnote>
  <w:footnote w:id="17">
    <w:p w:rsidR="007A2C42" w:rsidRDefault="007A2C42" w:rsidP="00883552">
      <w:pPr>
        <w:pStyle w:val="FootnoteText"/>
      </w:pPr>
      <w:r>
        <w:rPr>
          <w:rStyle w:val="FootnoteReference"/>
        </w:rPr>
        <w:footnoteRef/>
      </w:r>
      <w:r>
        <w:t xml:space="preserve"> </w:t>
      </w:r>
      <w:r w:rsidRPr="00CC5644">
        <w:t xml:space="preserve">Source: Harper, I., Anderson, P., McCluskey, S. &amp; O’Bryan, M.(2015), Competition Policy Review, Final Report, March </w:t>
      </w:r>
      <w:hyperlink r:id="rId7" w:history="1">
        <w:r w:rsidRPr="00E0180C">
          <w:rPr>
            <w:rStyle w:val="Hyperlink"/>
          </w:rPr>
          <w:t>http://competitionpolicyreview.gov.au/files/2015/03/Competition-policy-review-report_online.pdf</w:t>
        </w:r>
      </w:hyperlink>
    </w:p>
  </w:footnote>
  <w:footnote w:id="18">
    <w:p w:rsidR="007A2C42" w:rsidRDefault="007A2C42" w:rsidP="00883552">
      <w:pPr>
        <w:pStyle w:val="FootnoteText"/>
      </w:pPr>
      <w:r>
        <w:rPr>
          <w:rStyle w:val="FootnoteReference"/>
        </w:rPr>
        <w:footnoteRef/>
      </w:r>
      <w:r>
        <w:t xml:space="preserve"> </w:t>
      </w:r>
      <w:r w:rsidRPr="00A15A6D">
        <w:t xml:space="preserve">Qantas Group (2015), </w:t>
      </w:r>
      <w:r w:rsidRPr="00A15A6D">
        <w:rPr>
          <w:i/>
        </w:rPr>
        <w:t>Qantas Group submission on Harper Review Recommendations</w:t>
      </w:r>
      <w:r>
        <w:t xml:space="preserve">, 26 May 2015, </w:t>
      </w:r>
      <w:hyperlink r:id="rId8" w:history="1">
        <w:r w:rsidRPr="00A15A6D">
          <w:rPr>
            <w:rStyle w:val="Hyperlink"/>
          </w:rPr>
          <w:t>http://www.treasury.gov.au/~/media/Treasury/Consultations%20and%20Reviews/Consultations/2015/Competition%20Policy%20Review%20Final%20Report/Submissions/PDF/Qantas%20Group%20Submission.ashx</w:t>
        </w:r>
      </w:hyperlink>
    </w:p>
  </w:footnote>
  <w:footnote w:id="19">
    <w:p w:rsidR="007A2C42" w:rsidRDefault="007A2C42" w:rsidP="00883552">
      <w:pPr>
        <w:pStyle w:val="FootnoteText"/>
      </w:pPr>
      <w:r>
        <w:rPr>
          <w:rStyle w:val="FootnoteReference"/>
        </w:rPr>
        <w:footnoteRef/>
      </w:r>
      <w:r>
        <w:t xml:space="preserve"> </w:t>
      </w:r>
      <w:r w:rsidRPr="00A54AF8">
        <w:t xml:space="preserve">Virgin Australia (2015), </w:t>
      </w:r>
      <w:r w:rsidRPr="00A54AF8">
        <w:rPr>
          <w:i/>
        </w:rPr>
        <w:t>Virgin Australia Airlines – submission on the Competition Policy Review Final Report</w:t>
      </w:r>
      <w:r>
        <w:t xml:space="preserve">, 26 May 2015 </w:t>
      </w:r>
      <w:hyperlink r:id="rId9" w:history="1">
        <w:r w:rsidRPr="00A54AF8">
          <w:rPr>
            <w:rStyle w:val="Hyperlink"/>
          </w:rPr>
          <w:t>http://www.treasury.gov.au/~/media/Treasury/Consultations%20and%20Reviews/Consultations/2015/Competition%20Policy%20Review%20Final%20Report/Submissions/PDF/Virgin_Australia.ashx</w:t>
        </w:r>
      </w:hyperlink>
    </w:p>
  </w:footnote>
  <w:footnote w:id="20">
    <w:p w:rsidR="007A2C42" w:rsidRDefault="007A2C42" w:rsidP="00883552">
      <w:pPr>
        <w:pStyle w:val="FootnoteText"/>
      </w:pPr>
      <w:r>
        <w:rPr>
          <w:rStyle w:val="FootnoteReference"/>
        </w:rPr>
        <w:footnoteRef/>
      </w:r>
      <w:r>
        <w:t xml:space="preserve"> Sydney Airport, (2015), Harper Competition Policy Review – Final Report submission, 3 June, </w:t>
      </w:r>
      <w:hyperlink r:id="rId10" w:history="1">
        <w:r w:rsidRPr="001A6CE4">
          <w:rPr>
            <w:rStyle w:val="Hyperlink"/>
          </w:rPr>
          <w:t>http://www.treasury.gov.au/~/media/Treasury/Consultations%20and%20Reviews/Consultations/2015/Competition%20Policy%20Review%20Final%20Report/Submissions/PDF/Sydney_Airport.ashx</w:t>
        </w:r>
      </w:hyperlink>
    </w:p>
  </w:footnote>
  <w:footnote w:id="21">
    <w:p w:rsidR="007A2C42" w:rsidRDefault="007A2C42" w:rsidP="00883552">
      <w:pPr>
        <w:pStyle w:val="FootnoteText"/>
      </w:pPr>
      <w:r>
        <w:rPr>
          <w:rStyle w:val="FootnoteReference"/>
        </w:rPr>
        <w:footnoteRef/>
      </w:r>
      <w:r>
        <w:t xml:space="preserve"> Australian Government (2015), </w:t>
      </w:r>
      <w:r w:rsidRPr="00930AD9">
        <w:rPr>
          <w:i/>
        </w:rPr>
        <w:t>Australian Government Response to the Competition Policy Review</w:t>
      </w:r>
      <w:r>
        <w:t xml:space="preserve">, Commonwealth of Australia, </w:t>
      </w:r>
      <w:hyperlink r:id="rId11" w:history="1">
        <w:r w:rsidRPr="00CC1AA3">
          <w:rPr>
            <w:rStyle w:val="Hyperlink"/>
          </w:rPr>
          <w:t>http://www.treasury.gov.au/~/media/Treasury/Publications%20and%20Media/Publications/2015/Government%20response%20to%20the%20Competition%20Policy%20Review/Downloads/PDF/Govt_response_CPR.ashx</w:t>
        </w:r>
      </w:hyperlink>
    </w:p>
  </w:footnote>
  <w:footnote w:id="22">
    <w:p w:rsidR="007A2C42" w:rsidRDefault="007A2C42" w:rsidP="00883552">
      <w:pPr>
        <w:pStyle w:val="FootnoteText"/>
      </w:pPr>
      <w:r>
        <w:rPr>
          <w:rStyle w:val="FootnoteReference"/>
        </w:rPr>
        <w:footnoteRef/>
      </w:r>
      <w:r>
        <w:t xml:space="preserve"> Freed, J. (2014), ‘</w:t>
      </w:r>
      <w:r w:rsidRPr="00930AD9">
        <w:rPr>
          <w:i/>
        </w:rPr>
        <w:t>Sydney Airport needs fees deal or face carriers reaction</w:t>
      </w:r>
      <w:r>
        <w:t xml:space="preserve">’, in Australian Financial Review, 10 April, </w:t>
      </w:r>
      <w:hyperlink r:id="rId12" w:history="1">
        <w:r w:rsidRPr="007C60B9">
          <w:rPr>
            <w:rStyle w:val="Hyperlink"/>
          </w:rPr>
          <w:t>http://www.afr.com/business/infrastructure/airports/sydney-airport-needs-fees-deal-or-face-carriers-reaction-20140410-ix6kv</w:t>
        </w:r>
      </w:hyperlink>
    </w:p>
  </w:footnote>
  <w:footnote w:id="23">
    <w:p w:rsidR="007A2C42" w:rsidRDefault="007A2C42" w:rsidP="00883552">
      <w:pPr>
        <w:pStyle w:val="FootnoteText"/>
      </w:pPr>
      <w:r>
        <w:rPr>
          <w:rStyle w:val="FootnoteReference"/>
        </w:rPr>
        <w:footnoteRef/>
      </w:r>
      <w:r>
        <w:t xml:space="preserve"> Although both Qantas and Virgin Australia are members of BARA they negotiated separate agreements. </w:t>
      </w:r>
    </w:p>
  </w:footnote>
  <w:footnote w:id="24">
    <w:p w:rsidR="007A2C42" w:rsidRDefault="007A2C42" w:rsidP="00883552">
      <w:pPr>
        <w:pStyle w:val="FootnoteText"/>
      </w:pPr>
      <w:r>
        <w:rPr>
          <w:rStyle w:val="FootnoteReference"/>
        </w:rPr>
        <w:footnoteRef/>
      </w:r>
      <w:r>
        <w:t xml:space="preserve"> Due to the reluctance of some landside users and representative associations to participate in the landside survey, the ACCC will assess the suitability of continuing with this monitoring for the 2015-16 airport monitoring report.</w:t>
      </w:r>
    </w:p>
  </w:footnote>
  <w:footnote w:id="25">
    <w:p w:rsidR="007A2C42" w:rsidRDefault="007A2C42" w:rsidP="00883552">
      <w:pPr>
        <w:pStyle w:val="FootnoteText"/>
      </w:pPr>
      <w:r>
        <w:rPr>
          <w:rStyle w:val="FootnoteReference"/>
        </w:rPr>
        <w:footnoteRef/>
      </w:r>
      <w:r>
        <w:t xml:space="preserve"> General aviation flights refers to those aircraft operations that are not regular public transport such as private charter and aircraft training flights, and Royal Flying Doctor Services. It generally refers to all flights other than non-scheduled air transport operations. </w:t>
      </w:r>
    </w:p>
  </w:footnote>
  <w:footnote w:id="26">
    <w:p w:rsidR="007A2C42" w:rsidRDefault="007A2C42" w:rsidP="00883552">
      <w:pPr>
        <w:pStyle w:val="FootnoteText"/>
      </w:pPr>
      <w:r>
        <w:rPr>
          <w:rStyle w:val="FootnoteReference"/>
        </w:rPr>
        <w:footnoteRef/>
      </w:r>
      <w:r>
        <w:t xml:space="preserve"> See chapter 2 of the 2011-12 report, chapter 2 of the 2012-13 report and chapter 1 of the 2013-14 report.</w:t>
      </w:r>
    </w:p>
  </w:footnote>
  <w:footnote w:id="27">
    <w:p w:rsidR="007A2C42" w:rsidRPr="00366CC9" w:rsidRDefault="007A2C42" w:rsidP="00883552">
      <w:pPr>
        <w:pStyle w:val="FootnoteText"/>
      </w:pPr>
      <w:r>
        <w:rPr>
          <w:rStyle w:val="FootnoteReference"/>
        </w:rPr>
        <w:footnoteRef/>
      </w:r>
      <w:r>
        <w:t xml:space="preserve"> Bureau of Infrastructure, Transport and Regional Economics, </w:t>
      </w:r>
      <w:r>
        <w:rPr>
          <w:i/>
        </w:rPr>
        <w:t>Domestic airline on-time performance monthly reports</w:t>
      </w:r>
      <w:r>
        <w:t xml:space="preserve">, June 2015, </w:t>
      </w:r>
      <w:hyperlink r:id="rId13" w:history="1">
        <w:r w:rsidRPr="00E63516">
          <w:rPr>
            <w:rStyle w:val="Hyperlink"/>
          </w:rPr>
          <w:t>https://bitre.gov.au/publications/ongoing/airline_on_time_monthly.aspx</w:t>
        </w:r>
      </w:hyperlink>
    </w:p>
  </w:footnote>
  <w:footnote w:id="28">
    <w:p w:rsidR="007A2C42" w:rsidRDefault="007A2C42" w:rsidP="00883552">
      <w:pPr>
        <w:pStyle w:val="FootnoteText"/>
      </w:pPr>
      <w:r>
        <w:rPr>
          <w:rStyle w:val="FootnoteReference"/>
        </w:rPr>
        <w:footnoteRef/>
      </w:r>
      <w:r>
        <w:t xml:space="preserve"> At Perth and Brisbane Airports, general aviation aircraft have partly catered for the fly-in, fly-out mining workforce. During the mining boom, Perth Airport noted that aeronautical congestion in the morning was partly caused by flights catering for this workforce. The decrease in general aviation flights over the past two years is partly related to the end of the mining boom. </w:t>
      </w:r>
    </w:p>
    <w:p w:rsidR="007A2C42" w:rsidRDefault="007A2C42" w:rsidP="00883552">
      <w:pPr>
        <w:pStyle w:val="FootnoteText"/>
      </w:pPr>
      <w:r>
        <w:t xml:space="preserve">Kerr, P (2012), ‘Miners to be slugged more for FIFO flights’, The West Australian newspaper, 3 October, </w:t>
      </w:r>
      <w:hyperlink r:id="rId14" w:history="1">
        <w:r w:rsidRPr="00320600">
          <w:rPr>
            <w:rStyle w:val="Hyperlink"/>
          </w:rPr>
          <w:t>https://au.news.yahoo.com/thewest/a/15018991/miners-to-be-slugged-more-for-fifo-flights/</w:t>
        </w:r>
      </w:hyperlink>
    </w:p>
  </w:footnote>
  <w:footnote w:id="29">
    <w:p w:rsidR="007A2C42" w:rsidRDefault="007A2C42" w:rsidP="00883552">
      <w:pPr>
        <w:pStyle w:val="FootnoteText"/>
      </w:pPr>
      <w:r>
        <w:rPr>
          <w:rStyle w:val="FootnoteReference"/>
        </w:rPr>
        <w:footnoteRef/>
      </w:r>
      <w:r>
        <w:t xml:space="preserve"> Airservices, (2013), Airport Capacity Enhancement (ACE) Program, </w:t>
      </w:r>
      <w:hyperlink r:id="rId15" w:history="1">
        <w:r w:rsidRPr="00AF3997">
          <w:rPr>
            <w:rStyle w:val="Hyperlink"/>
          </w:rPr>
          <w:t>http://www.airservicesaustralia.com/wp-content/uploads/ACE_Program.pdf</w:t>
        </w:r>
      </w:hyperlink>
    </w:p>
  </w:footnote>
  <w:footnote w:id="30">
    <w:p w:rsidR="007A2C42" w:rsidRDefault="007A2C42" w:rsidP="00883552">
      <w:pPr>
        <w:pStyle w:val="FootnoteText"/>
      </w:pPr>
      <w:r>
        <w:rPr>
          <w:rStyle w:val="FootnoteReference"/>
        </w:rPr>
        <w:footnoteRef/>
      </w:r>
      <w:r>
        <w:t>Total airport revenue includes revenue from other operations such as car parks, retail leases, commercial property leases and aeronautical revenue.</w:t>
      </w:r>
    </w:p>
  </w:footnote>
  <w:footnote w:id="31">
    <w:p w:rsidR="007A2C42" w:rsidRDefault="007A2C42" w:rsidP="00883552">
      <w:pPr>
        <w:pStyle w:val="FootnoteText"/>
      </w:pPr>
      <w:r>
        <w:rPr>
          <w:rStyle w:val="FootnoteReference"/>
        </w:rPr>
        <w:footnoteRef/>
      </w:r>
      <w:r>
        <w:t xml:space="preserve"> Return on sales is calculated by dividing net profit (EBITA) by total sales and expressing the final number as a percentage. </w:t>
      </w:r>
    </w:p>
  </w:footnote>
  <w:footnote w:id="32">
    <w:p w:rsidR="007A2C42" w:rsidRDefault="007A2C42" w:rsidP="00883552">
      <w:pPr>
        <w:pStyle w:val="FootnoteText"/>
      </w:pPr>
      <w:r>
        <w:rPr>
          <w:rStyle w:val="FootnoteReference"/>
        </w:rPr>
        <w:footnoteRef/>
      </w:r>
      <w:r>
        <w:t xml:space="preserve"> Care should be taken when assessing or using the return on assets data presented for the monitored airports. This is due to the differing approaches airports may have taken in valuing their assets. A number of airports have effected upward revaluations of their assets which has the effect of lowering the return on assets. </w:t>
      </w:r>
    </w:p>
  </w:footnote>
  <w:footnote w:id="33">
    <w:p w:rsidR="007A2C42" w:rsidRDefault="007A2C42" w:rsidP="00883552">
      <w:pPr>
        <w:pStyle w:val="FootnoteText"/>
      </w:pPr>
      <w:r>
        <w:rPr>
          <w:rStyle w:val="FootnoteReference"/>
        </w:rPr>
        <w:footnoteRef/>
      </w:r>
      <w:r>
        <w:t xml:space="preserve"> Productivity Commission (2006), Review of Price Regulation of Airport Services, No. 40, 14 December </w:t>
      </w:r>
      <w:hyperlink r:id="rId16" w:history="1">
        <w:r w:rsidRPr="00C05CEB">
          <w:rPr>
            <w:rStyle w:val="Hyperlink"/>
          </w:rPr>
          <w:t>http://www.pc.gov.au/__data/assets/pdf_file/0019/20638/airportservices.pdf</w:t>
        </w:r>
      </w:hyperlink>
    </w:p>
  </w:footnote>
  <w:footnote w:id="34">
    <w:p w:rsidR="007A2C42" w:rsidRDefault="007A2C42" w:rsidP="00883552">
      <w:pPr>
        <w:pStyle w:val="FootnoteText"/>
      </w:pPr>
      <w:r>
        <w:rPr>
          <w:rStyle w:val="FootnoteReference"/>
        </w:rPr>
        <w:footnoteRef/>
      </w:r>
      <w:r>
        <w:t xml:space="preserve"> The ACCC’s requirement for airports operators to provide the additional asset value information put into effect the government’s response to the PC’s 2006 review.</w:t>
      </w:r>
    </w:p>
  </w:footnote>
  <w:footnote w:id="35">
    <w:p w:rsidR="007A2C42" w:rsidRDefault="007A2C42" w:rsidP="00883552">
      <w:pPr>
        <w:pStyle w:val="FootnoteText"/>
      </w:pPr>
      <w:r>
        <w:rPr>
          <w:rStyle w:val="FootnoteReference"/>
        </w:rPr>
        <w:footnoteRef/>
      </w:r>
      <w:r>
        <w:t xml:space="preserve"> The LIS approach removes the effect of revaluations of aeronautical assets by airports for monitoring purposes. This usually means that the LIS asset base will be lower than the non-LIS asset base because of revaluations completed on the latter. Further, there is a flow-on effect of a lower value of depreciation for the LIS asset base and subsequent lower total expense aggregates and higher margin.  </w:t>
      </w:r>
    </w:p>
  </w:footnote>
  <w:footnote w:id="36">
    <w:p w:rsidR="007A2C42" w:rsidRDefault="007A2C42" w:rsidP="00883552">
      <w:pPr>
        <w:pStyle w:val="FootnoteText"/>
      </w:pPr>
      <w:r>
        <w:rPr>
          <w:rStyle w:val="FootnoteReference"/>
        </w:rPr>
        <w:footnoteRef/>
      </w:r>
      <w:r>
        <w:t xml:space="preserve"> This figure refers to Sydney Airport’s line in the sand value excluding the value of landfill in leasehold land. For Sydney Airport’s line in the sand values both including and excluding the value of landfill, please see section 5.2.2.</w:t>
      </w:r>
    </w:p>
  </w:footnote>
  <w:footnote w:id="37">
    <w:p w:rsidR="007A2C42" w:rsidRDefault="007A2C42" w:rsidP="00883552">
      <w:pPr>
        <w:pStyle w:val="FootnoteText"/>
      </w:pPr>
      <w:r>
        <w:rPr>
          <w:rStyle w:val="FootnoteReference"/>
        </w:rPr>
        <w:footnoteRef/>
      </w:r>
      <w:r>
        <w:t xml:space="preserve"> </w:t>
      </w:r>
      <w:r w:rsidRPr="001D67B8">
        <w:t>For the purposes of this chart, aeronautical services and facilities include aircraft-related services and facilities, passenger-related services and facilities and management responsiveness, but exclude car parking and landside services and facilities. The ratings for these services differ from those associated with overall services and facilities.</w:t>
      </w:r>
    </w:p>
  </w:footnote>
  <w:footnote w:id="38">
    <w:p w:rsidR="007A2C42" w:rsidRPr="00D62092" w:rsidRDefault="007A2C42" w:rsidP="00883552">
      <w:pPr>
        <w:pStyle w:val="FootnoteText"/>
      </w:pPr>
      <w:r>
        <w:rPr>
          <w:rStyle w:val="FootnoteReference"/>
        </w:rPr>
        <w:footnoteRef/>
      </w:r>
      <w:r>
        <w:t xml:space="preserve"> Board of Airline Representatives of Australia (BARA), </w:t>
      </w:r>
      <w:r>
        <w:rPr>
          <w:i/>
        </w:rPr>
        <w:t>Submission to the Competition Policy Review</w:t>
      </w:r>
      <w:r>
        <w:t>, p. 7.</w:t>
      </w:r>
    </w:p>
  </w:footnote>
  <w:footnote w:id="39">
    <w:p w:rsidR="007A2C42" w:rsidRDefault="007A2C42" w:rsidP="00883552">
      <w:pPr>
        <w:pStyle w:val="FootnoteText"/>
      </w:pPr>
      <w:r>
        <w:rPr>
          <w:rStyle w:val="FootnoteReference"/>
        </w:rPr>
        <w:footnoteRef/>
      </w:r>
      <w:r>
        <w:t xml:space="preserve"> </w:t>
      </w:r>
      <w:proofErr w:type="gramStart"/>
      <w:r>
        <w:t>Ibid, p. 4.</w:t>
      </w:r>
      <w:proofErr w:type="gramEnd"/>
    </w:p>
  </w:footnote>
  <w:footnote w:id="40">
    <w:p w:rsidR="007A2C42" w:rsidRDefault="007A2C42" w:rsidP="00883552">
      <w:pPr>
        <w:pStyle w:val="FootnoteText"/>
      </w:pPr>
      <w:r>
        <w:rPr>
          <w:rStyle w:val="FootnoteReference"/>
        </w:rPr>
        <w:footnoteRef/>
      </w:r>
      <w:r>
        <w:t xml:space="preserve"> However, Qantas has noted that pipelines at Melbourne and Sydney Airports are operating at full capacity. See Qantas (2011), </w:t>
      </w:r>
      <w:r w:rsidRPr="008C4FF6">
        <w:rPr>
          <w:i/>
        </w:rPr>
        <w:t>The Qantas Group Submission to the Productivity Commission inquiry into the Economic Regulation of Airport Services</w:t>
      </w:r>
      <w:r>
        <w:t xml:space="preserve">, April. </w:t>
      </w:r>
      <w:hyperlink r:id="rId17" w:history="1">
        <w:r w:rsidRPr="00C95AED">
          <w:rPr>
            <w:rStyle w:val="Hyperlink"/>
          </w:rPr>
          <w:t>http://www.pc.gov.au/inquiries/completed/airport-regulation/submissions/sub052.pdf</w:t>
        </w:r>
      </w:hyperlink>
    </w:p>
  </w:footnote>
  <w:footnote w:id="41">
    <w:p w:rsidR="007A2C42" w:rsidRPr="00594777" w:rsidRDefault="007A2C42" w:rsidP="00883552">
      <w:pPr>
        <w:pStyle w:val="FootnoteText"/>
      </w:pPr>
      <w:r>
        <w:rPr>
          <w:rStyle w:val="FootnoteReference"/>
        </w:rPr>
        <w:footnoteRef/>
      </w:r>
      <w:r>
        <w:t xml:space="preserve"> Competition Policy Review, </w:t>
      </w:r>
      <w:r>
        <w:rPr>
          <w:i/>
        </w:rPr>
        <w:t>Final report</w:t>
      </w:r>
      <w:r>
        <w:t>, March 2015, p. 206.</w:t>
      </w:r>
    </w:p>
  </w:footnote>
  <w:footnote w:id="42">
    <w:p w:rsidR="007A2C42" w:rsidRDefault="007A2C42" w:rsidP="00883552">
      <w:pPr>
        <w:pStyle w:val="FootnoteText"/>
      </w:pPr>
      <w:r>
        <w:rPr>
          <w:rStyle w:val="FootnoteReference"/>
        </w:rPr>
        <w:footnoteRef/>
      </w:r>
      <w:r>
        <w:t xml:space="preserve"> For further information see </w:t>
      </w:r>
      <w:hyperlink r:id="rId18" w:history="1">
        <w:r w:rsidRPr="00087865">
          <w:rPr>
            <w:rStyle w:val="Hyperlink"/>
          </w:rPr>
          <w:t>http://www.accc.gov.au/regulated-infrastructure/airports-aviation/airports-monitoring</w:t>
        </w:r>
      </w:hyperlink>
    </w:p>
  </w:footnote>
  <w:footnote w:id="43">
    <w:p w:rsidR="007A2C42" w:rsidRDefault="007A2C42" w:rsidP="00883552">
      <w:pPr>
        <w:pStyle w:val="FootnoteText"/>
      </w:pPr>
      <w:r>
        <w:rPr>
          <w:rStyle w:val="FootnoteReference"/>
        </w:rPr>
        <w:footnoteRef/>
      </w:r>
      <w:r>
        <w:t xml:space="preserve"> </w:t>
      </w:r>
      <w:r w:rsidRPr="004B76F1">
        <w:t>Perth Airport declined to participate in the provis</w:t>
      </w:r>
      <w:r>
        <w:t>i</w:t>
      </w:r>
      <w:r w:rsidRPr="004B76F1">
        <w:t>on of online data for this analysis.</w:t>
      </w:r>
    </w:p>
  </w:footnote>
  <w:footnote w:id="44">
    <w:p w:rsidR="007A2C42" w:rsidRPr="00FE17AB" w:rsidRDefault="007A2C42" w:rsidP="00883552">
      <w:pPr>
        <w:pStyle w:val="FootnoteText"/>
      </w:pPr>
      <w:r>
        <w:rPr>
          <w:rStyle w:val="FootnoteReference"/>
        </w:rPr>
        <w:footnoteRef/>
      </w:r>
      <w:r>
        <w:t xml:space="preserve"> AirportLink, (2011) </w:t>
      </w:r>
      <w:r>
        <w:rPr>
          <w:i/>
        </w:rPr>
        <w:t>Airport Link Company submission to the Productivity Commission Economic Regulation of Airports</w:t>
      </w:r>
      <w:r>
        <w:t xml:space="preserve">, , p. 3, </w:t>
      </w:r>
      <w:hyperlink r:id="rId19" w:history="1">
        <w:r w:rsidRPr="00FE17AB">
          <w:rPr>
            <w:rStyle w:val="Hyperlink"/>
          </w:rPr>
          <w:t>http://www.pc.gov.au/inquiries/completed/airport-regulation/submissions/sub015.pdf</w:t>
        </w:r>
      </w:hyperlink>
    </w:p>
  </w:footnote>
  <w:footnote w:id="45">
    <w:p w:rsidR="007A2C42" w:rsidRDefault="007A2C42" w:rsidP="00883552">
      <w:pPr>
        <w:pStyle w:val="FootnoteText"/>
      </w:pPr>
      <w:r>
        <w:rPr>
          <w:rStyle w:val="FootnoteReference"/>
        </w:rPr>
        <w:footnoteRef/>
      </w:r>
      <w:r>
        <w:t xml:space="preserve"> </w:t>
      </w:r>
      <w:r w:rsidRPr="00FE17AB">
        <w:t xml:space="preserve">Sydney Trains, </w:t>
      </w:r>
      <w:r w:rsidRPr="00AE7B53">
        <w:rPr>
          <w:i/>
        </w:rPr>
        <w:t>Fare calculator</w:t>
      </w:r>
      <w:r w:rsidRPr="00FE17AB">
        <w:t xml:space="preserve">, </w:t>
      </w:r>
      <w:hyperlink r:id="rId20" w:history="1">
        <w:r w:rsidRPr="00FE17AB">
          <w:rPr>
            <w:rStyle w:val="Hyperlink"/>
          </w:rPr>
          <w:t>http://www.sydneytrains.info/tickets/fare_calculator</w:t>
        </w:r>
      </w:hyperlink>
    </w:p>
  </w:footnote>
  <w:footnote w:id="46">
    <w:p w:rsidR="007A2C42" w:rsidRDefault="007A2C42" w:rsidP="00883552">
      <w:pPr>
        <w:pStyle w:val="FootnoteText"/>
      </w:pPr>
      <w:r>
        <w:rPr>
          <w:rStyle w:val="FootnoteReference"/>
        </w:rPr>
        <w:footnoteRef/>
      </w:r>
      <w:r>
        <w:t xml:space="preserve"> NSW State Government</w:t>
      </w:r>
      <w:r w:rsidRPr="00FE17AB">
        <w:t xml:space="preserve">, </w:t>
      </w:r>
      <w:r>
        <w:t xml:space="preserve">(2014) </w:t>
      </w:r>
      <w:r w:rsidRPr="00185887">
        <w:rPr>
          <w:i/>
        </w:rPr>
        <w:t>Removing or Reducing Station Access Fees at Sydney Airport – NSW Government Response</w:t>
      </w:r>
      <w:r>
        <w:t xml:space="preserve">, </w:t>
      </w:r>
      <w:r w:rsidRPr="00FE17AB">
        <w:t xml:space="preserve">2014, p. 3, </w:t>
      </w:r>
      <w:hyperlink r:id="rId21" w:history="1">
        <w:r w:rsidRPr="00FE17AB">
          <w:rPr>
            <w:rStyle w:val="Hyperlink"/>
          </w:rPr>
          <w:t>http://www.parliament.nsw.gov.au/prod/parlment/committee.nsf/0/08CF3EF25C31F173CA257C8D000046CE?open&amp;refnavid=CO4_1</w:t>
        </w:r>
      </w:hyperlink>
    </w:p>
  </w:footnote>
  <w:footnote w:id="47">
    <w:p w:rsidR="007A2C42" w:rsidRDefault="007A2C42" w:rsidP="00883552">
      <w:pPr>
        <w:pStyle w:val="FootnoteText"/>
      </w:pPr>
      <w:r>
        <w:rPr>
          <w:rStyle w:val="FootnoteReference"/>
        </w:rPr>
        <w:footnoteRef/>
      </w:r>
      <w:r>
        <w:t xml:space="preserve"> Ibid.</w:t>
      </w:r>
    </w:p>
  </w:footnote>
  <w:footnote w:id="48">
    <w:p w:rsidR="007A2C42" w:rsidRDefault="007A2C42" w:rsidP="00883552">
      <w:pPr>
        <w:pStyle w:val="FootnoteText"/>
      </w:pPr>
      <w:r>
        <w:rPr>
          <w:rStyle w:val="FootnoteReference"/>
        </w:rPr>
        <w:footnoteRef/>
      </w:r>
      <w:r>
        <w:t xml:space="preserve"> </w:t>
      </w:r>
      <w:r w:rsidRPr="00FE17AB">
        <w:t xml:space="preserve">Brisbane’s Airtrain, </w:t>
      </w:r>
      <w:r w:rsidRPr="00185887">
        <w:rPr>
          <w:i/>
        </w:rPr>
        <w:t>About Us</w:t>
      </w:r>
      <w:r w:rsidRPr="00FE17AB">
        <w:t xml:space="preserve">, </w:t>
      </w:r>
      <w:hyperlink r:id="rId22" w:history="1">
        <w:r w:rsidRPr="00FE17AB">
          <w:rPr>
            <w:rStyle w:val="Hyperlink"/>
          </w:rPr>
          <w:t>http://www.airtrain.com.au/aboutus</w:t>
        </w:r>
      </w:hyperlink>
    </w:p>
  </w:footnote>
  <w:footnote w:id="49">
    <w:p w:rsidR="007A2C42" w:rsidRDefault="007A2C42" w:rsidP="00883552">
      <w:pPr>
        <w:pStyle w:val="FootnoteText"/>
      </w:pPr>
      <w:r>
        <w:rPr>
          <w:rStyle w:val="FootnoteReference"/>
        </w:rPr>
        <w:footnoteRef/>
      </w:r>
      <w:r>
        <w:t xml:space="preserve"> Ibid.</w:t>
      </w:r>
    </w:p>
  </w:footnote>
  <w:footnote w:id="50">
    <w:p w:rsidR="007A2C42" w:rsidRDefault="007A2C42" w:rsidP="00883552">
      <w:pPr>
        <w:pStyle w:val="FootnoteText"/>
      </w:pPr>
      <w:r>
        <w:rPr>
          <w:rStyle w:val="FootnoteReference"/>
        </w:rPr>
        <w:footnoteRef/>
      </w:r>
      <w:r>
        <w:t xml:space="preserve"> </w:t>
      </w:r>
      <w:r w:rsidRPr="00FE17AB">
        <w:t xml:space="preserve">Brisbane’s Airtrain, </w:t>
      </w:r>
      <w:r w:rsidRPr="00185887">
        <w:rPr>
          <w:i/>
        </w:rPr>
        <w:t>Fares – travelling between Brisbane Airport and Brisbane City</w:t>
      </w:r>
      <w:r w:rsidRPr="00FE17AB">
        <w:t xml:space="preserve">, </w:t>
      </w:r>
      <w:hyperlink r:id="rId23" w:history="1">
        <w:r w:rsidRPr="00FE17AB">
          <w:rPr>
            <w:rStyle w:val="Hyperlink"/>
          </w:rPr>
          <w:t>http://www.airtrain.com.au/fares_page</w:t>
        </w:r>
      </w:hyperlink>
    </w:p>
  </w:footnote>
  <w:footnote w:id="51">
    <w:p w:rsidR="007A2C42" w:rsidRPr="00307007" w:rsidRDefault="007A2C42" w:rsidP="00883552">
      <w:pPr>
        <w:pStyle w:val="FootnoteText"/>
      </w:pPr>
      <w:r>
        <w:rPr>
          <w:rStyle w:val="FootnoteReference"/>
        </w:rPr>
        <w:footnoteRef/>
      </w:r>
      <w:r>
        <w:t xml:space="preserve"> The Hon. Colin Barnett, (2014) </w:t>
      </w:r>
      <w:r>
        <w:rPr>
          <w:i/>
        </w:rPr>
        <w:t>8km Forrestfield-Airport Link tunnel revealed</w:t>
      </w:r>
      <w:r>
        <w:t xml:space="preserve">, Media release, , </w:t>
      </w:r>
      <w:hyperlink r:id="rId24" w:history="1">
        <w:r w:rsidRPr="00307007">
          <w:rPr>
            <w:rStyle w:val="Hyperlink"/>
          </w:rPr>
          <w:t>https://www.mediastatements.wa.gov.au/Pages/Barnett/2014/08/8km-Forrestfield-Airport-Link-tunnel-revealed.aspx</w:t>
        </w:r>
      </w:hyperlink>
    </w:p>
  </w:footnote>
  <w:footnote w:id="52">
    <w:p w:rsidR="007A2C42" w:rsidRDefault="007A2C42" w:rsidP="00883552">
      <w:pPr>
        <w:pStyle w:val="FootnoteText"/>
      </w:pPr>
      <w:r>
        <w:rPr>
          <w:rStyle w:val="FootnoteReference"/>
        </w:rPr>
        <w:footnoteRef/>
      </w:r>
      <w:r>
        <w:t xml:space="preserve"> </w:t>
      </w:r>
      <w:r w:rsidRPr="00CA58D4">
        <w:t xml:space="preserve">Government of </w:t>
      </w:r>
      <w:r>
        <w:t>WA</w:t>
      </w:r>
      <w:r w:rsidRPr="00CA58D4">
        <w:t xml:space="preserve">, </w:t>
      </w:r>
      <w:r w:rsidRPr="00CA58D4">
        <w:rPr>
          <w:i/>
        </w:rPr>
        <w:t>Forrestfield-Airport Link</w:t>
      </w:r>
      <w:r w:rsidRPr="00CA58D4">
        <w:t xml:space="preserve">, </w:t>
      </w:r>
      <w:hyperlink r:id="rId25" w:history="1">
        <w:r w:rsidRPr="00CA58D4">
          <w:rPr>
            <w:rStyle w:val="Hyperlink"/>
          </w:rPr>
          <w:t>http://getthebiggerpicture.wa.gov.au/forrestfield-airport-link/</w:t>
        </w:r>
      </w:hyperlink>
    </w:p>
  </w:footnote>
  <w:footnote w:id="53">
    <w:p w:rsidR="007A2C42" w:rsidRPr="00307007" w:rsidRDefault="007A2C42" w:rsidP="00883552">
      <w:pPr>
        <w:pStyle w:val="FootnoteText"/>
      </w:pPr>
      <w:r>
        <w:rPr>
          <w:rStyle w:val="FootnoteReference"/>
        </w:rPr>
        <w:footnoteRef/>
      </w:r>
      <w:r>
        <w:t xml:space="preserve"> Western Australia Public Transport Authority, </w:t>
      </w:r>
      <w:r>
        <w:rPr>
          <w:i/>
        </w:rPr>
        <w:t>Project Delivery and Governance</w:t>
      </w:r>
      <w:r>
        <w:t xml:space="preserve">, </w:t>
      </w:r>
      <w:hyperlink r:id="rId26" w:history="1">
        <w:r w:rsidRPr="00307007">
          <w:rPr>
            <w:rStyle w:val="Hyperlink"/>
          </w:rPr>
          <w:t>http://www.forrestfieldairportlink.wa.gov.au/about/planning/ProjectDeliveryandGovernance/tabid/1043/Default.aspx</w:t>
        </w:r>
      </w:hyperlink>
      <w:r w:rsidRPr="00EE5909">
        <w:t xml:space="preserve"> </w:t>
      </w:r>
      <w:r w:rsidRPr="00CA58D4">
        <w:t>Geoffrey Thomas</w:t>
      </w:r>
      <w:r>
        <w:t xml:space="preserve">, (2014) </w:t>
      </w:r>
      <w:r w:rsidRPr="00CA58D4">
        <w:rPr>
          <w:i/>
        </w:rPr>
        <w:t>Airport ‘no’ to rail link payment</w:t>
      </w:r>
      <w:r w:rsidRPr="00CA58D4">
        <w:t xml:space="preserve">, The West Australian Newspaper, , </w:t>
      </w:r>
      <w:hyperlink r:id="rId27" w:history="1">
        <w:r w:rsidRPr="00CA58D4">
          <w:rPr>
            <w:rStyle w:val="Hyperlink"/>
          </w:rPr>
          <w:t>https://au.news.yahoo.com/thewest/wa/a/24798025/airport-no-to-rail-link-payment/</w:t>
        </w:r>
      </w:hyperlink>
    </w:p>
  </w:footnote>
  <w:footnote w:id="54">
    <w:p w:rsidR="007A2C42" w:rsidRDefault="007A2C42" w:rsidP="00883552">
      <w:pPr>
        <w:pStyle w:val="FootnoteText"/>
      </w:pPr>
      <w:r>
        <w:rPr>
          <w:rStyle w:val="FootnoteReference"/>
        </w:rPr>
        <w:footnoteRef/>
      </w:r>
      <w:r>
        <w:t xml:space="preserve"> </w:t>
      </w:r>
      <w:r w:rsidRPr="006E38E1">
        <w:t>Victorian State Government</w:t>
      </w:r>
      <w:r>
        <w:t xml:space="preserve"> (2014),</w:t>
      </w:r>
      <w:r w:rsidRPr="006E38E1">
        <w:rPr>
          <w:i/>
        </w:rPr>
        <w:t>Coalition Government commits to Melbourne Airport Rail Link in State Budget</w:t>
      </w:r>
      <w:r w:rsidRPr="006E38E1">
        <w:t xml:space="preserve">, Media Release, , </w:t>
      </w:r>
      <w:hyperlink r:id="rId28" w:history="1">
        <w:r w:rsidRPr="006E38E1">
          <w:rPr>
            <w:rStyle w:val="Hyperlink"/>
          </w:rPr>
          <w:t>http://www.martindixon.org/coalition-government-commits-melbourne-airport-rail-link-state-budget/</w:t>
        </w:r>
      </w:hyperlink>
    </w:p>
  </w:footnote>
  <w:footnote w:id="55">
    <w:p w:rsidR="007A2C42" w:rsidRDefault="007A2C42" w:rsidP="00883552">
      <w:pPr>
        <w:pStyle w:val="FootnoteText"/>
      </w:pPr>
      <w:r>
        <w:rPr>
          <w:rStyle w:val="FootnoteReference"/>
        </w:rPr>
        <w:footnoteRef/>
      </w:r>
      <w:r>
        <w:t xml:space="preserve"> Lucas, C (2015) </w:t>
      </w:r>
      <w:r w:rsidRPr="00D660EE">
        <w:rPr>
          <w:i/>
        </w:rPr>
        <w:t>Melbourne Airport 50</w:t>
      </w:r>
      <w:r w:rsidRPr="00D660EE">
        <w:rPr>
          <w:i/>
          <w:vertAlign w:val="superscript"/>
        </w:rPr>
        <w:t>th</w:t>
      </w:r>
      <w:r w:rsidRPr="00D660EE">
        <w:rPr>
          <w:i/>
        </w:rPr>
        <w:t xml:space="preserve"> busiest in the world but among only six without rail</w:t>
      </w:r>
      <w:r>
        <w:t xml:space="preserve">,  The Age, , </w:t>
      </w:r>
      <w:hyperlink r:id="rId29" w:history="1">
        <w:r w:rsidRPr="00AA304D">
          <w:rPr>
            <w:rStyle w:val="Hyperlink"/>
          </w:rPr>
          <w:t>http://www.theage.com.au/victoria/melbourne-airport-50th-busiest-in-the-world-but-among-only-six-without-rail-20151028-gkkndo.html</w:t>
        </w:r>
      </w:hyperlink>
    </w:p>
  </w:footnote>
  <w:footnote w:id="56">
    <w:p w:rsidR="007A2C42" w:rsidRDefault="007A2C42" w:rsidP="00883552">
      <w:pPr>
        <w:pStyle w:val="FootnoteText"/>
      </w:pPr>
      <w:r>
        <w:rPr>
          <w:rStyle w:val="FootnoteReference"/>
        </w:rPr>
        <w:footnoteRef/>
      </w:r>
      <w:r>
        <w:t xml:space="preserve"> </w:t>
      </w:r>
      <w:r w:rsidRPr="006E38E1">
        <w:t xml:space="preserve">Natalie Savino, </w:t>
      </w:r>
      <w:r>
        <w:t xml:space="preserve">(2015) </w:t>
      </w:r>
      <w:r w:rsidRPr="006E38E1">
        <w:rPr>
          <w:i/>
        </w:rPr>
        <w:t>Opposition Leader Matthew Guy backs Melbourne Airport rail link</w:t>
      </w:r>
      <w:r w:rsidRPr="006E38E1">
        <w:t xml:space="preserve">, Herald Sun, , </w:t>
      </w:r>
      <w:hyperlink r:id="rId30" w:history="1">
        <w:r w:rsidRPr="006E38E1">
          <w:rPr>
            <w:rStyle w:val="Hyperlink"/>
          </w:rPr>
          <w:t>http://www.heraldsun.com.au/leader/north-west/opposition-leader-matthew-guy-backs-melbourne-airport-rail-link/story-fnrvvn43-1227464656061?nk=666658156c408d270a58baafd1e82e27-1439255105</w:t>
        </w:r>
      </w:hyperlink>
    </w:p>
  </w:footnote>
  <w:footnote w:id="57">
    <w:p w:rsidR="007A2C42" w:rsidRDefault="007A2C42" w:rsidP="00883552">
      <w:pPr>
        <w:pStyle w:val="FootnoteText"/>
      </w:pPr>
      <w:r>
        <w:rPr>
          <w:rStyle w:val="FootnoteReference"/>
        </w:rPr>
        <w:footnoteRef/>
      </w:r>
      <w:r>
        <w:t xml:space="preserve">  Tourism &amp; Transport Forum (2013)</w:t>
      </w:r>
      <w:r w:rsidRPr="005965D3">
        <w:t xml:space="preserve">, </w:t>
      </w:r>
      <w:r w:rsidRPr="005965D3">
        <w:rPr>
          <w:i/>
        </w:rPr>
        <w:t>Rapid buses, road and rail – ground transport solutions to meet Melbourne Airport’s passenger growth to 2050</w:t>
      </w:r>
      <w:r w:rsidRPr="005965D3">
        <w:t xml:space="preserve">, </w:t>
      </w:r>
      <w:r>
        <w:t xml:space="preserve"> </w:t>
      </w:r>
      <w:r w:rsidRPr="005965D3">
        <w:t>p.2</w:t>
      </w:r>
      <w:r>
        <w:t>9</w:t>
      </w:r>
      <w:r w:rsidRPr="005965D3">
        <w:t xml:space="preserve">, </w:t>
      </w:r>
      <w:hyperlink r:id="rId31" w:history="1">
        <w:r w:rsidRPr="005965D3">
          <w:rPr>
            <w:rStyle w:val="Hyperlink"/>
          </w:rPr>
          <w:t>http://www.ttf.org.au/Content/RRR.aspx</w:t>
        </w:r>
      </w:hyperlink>
    </w:p>
  </w:footnote>
  <w:footnote w:id="58">
    <w:p w:rsidR="007A2C42" w:rsidRDefault="007A2C42" w:rsidP="00883552">
      <w:pPr>
        <w:pStyle w:val="FootnoteText"/>
      </w:pPr>
      <w:r>
        <w:rPr>
          <w:rStyle w:val="FootnoteReference"/>
        </w:rPr>
        <w:footnoteRef/>
      </w:r>
      <w:r>
        <w:t xml:space="preserve"> </w:t>
      </w:r>
      <w:r w:rsidRPr="005965D3">
        <w:t>Parsons Brinckerhoff</w:t>
      </w:r>
      <w:r>
        <w:t xml:space="preserve"> (2012)</w:t>
      </w:r>
      <w:r w:rsidRPr="005965D3">
        <w:t xml:space="preserve">, </w:t>
      </w:r>
      <w:r w:rsidRPr="005965D3">
        <w:rPr>
          <w:i/>
        </w:rPr>
        <w:t>Melbourne Airport Rail Link Alignment Alternatives Study Volume 2: Technical Report Final</w:t>
      </w:r>
      <w:r>
        <w:t xml:space="preserve">,  p.14, </w:t>
      </w:r>
      <w:hyperlink r:id="rId32" w:history="1">
        <w:r w:rsidRPr="005965D3">
          <w:rPr>
            <w:rStyle w:val="Hyperlink"/>
          </w:rPr>
          <w:t>http://pandora.nla.gov.au/pan/146229/20140508-1455/Melbourne-Airport-Rail-Link-Study-Technical-Report.pdf</w:t>
        </w:r>
      </w:hyperlink>
    </w:p>
  </w:footnote>
  <w:footnote w:id="59">
    <w:p w:rsidR="007A2C42" w:rsidRPr="00082BEC" w:rsidRDefault="007A2C42" w:rsidP="00883552">
      <w:pPr>
        <w:pStyle w:val="FootnoteText"/>
      </w:pPr>
      <w:r>
        <w:rPr>
          <w:rStyle w:val="FootnoteReference"/>
        </w:rPr>
        <w:footnoteRef/>
      </w:r>
      <w:r>
        <w:t xml:space="preserve"> Bureau of Infrastructure, Transport and Regional Economics (2012), </w:t>
      </w:r>
      <w:r>
        <w:rPr>
          <w:i/>
        </w:rPr>
        <w:t>Air passenger movements through capital and non-capital city airports to 2030-31</w:t>
      </w:r>
      <w:r>
        <w:t xml:space="preserve">, Research Report 133,  pp. 26-28, </w:t>
      </w:r>
      <w:hyperlink r:id="rId33" w:history="1">
        <w:r w:rsidRPr="00082BEC">
          <w:rPr>
            <w:rStyle w:val="Hyperlink"/>
          </w:rPr>
          <w:t>https://bitre.gov.au/publications/2012/files/report_133.pdf</w:t>
        </w:r>
      </w:hyperlink>
    </w:p>
  </w:footnote>
  <w:footnote w:id="60">
    <w:p w:rsidR="007A2C42" w:rsidRPr="008A4916" w:rsidRDefault="007A2C42" w:rsidP="00883552">
      <w:pPr>
        <w:pStyle w:val="FootnoteText"/>
      </w:pPr>
      <w:r>
        <w:rPr>
          <w:rStyle w:val="FootnoteReference"/>
        </w:rPr>
        <w:footnoteRef/>
      </w:r>
      <w:r>
        <w:t xml:space="preserve"> The Hon. Jamie Briggs  MP (2014), </w:t>
      </w:r>
      <w:r>
        <w:rPr>
          <w:i/>
        </w:rPr>
        <w:t>Local stakeholders welcome $3.5 billion infrastructure plan</w:t>
      </w:r>
      <w:r>
        <w:t xml:space="preserve">, Media release,  </w:t>
      </w:r>
      <w:hyperlink r:id="rId34" w:history="1">
        <w:r w:rsidRPr="008A4916">
          <w:rPr>
            <w:rStyle w:val="Hyperlink"/>
          </w:rPr>
          <w:t>http://minister.infrastructure.gov.au/jb/releases/2014/April/jb029_2014.aspx</w:t>
        </w:r>
      </w:hyperlink>
    </w:p>
  </w:footnote>
  <w:footnote w:id="61">
    <w:p w:rsidR="007A2C42" w:rsidRDefault="007A2C42" w:rsidP="00883552">
      <w:pPr>
        <w:pStyle w:val="FootnoteText"/>
      </w:pPr>
      <w:r>
        <w:rPr>
          <w:rStyle w:val="FootnoteReference"/>
        </w:rPr>
        <w:footnoteRef/>
      </w:r>
      <w:r>
        <w:t xml:space="preserve"> </w:t>
      </w:r>
      <w:r w:rsidRPr="00433775">
        <w:t>Jamie Freed</w:t>
      </w:r>
      <w:r>
        <w:t xml:space="preserve"> (2015),</w:t>
      </w:r>
      <w:r w:rsidRPr="00433775">
        <w:t xml:space="preserve"> </w:t>
      </w:r>
      <w:r w:rsidRPr="00433775">
        <w:rPr>
          <w:i/>
        </w:rPr>
        <w:t>Sydney’s Badgerys Creek airport will not have a rail connection</w:t>
      </w:r>
      <w:r>
        <w:t xml:space="preserve">, The Sydney Morning Herald, </w:t>
      </w:r>
      <w:r w:rsidRPr="00433775">
        <w:t xml:space="preserve">, </w:t>
      </w:r>
      <w:hyperlink r:id="rId35" w:history="1">
        <w:r w:rsidRPr="00433775">
          <w:rPr>
            <w:rStyle w:val="Hyperlink"/>
          </w:rPr>
          <w:t>http://www.smh.com.au/business/aviation/sydneys-badgerys-creek-airport-will-not-have-a-rail-connection-20150803-giqff3.html</w:t>
        </w:r>
      </w:hyperlink>
    </w:p>
  </w:footnote>
  <w:footnote w:id="62">
    <w:p w:rsidR="007A2C42" w:rsidRPr="004B280A" w:rsidRDefault="007A2C42" w:rsidP="00883552">
      <w:pPr>
        <w:pStyle w:val="FootnoteText"/>
      </w:pPr>
      <w:r>
        <w:rPr>
          <w:rStyle w:val="FootnoteReference"/>
        </w:rPr>
        <w:footnoteRef/>
      </w:r>
      <w:r>
        <w:t xml:space="preserve"> The Hon. Warren Truss MP (2015), </w:t>
      </w:r>
      <w:r>
        <w:rPr>
          <w:i/>
        </w:rPr>
        <w:t>Federal and NSW Governments join forces on future rail transport for Western Sydney</w:t>
      </w:r>
      <w:r>
        <w:t xml:space="preserve">, Media release, </w:t>
      </w:r>
      <w:hyperlink r:id="rId36" w:history="1">
        <w:r w:rsidRPr="004B280A">
          <w:rPr>
            <w:rStyle w:val="Hyperlink"/>
          </w:rPr>
          <w:t>http://minister.infrastructure.gov.au/wt/releases/2015/November/wt364_2015.aspx</w:t>
        </w:r>
      </w:hyperlink>
    </w:p>
  </w:footnote>
  <w:footnote w:id="63">
    <w:p w:rsidR="007A2C42" w:rsidRDefault="007A2C42" w:rsidP="00883552">
      <w:pPr>
        <w:pStyle w:val="FootnoteText"/>
      </w:pPr>
      <w:r>
        <w:rPr>
          <w:rStyle w:val="FootnoteReference"/>
        </w:rPr>
        <w:footnoteRef/>
      </w:r>
      <w:r>
        <w:t xml:space="preserve"> Ibid.</w:t>
      </w:r>
    </w:p>
  </w:footnote>
  <w:footnote w:id="64">
    <w:p w:rsidR="007A2C42" w:rsidRDefault="007A2C42" w:rsidP="00883552">
      <w:pPr>
        <w:pStyle w:val="FootnoteText"/>
      </w:pPr>
      <w:r>
        <w:rPr>
          <w:rStyle w:val="FootnoteReference"/>
        </w:rPr>
        <w:footnoteRef/>
      </w:r>
      <w:r>
        <w:t xml:space="preserve"> </w:t>
      </w:r>
      <w:r w:rsidRPr="00E20AE8">
        <w:t xml:space="preserve">Sydney Airport, </w:t>
      </w:r>
      <w:r w:rsidRPr="00E20AE8">
        <w:rPr>
          <w:i/>
        </w:rPr>
        <w:t>Sydney Airport Master Plan 2033</w:t>
      </w:r>
      <w:r w:rsidRPr="00E20AE8">
        <w:t>, p. 98</w:t>
      </w:r>
    </w:p>
  </w:footnote>
  <w:footnote w:id="65">
    <w:p w:rsidR="007A2C42" w:rsidRDefault="007A2C42" w:rsidP="00883552">
      <w:pPr>
        <w:pStyle w:val="FootnoteText"/>
      </w:pPr>
      <w:r>
        <w:rPr>
          <w:rStyle w:val="FootnoteReference"/>
        </w:rPr>
        <w:footnoteRef/>
      </w:r>
      <w:r>
        <w:t xml:space="preserve"> Ibid.</w:t>
      </w:r>
    </w:p>
  </w:footnote>
  <w:footnote w:id="66">
    <w:p w:rsidR="007A2C42" w:rsidRDefault="007A2C42" w:rsidP="00883552">
      <w:pPr>
        <w:pStyle w:val="FootnoteText"/>
      </w:pPr>
      <w:r>
        <w:rPr>
          <w:rStyle w:val="FootnoteReference"/>
        </w:rPr>
        <w:footnoteRef/>
      </w:r>
      <w:r>
        <w:t xml:space="preserve"> O’Sullivan, M. (2016), ‘</w:t>
      </w:r>
      <w:r w:rsidRPr="005B578E">
        <w:rPr>
          <w:i/>
        </w:rPr>
        <w:t>Train passengers to Sydney Airport line fill government’s coffers to tune of $100m’</w:t>
      </w:r>
      <w:r>
        <w:t xml:space="preserve">, in Sydney Morning Herald newspaper, 3 March  </w:t>
      </w:r>
      <w:hyperlink r:id="rId37" w:history="1">
        <w:r w:rsidRPr="005B578E">
          <w:rPr>
            <w:rStyle w:val="Hyperlink"/>
          </w:rPr>
          <w:t>http://www.smh.com.au/nsw/train-passengers-to-sydney-airport-line-governments-coffers-to-tune-of-100m-20160301-gn7c3y.html</w:t>
        </w:r>
      </w:hyperlink>
    </w:p>
  </w:footnote>
  <w:footnote w:id="67">
    <w:p w:rsidR="007A2C42" w:rsidRDefault="007A2C42" w:rsidP="00883552">
      <w:pPr>
        <w:pStyle w:val="FootnoteText"/>
      </w:pPr>
      <w:r>
        <w:rPr>
          <w:rStyle w:val="FootnoteReference"/>
        </w:rPr>
        <w:footnoteRef/>
      </w:r>
      <w:r>
        <w:t xml:space="preserve"> O’Sullivan, M. (2016),</w:t>
      </w:r>
    </w:p>
  </w:footnote>
  <w:footnote w:id="68">
    <w:p w:rsidR="007A2C42" w:rsidRDefault="007A2C42" w:rsidP="00883552">
      <w:pPr>
        <w:pStyle w:val="FootnoteText"/>
      </w:pPr>
      <w:r>
        <w:rPr>
          <w:rStyle w:val="FootnoteReference"/>
        </w:rPr>
        <w:footnoteRef/>
      </w:r>
      <w:r>
        <w:t xml:space="preserve"> Ibid.</w:t>
      </w:r>
    </w:p>
  </w:footnote>
  <w:footnote w:id="69">
    <w:p w:rsidR="007A2C42" w:rsidRDefault="007A2C42" w:rsidP="00883552">
      <w:pPr>
        <w:pStyle w:val="FootnoteText"/>
      </w:pPr>
      <w:r>
        <w:rPr>
          <w:rStyle w:val="FootnoteReference"/>
        </w:rPr>
        <w:footnoteRef/>
      </w:r>
      <w:r>
        <w:t xml:space="preserve"> </w:t>
      </w:r>
      <w:r w:rsidRPr="00E20AE8">
        <w:t xml:space="preserve">Tourism &amp; Transport Forum (2011), </w:t>
      </w:r>
      <w:r w:rsidRPr="00E20AE8">
        <w:rPr>
          <w:i/>
        </w:rPr>
        <w:t>Accessing Our Airports</w:t>
      </w:r>
      <w:r w:rsidRPr="00E20AE8">
        <w:t xml:space="preserve">, p.40, </w:t>
      </w:r>
      <w:hyperlink r:id="rId38" w:history="1">
        <w:r w:rsidRPr="00E20AE8">
          <w:rPr>
            <w:rStyle w:val="Hyperlink"/>
          </w:rPr>
          <w:t>http://www.ttf.org.au/Content/airportaccess0211.aspx</w:t>
        </w:r>
      </w:hyperlink>
    </w:p>
  </w:footnote>
  <w:footnote w:id="70">
    <w:p w:rsidR="007A2C42" w:rsidRDefault="007A2C42" w:rsidP="00883552">
      <w:pPr>
        <w:pStyle w:val="FootnoteText"/>
      </w:pPr>
      <w:r>
        <w:rPr>
          <w:rStyle w:val="FootnoteReference"/>
        </w:rPr>
        <w:footnoteRef/>
      </w:r>
      <w:r>
        <w:t xml:space="preserve"> </w:t>
      </w:r>
      <w:r w:rsidRPr="00E20AE8">
        <w:t xml:space="preserve">Brisbane Airport, </w:t>
      </w:r>
      <w:r w:rsidRPr="00E20AE8">
        <w:rPr>
          <w:i/>
        </w:rPr>
        <w:t>Brisbane Airport 2014 Master Plan</w:t>
      </w:r>
      <w:r w:rsidRPr="00E20AE8">
        <w:t>, p.239</w:t>
      </w:r>
      <w:r w:rsidRPr="00E20AE8" w:rsidDel="0006531A">
        <w:t xml:space="preserve"> </w:t>
      </w:r>
    </w:p>
  </w:footnote>
  <w:footnote w:id="71">
    <w:p w:rsidR="007A2C42" w:rsidRDefault="007A2C42" w:rsidP="00883552">
      <w:pPr>
        <w:pStyle w:val="FootnoteText"/>
      </w:pPr>
      <w:r>
        <w:rPr>
          <w:rStyle w:val="FootnoteReference"/>
        </w:rPr>
        <w:footnoteRef/>
      </w:r>
      <w:r>
        <w:t xml:space="preserve"> </w:t>
      </w:r>
      <w:r w:rsidRPr="00E20AE8">
        <w:t xml:space="preserve">Brisbane Airtrain, </w:t>
      </w:r>
      <w:r w:rsidRPr="00E20AE8">
        <w:rPr>
          <w:i/>
        </w:rPr>
        <w:t>Connecting you to Brisbane</w:t>
      </w:r>
      <w:r w:rsidRPr="00E20AE8">
        <w:t xml:space="preserve">, </w:t>
      </w:r>
      <w:hyperlink r:id="rId39" w:history="1">
        <w:r w:rsidRPr="00E20AE8">
          <w:rPr>
            <w:rStyle w:val="Hyperlink"/>
          </w:rPr>
          <w:t>https://airtrain.com.au/brisbane-connect</w:t>
        </w:r>
      </w:hyperlink>
      <w:r>
        <w:rPr>
          <w:rStyle w:val="Hyperlink"/>
        </w:rPr>
        <w:br/>
      </w:r>
      <w:r w:rsidRPr="00E20AE8">
        <w:t xml:space="preserve">AirportLink, </w:t>
      </w:r>
      <w:r w:rsidRPr="00E20AE8">
        <w:rPr>
          <w:i/>
        </w:rPr>
        <w:t>Trip Times</w:t>
      </w:r>
      <w:r w:rsidRPr="00E20AE8">
        <w:t xml:space="preserve">, </w:t>
      </w:r>
      <w:hyperlink r:id="rId40" w:history="1">
        <w:r w:rsidRPr="00E20AE8">
          <w:rPr>
            <w:rStyle w:val="Hyperlink"/>
          </w:rPr>
          <w:t>http://www.airportlink.com.au/trip-information/trip-times/</w:t>
        </w:r>
      </w:hyperlink>
    </w:p>
  </w:footnote>
  <w:footnote w:id="72">
    <w:p w:rsidR="007A2C42" w:rsidRDefault="007A2C42" w:rsidP="00883552">
      <w:pPr>
        <w:pStyle w:val="FootnoteText"/>
      </w:pPr>
      <w:r>
        <w:rPr>
          <w:rStyle w:val="FootnoteReference"/>
        </w:rPr>
        <w:footnoteRef/>
      </w:r>
      <w:r>
        <w:t xml:space="preserve"> </w:t>
      </w:r>
      <w:r w:rsidRPr="00E20AE8">
        <w:t xml:space="preserve">NSW Government, </w:t>
      </w:r>
      <w:r w:rsidRPr="00E20AE8">
        <w:rPr>
          <w:i/>
        </w:rPr>
        <w:t>Opal – Sydney Airport Station Access Fee</w:t>
      </w:r>
      <w:r w:rsidRPr="00E20AE8">
        <w:t xml:space="preserve">, </w:t>
      </w:r>
      <w:hyperlink r:id="rId41" w:history="1">
        <w:r w:rsidRPr="00E20AE8">
          <w:rPr>
            <w:rStyle w:val="Hyperlink"/>
          </w:rPr>
          <w:t>https://www.opal.com.au/en/opal-fares/airport_station_access_fee/</w:t>
        </w:r>
      </w:hyperlink>
    </w:p>
  </w:footnote>
  <w:footnote w:id="73">
    <w:p w:rsidR="007A2C42" w:rsidRDefault="007A2C42" w:rsidP="00883552">
      <w:pPr>
        <w:pStyle w:val="FootnoteText"/>
      </w:pPr>
      <w:r>
        <w:rPr>
          <w:rStyle w:val="FootnoteReference"/>
        </w:rPr>
        <w:footnoteRef/>
      </w:r>
      <w:r>
        <w:t xml:space="preserve"> </w:t>
      </w:r>
      <w:r w:rsidRPr="00E20AE8">
        <w:t xml:space="preserve">Tourism &amp; Transport Forum, </w:t>
      </w:r>
      <w:r w:rsidRPr="00E20AE8">
        <w:rPr>
          <w:i/>
        </w:rPr>
        <w:t>Unlocking the full potential of Sydney’s Airport Rail Link</w:t>
      </w:r>
      <w:r w:rsidRPr="00E20AE8">
        <w:t xml:space="preserve">, 2013, p. </w:t>
      </w:r>
      <w:r>
        <w:t>8</w:t>
      </w:r>
      <w:r w:rsidRPr="00E20AE8">
        <w:t xml:space="preserve">, </w:t>
      </w:r>
      <w:hyperlink r:id="rId42" w:history="1">
        <w:r w:rsidRPr="0006531A">
          <w:rPr>
            <w:rStyle w:val="Hyperlink"/>
          </w:rPr>
          <w:t>http://www.ttf.org.au/Content/airportrail.aspx</w:t>
        </w:r>
      </w:hyperlink>
    </w:p>
  </w:footnote>
  <w:footnote w:id="74">
    <w:p w:rsidR="007A2C42" w:rsidRDefault="007A2C42" w:rsidP="00883552">
      <w:pPr>
        <w:pStyle w:val="FootnoteText"/>
      </w:pPr>
      <w:r>
        <w:rPr>
          <w:rStyle w:val="FootnoteReference"/>
        </w:rPr>
        <w:footnoteRef/>
      </w:r>
      <w:r>
        <w:t xml:space="preserve"> </w:t>
      </w:r>
      <w:r w:rsidRPr="00565B91">
        <w:t>Booz&amp;co</w:t>
      </w:r>
      <w:r>
        <w:t xml:space="preserve"> (2010)</w:t>
      </w:r>
      <w:r w:rsidRPr="00565B91">
        <w:t xml:space="preserve">, </w:t>
      </w:r>
      <w:r w:rsidRPr="00565B91">
        <w:rPr>
          <w:i/>
        </w:rPr>
        <w:t>Impact of Fare Reform on the Sydney Airport Rail Link</w:t>
      </w:r>
      <w:r w:rsidRPr="00565B91">
        <w:t xml:space="preserve">, , pp. iv-v, </w:t>
      </w:r>
      <w:hyperlink r:id="rId43" w:history="1">
        <w:r w:rsidRPr="00565B91">
          <w:rPr>
            <w:rStyle w:val="Hyperlink"/>
          </w:rPr>
          <w:t>https://www.sydneyairport.com.au/corporate/media-centre/media-releases/~/media/163a1aa3ff12478fa9ef7c63e02fdfb3.pdf</w:t>
        </w:r>
      </w:hyperlink>
    </w:p>
  </w:footnote>
  <w:footnote w:id="75">
    <w:p w:rsidR="007A2C42" w:rsidRDefault="007A2C42" w:rsidP="00883552">
      <w:pPr>
        <w:pStyle w:val="FootnoteText"/>
      </w:pPr>
      <w:r>
        <w:rPr>
          <w:rStyle w:val="FootnoteReference"/>
        </w:rPr>
        <w:footnoteRef/>
      </w:r>
      <w:r>
        <w:t xml:space="preserve"> O’Sullivan, M. (2016),</w:t>
      </w:r>
    </w:p>
  </w:footnote>
  <w:footnote w:id="76">
    <w:p w:rsidR="007A2C42" w:rsidRDefault="007A2C42" w:rsidP="00883552">
      <w:pPr>
        <w:pStyle w:val="FootnoteText"/>
      </w:pPr>
      <w:r>
        <w:rPr>
          <w:rStyle w:val="FootnoteReference"/>
        </w:rPr>
        <w:footnoteRef/>
      </w:r>
      <w:r>
        <w:t xml:space="preserve"> David Ashley (2006), ‘</w:t>
      </w:r>
      <w:r w:rsidRPr="00185887">
        <w:t>Airport Rail Links – A Post Audit</w:t>
      </w:r>
      <w:r>
        <w:t xml:space="preserve">’, 29th Australasian Transport Research Forum  p. 5, </w:t>
      </w:r>
      <w:hyperlink r:id="rId44" w:history="1">
        <w:r w:rsidRPr="001B137B">
          <w:rPr>
            <w:rStyle w:val="Hyperlink"/>
          </w:rPr>
          <w:t>http://www.atrf.info/papers/2006/2006_Ashley.pdf</w:t>
        </w:r>
      </w:hyperlink>
      <w:r>
        <w:br/>
        <w:t>J Bates, D Ashley &amp; G Hyman, ‘</w:t>
      </w:r>
      <w:r w:rsidRPr="00185887">
        <w:t>The Nested Incremental Logit Model: Theory and Application to Mode Choice</w:t>
      </w:r>
      <w:r>
        <w:t>’, Seminar C, PTRC Summer Annual Meeting 1987.</w:t>
      </w:r>
      <w:r>
        <w:br/>
        <w:t>Bradley (2005), ‘</w:t>
      </w:r>
      <w:r w:rsidRPr="00185887">
        <w:t>A comparison of Australian airport rail links with elsewhere in the world</w:t>
      </w:r>
      <w:r>
        <w:t xml:space="preserve">’, Australasian Transport Research Forum,  pp. 10-17, </w:t>
      </w:r>
      <w:hyperlink r:id="rId45" w:history="1">
        <w:r w:rsidRPr="00565B91">
          <w:rPr>
            <w:rStyle w:val="Hyperlink"/>
          </w:rPr>
          <w:t>http://www.atrf.info/papers/2005/2005_Bradley.pdf</w:t>
        </w:r>
      </w:hyperlink>
    </w:p>
  </w:footnote>
  <w:footnote w:id="77">
    <w:p w:rsidR="007A2C42" w:rsidRDefault="007A2C42" w:rsidP="00883552">
      <w:pPr>
        <w:pStyle w:val="FootnoteText"/>
      </w:pPr>
      <w:r>
        <w:rPr>
          <w:rStyle w:val="FootnoteReference"/>
        </w:rPr>
        <w:footnoteRef/>
      </w:r>
      <w:r>
        <w:t xml:space="preserve"> TTF</w:t>
      </w:r>
      <w:r w:rsidRPr="00565B91">
        <w:t xml:space="preserve">, </w:t>
      </w:r>
      <w:r w:rsidRPr="00565B91">
        <w:rPr>
          <w:i/>
        </w:rPr>
        <w:t>Accessing Our Airports</w:t>
      </w:r>
      <w:r w:rsidRPr="00565B91">
        <w:t>, p.</w:t>
      </w:r>
      <w:r>
        <w:t>15</w:t>
      </w:r>
      <w:hyperlink w:history="1"/>
    </w:p>
  </w:footnote>
  <w:footnote w:id="78">
    <w:p w:rsidR="007A2C42" w:rsidRDefault="007A2C42" w:rsidP="00883552">
      <w:pPr>
        <w:pStyle w:val="FootnoteText"/>
      </w:pPr>
      <w:r>
        <w:rPr>
          <w:rStyle w:val="FootnoteReference"/>
        </w:rPr>
        <w:footnoteRef/>
      </w:r>
      <w:r>
        <w:t xml:space="preserve"> </w:t>
      </w:r>
      <w:r w:rsidRPr="00565B91">
        <w:t xml:space="preserve">Bradley, </w:t>
      </w:r>
      <w:r>
        <w:t>‘</w:t>
      </w:r>
      <w:r w:rsidRPr="00185887">
        <w:t>A comparison of Australian airport rail links with elsewhere in the world</w:t>
      </w:r>
      <w:r>
        <w:t>’</w:t>
      </w:r>
      <w:r w:rsidRPr="00565B91" w:rsidDel="00A009DE">
        <w:t xml:space="preserve"> </w:t>
      </w:r>
    </w:p>
  </w:footnote>
  <w:footnote w:id="79">
    <w:p w:rsidR="007A2C42" w:rsidRDefault="007A2C42" w:rsidP="00883552">
      <w:pPr>
        <w:pStyle w:val="FootnoteText"/>
      </w:pPr>
      <w:r>
        <w:rPr>
          <w:rStyle w:val="FootnoteReference"/>
        </w:rPr>
        <w:footnoteRef/>
      </w:r>
      <w:r>
        <w:t xml:space="preserve"> Ibid, pp. 14-16.</w:t>
      </w:r>
    </w:p>
  </w:footnote>
  <w:footnote w:id="80">
    <w:p w:rsidR="007A2C42" w:rsidRDefault="007A2C42" w:rsidP="00883552">
      <w:pPr>
        <w:pStyle w:val="FootnoteText"/>
      </w:pPr>
      <w:r>
        <w:rPr>
          <w:rStyle w:val="FootnoteReference"/>
        </w:rPr>
        <w:footnoteRef/>
      </w:r>
      <w:r>
        <w:t xml:space="preserve"> Some European and Asian airports are achieving public transport mode shares of 38 to 60 per cent of airport visitors. See TTF</w:t>
      </w:r>
      <w:r w:rsidRPr="00565B91">
        <w:t xml:space="preserve">, </w:t>
      </w:r>
      <w:r w:rsidRPr="00565B91">
        <w:rPr>
          <w:i/>
        </w:rPr>
        <w:t>Accessing Our Airports</w:t>
      </w:r>
      <w:r w:rsidRPr="00565B91">
        <w:t>, p.</w:t>
      </w:r>
      <w:r>
        <w:t>16</w:t>
      </w:r>
    </w:p>
  </w:footnote>
  <w:footnote w:id="81">
    <w:p w:rsidR="007A2C42" w:rsidRDefault="007A2C42" w:rsidP="00883552">
      <w:pPr>
        <w:pStyle w:val="FootnoteText"/>
      </w:pPr>
      <w:r>
        <w:rPr>
          <w:rStyle w:val="FootnoteReference"/>
        </w:rPr>
        <w:footnoteRef/>
      </w:r>
      <w:r>
        <w:t xml:space="preserve"> Bradely, pp. 14-16.</w:t>
      </w:r>
    </w:p>
  </w:footnote>
  <w:footnote w:id="82">
    <w:p w:rsidR="007A2C42" w:rsidRDefault="007A2C42" w:rsidP="00883552">
      <w:pPr>
        <w:pStyle w:val="FootnoteText"/>
      </w:pPr>
      <w:r>
        <w:rPr>
          <w:rStyle w:val="FootnoteReference"/>
        </w:rPr>
        <w:footnoteRef/>
      </w:r>
      <w:r>
        <w:t xml:space="preserve"> </w:t>
      </w:r>
      <w:r w:rsidRPr="00565B91">
        <w:t xml:space="preserve">Transit Cooperative Research Program, </w:t>
      </w:r>
      <w:r w:rsidRPr="00565B91">
        <w:rPr>
          <w:i/>
        </w:rPr>
        <w:t>Report 62 - Improving public transportation access to large airports</w:t>
      </w:r>
      <w:r w:rsidRPr="00565B91">
        <w:t xml:space="preserve">, </w:t>
      </w:r>
      <w:r>
        <w:t xml:space="preserve">2005, </w:t>
      </w:r>
      <w:r w:rsidRPr="00565B91">
        <w:t xml:space="preserve">p.86, </w:t>
      </w:r>
      <w:hyperlink r:id="rId46" w:history="1">
        <w:r w:rsidRPr="00565B91">
          <w:rPr>
            <w:rStyle w:val="Hyperlink"/>
          </w:rPr>
          <w:t>http://onlinepubs.trb.org/onlinepubs/tcrp/tcrp_rpt_62-b.pdf</w:t>
        </w:r>
      </w:hyperlink>
    </w:p>
  </w:footnote>
  <w:footnote w:id="83">
    <w:p w:rsidR="007A2C42" w:rsidRDefault="007A2C42" w:rsidP="00883552">
      <w:pPr>
        <w:pStyle w:val="FootnoteText"/>
      </w:pPr>
      <w:r>
        <w:rPr>
          <w:rStyle w:val="FootnoteReference"/>
        </w:rPr>
        <w:footnoteRef/>
      </w:r>
      <w:r>
        <w:t xml:space="preserve"> PB </w:t>
      </w:r>
      <w:r w:rsidRPr="00565B91">
        <w:t>Mandle</w:t>
      </w:r>
      <w:r>
        <w:t xml:space="preserve"> (2000)</w:t>
      </w:r>
      <w:r w:rsidRPr="00565B91">
        <w:t xml:space="preserve">, </w:t>
      </w:r>
      <w:r>
        <w:t xml:space="preserve">DM </w:t>
      </w:r>
      <w:r w:rsidRPr="00565B91">
        <w:t xml:space="preserve">Mansel &amp; </w:t>
      </w:r>
      <w:r>
        <w:t xml:space="preserve">MA </w:t>
      </w:r>
      <w:r w:rsidRPr="00565B91">
        <w:t xml:space="preserve">Coogan, </w:t>
      </w:r>
      <w:r>
        <w:t>‘</w:t>
      </w:r>
      <w:r w:rsidRPr="00185887">
        <w:t>Use of public transportation by airport passengers</w:t>
      </w:r>
      <w:r>
        <w:t>’</w:t>
      </w:r>
      <w:r w:rsidRPr="00565B91">
        <w:t xml:space="preserve">, Transportation Research Board – 79th Annual Meeting,, p. 5, </w:t>
      </w:r>
      <w:hyperlink r:id="rId47" w:history="1">
        <w:r w:rsidRPr="00565B91">
          <w:rPr>
            <w:rStyle w:val="Hyperlink"/>
          </w:rPr>
          <w:t>http://www.researchgate.net/profile/Matthew_Coogan/publication/228588024_Use_of_public_transportation_by_airport_passengers/links/5488428e0cf2ef3447906d1d.pdf</w:t>
        </w:r>
      </w:hyperlink>
    </w:p>
  </w:footnote>
  <w:footnote w:id="84">
    <w:p w:rsidR="007A2C42" w:rsidRDefault="007A2C42" w:rsidP="00883552">
      <w:pPr>
        <w:pStyle w:val="FootnoteText"/>
      </w:pPr>
      <w:r>
        <w:rPr>
          <w:rStyle w:val="FootnoteReference"/>
        </w:rPr>
        <w:footnoteRef/>
      </w:r>
      <w:r>
        <w:t xml:space="preserve"> </w:t>
      </w:r>
      <w:proofErr w:type="gramStart"/>
      <w:r>
        <w:t>Ibid, p. 12.</w:t>
      </w:r>
      <w:proofErr w:type="gramEnd"/>
    </w:p>
  </w:footnote>
  <w:footnote w:id="85">
    <w:p w:rsidR="007A2C42" w:rsidRDefault="007A2C42" w:rsidP="00883552">
      <w:pPr>
        <w:pStyle w:val="FootnoteText"/>
      </w:pPr>
      <w:r>
        <w:rPr>
          <w:rStyle w:val="FootnoteReference"/>
        </w:rPr>
        <w:footnoteRef/>
      </w:r>
      <w:r>
        <w:t xml:space="preserve"> </w:t>
      </w:r>
      <w:r w:rsidRPr="00455070">
        <w:t xml:space="preserve">Mandle, Mansel &amp; Coogan, </w:t>
      </w:r>
      <w:r>
        <w:t>‘</w:t>
      </w:r>
      <w:r w:rsidRPr="00185887">
        <w:t>Use of public transportation by airport passengers</w:t>
      </w:r>
      <w:r>
        <w:t>’</w:t>
      </w:r>
      <w:r w:rsidRPr="00455070">
        <w:t xml:space="preserve">, </w:t>
      </w:r>
      <w:r>
        <w:t>p. 9</w:t>
      </w:r>
      <w:r w:rsidRPr="00455070">
        <w:t>,</w:t>
      </w:r>
    </w:p>
  </w:footnote>
  <w:footnote w:id="86">
    <w:p w:rsidR="007A2C42" w:rsidRDefault="007A2C42" w:rsidP="00883552">
      <w:pPr>
        <w:pStyle w:val="FootnoteText"/>
      </w:pPr>
      <w:r>
        <w:rPr>
          <w:rStyle w:val="FootnoteReference"/>
        </w:rPr>
        <w:footnoteRef/>
      </w:r>
      <w:r>
        <w:t xml:space="preserve"> </w:t>
      </w:r>
      <w:r w:rsidRPr="00CF3269">
        <w:t>The cost sensitivity of airline passengers has likely evolved since that 2000 study, with the em</w:t>
      </w:r>
      <w:r>
        <w:t>ergence of low cost carrier</w:t>
      </w:r>
      <w:r w:rsidRPr="00CF3269">
        <w:t xml:space="preserve"> airlines (such as Jetstar and Tigerair) providing discounted airfares and attracting a wider market for air travel. The BITRE’s data on the ‘Real Best Discount’ airfares for Australian domestic air travel confirms the continued discounting of airfares, with best discounted airfares around 44 per cent lower in 2014</w:t>
      </w:r>
      <w:r>
        <w:noBreakHyphen/>
      </w:r>
      <w:r w:rsidRPr="00CF3269">
        <w:t>15 than those in 2000-01</w:t>
      </w:r>
      <w:r>
        <w:t>.</w:t>
      </w:r>
    </w:p>
  </w:footnote>
  <w:footnote w:id="87">
    <w:p w:rsidR="007A2C42" w:rsidRDefault="007A2C42" w:rsidP="00883552">
      <w:pPr>
        <w:pStyle w:val="FootnoteText"/>
      </w:pPr>
      <w:r>
        <w:rPr>
          <w:rStyle w:val="FootnoteReference"/>
        </w:rPr>
        <w:footnoteRef/>
      </w:r>
      <w:r>
        <w:t xml:space="preserve"> </w:t>
      </w:r>
      <w:r w:rsidRPr="00455070">
        <w:t>Mandle, Mansel &amp; Coogan</w:t>
      </w:r>
      <w:r>
        <w:t>, ‘</w:t>
      </w:r>
      <w:r w:rsidRPr="00185887">
        <w:t>Use of public transportation by airport passengers</w:t>
      </w:r>
      <w:r>
        <w:t>’</w:t>
      </w:r>
      <w:r>
        <w:rPr>
          <w:i/>
        </w:rPr>
        <w:t xml:space="preserve">, </w:t>
      </w:r>
      <w:r w:rsidRPr="00455070">
        <w:t>p.10</w:t>
      </w:r>
    </w:p>
  </w:footnote>
  <w:footnote w:id="88">
    <w:p w:rsidR="007A2C42" w:rsidRDefault="007A2C42" w:rsidP="00883552">
      <w:pPr>
        <w:pStyle w:val="FootnoteText"/>
      </w:pPr>
      <w:r>
        <w:rPr>
          <w:rStyle w:val="FootnoteReference"/>
        </w:rPr>
        <w:footnoteRef/>
      </w:r>
      <w:r>
        <w:t xml:space="preserve"> </w:t>
      </w:r>
      <w:r w:rsidRPr="00864F63">
        <w:t xml:space="preserve">SkyBus, </w:t>
      </w:r>
      <w:r w:rsidRPr="00864F63">
        <w:rPr>
          <w:i/>
        </w:rPr>
        <w:t>Fares</w:t>
      </w:r>
      <w:r w:rsidRPr="00864F63">
        <w:t xml:space="preserve">, </w:t>
      </w:r>
      <w:hyperlink r:id="rId48" w:history="1">
        <w:r w:rsidRPr="00864F63">
          <w:rPr>
            <w:rStyle w:val="Hyperlink"/>
          </w:rPr>
          <w:t>http://www.skybus.com.au/fares/</w:t>
        </w:r>
      </w:hyperlink>
    </w:p>
  </w:footnote>
  <w:footnote w:id="89">
    <w:p w:rsidR="007A2C42" w:rsidRDefault="007A2C42" w:rsidP="00883552">
      <w:pPr>
        <w:pStyle w:val="FootnoteText"/>
      </w:pPr>
      <w:r>
        <w:rPr>
          <w:rStyle w:val="FootnoteReference"/>
        </w:rPr>
        <w:footnoteRef/>
      </w:r>
      <w:r>
        <w:t xml:space="preserve"> TTF</w:t>
      </w:r>
      <w:r w:rsidRPr="005965D3">
        <w:t xml:space="preserve">, </w:t>
      </w:r>
      <w:r w:rsidRPr="005965D3">
        <w:rPr>
          <w:i/>
        </w:rPr>
        <w:t>Rapid buses, road and rail</w:t>
      </w:r>
      <w:r w:rsidRPr="005965D3">
        <w:t>, p.</w:t>
      </w:r>
      <w:r>
        <w:t>32</w:t>
      </w:r>
    </w:p>
  </w:footnote>
  <w:footnote w:id="90">
    <w:p w:rsidR="007A2C42" w:rsidRDefault="007A2C42" w:rsidP="00883552">
      <w:pPr>
        <w:pStyle w:val="FootnoteText"/>
      </w:pPr>
      <w:r>
        <w:rPr>
          <w:rStyle w:val="FootnoteReference"/>
        </w:rPr>
        <w:footnoteRef/>
      </w:r>
      <w:r>
        <w:t xml:space="preserve"> TTF, </w:t>
      </w:r>
      <w:r w:rsidRPr="005965D3">
        <w:t xml:space="preserve"> </w:t>
      </w:r>
      <w:r w:rsidRPr="005965D3">
        <w:rPr>
          <w:i/>
        </w:rPr>
        <w:t>Rapid buses, road and rail</w:t>
      </w:r>
      <w:r w:rsidRPr="005965D3">
        <w:t>, p.28</w:t>
      </w:r>
      <w:r>
        <w:t xml:space="preserve"> </w:t>
      </w:r>
    </w:p>
  </w:footnote>
  <w:footnote w:id="91">
    <w:p w:rsidR="007A2C42" w:rsidRPr="00854463" w:rsidRDefault="007A2C42" w:rsidP="00883552">
      <w:pPr>
        <w:pStyle w:val="FootnoteText"/>
      </w:pPr>
      <w:r>
        <w:rPr>
          <w:rStyle w:val="FootnoteReference"/>
        </w:rPr>
        <w:footnoteRef/>
      </w:r>
      <w:r>
        <w:t xml:space="preserve"> The Parliament of the Commonwealth of Australia, </w:t>
      </w:r>
      <w:r>
        <w:rPr>
          <w:i/>
        </w:rPr>
        <w:t>Airports Amendment Bill 2010 – Explanatory Memorandum</w:t>
      </w:r>
      <w:r>
        <w:t xml:space="preserve">, p. 1, </w:t>
      </w:r>
      <w:hyperlink r:id="rId49" w:history="1">
        <w:r w:rsidRPr="00854463">
          <w:rPr>
            <w:rStyle w:val="Hyperlink"/>
          </w:rPr>
          <w:t>http://parlinfo.aph.gov.au/parlInfo/download/legislation/ems/r4454_ems_c80a9663-90aa-42c1-bea5-021e6a8297d3/upload_pdf/347498.pdf;fileType=application%2Fpdf</w:t>
        </w:r>
      </w:hyperlink>
    </w:p>
  </w:footnote>
  <w:footnote w:id="92">
    <w:p w:rsidR="007A2C42" w:rsidRPr="00185887" w:rsidRDefault="007A2C42" w:rsidP="00883552">
      <w:pPr>
        <w:pStyle w:val="FootnoteText"/>
        <w:rPr>
          <w:color w:val="0000FF" w:themeColor="hyperlink"/>
          <w:u w:val="single"/>
        </w:rPr>
      </w:pPr>
      <w:r>
        <w:rPr>
          <w:rStyle w:val="FootnoteReference"/>
        </w:rPr>
        <w:footnoteRef/>
      </w:r>
      <w:r>
        <w:t xml:space="preserve"> Sydney; Sydney Airport</w:t>
      </w:r>
      <w:r w:rsidRPr="00EF62A4">
        <w:t xml:space="preserve">, </w:t>
      </w:r>
      <w:r w:rsidRPr="00EF62A4">
        <w:rPr>
          <w:i/>
        </w:rPr>
        <w:t>Sydney Airport Master Plan 2033</w:t>
      </w:r>
      <w:r w:rsidRPr="00EF62A4">
        <w:t xml:space="preserve">, p. </w:t>
      </w:r>
      <w:r>
        <w:t>91</w:t>
      </w:r>
      <w:r>
        <w:rPr>
          <w:rStyle w:val="Hyperlink"/>
        </w:rPr>
        <w:t xml:space="preserve"> </w:t>
      </w:r>
      <w:r>
        <w:rPr>
          <w:rStyle w:val="Hyperlink"/>
        </w:rPr>
        <w:br/>
      </w:r>
      <w:r w:rsidRPr="00185887">
        <w:t xml:space="preserve">Perth; </w:t>
      </w:r>
      <w:r>
        <w:t xml:space="preserve">The Hon. Dean Nalder, </w:t>
      </w:r>
      <w:r>
        <w:rPr>
          <w:i/>
        </w:rPr>
        <w:t>New airport bus direct to international terminal</w:t>
      </w:r>
      <w:r>
        <w:t>, Media release, 2015,</w:t>
      </w:r>
      <w:r>
        <w:rPr>
          <w:rStyle w:val="Hyperlink"/>
        </w:rPr>
        <w:br/>
      </w:r>
      <w:r>
        <w:t xml:space="preserve">The Hon. Warren Truss MP, </w:t>
      </w:r>
      <w:r>
        <w:rPr>
          <w:i/>
        </w:rPr>
        <w:t>Perth Airport on Track for New Rail Development</w:t>
      </w:r>
      <w:r>
        <w:t>, Media release, 2015.</w:t>
      </w:r>
    </w:p>
  </w:footnote>
  <w:footnote w:id="93">
    <w:p w:rsidR="007A2C42" w:rsidRPr="00185887" w:rsidRDefault="007A2C42" w:rsidP="00883552">
      <w:pPr>
        <w:pStyle w:val="FootnoteText"/>
        <w:rPr>
          <w:color w:val="0000FF" w:themeColor="hyperlink"/>
          <w:u w:val="single"/>
        </w:rPr>
      </w:pPr>
      <w:r>
        <w:rPr>
          <w:rStyle w:val="FootnoteReference"/>
        </w:rPr>
        <w:footnoteRef/>
      </w:r>
      <w:r>
        <w:t xml:space="preserve"> Melbourne; The Hon. Luke Donnellan MP, </w:t>
      </w:r>
      <w:r>
        <w:rPr>
          <w:i/>
        </w:rPr>
        <w:t>Agreement signed to widen Citylink/Tulla all the way to the airport</w:t>
      </w:r>
      <w:r>
        <w:t>, Media release, 2015</w:t>
      </w:r>
      <w:r>
        <w:rPr>
          <w:rStyle w:val="Hyperlink"/>
        </w:rPr>
        <w:br/>
      </w:r>
      <w:r w:rsidRPr="00185887">
        <w:t xml:space="preserve">Perth; Gateway WA, Funding &amp; delivery, </w:t>
      </w:r>
      <w:hyperlink r:id="rId50" w:history="1">
        <w:r w:rsidRPr="00E41951">
          <w:rPr>
            <w:rStyle w:val="Hyperlink"/>
          </w:rPr>
          <w:t>http://gatewaywa.com.au/about-us/funding-and-delivery/</w:t>
        </w:r>
      </w:hyperlink>
    </w:p>
  </w:footnote>
  <w:footnote w:id="94">
    <w:p w:rsidR="007A2C42" w:rsidRDefault="007A2C42" w:rsidP="009F0A92">
      <w:pPr>
        <w:pStyle w:val="FootnoteText"/>
      </w:pPr>
      <w:r>
        <w:rPr>
          <w:rStyle w:val="FootnoteReference"/>
        </w:rPr>
        <w:footnoteRef/>
      </w:r>
      <w:r>
        <w:t xml:space="preserve"> The time series refers to the period 2004-05 to 2014-15. Brisbane Airport did experience a decline in total passenger numbers in 2001-02 of 7.3 per cent. </w:t>
      </w:r>
    </w:p>
  </w:footnote>
  <w:footnote w:id="95">
    <w:p w:rsidR="007A2C42" w:rsidRDefault="007A2C42" w:rsidP="009F0A92">
      <w:pPr>
        <w:pStyle w:val="FootnoteText"/>
      </w:pPr>
      <w:r>
        <w:rPr>
          <w:rStyle w:val="FootnoteReference"/>
        </w:rPr>
        <w:footnoteRef/>
      </w:r>
      <w:r>
        <w:t xml:space="preserve"> Unless otherwise stated, the source for tables and charts in this chapter is data obtained from Brisbane Airport through the ACCC’s monitoring process.</w:t>
      </w:r>
    </w:p>
  </w:footnote>
  <w:footnote w:id="96">
    <w:p w:rsidR="007A2C42" w:rsidRDefault="007A2C42" w:rsidP="009F0A92">
      <w:pPr>
        <w:pStyle w:val="FootnoteText"/>
      </w:pPr>
      <w:r>
        <w:rPr>
          <w:rStyle w:val="FootnoteReference"/>
        </w:rPr>
        <w:footnoteRef/>
      </w:r>
      <w:r>
        <w:t xml:space="preserve"> </w:t>
      </w:r>
      <w:r w:rsidRPr="002039CB">
        <w:t>The Master Plan is a 20 year forward looking document that identifies, for example, development objectives and future aviation requirements, and is required to be updated every five years and approved by the Min</w:t>
      </w:r>
      <w:r>
        <w:t>i</w:t>
      </w:r>
      <w:r w:rsidRPr="002039CB">
        <w:t>ster for Infrastructure and Regional Development.</w:t>
      </w:r>
    </w:p>
  </w:footnote>
  <w:footnote w:id="97">
    <w:p w:rsidR="007A2C42" w:rsidRPr="002039CB" w:rsidRDefault="007A2C42" w:rsidP="009F0A92">
      <w:pPr>
        <w:pStyle w:val="FootnoteText"/>
      </w:pPr>
      <w:r>
        <w:rPr>
          <w:rStyle w:val="FootnoteReference"/>
        </w:rPr>
        <w:footnoteRef/>
      </w:r>
      <w:r>
        <w:t xml:space="preserve"> The Hon. Warren Truss (2015), </w:t>
      </w:r>
      <w:r>
        <w:rPr>
          <w:i/>
        </w:rPr>
        <w:t>Brisbane Airport development takes off with Master Plan approved</w:t>
      </w:r>
      <w:r>
        <w:t xml:space="preserve">, Media release, 3 February 2015, </w:t>
      </w:r>
      <w:hyperlink r:id="rId51" w:history="1">
        <w:r w:rsidRPr="002039CB">
          <w:rPr>
            <w:rStyle w:val="Hyperlink"/>
          </w:rPr>
          <w:t>http://minister.infrastructure.gov.au/wt/releases/2015/February/wt027_2015.aspx</w:t>
        </w:r>
      </w:hyperlink>
    </w:p>
  </w:footnote>
  <w:footnote w:id="98">
    <w:p w:rsidR="007A2C42" w:rsidRDefault="007A2C42" w:rsidP="009F0A92">
      <w:pPr>
        <w:pStyle w:val="FootnoteText"/>
      </w:pPr>
      <w:r>
        <w:rPr>
          <w:rStyle w:val="FootnoteReference"/>
        </w:rPr>
        <w:footnoteRef/>
      </w:r>
      <w:r w:rsidRPr="00E76E71">
        <w:t xml:space="preserve"> Passenger and airline survey templates ask respondents to rate their level of satisfaction with services and facilities on a scale of 1 to 5. The ACCC aggregates the survey results and produces average ratings for each indicator, as well as overall average ratings. In the 2014-15 report, the ACCC has changed its interpretation of average rating categories. For further detail on the reasons for this change see Appendix</w:t>
      </w:r>
      <w:r>
        <w:t xml:space="preserve"> </w:t>
      </w:r>
      <w:r w:rsidRPr="00263E47">
        <w:t>A4</w:t>
      </w:r>
      <w:r w:rsidRPr="00E61DE6">
        <w:t>.</w:t>
      </w:r>
    </w:p>
  </w:footnote>
  <w:footnote w:id="99">
    <w:p w:rsidR="007A2C42" w:rsidRDefault="007A2C42" w:rsidP="009F0A92">
      <w:pPr>
        <w:pStyle w:val="FootnoteText"/>
      </w:pPr>
      <w:r>
        <w:rPr>
          <w:rStyle w:val="FootnoteReference"/>
        </w:rPr>
        <w:footnoteRef/>
      </w:r>
      <w:r>
        <w:t xml:space="preserve"> Annual throughput data for staff car parking was unavailable.</w:t>
      </w:r>
    </w:p>
  </w:footnote>
  <w:footnote w:id="100">
    <w:p w:rsidR="007A2C42" w:rsidRPr="0062186E" w:rsidRDefault="007A2C42" w:rsidP="009F0A92">
      <w:pPr>
        <w:pStyle w:val="FootnoteText"/>
      </w:pPr>
      <w:r>
        <w:rPr>
          <w:rStyle w:val="FootnoteReference"/>
        </w:rPr>
        <w:footnoteRef/>
      </w:r>
      <w:r>
        <w:t xml:space="preserve"> TransLink, </w:t>
      </w:r>
      <w:r>
        <w:rPr>
          <w:i/>
        </w:rPr>
        <w:t>Airport services</w:t>
      </w:r>
      <w:r>
        <w:t xml:space="preserve">, </w:t>
      </w:r>
      <w:hyperlink r:id="rId52" w:history="1">
        <w:r w:rsidRPr="0062186E">
          <w:rPr>
            <w:rStyle w:val="Hyperlink"/>
          </w:rPr>
          <w:t>http://translink.com.au/travel-information/visiting-queensland/airport-services</w:t>
        </w:r>
      </w:hyperlink>
    </w:p>
  </w:footnote>
  <w:footnote w:id="101">
    <w:p w:rsidR="007A2C42" w:rsidRDefault="007A2C42" w:rsidP="009F0A92">
      <w:pPr>
        <w:pStyle w:val="FootnoteText"/>
      </w:pPr>
      <w:r>
        <w:rPr>
          <w:rStyle w:val="FootnoteReference"/>
        </w:rPr>
        <w:footnoteRef/>
      </w:r>
      <w:r>
        <w:t xml:space="preserve"> Gateway Airport Parking, </w:t>
      </w:r>
      <w:r>
        <w:rPr>
          <w:i/>
        </w:rPr>
        <w:t xml:space="preserve">Parking rates, </w:t>
      </w:r>
      <w:hyperlink r:id="rId53" w:history="1">
        <w:r w:rsidRPr="0062186E">
          <w:rPr>
            <w:rStyle w:val="Hyperlink"/>
          </w:rPr>
          <w:t>http://www.gatewayairportparking.com.au/parking-rates/rates.aspx</w:t>
        </w:r>
      </w:hyperlink>
      <w:r>
        <w:br/>
        <w:t xml:space="preserve">Portside Cruise &amp; Airport Parking, </w:t>
      </w:r>
      <w:r>
        <w:rPr>
          <w:i/>
        </w:rPr>
        <w:t>Rates</w:t>
      </w:r>
      <w:r>
        <w:t xml:space="preserve">, </w:t>
      </w:r>
      <w:hyperlink r:id="rId54" w:history="1">
        <w:r w:rsidRPr="0062186E">
          <w:rPr>
            <w:rStyle w:val="Hyperlink"/>
          </w:rPr>
          <w:t>http://www.portsideparking.com.au/rates.asp</w:t>
        </w:r>
      </w:hyperlink>
      <w:r>
        <w:br/>
        <w:t xml:space="preserve">Andrew’s Airport Parking, </w:t>
      </w:r>
      <w:r>
        <w:rPr>
          <w:i/>
        </w:rPr>
        <w:t>Parking rates</w:t>
      </w:r>
      <w:r>
        <w:t xml:space="preserve">, </w:t>
      </w:r>
      <w:hyperlink r:id="rId55" w:history="1">
        <w:r w:rsidRPr="0062186E">
          <w:rPr>
            <w:rStyle w:val="Hyperlink"/>
          </w:rPr>
          <w:t>http://www.andrewsairportpark.com.au/brisbane/rates.aspx</w:t>
        </w:r>
      </w:hyperlink>
    </w:p>
  </w:footnote>
  <w:footnote w:id="102">
    <w:p w:rsidR="007A2C42" w:rsidRPr="0062186E" w:rsidRDefault="007A2C42" w:rsidP="009F0A92">
      <w:pPr>
        <w:pStyle w:val="FootnoteText"/>
      </w:pPr>
      <w:r>
        <w:rPr>
          <w:rStyle w:val="FootnoteReference"/>
        </w:rPr>
        <w:footnoteRef/>
      </w:r>
      <w:r>
        <w:t xml:space="preserve"> Airtrain</w:t>
      </w:r>
      <w:r>
        <w:rPr>
          <w:i/>
        </w:rPr>
        <w:t>, Airtrain ticket information</w:t>
      </w:r>
      <w:r>
        <w:t xml:space="preserve">, </w:t>
      </w:r>
      <w:hyperlink r:id="rId56" w:history="1">
        <w:r w:rsidRPr="0062186E">
          <w:rPr>
            <w:rStyle w:val="Hyperlink"/>
          </w:rPr>
          <w:t>https://airtrain.com.au/ticket-information</w:t>
        </w:r>
      </w:hyperlink>
    </w:p>
  </w:footnote>
  <w:footnote w:id="103">
    <w:p w:rsidR="007A2C42" w:rsidRDefault="007A2C42" w:rsidP="009543DB">
      <w:pPr>
        <w:pStyle w:val="FootnoteText"/>
      </w:pPr>
      <w:r>
        <w:rPr>
          <w:rStyle w:val="FootnoteReference"/>
        </w:rPr>
        <w:footnoteRef/>
      </w:r>
      <w:r>
        <w:t xml:space="preserve"> </w:t>
      </w:r>
      <w:r w:rsidRPr="00D46470">
        <w:t>Unless otherwise stated, the source for tables and charts in this</w:t>
      </w:r>
      <w:r>
        <w:t xml:space="preserve"> chapter is data obtained from Melbourn</w:t>
      </w:r>
      <w:r w:rsidRPr="00D46470">
        <w:t>e Airport through the ACCC’s monitoring process.</w:t>
      </w:r>
    </w:p>
  </w:footnote>
  <w:footnote w:id="104">
    <w:p w:rsidR="007A2C42" w:rsidRDefault="007A2C42" w:rsidP="009543DB">
      <w:pPr>
        <w:pStyle w:val="FootnoteText"/>
      </w:pPr>
      <w:r>
        <w:rPr>
          <w:rStyle w:val="FootnoteReference"/>
        </w:rPr>
        <w:footnoteRef/>
      </w:r>
      <w:r>
        <w:t xml:space="preserve"> </w:t>
      </w:r>
      <w:r w:rsidRPr="009536DE">
        <w:t>The Master Plan is a 20 year forward looking document that identifies, for example, development objectives and future aviation requirements, and is required to be updated every five years and approved by the Min</w:t>
      </w:r>
      <w:r>
        <w:t>i</w:t>
      </w:r>
      <w:r w:rsidRPr="009536DE">
        <w:t>ster for Infrastructure and Regional Development.</w:t>
      </w:r>
    </w:p>
  </w:footnote>
  <w:footnote w:id="105">
    <w:p w:rsidR="007A2C42" w:rsidRPr="00AC5328" w:rsidRDefault="007A2C42" w:rsidP="009543DB">
      <w:pPr>
        <w:pStyle w:val="FootnoteText"/>
      </w:pPr>
      <w:r>
        <w:rPr>
          <w:rStyle w:val="FootnoteReference"/>
        </w:rPr>
        <w:footnoteRef/>
      </w:r>
      <w:r>
        <w:t xml:space="preserve"> The Hon. Warren Truss (2013), </w:t>
      </w:r>
      <w:r>
        <w:rPr>
          <w:i/>
        </w:rPr>
        <w:t>Melbourne Airport ‘ Master Plan’ Approved</w:t>
      </w:r>
      <w:r>
        <w:t xml:space="preserve">, Media release, 23 December 2013, </w:t>
      </w:r>
      <w:hyperlink r:id="rId57" w:history="1">
        <w:r w:rsidRPr="00AC5328">
          <w:rPr>
            <w:rStyle w:val="Hyperlink"/>
          </w:rPr>
          <w:t>http://minister.infrastructure.gov.au/wt/releases/2013/December/wt050_2013.aspx</w:t>
        </w:r>
      </w:hyperlink>
    </w:p>
  </w:footnote>
  <w:footnote w:id="106">
    <w:p w:rsidR="007A2C42" w:rsidRPr="00E62C0E" w:rsidRDefault="007A2C42" w:rsidP="009543DB">
      <w:pPr>
        <w:pStyle w:val="FootnoteText"/>
      </w:pPr>
      <w:r>
        <w:rPr>
          <w:rStyle w:val="FootnoteReference"/>
        </w:rPr>
        <w:footnoteRef/>
      </w:r>
      <w:r>
        <w:t xml:space="preserve"> Melbourne Airport (2015), </w:t>
      </w:r>
      <w:r>
        <w:rPr>
          <w:i/>
        </w:rPr>
        <w:t>Melbourne Airport opens the doors to its new Terminal 4</w:t>
      </w:r>
      <w:r>
        <w:t xml:space="preserve">, Media release, 18 August 2015, </w:t>
      </w:r>
      <w:hyperlink r:id="rId58" w:history="1">
        <w:r w:rsidRPr="00E62C0E">
          <w:rPr>
            <w:rStyle w:val="Hyperlink"/>
          </w:rPr>
          <w:t>http://melbourneairport.com.au/about-melbourne-airport/media/media-releases/melbourne-airport-opens-the-doors-to-its-new-terminal-4-1758.html</w:t>
        </w:r>
      </w:hyperlink>
    </w:p>
  </w:footnote>
  <w:footnote w:id="107">
    <w:p w:rsidR="007A2C42" w:rsidRDefault="007A2C42" w:rsidP="009543DB">
      <w:pPr>
        <w:pStyle w:val="FootnoteText"/>
      </w:pPr>
      <w:r>
        <w:rPr>
          <w:rStyle w:val="FootnoteReference"/>
        </w:rPr>
        <w:footnoteRef/>
      </w:r>
      <w:r>
        <w:t xml:space="preserve"> </w:t>
      </w:r>
      <w:r w:rsidRPr="00820AFD">
        <w:t>Passenger and airline survey templates ask respondents to rate their level of satisfaction with services and facilities on a scale of 1 to 5. The ACCC aggregates the survey results and produces average ratings for each indicator, as well as overall average ratings. In the 2014-15 report, the ACCC has changed its interpretation of average rating categories. For further detail on the reasons for this change see Appendix</w:t>
      </w:r>
      <w:r>
        <w:t xml:space="preserve"> A4</w:t>
      </w:r>
      <w:r w:rsidRPr="00820AFD">
        <w:t>.</w:t>
      </w:r>
    </w:p>
  </w:footnote>
  <w:footnote w:id="108">
    <w:p w:rsidR="007A2C42" w:rsidRDefault="007A2C42" w:rsidP="009543DB">
      <w:pPr>
        <w:pStyle w:val="FootnoteText"/>
      </w:pPr>
      <w:r>
        <w:rPr>
          <w:rStyle w:val="FootnoteReference"/>
        </w:rPr>
        <w:footnoteRef/>
      </w:r>
      <w:r>
        <w:t xml:space="preserve"> Annual throughput data for staff car parking was unavailable.</w:t>
      </w:r>
    </w:p>
  </w:footnote>
  <w:footnote w:id="109">
    <w:p w:rsidR="007A2C42" w:rsidRDefault="007A2C42" w:rsidP="009543DB">
      <w:pPr>
        <w:pStyle w:val="FootnoteText"/>
      </w:pPr>
      <w:r>
        <w:rPr>
          <w:rStyle w:val="FootnoteReference"/>
        </w:rPr>
        <w:footnoteRef/>
      </w:r>
      <w:r>
        <w:t xml:space="preserve"> Melbourne Airport requested that the weighted online charges were commercial in confidence and asked for the data to be not published. </w:t>
      </w:r>
    </w:p>
  </w:footnote>
  <w:footnote w:id="110">
    <w:p w:rsidR="007A2C42" w:rsidRPr="00AB519B" w:rsidRDefault="007A2C42" w:rsidP="009543DB">
      <w:pPr>
        <w:pStyle w:val="FootnoteText"/>
      </w:pPr>
      <w:r>
        <w:rPr>
          <w:rStyle w:val="FootnoteReference"/>
        </w:rPr>
        <w:footnoteRef/>
      </w:r>
      <w:r>
        <w:t xml:space="preserve"> Melbourne Airport, </w:t>
      </w:r>
      <w:r>
        <w:rPr>
          <w:i/>
        </w:rPr>
        <w:t>Buses providing regular passenger services from the airport</w:t>
      </w:r>
      <w:r>
        <w:t xml:space="preserve">, </w:t>
      </w:r>
      <w:hyperlink r:id="rId59" w:history="1">
        <w:r w:rsidRPr="00AB519B">
          <w:rPr>
            <w:rStyle w:val="Hyperlink"/>
          </w:rPr>
          <w:t>http://melbourneairport.com.au/to-from-the-airport/other-bus-services/other-buses.html</w:t>
        </w:r>
      </w:hyperlink>
    </w:p>
  </w:footnote>
  <w:footnote w:id="111">
    <w:p w:rsidR="007A2C42" w:rsidRPr="00D52A63" w:rsidRDefault="007A2C42" w:rsidP="009543DB">
      <w:pPr>
        <w:pStyle w:val="FootnoteText"/>
      </w:pPr>
      <w:r>
        <w:rPr>
          <w:rStyle w:val="FootnoteReference"/>
        </w:rPr>
        <w:footnoteRef/>
      </w:r>
      <w:r>
        <w:t xml:space="preserve"> SkyBus, </w:t>
      </w:r>
      <w:r>
        <w:rPr>
          <w:i/>
        </w:rPr>
        <w:t>Trip fares</w:t>
      </w:r>
      <w:r>
        <w:t xml:space="preserve">, </w:t>
      </w:r>
      <w:hyperlink r:id="rId60" w:history="1">
        <w:r w:rsidRPr="00D52A63">
          <w:rPr>
            <w:rStyle w:val="Hyperlink"/>
          </w:rPr>
          <w:t>https://www.skybus.com.au/fares/</w:t>
        </w:r>
      </w:hyperlink>
    </w:p>
  </w:footnote>
  <w:footnote w:id="112">
    <w:p w:rsidR="007A2C42" w:rsidRDefault="007A2C42" w:rsidP="009543DB">
      <w:pPr>
        <w:pStyle w:val="FootnoteText"/>
        <w:spacing w:after="0"/>
        <w:rPr>
          <w:rStyle w:val="Hyperlink"/>
          <w:sz w:val="20"/>
          <w:szCs w:val="22"/>
        </w:rPr>
      </w:pPr>
      <w:r>
        <w:rPr>
          <w:rStyle w:val="FootnoteReference"/>
        </w:rPr>
        <w:footnoteRef/>
      </w:r>
      <w:r>
        <w:t xml:space="preserve"> Busy Beaver Airport Parking, </w:t>
      </w:r>
      <w:r>
        <w:rPr>
          <w:i/>
        </w:rPr>
        <w:t>Rates</w:t>
      </w:r>
      <w:r>
        <w:t xml:space="preserve">, </w:t>
      </w:r>
      <w:hyperlink r:id="rId61" w:history="1">
        <w:r w:rsidRPr="00A6447D">
          <w:rPr>
            <w:rStyle w:val="Hyperlink"/>
          </w:rPr>
          <w:t>http://www.busybeaverairportparking.com.au/parking-rates/rates.aspx</w:t>
        </w:r>
      </w:hyperlink>
      <w:r>
        <w:br/>
        <w:t xml:space="preserve">Ace Airport Parking, </w:t>
      </w:r>
      <w:r>
        <w:rPr>
          <w:i/>
        </w:rPr>
        <w:t>Quote/booking</w:t>
      </w:r>
      <w:r>
        <w:t xml:space="preserve">, </w:t>
      </w:r>
      <w:hyperlink r:id="rId62" w:history="1">
        <w:r w:rsidRPr="00A6447D">
          <w:rPr>
            <w:rStyle w:val="Hyperlink"/>
          </w:rPr>
          <w:t>https://secure.aceairportparking.com.au/bookings/quote</w:t>
        </w:r>
      </w:hyperlink>
    </w:p>
    <w:p w:rsidR="007A2C42" w:rsidRPr="00A6447D" w:rsidRDefault="007A2C42" w:rsidP="009543DB">
      <w:pPr>
        <w:pStyle w:val="FootnoteText"/>
      </w:pPr>
      <w:r>
        <w:t xml:space="preserve">Andrew’s Airport parking, </w:t>
      </w:r>
      <w:r w:rsidRPr="006B740F">
        <w:rPr>
          <w:i/>
        </w:rPr>
        <w:t>Rates</w:t>
      </w:r>
      <w:r>
        <w:rPr>
          <w:i/>
        </w:rPr>
        <w:t xml:space="preserve">, </w:t>
      </w:r>
      <w:hyperlink r:id="rId63" w:history="1">
        <w:r w:rsidRPr="00234932">
          <w:rPr>
            <w:rStyle w:val="Hyperlink"/>
            <w:i/>
          </w:rPr>
          <w:t>http://www.andrewsairportpark.com.au/melbourne/rates.aspx</w:t>
        </w:r>
      </w:hyperlink>
    </w:p>
  </w:footnote>
  <w:footnote w:id="113">
    <w:p w:rsidR="007A2C42" w:rsidRDefault="007A2C42" w:rsidP="009543DB">
      <w:pPr>
        <w:pStyle w:val="FootnoteText"/>
      </w:pPr>
      <w:r>
        <w:rPr>
          <w:rStyle w:val="FootnoteReference"/>
        </w:rPr>
        <w:footnoteRef/>
      </w:r>
      <w:r>
        <w:t xml:space="preserve"> Unless otherwise stated, the source for tables and charts in this chapter is data obtained from Perth Airport through the ACCC’s monitoring process</w:t>
      </w:r>
    </w:p>
  </w:footnote>
  <w:footnote w:id="114">
    <w:p w:rsidR="007A2C42" w:rsidRDefault="007A2C42" w:rsidP="009543DB">
      <w:pPr>
        <w:pStyle w:val="FootnoteText"/>
      </w:pPr>
      <w:r>
        <w:rPr>
          <w:rStyle w:val="FootnoteReference"/>
        </w:rPr>
        <w:footnoteRef/>
      </w:r>
      <w:r>
        <w:t xml:space="preserve"> Perth Airport, (2014), Master Plan 2014,                        </w:t>
      </w:r>
      <w:hyperlink r:id="rId64" w:history="1">
        <w:r w:rsidRPr="00071E17">
          <w:rPr>
            <w:rStyle w:val="Hyperlink"/>
          </w:rPr>
          <w:t>http://www.perthairport.com.au/Libraries/Master_Plan_2014_Documents/WAC1333_PAMP_2014-04_Aviation_Development_SECURED_3.sflb.ashx</w:t>
        </w:r>
      </w:hyperlink>
    </w:p>
  </w:footnote>
  <w:footnote w:id="115">
    <w:p w:rsidR="007A2C42" w:rsidRDefault="007A2C42" w:rsidP="009543DB">
      <w:pPr>
        <w:pStyle w:val="FootnoteText"/>
      </w:pPr>
      <w:r>
        <w:rPr>
          <w:rStyle w:val="FootnoteReference"/>
        </w:rPr>
        <w:footnoteRef/>
      </w:r>
      <w:r>
        <w:t xml:space="preserve"> </w:t>
      </w:r>
      <w:r w:rsidRPr="00CF02BF">
        <w:t>The Master Plan is a 20 year forward looking document that identifies, for example, development objectives and future aviation requirements, and is required to be updated every five years and approved by the Min</w:t>
      </w:r>
      <w:r>
        <w:t>i</w:t>
      </w:r>
      <w:r w:rsidRPr="00CF02BF">
        <w:t>ster for Infrastructure and Regional Development.</w:t>
      </w:r>
    </w:p>
  </w:footnote>
  <w:footnote w:id="116">
    <w:p w:rsidR="007A2C42" w:rsidRDefault="007A2C42" w:rsidP="009543DB">
      <w:pPr>
        <w:pStyle w:val="FootnoteText"/>
      </w:pPr>
      <w:r>
        <w:rPr>
          <w:rStyle w:val="FootnoteReference"/>
        </w:rPr>
        <w:footnoteRef/>
      </w:r>
      <w:r>
        <w:t xml:space="preserve"> </w:t>
      </w:r>
      <w:r w:rsidRPr="00A16BFF">
        <w:t xml:space="preserve">Passenger and airline survey templates ask respondents to rate their level of satisfaction with services and facilities on a scale of 1 to 5. The ACCC aggregates the survey results and produces average ratings for each indicator, as well as overall average ratings. In the 2014-15 report, the ACCC has changed its interpretation of average rating categories. For further detail on the reasons for this change see Appendix </w:t>
      </w:r>
      <w:r>
        <w:t>A4</w:t>
      </w:r>
    </w:p>
  </w:footnote>
  <w:footnote w:id="117">
    <w:p w:rsidR="007A2C42" w:rsidRDefault="007A2C42" w:rsidP="009543DB">
      <w:pPr>
        <w:pStyle w:val="FootnoteText"/>
      </w:pPr>
      <w:r>
        <w:rPr>
          <w:rStyle w:val="FootnoteReference"/>
        </w:rPr>
        <w:footnoteRef/>
      </w:r>
      <w:r>
        <w:t xml:space="preserve"> Annual throughput data for staff car parking was unavailable.</w:t>
      </w:r>
    </w:p>
  </w:footnote>
  <w:footnote w:id="118">
    <w:p w:rsidR="007A2C42" w:rsidRPr="004D087A" w:rsidRDefault="007A2C42" w:rsidP="009543DB">
      <w:pPr>
        <w:pStyle w:val="FootnoteText"/>
      </w:pPr>
      <w:r>
        <w:rPr>
          <w:rStyle w:val="FootnoteReference"/>
        </w:rPr>
        <w:footnoteRef/>
      </w:r>
      <w:r>
        <w:t xml:space="preserve"> Transperth, </w:t>
      </w:r>
      <w:r>
        <w:rPr>
          <w:i/>
        </w:rPr>
        <w:t xml:space="preserve">Transperth Zone Map, </w:t>
      </w:r>
      <w:r>
        <w:t xml:space="preserve">viewed 10 November 2015, </w:t>
      </w:r>
      <w:hyperlink r:id="rId65" w:history="1">
        <w:r w:rsidRPr="004D087A">
          <w:rPr>
            <w:rStyle w:val="Hyperlink"/>
          </w:rPr>
          <w:t>http://www.transperth.wa.gov.au/Portals/0/Asset/Documents/Tickets%20&amp;%20Fares/Transperth_zone_map.pdf</w:t>
        </w:r>
      </w:hyperlink>
    </w:p>
  </w:footnote>
  <w:footnote w:id="119">
    <w:p w:rsidR="007A2C42" w:rsidRPr="004D087A" w:rsidRDefault="007A2C42" w:rsidP="009543DB">
      <w:pPr>
        <w:pStyle w:val="FootnoteText"/>
      </w:pPr>
      <w:r>
        <w:rPr>
          <w:rStyle w:val="FootnoteReference"/>
        </w:rPr>
        <w:footnoteRef/>
      </w:r>
      <w:r>
        <w:t xml:space="preserve"> Transperth, </w:t>
      </w:r>
      <w:r>
        <w:rPr>
          <w:i/>
        </w:rPr>
        <w:t>Transperth fares</w:t>
      </w:r>
      <w:r>
        <w:t xml:space="preserve">, viewed 10 November 2015 </w:t>
      </w:r>
      <w:hyperlink r:id="rId66" w:history="1">
        <w:r w:rsidRPr="004D087A">
          <w:rPr>
            <w:rStyle w:val="Hyperlink"/>
          </w:rPr>
          <w:t>http://www.transperth.wa.gov.au/tickets-fares/fares</w:t>
        </w:r>
      </w:hyperlink>
    </w:p>
  </w:footnote>
  <w:footnote w:id="120">
    <w:p w:rsidR="007A2C42" w:rsidRDefault="007A2C42" w:rsidP="009543DB">
      <w:pPr>
        <w:pStyle w:val="FootnoteText"/>
      </w:pPr>
      <w:r>
        <w:rPr>
          <w:rStyle w:val="FootnoteReference"/>
        </w:rPr>
        <w:footnoteRef/>
      </w:r>
      <w:r>
        <w:t xml:space="preserve"> Perth Airport Airport Shuttle, viewed 10 November 2015 </w:t>
      </w:r>
      <w:hyperlink r:id="rId67" w:history="1">
        <w:r w:rsidRPr="00F31469">
          <w:rPr>
            <w:rStyle w:val="Hyperlink"/>
          </w:rPr>
          <w:t>http://www.perthairport.com.au/ToTheAirport/Shuttles.aspx</w:t>
        </w:r>
      </w:hyperlink>
    </w:p>
  </w:footnote>
  <w:footnote w:id="121">
    <w:p w:rsidR="007A2C42" w:rsidRDefault="007A2C42" w:rsidP="009543DB">
      <w:pPr>
        <w:pStyle w:val="FootnoteText"/>
      </w:pPr>
      <w:r>
        <w:rPr>
          <w:rStyle w:val="FootnoteReference"/>
        </w:rPr>
        <w:footnoteRef/>
      </w:r>
      <w:r>
        <w:t xml:space="preserve"> Skypark Valet parking, viewed 10 November 2015 </w:t>
      </w:r>
      <w:hyperlink r:id="rId68" w:history="1">
        <w:r w:rsidRPr="0058465D">
          <w:rPr>
            <w:rStyle w:val="Hyperlink"/>
          </w:rPr>
          <w:t>http://skypark.com.au/long-term-parking/</w:t>
        </w:r>
      </w:hyperlink>
      <w:r>
        <w:t xml:space="preserve">                                     Hamer Airport Parking, viewed 10 November 2015 </w:t>
      </w:r>
      <w:hyperlink r:id="rId69" w:history="1">
        <w:r w:rsidRPr="0058465D">
          <w:rPr>
            <w:rStyle w:val="Hyperlink"/>
          </w:rPr>
          <w:t>http://www.airport.com.au/</w:t>
        </w:r>
      </w:hyperlink>
      <w:r>
        <w:t xml:space="preserve">                                                      Gateway Airport Parking, viewed 10 November</w:t>
      </w:r>
      <w:r>
        <w:rPr>
          <w:i/>
        </w:rPr>
        <w:t xml:space="preserve"> </w:t>
      </w:r>
      <w:hyperlink r:id="rId70" w:history="1">
        <w:r w:rsidRPr="0062186E">
          <w:rPr>
            <w:rStyle w:val="Hyperlink"/>
          </w:rPr>
          <w:t>http://www.gatewayairportparking.com.au/parking-rates/rates.aspx</w:t>
        </w:r>
      </w:hyperlink>
      <w:r>
        <w:br/>
      </w:r>
    </w:p>
  </w:footnote>
  <w:footnote w:id="122">
    <w:p w:rsidR="007A2C42" w:rsidRDefault="007A2C42" w:rsidP="00F26847">
      <w:pPr>
        <w:pStyle w:val="FootnoteText"/>
      </w:pPr>
      <w:r>
        <w:rPr>
          <w:rStyle w:val="FootnoteReference"/>
        </w:rPr>
        <w:footnoteRef/>
      </w:r>
      <w:r>
        <w:t xml:space="preserve"> Unless otherwise stated, the source for tables and charts in this chapter is data obtained from Sydney Airport through the ACCC’s monitoring process</w:t>
      </w:r>
    </w:p>
  </w:footnote>
  <w:footnote w:id="123">
    <w:p w:rsidR="007A2C42" w:rsidRDefault="007A2C42" w:rsidP="00F26847">
      <w:pPr>
        <w:pStyle w:val="FootnoteText"/>
      </w:pPr>
      <w:r>
        <w:rPr>
          <w:rStyle w:val="FootnoteReference"/>
        </w:rPr>
        <w:footnoteRef/>
      </w:r>
      <w:r>
        <w:t xml:space="preserve"> Freed, J. (2015), </w:t>
      </w:r>
      <w:r w:rsidRPr="00EF65E7">
        <w:rPr>
          <w:i/>
        </w:rPr>
        <w:t>‘Lease deal nets $535m for Qantas’</w:t>
      </w:r>
      <w:r>
        <w:t xml:space="preserve">, in the Sydney Morning Herald Newspaper, 19 August, </w:t>
      </w:r>
      <w:hyperlink r:id="rId71" w:history="1">
        <w:r w:rsidRPr="00463B2E">
          <w:rPr>
            <w:rStyle w:val="Hyperlink"/>
          </w:rPr>
          <w:t>http://www.smh.com.au/business/aviation/sydney-airport-buys-qantas-terminal-lease-for-535m-20150817-gj0qz0.html</w:t>
        </w:r>
      </w:hyperlink>
    </w:p>
  </w:footnote>
  <w:footnote w:id="124">
    <w:p w:rsidR="007A2C42" w:rsidRDefault="007A2C42" w:rsidP="00F26847">
      <w:pPr>
        <w:pStyle w:val="FootnoteText"/>
      </w:pPr>
      <w:r>
        <w:rPr>
          <w:rStyle w:val="FootnoteReference"/>
        </w:rPr>
        <w:footnoteRef/>
      </w:r>
      <w:r>
        <w:t xml:space="preserve"> Sydney Airport Limited , (2015), </w:t>
      </w:r>
      <w:r w:rsidRPr="007F001E">
        <w:rPr>
          <w:i/>
        </w:rPr>
        <w:t>International aeronautical agreements</w:t>
      </w:r>
      <w:r>
        <w:t xml:space="preserve">, Press Release, 30 June </w:t>
      </w:r>
      <w:hyperlink r:id="rId72" w:history="1">
        <w:r w:rsidRPr="007F001E">
          <w:rPr>
            <w:rStyle w:val="Hyperlink"/>
          </w:rPr>
          <w:t>https://www.sydneyairport.com.au/investors/~/media/files/investors/news%20and%20events/syd%20asx%20releases/2015/240630_international%20aero%20agreement%20final.pdf</w:t>
        </w:r>
      </w:hyperlink>
    </w:p>
  </w:footnote>
  <w:footnote w:id="125">
    <w:p w:rsidR="007A2C42" w:rsidRDefault="007A2C42" w:rsidP="00F26847">
      <w:pPr>
        <w:pStyle w:val="FootnoteText"/>
      </w:pPr>
      <w:r>
        <w:rPr>
          <w:rStyle w:val="FootnoteReference"/>
        </w:rPr>
        <w:footnoteRef/>
      </w:r>
      <w:r>
        <w:t xml:space="preserve"> Freed, J. (2015), </w:t>
      </w:r>
      <w:r w:rsidRPr="008B61EB">
        <w:rPr>
          <w:i/>
        </w:rPr>
        <w:t>‘Sydney Airport reaches fee deal with international airlines’</w:t>
      </w:r>
      <w:r>
        <w:t xml:space="preserve">, in The Sydney Morning Herald, 30 June </w:t>
      </w:r>
      <w:hyperlink r:id="rId73" w:history="1">
        <w:r w:rsidRPr="00937EF0">
          <w:rPr>
            <w:rStyle w:val="Hyperlink"/>
          </w:rPr>
          <w:t>http://www.smh.com.au/business/aviation/sydney-airport-reaches-fee-deal-with-international-airlines-20150629-gi13rl.html</w:t>
        </w:r>
      </w:hyperlink>
    </w:p>
  </w:footnote>
  <w:footnote w:id="126">
    <w:p w:rsidR="007A2C42" w:rsidRDefault="007A2C42" w:rsidP="00F26847">
      <w:pPr>
        <w:pStyle w:val="FootnoteText"/>
      </w:pPr>
      <w:r>
        <w:rPr>
          <w:rStyle w:val="FootnoteReference"/>
        </w:rPr>
        <w:footnoteRef/>
      </w:r>
      <w:r>
        <w:t xml:space="preserve"> Declaration No. 93 took effect on 1 July 2013 for a period of three years. It replaced Declaration No. 92, which was in effect for three years.</w:t>
      </w:r>
    </w:p>
  </w:footnote>
  <w:footnote w:id="127">
    <w:p w:rsidR="007A2C42" w:rsidRDefault="007A2C42" w:rsidP="00F26847">
      <w:pPr>
        <w:pStyle w:val="FootnoteText"/>
      </w:pPr>
      <w:r>
        <w:rPr>
          <w:rStyle w:val="FootnoteReference"/>
        </w:rPr>
        <w:footnoteRef/>
      </w:r>
      <w:r>
        <w:t xml:space="preserve"> Direction No. 34 took effect on 1 July 2013 for a period of three years. It replaced Direction No. 32, which was in effect for three years.</w:t>
      </w:r>
    </w:p>
  </w:footnote>
  <w:footnote w:id="128">
    <w:p w:rsidR="007A2C42" w:rsidRDefault="007A2C42" w:rsidP="00F26847">
      <w:pPr>
        <w:pStyle w:val="FootnoteText"/>
      </w:pPr>
      <w:r>
        <w:rPr>
          <w:rStyle w:val="FootnoteReference"/>
        </w:rPr>
        <w:footnoteRef/>
      </w:r>
      <w:r>
        <w:t xml:space="preserve"> The ACCC’s requirement for airport operators to provide this additional information put into effect the Government’s response to the PC’s review of price regulation of airport services in 2006. It was noted by the PC that some airports revalued assets for a range of non-price reasons. However, the PC recognised that the intention of revaluations is ‘to provide a justification for higher charges at some stage in the future’. As such, the PC stated that it was inappropriate to base increases in aeronautical charges on asset revaluations. The PC proposed that a ‘line in the sand’ be established for future monitoring purposes to help eliminate the effect of revaluations by airports. The LIS approach removes the effect of revaluations of aeronautical assets by airports for monitoring purposes.</w:t>
      </w:r>
    </w:p>
  </w:footnote>
  <w:footnote w:id="129">
    <w:p w:rsidR="007A2C42" w:rsidRDefault="007A2C42" w:rsidP="00F26847">
      <w:pPr>
        <w:pStyle w:val="FootnoteText"/>
      </w:pPr>
      <w:r>
        <w:rPr>
          <w:rStyle w:val="FootnoteReference"/>
        </w:rPr>
        <w:footnoteRef/>
      </w:r>
      <w:r>
        <w:t xml:space="preserve"> </w:t>
      </w:r>
      <w:r w:rsidRPr="00820AFD">
        <w:t xml:space="preserve">Passenger and airline survey templates ask respondents to rate their level of satisfaction with services and facilities on a scale of 1 to 5. The ACCC aggregates the survey results and produces average ratings for each indicator, as well as overall average ratings. In the 2014-15 report, the ACCC has changed its interpretation of average rating categories. For further detail on the reasons for this change see Appendix </w:t>
      </w:r>
      <w:r>
        <w:t>4</w:t>
      </w:r>
      <w:r w:rsidRPr="00820AFD">
        <w:t>.</w:t>
      </w:r>
    </w:p>
  </w:footnote>
  <w:footnote w:id="130">
    <w:p w:rsidR="007A2C42" w:rsidRDefault="007A2C42" w:rsidP="00F26847">
      <w:pPr>
        <w:pStyle w:val="FootnoteText"/>
      </w:pPr>
      <w:r>
        <w:rPr>
          <w:rStyle w:val="FootnoteReference"/>
        </w:rPr>
        <w:footnoteRef/>
      </w:r>
      <w:r>
        <w:t xml:space="preserve"> Annual throughput data for staff car parking was unavailable.</w:t>
      </w:r>
    </w:p>
  </w:footnote>
  <w:footnote w:id="131">
    <w:p w:rsidR="007A2C42" w:rsidRDefault="007A2C42" w:rsidP="00F26847">
      <w:pPr>
        <w:pStyle w:val="FootnoteText"/>
      </w:pPr>
      <w:r>
        <w:rPr>
          <w:rStyle w:val="FootnoteReference"/>
        </w:rPr>
        <w:footnoteRef/>
      </w:r>
      <w:r>
        <w:t xml:space="preserve"> A</w:t>
      </w:r>
      <w:r w:rsidRPr="00A87772">
        <w:t>verage car parking charges are calculated as the weighted average of drive-up and online charges</w:t>
      </w:r>
    </w:p>
  </w:footnote>
  <w:footnote w:id="132">
    <w:p w:rsidR="007A2C42" w:rsidRDefault="007A2C42" w:rsidP="00F26847">
      <w:pPr>
        <w:pStyle w:val="FootnoteText"/>
      </w:pPr>
      <w:r>
        <w:rPr>
          <w:rStyle w:val="FootnoteReference"/>
        </w:rPr>
        <w:footnoteRef/>
      </w:r>
      <w:r>
        <w:t xml:space="preserve"> </w:t>
      </w:r>
      <w:r w:rsidRPr="00076FEA">
        <w:t xml:space="preserve">Sydney Buses, Timetables </w:t>
      </w:r>
      <w:r>
        <w:t>&amp; route maps: Bus 400, viewed 16 November</w:t>
      </w:r>
      <w:r w:rsidRPr="00076FEA">
        <w:t xml:space="preserve"> 201</w:t>
      </w:r>
      <w:r>
        <w:t>5</w:t>
      </w:r>
      <w:r w:rsidRPr="00076FEA">
        <w:t xml:space="preserve">, </w:t>
      </w:r>
      <w:hyperlink r:id="rId74" w:history="1">
        <w:r w:rsidRPr="009D2E85">
          <w:rPr>
            <w:rStyle w:val="Hyperlink"/>
          </w:rPr>
          <w:t>http://www.sydneybuses.info/</w:t>
        </w:r>
      </w:hyperlink>
    </w:p>
  </w:footnote>
  <w:footnote w:id="133">
    <w:p w:rsidR="007A2C42" w:rsidRDefault="007A2C42" w:rsidP="00F26847">
      <w:pPr>
        <w:pStyle w:val="FootnoteText"/>
      </w:pPr>
      <w:r>
        <w:rPr>
          <w:rStyle w:val="FootnoteReference"/>
        </w:rPr>
        <w:footnoteRef/>
      </w:r>
      <w:r>
        <w:t xml:space="preserve"> Airport Connect, viewed 16 November 2015 </w:t>
      </w:r>
      <w:hyperlink r:id="rId75" w:history="1">
        <w:r w:rsidRPr="009D2E85">
          <w:rPr>
            <w:rStyle w:val="Hyperlink"/>
          </w:rPr>
          <w:t>http://www.airportconnect.com.au/BookOnline.aspx</w:t>
        </w:r>
      </w:hyperlink>
    </w:p>
  </w:footnote>
  <w:footnote w:id="134">
    <w:p w:rsidR="007A2C42" w:rsidRDefault="007A2C42" w:rsidP="00F26847">
      <w:pPr>
        <w:pStyle w:val="FootnoteText"/>
        <w:spacing w:after="0"/>
      </w:pPr>
      <w:r>
        <w:rPr>
          <w:rStyle w:val="FootnoteReference"/>
        </w:rPr>
        <w:footnoteRef/>
      </w:r>
      <w:r>
        <w:t xml:space="preserve"> Park and Fly, viewed 16 November 2015 </w:t>
      </w:r>
      <w:hyperlink r:id="rId76" w:history="1">
        <w:r w:rsidRPr="00E81C47">
          <w:rPr>
            <w:rStyle w:val="Hyperlink"/>
          </w:rPr>
          <w:t>https://www.parknfly.com.au/booknow.aspx</w:t>
        </w:r>
      </w:hyperlink>
      <w:r>
        <w:t xml:space="preserve">                                                                                                                                    </w:t>
      </w:r>
    </w:p>
    <w:p w:rsidR="007A2C42" w:rsidRDefault="007A2C42" w:rsidP="00F26847">
      <w:pPr>
        <w:pStyle w:val="FootnoteText"/>
        <w:spacing w:after="0"/>
      </w:pPr>
      <w:r>
        <w:t xml:space="preserve">     Park and Jet, viewed 16 November 2015 </w:t>
      </w:r>
      <w:hyperlink r:id="rId77" w:history="1">
        <w:r w:rsidRPr="00E81C47">
          <w:rPr>
            <w:rStyle w:val="Hyperlink"/>
          </w:rPr>
          <w:t>http://parkandjet.com.au/home/</w:t>
        </w:r>
      </w:hyperlink>
    </w:p>
    <w:p w:rsidR="007A2C42" w:rsidRDefault="007A2C42" w:rsidP="00F26847">
      <w:pPr>
        <w:pStyle w:val="FootnoteText"/>
        <w:spacing w:after="0"/>
      </w:pPr>
      <w:r>
        <w:t xml:space="preserve">     Sydney Airport, viewed 16 November 2015 </w:t>
      </w:r>
      <w:hyperlink r:id="rId78" w:history="1">
        <w:r w:rsidRPr="00E81C47">
          <w:rPr>
            <w:rStyle w:val="Hyperlink"/>
          </w:rPr>
          <w:t>http://www.sydneyairpark.com.au/Sydney-Airport-Parking-Prices.php</w:t>
        </w:r>
      </w:hyperlink>
    </w:p>
  </w:footnote>
  <w:footnote w:id="135">
    <w:p w:rsidR="007A2C42" w:rsidRDefault="007A2C42" w:rsidP="00F26847">
      <w:pPr>
        <w:pStyle w:val="FootnoteText"/>
      </w:pPr>
      <w:r>
        <w:rPr>
          <w:rStyle w:val="FootnoteReference"/>
        </w:rPr>
        <w:footnoteRef/>
      </w:r>
      <w:r>
        <w:t xml:space="preserve"> Transport </w:t>
      </w:r>
      <w:r w:rsidRPr="00076FEA">
        <w:t xml:space="preserve">Sydney Trains, Fare calculator, viewed </w:t>
      </w:r>
      <w:r>
        <w:t>16 November 2015</w:t>
      </w:r>
      <w:r w:rsidRPr="00076FEA">
        <w:t xml:space="preserve">, </w:t>
      </w:r>
      <w:hyperlink r:id="rId79" w:history="1">
        <w:r w:rsidRPr="008B7D0F">
          <w:rPr>
            <w:rStyle w:val="Hyperlink"/>
          </w:rPr>
          <w:t>http://www.sydneytrains.info/tickets/fare_calculator.htm</w:t>
        </w:r>
      </w:hyperlink>
    </w:p>
  </w:footnote>
  <w:footnote w:id="136">
    <w:p w:rsidR="007A2C42" w:rsidRDefault="007A2C42" w:rsidP="008C0FF7">
      <w:pPr>
        <w:pStyle w:val="FootnoteText"/>
      </w:pPr>
      <w:r>
        <w:rPr>
          <w:rStyle w:val="FootnoteReference"/>
        </w:rPr>
        <w:footnoteRef/>
      </w:r>
      <w:r>
        <w:t xml:space="preserve"> Department of the Parliamentary Library, Australia (2003), </w:t>
      </w:r>
      <w:r w:rsidRPr="00DB6B0C">
        <w:rPr>
          <w:i/>
        </w:rPr>
        <w:t>Turbulent Times: Australian Airline Issues 2003, Research Paper No. 10</w:t>
      </w:r>
      <w:r>
        <w:t xml:space="preserve">, May 2003 </w:t>
      </w:r>
      <w:hyperlink r:id="rId80" w:history="1">
        <w:r w:rsidRPr="00A73CE6">
          <w:rPr>
            <w:rStyle w:val="Hyperlink"/>
          </w:rPr>
          <w:t>http://www.aph.gov.au/binaries/library/pubs/rp/2002-03/03rp10.pdf</w:t>
        </w:r>
      </w:hyperlink>
      <w:r>
        <w:t xml:space="preserve"> </w:t>
      </w:r>
    </w:p>
  </w:footnote>
  <w:footnote w:id="137">
    <w:p w:rsidR="007A2C42" w:rsidRDefault="007A2C42" w:rsidP="008C0FF7">
      <w:pPr>
        <w:pStyle w:val="FootnoteText"/>
      </w:pPr>
      <w:r>
        <w:rPr>
          <w:rStyle w:val="FootnoteReference"/>
        </w:rPr>
        <w:footnoteRef/>
      </w:r>
      <w:r>
        <w:t xml:space="preserve"> This was under Part VIIA of the then Trade Practices Act 1974.</w:t>
      </w:r>
    </w:p>
  </w:footnote>
  <w:footnote w:id="138">
    <w:p w:rsidR="007A2C42" w:rsidRPr="009718C9" w:rsidRDefault="007A2C42" w:rsidP="008C0FF7">
      <w:pPr>
        <w:pStyle w:val="FootnoteText"/>
      </w:pPr>
      <w:r>
        <w:rPr>
          <w:rStyle w:val="FootnoteReference"/>
        </w:rPr>
        <w:footnoteRef/>
      </w:r>
      <w:r>
        <w:t xml:space="preserve"> Productivity Commission (2002), </w:t>
      </w:r>
      <w:r>
        <w:rPr>
          <w:i/>
        </w:rPr>
        <w:t>Price regulation of airport services</w:t>
      </w:r>
      <w:r>
        <w:t>, report no. 19, Canberra, January 2002.</w:t>
      </w:r>
    </w:p>
  </w:footnote>
  <w:footnote w:id="139">
    <w:p w:rsidR="007A2C42" w:rsidRDefault="007A2C42" w:rsidP="00CA5F27">
      <w:pPr>
        <w:pStyle w:val="FootnoteText"/>
      </w:pPr>
      <w:r>
        <w:rPr>
          <w:rStyle w:val="FootnoteReference"/>
        </w:rPr>
        <w:footnoteRef/>
      </w:r>
      <w:r>
        <w:t xml:space="preserve"> As noted above, car parking is the exception. This is under a separate direction made pursuant to s. 95ZF of Part VIIA of the </w:t>
      </w:r>
      <w:r w:rsidRPr="000903FC">
        <w:rPr>
          <w:i/>
        </w:rPr>
        <w:t>Competition and Consumer Act 2010</w:t>
      </w:r>
      <w:r>
        <w:t>, issued on 12 June 2012.</w:t>
      </w:r>
    </w:p>
  </w:footnote>
  <w:footnote w:id="140">
    <w:p w:rsidR="007A2C42" w:rsidRDefault="007A2C42" w:rsidP="00CA5F27">
      <w:pPr>
        <w:pStyle w:val="FootnoteText"/>
      </w:pPr>
      <w:r>
        <w:rPr>
          <w:rStyle w:val="FootnoteReference"/>
        </w:rPr>
        <w:footnoteRef/>
      </w:r>
      <w:r>
        <w:t xml:space="preserve"> Brisbane, Perth and Sydney airports treated the revenue they derived from aircraft refuelling as non</w:t>
      </w:r>
      <w:r>
        <w:noBreakHyphen/>
        <w:t>aeronautical under Direction 27, while subsequent Directions required aircraft refuelling to be included as aeronautical.</w:t>
      </w:r>
    </w:p>
  </w:footnote>
  <w:footnote w:id="141">
    <w:p w:rsidR="007A2C42" w:rsidRDefault="007A2C42" w:rsidP="00CA5F27">
      <w:pPr>
        <w:pStyle w:val="FootnoteText"/>
      </w:pPr>
      <w:r>
        <w:rPr>
          <w:rStyle w:val="FootnoteReference"/>
        </w:rPr>
        <w:footnoteRef/>
      </w:r>
      <w:r>
        <w:t xml:space="preserve"> </w:t>
      </w:r>
      <w:hyperlink r:id="rId81" w:history="1">
        <w:r w:rsidRPr="00490813">
          <w:rPr>
            <w:rStyle w:val="Hyperlink"/>
          </w:rPr>
          <w:t>https://www.accc.gov.au/regulated-infrastructure/airports-aviation/airports-monitoring</w:t>
        </w:r>
      </w:hyperlink>
      <w:r>
        <w:t xml:space="preserve"> </w:t>
      </w:r>
    </w:p>
  </w:footnote>
  <w:footnote w:id="142">
    <w:p w:rsidR="007A2C42" w:rsidRDefault="007A2C42" w:rsidP="00CA5F27">
      <w:pPr>
        <w:pStyle w:val="FootnoteText"/>
      </w:pPr>
      <w:r>
        <w:rPr>
          <w:rStyle w:val="FootnoteReference"/>
        </w:rPr>
        <w:footnoteRef/>
      </w:r>
      <w:r>
        <w:t xml:space="preserve"> This approach was recommended by the PC in its 2006 inquiry and was supported by the Government. The PC noted that some airports revalued assets for a range of non-price reasons and the intention of revaluations is ‘to provide a justification for higher charges at some stage in the future’.  The PC considered that it was inappropriate to base increases in aeronautical charges on asset revaluations. </w:t>
      </w:r>
    </w:p>
  </w:footnote>
  <w:footnote w:id="143">
    <w:p w:rsidR="007A2C42" w:rsidRDefault="007A2C42" w:rsidP="00CA5F27">
      <w:pPr>
        <w:pStyle w:val="FootnoteText"/>
      </w:pPr>
      <w:r>
        <w:rPr>
          <w:rStyle w:val="FootnoteReference"/>
        </w:rPr>
        <w:footnoteRef/>
      </w:r>
      <w:r>
        <w:t xml:space="preserve"> All price and data outcomes are reported in real terms with 2014-15 as the base year. </w:t>
      </w:r>
    </w:p>
  </w:footnote>
  <w:footnote w:id="144">
    <w:p w:rsidR="007A2C42" w:rsidRDefault="007A2C42" w:rsidP="00CA5F27">
      <w:pPr>
        <w:pStyle w:val="FootnoteText"/>
      </w:pPr>
      <w:r>
        <w:rPr>
          <w:rStyle w:val="FootnoteReference"/>
        </w:rPr>
        <w:footnoteRef/>
      </w:r>
      <w:r>
        <w:t xml:space="preserve"> For example, an airport could lower the price for, say, four hours in a short-term car park and increase the price for two hours by the same amount. This might give the impression that, on average, prices have not changed. However, if significantly more customers use the two hour service then, overall, users would be paying higher prices for car parking.</w:t>
      </w:r>
    </w:p>
  </w:footnote>
  <w:footnote w:id="145">
    <w:p w:rsidR="007A2C42" w:rsidRDefault="007A2C42" w:rsidP="00CA5F27">
      <w:pPr>
        <w:pStyle w:val="FootnoteText"/>
      </w:pPr>
      <w:r>
        <w:rPr>
          <w:rStyle w:val="FootnoteReference"/>
        </w:rPr>
        <w:footnoteRef/>
      </w:r>
      <w:r>
        <w:t xml:space="preserve"> ACCC (2008), </w:t>
      </w:r>
      <w:r>
        <w:rPr>
          <w:i/>
        </w:rPr>
        <w:t>Airport quality of service monitoring guideline</w:t>
      </w:r>
      <w:r>
        <w:t>, October 2008, Canberra, p. 3.</w:t>
      </w:r>
    </w:p>
  </w:footnote>
  <w:footnote w:id="146">
    <w:p w:rsidR="007A2C42" w:rsidRDefault="007A2C42" w:rsidP="00CA5F27">
      <w:pPr>
        <w:pStyle w:val="FootnoteText"/>
      </w:pPr>
      <w:r>
        <w:rPr>
          <w:rStyle w:val="FootnoteReference"/>
        </w:rPr>
        <w:footnoteRef/>
      </w:r>
      <w:r>
        <w:t xml:space="preserve"> Landside operators include </w:t>
      </w:r>
      <w:r w:rsidRPr="00BB1430">
        <w:t>taxis and buses industry bodies and off-airport car parking operators</w:t>
      </w:r>
      <w:r>
        <w:t>.</w:t>
      </w:r>
    </w:p>
  </w:footnote>
  <w:footnote w:id="147">
    <w:p w:rsidR="007A2C42" w:rsidRDefault="007A2C42" w:rsidP="00CA5F2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871762">
    <w:pPr>
      <w:pStyle w:val="Header"/>
      <w:tabs>
        <w:tab w:val="clear" w:pos="9026"/>
        <w:tab w:val="right" w:pos="8505"/>
      </w:tabs>
    </w:pPr>
    <w:r w:rsidRPr="00871762">
      <w:rPr>
        <w:b/>
        <w:sz w:val="18"/>
        <w:szCs w:val="18"/>
      </w:rPr>
      <w:t xml:space="preserve">Contents </w:t>
    </w:r>
    <w:r>
      <w:rPr>
        <w:sz w:val="18"/>
        <w:szCs w:val="18"/>
      </w:rPr>
      <w:tab/>
    </w:r>
    <w:r>
      <w:rPr>
        <w:sz w:val="18"/>
        <w:szCs w:val="18"/>
      </w:rPr>
      <w:tab/>
      <w:t>Airport Monitoring Report 2014-15</w:t>
    </w:r>
    <w:r>
      <w:rPr>
        <w:sz w:val="18"/>
        <w:szCs w:val="18"/>
      </w:rPr>
      <w:tab/>
    </w:r>
    <w:r>
      <w:rPr>
        <w:sz w:val="18"/>
        <w:szCs w:val="18"/>
      </w:rPr>
      <w:tab/>
    </w:r>
  </w:p>
  <w:p w:rsidR="007A2C42" w:rsidRPr="00871762" w:rsidRDefault="007A2C42" w:rsidP="00871762">
    <w:pPr>
      <w:pStyle w:val="Header"/>
    </w:pPr>
  </w:p>
  <w:p w:rsidR="007A2C42" w:rsidRPr="00871762" w:rsidRDefault="007A2C42" w:rsidP="0087176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sidRPr="00CC7973">
      <w:rPr>
        <w:b/>
        <w:sz w:val="18"/>
        <w:szCs w:val="18"/>
      </w:rPr>
      <w:t>Introduction</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BE4EED">
    <w:pPr>
      <w:pStyle w:val="Header"/>
      <w:tabs>
        <w:tab w:val="clear" w:pos="4513"/>
        <w:tab w:val="clear" w:pos="9026"/>
        <w:tab w:val="center" w:pos="3969"/>
        <w:tab w:val="right" w:pos="8505"/>
      </w:tabs>
    </w:pPr>
    <w:r>
      <w:rPr>
        <w:sz w:val="18"/>
        <w:szCs w:val="18"/>
      </w:rPr>
      <w:t>Airport Monitoring Report 2014–15</w:t>
    </w:r>
    <w:r>
      <w:rPr>
        <w:sz w:val="18"/>
        <w:szCs w:val="18"/>
      </w:rPr>
      <w:tab/>
    </w:r>
    <w:r>
      <w:rPr>
        <w:sz w:val="18"/>
        <w:szCs w:val="18"/>
      </w:rPr>
      <w:tab/>
    </w:r>
    <w:r>
      <w:rPr>
        <w:b/>
        <w:sz w:val="18"/>
        <w:szCs w:val="18"/>
      </w:rPr>
      <w:t>Appendix A3: Services provided by airports</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Appendix A4: Methodology in this report</w:t>
    </w:r>
    <w:r>
      <w:rPr>
        <w:b/>
        <w:sz w:val="18"/>
        <w:szCs w:val="18"/>
      </w:rPr>
      <w:tab/>
    </w:r>
    <w:r>
      <w:rPr>
        <w:b/>
        <w:sz w:val="18"/>
        <w:szCs w:val="18"/>
      </w:rPr>
      <w:tab/>
    </w:r>
    <w:r>
      <w:rPr>
        <w:sz w:val="18"/>
        <w:szCs w:val="18"/>
      </w:rPr>
      <w:t>Airport Monitoring Report 2014-15</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Appendix A4: Methodology in this report</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FD2709" w:rsidRDefault="007A2C42" w:rsidP="00883552">
    <w:pPr>
      <w:pStyle w:val="Header"/>
      <w:tabs>
        <w:tab w:val="clear" w:pos="9026"/>
        <w:tab w:val="right" w:pos="8505"/>
      </w:tabs>
      <w:rPr>
        <w:b/>
      </w:rPr>
    </w:pPr>
    <w:r w:rsidRPr="00FD2709">
      <w:rPr>
        <w:b/>
        <w:sz w:val="18"/>
        <w:szCs w:val="18"/>
      </w:rPr>
      <w:t>Airport performance and industry developments</w:t>
    </w:r>
    <w:r>
      <w:rPr>
        <w:b/>
        <w:sz w:val="18"/>
        <w:szCs w:val="18"/>
      </w:rPr>
      <w:tab/>
    </w:r>
    <w:r>
      <w:rPr>
        <w:b/>
        <w:sz w:val="18"/>
        <w:szCs w:val="18"/>
      </w:rPr>
      <w:tab/>
    </w:r>
    <w:r>
      <w:rPr>
        <w:sz w:val="18"/>
        <w:szCs w:val="18"/>
      </w:rPr>
      <w:t>Airport Monitoring Report 2014-15</w:t>
    </w:r>
    <w:r>
      <w:rPr>
        <w:b/>
        <w:sz w:val="18"/>
        <w:szCs w:val="18"/>
      </w:rPr>
      <w:tab/>
    </w:r>
  </w:p>
  <w:p w:rsidR="007A2C42" w:rsidRPr="00675CFA" w:rsidRDefault="007A2C42" w:rsidP="00675CFA">
    <w:pPr>
      <w:pStyle w:val="Header"/>
      <w:tabs>
        <w:tab w:val="clear" w:pos="9026"/>
        <w:tab w:val="right" w:pos="8505"/>
      </w:tabs>
      <w:rPr>
        <w:sz w:val="18"/>
        <w:szCs w:val="18"/>
      </w:rPr>
    </w:pPr>
    <w:r>
      <w:rPr>
        <w:b/>
        <w:sz w:val="18"/>
        <w:szCs w:val="18"/>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CD25CC" w:rsidRDefault="007A2C42" w:rsidP="0004142B">
    <w:pPr>
      <w:pStyle w:val="Header"/>
      <w:tabs>
        <w:tab w:val="clear" w:pos="9026"/>
        <w:tab w:val="right" w:pos="8505"/>
      </w:tabs>
      <w:rPr>
        <w:b/>
      </w:rPr>
    </w:pPr>
    <w:r>
      <w:rPr>
        <w:sz w:val="18"/>
        <w:szCs w:val="18"/>
      </w:rPr>
      <w:t>Airport Monitoring Report 2014-15</w:t>
    </w:r>
    <w:r>
      <w:rPr>
        <w:sz w:val="18"/>
        <w:szCs w:val="18"/>
      </w:rPr>
      <w:tab/>
    </w:r>
    <w:r>
      <w:rPr>
        <w:sz w:val="18"/>
        <w:szCs w:val="18"/>
      </w:rPr>
      <w:tab/>
    </w:r>
    <w:r w:rsidRPr="00CD25CC">
      <w:rPr>
        <w:b/>
        <w:sz w:val="18"/>
        <w:szCs w:val="18"/>
      </w:rPr>
      <w:t>Airport performance and industry developments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2014-15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Brisbane Airport monitoring results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Brisbane Airport monitoring results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2013-14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Brisbane Airport monitoring results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871762">
    <w:pPr>
      <w:pStyle w:val="Header"/>
      <w:tabs>
        <w:tab w:val="clear" w:pos="9026"/>
        <w:tab w:val="right" w:pos="8505"/>
      </w:tabs>
    </w:pPr>
    <w:r>
      <w:rPr>
        <w:sz w:val="18"/>
        <w:szCs w:val="18"/>
      </w:rPr>
      <w:t>Airport Monitoring Report 2014-15</w:t>
    </w:r>
    <w:r>
      <w:rPr>
        <w:sz w:val="18"/>
        <w:szCs w:val="18"/>
      </w:rPr>
      <w:tab/>
    </w:r>
    <w:r>
      <w:rPr>
        <w:sz w:val="18"/>
        <w:szCs w:val="18"/>
      </w:rPr>
      <w:tab/>
    </w:r>
    <w:r w:rsidRPr="00871762">
      <w:rPr>
        <w:b/>
        <w:sz w:val="18"/>
        <w:szCs w:val="18"/>
      </w:rPr>
      <w:t>Contents</w:t>
    </w:r>
  </w:p>
  <w:p w:rsidR="007A2C42" w:rsidRPr="00871762" w:rsidRDefault="007A2C42" w:rsidP="0087176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2014-15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9543DB">
    <w:pPr>
      <w:pStyle w:val="Header"/>
      <w:tabs>
        <w:tab w:val="clear" w:pos="9026"/>
        <w:tab w:val="left" w:pos="5434"/>
        <w:tab w:val="right" w:pos="8505"/>
      </w:tabs>
    </w:pPr>
    <w:r>
      <w:rPr>
        <w:sz w:val="18"/>
        <w:szCs w:val="18"/>
      </w:rPr>
      <w:t>Airport Monitoring Report 2014-15</w:t>
    </w:r>
    <w:r>
      <w:rPr>
        <w:sz w:val="18"/>
        <w:szCs w:val="18"/>
      </w:rPr>
      <w:tab/>
      <w:t xml:space="preserve">                                                 </w:t>
    </w:r>
    <w:r w:rsidRPr="00BB249A">
      <w:rPr>
        <w:b/>
        <w:sz w:val="18"/>
        <w:szCs w:val="18"/>
      </w:rPr>
      <w:t>Brisban</w:t>
    </w:r>
    <w:r w:rsidRPr="005156C1">
      <w:rPr>
        <w:b/>
        <w:sz w:val="18"/>
        <w:szCs w:val="18"/>
      </w:rPr>
      <w:t xml:space="preserve">e </w:t>
    </w:r>
    <w:r>
      <w:rPr>
        <w:b/>
        <w:sz w:val="18"/>
        <w:szCs w:val="18"/>
      </w:rPr>
      <w:t>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2014-15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Brisbane Airport monitoring results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Brisbane Airport monitoring results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2014-15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Brisbane Airport monitoring results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871762">
    <w:pPr>
      <w:pStyle w:val="Header"/>
      <w:tabs>
        <w:tab w:val="clear" w:pos="9026"/>
        <w:tab w:val="right" w:pos="8505"/>
      </w:tabs>
    </w:pPr>
    <w:r>
      <w:rPr>
        <w:b/>
        <w:sz w:val="18"/>
        <w:szCs w:val="18"/>
      </w:rPr>
      <w:t>Glossary</w:t>
    </w:r>
    <w:r w:rsidRPr="00871762">
      <w:rPr>
        <w:b/>
        <w:sz w:val="18"/>
        <w:szCs w:val="18"/>
      </w:rPr>
      <w:t xml:space="preserve"> </w:t>
    </w:r>
    <w:r>
      <w:rPr>
        <w:sz w:val="18"/>
        <w:szCs w:val="18"/>
      </w:rPr>
      <w:tab/>
    </w:r>
    <w:r>
      <w:rPr>
        <w:sz w:val="18"/>
        <w:szCs w:val="18"/>
      </w:rPr>
      <w:tab/>
      <w:t>Airport Monitoring Report 2014-15</w:t>
    </w:r>
    <w:r>
      <w:rPr>
        <w:sz w:val="18"/>
        <w:szCs w:val="18"/>
      </w:rPr>
      <w:tab/>
    </w:r>
    <w:r>
      <w:rPr>
        <w:sz w:val="18"/>
        <w:szCs w:val="18"/>
      </w:rPr>
      <w:tab/>
    </w:r>
  </w:p>
  <w:p w:rsidR="007A2C42" w:rsidRPr="00871762" w:rsidRDefault="007A2C42" w:rsidP="00871762">
    <w:pPr>
      <w:pStyle w:val="Header"/>
    </w:pPr>
  </w:p>
  <w:p w:rsidR="007A2C42" w:rsidRPr="00871762" w:rsidRDefault="007A2C42" w:rsidP="0087176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Brisbane Airport monitoring results</w:t>
    </w:r>
    <w:r>
      <w:rPr>
        <w:b/>
        <w:sz w:val="18"/>
        <w:szCs w:val="18"/>
      </w:rPr>
      <w:tab/>
    </w:r>
    <w:r>
      <w:rPr>
        <w:b/>
        <w:sz w:val="18"/>
        <w:szCs w:val="18"/>
      </w:rPr>
      <w:tab/>
    </w:r>
    <w:r>
      <w:rPr>
        <w:sz w:val="18"/>
        <w:szCs w:val="18"/>
      </w:rPr>
      <w:t>Airport Monitoring Report 2014-15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Brisbane Airport monitoring results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2014-15</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Melbourne Airport monitoring results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Melbourne Airport monitoring results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Melbourne Airport monitoring results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2014-15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Melbourne Airport monitoring results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871762">
    <w:pPr>
      <w:pStyle w:val="Header"/>
      <w:tabs>
        <w:tab w:val="clear" w:pos="9026"/>
        <w:tab w:val="right" w:pos="8505"/>
      </w:tabs>
    </w:pPr>
    <w:r>
      <w:rPr>
        <w:sz w:val="18"/>
        <w:szCs w:val="18"/>
      </w:rPr>
      <w:t>Airport Monitoring Report 2014-15</w:t>
    </w:r>
    <w:r>
      <w:rPr>
        <w:sz w:val="18"/>
        <w:szCs w:val="18"/>
      </w:rPr>
      <w:tab/>
    </w:r>
    <w:r>
      <w:rPr>
        <w:sz w:val="18"/>
        <w:szCs w:val="18"/>
      </w:rPr>
      <w:tab/>
    </w:r>
    <w:r w:rsidRPr="00EA71C1">
      <w:rPr>
        <w:b/>
        <w:sz w:val="18"/>
        <w:szCs w:val="18"/>
      </w:rPr>
      <w:t>Glossary</w:t>
    </w:r>
  </w:p>
  <w:p w:rsidR="007A2C42" w:rsidRPr="00871762" w:rsidRDefault="007A2C42" w:rsidP="0087176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Melbourne Airport monitoring results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2014-15</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Melbourne Airport monitoring results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Melbourne Airport monitoring results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9543DB">
    <w:pPr>
      <w:pStyle w:val="Header"/>
      <w:tabs>
        <w:tab w:val="clear" w:pos="9026"/>
        <w:tab w:val="left" w:pos="5207"/>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Melbourne Airport monitoring results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2014-15</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Melbourne Airport monitoring results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871762">
    <w:pPr>
      <w:pStyle w:val="Header"/>
      <w:tabs>
        <w:tab w:val="clear" w:pos="9026"/>
        <w:tab w:val="right" w:pos="8505"/>
      </w:tabs>
    </w:pPr>
    <w:r>
      <w:rPr>
        <w:b/>
        <w:sz w:val="18"/>
        <w:szCs w:val="18"/>
      </w:rPr>
      <w:t>Infographic</w:t>
    </w:r>
    <w:r w:rsidRPr="00871762">
      <w:rPr>
        <w:b/>
        <w:sz w:val="18"/>
        <w:szCs w:val="18"/>
      </w:rPr>
      <w:t xml:space="preserve"> </w:t>
    </w:r>
    <w:r>
      <w:rPr>
        <w:sz w:val="18"/>
        <w:szCs w:val="18"/>
      </w:rPr>
      <w:tab/>
    </w:r>
    <w:r>
      <w:rPr>
        <w:sz w:val="18"/>
        <w:szCs w:val="18"/>
      </w:rPr>
      <w:tab/>
      <w:t>Airport Monitoring Report 2014-15</w:t>
    </w:r>
    <w:r>
      <w:rPr>
        <w:sz w:val="18"/>
        <w:szCs w:val="18"/>
      </w:rPr>
      <w:tab/>
    </w:r>
    <w:r>
      <w:rPr>
        <w:sz w:val="18"/>
        <w:szCs w:val="18"/>
      </w:rPr>
      <w:tab/>
    </w:r>
  </w:p>
  <w:p w:rsidR="007A2C42" w:rsidRPr="00871762" w:rsidRDefault="007A2C42" w:rsidP="00871762">
    <w:pPr>
      <w:pStyle w:val="Header"/>
    </w:pPr>
  </w:p>
  <w:p w:rsidR="007A2C42" w:rsidRPr="00871762" w:rsidRDefault="007A2C42" w:rsidP="0087176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Melbourne Airport monitoring results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sz w:val="18"/>
        <w:szCs w:val="18"/>
      </w:rPr>
      <w:t>Airport Monitoring Report 2014-15</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9543DB">
    <w:pPr>
      <w:pStyle w:val="Header"/>
      <w:tabs>
        <w:tab w:val="clear" w:pos="9026"/>
        <w:tab w:val="left" w:pos="5191"/>
        <w:tab w:val="right" w:pos="8505"/>
      </w:tabs>
    </w:pPr>
    <w:r>
      <w:rPr>
        <w:sz w:val="18"/>
        <w:szCs w:val="18"/>
      </w:rPr>
      <w:t>Airport Monitoring Report 2014-15</w:t>
    </w:r>
    <w:r>
      <w:rPr>
        <w:sz w:val="18"/>
        <w:szCs w:val="18"/>
      </w:rPr>
      <w:tab/>
    </w:r>
    <w:r>
      <w:rPr>
        <w:sz w:val="18"/>
        <w:szCs w:val="18"/>
      </w:rPr>
      <w:tab/>
    </w:r>
    <w:r>
      <w:rPr>
        <w:sz w:val="18"/>
        <w:szCs w:val="18"/>
      </w:rPr>
      <w:tab/>
    </w:r>
    <w:r>
      <w:rPr>
        <w:b/>
        <w:sz w:val="18"/>
        <w:szCs w:val="18"/>
      </w:rPr>
      <w:t>Melbourne Airport monitoring results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Melbourne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9543DB">
    <w:pPr>
      <w:pStyle w:val="Header"/>
      <w:tabs>
        <w:tab w:val="clear" w:pos="9026"/>
        <w:tab w:val="left" w:pos="5191"/>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Melbourne Airport monitoring results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2014-15</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Perth Airport monitoring results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sidRPr="0010075B">
      <w:rPr>
        <w:b/>
        <w:sz w:val="18"/>
        <w:szCs w:val="18"/>
      </w:rPr>
      <w:t>Perth</w:t>
    </w:r>
    <w:r>
      <w:rPr>
        <w:b/>
        <w:sz w:val="18"/>
        <w:szCs w:val="18"/>
      </w:rPr>
      <w:t xml:space="preserve"> Airport monitoring results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EA71C1">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Infographic</w:t>
    </w:r>
  </w:p>
  <w:p w:rsidR="007A2C42" w:rsidRDefault="007A2C42" w:rsidP="00871762">
    <w:pPr>
      <w:pStyle w:val="Header"/>
      <w:tabs>
        <w:tab w:val="clear" w:pos="9026"/>
        <w:tab w:val="right" w:pos="8505"/>
      </w:tabs>
    </w:pPr>
  </w:p>
  <w:p w:rsidR="007A2C42" w:rsidRPr="00871762" w:rsidRDefault="007A2C42" w:rsidP="0087176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2013-14</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Perth Airport monitoring results</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2014-15</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Perth Airport monitoring results</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9543DB">
    <w:pPr>
      <w:pStyle w:val="Header"/>
      <w:tabs>
        <w:tab w:val="clear" w:pos="9026"/>
        <w:tab w:val="left" w:pos="5722"/>
        <w:tab w:val="right" w:pos="8505"/>
      </w:tabs>
      <w:rPr>
        <w:sz w:val="18"/>
        <w:szCs w:val="18"/>
      </w:rPr>
    </w:pPr>
    <w:r>
      <w:rPr>
        <w:b/>
        <w:sz w:val="18"/>
        <w:szCs w:val="18"/>
      </w:rPr>
      <w:t xml:space="preserve">Perth Airport monitoring results                                                       </w:t>
    </w:r>
    <w:r>
      <w:rPr>
        <w:b/>
        <w:sz w:val="18"/>
        <w:szCs w:val="18"/>
      </w:rPr>
      <w:tab/>
    </w:r>
    <w:r>
      <w:rPr>
        <w:b/>
        <w:sz w:val="18"/>
        <w:szCs w:val="18"/>
      </w:rPr>
      <w:tab/>
      <w:t xml:space="preserve"> </w:t>
    </w:r>
    <w:r>
      <w:rPr>
        <w:sz w:val="18"/>
        <w:szCs w:val="18"/>
      </w:rPr>
      <w:t>Airport Monitoring Report 2014-15</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9543DB">
    <w:pPr>
      <w:pStyle w:val="Header"/>
      <w:tabs>
        <w:tab w:val="clear" w:pos="9026"/>
        <w:tab w:val="right" w:pos="8505"/>
      </w:tabs>
    </w:pPr>
    <w:r>
      <w:rPr>
        <w:sz w:val="18"/>
        <w:szCs w:val="18"/>
      </w:rPr>
      <w:t xml:space="preserve">Airport Monitoring Report 2014-15                                         </w:t>
    </w:r>
    <w:r>
      <w:rPr>
        <w:sz w:val="18"/>
        <w:szCs w:val="18"/>
      </w:rPr>
      <w:tab/>
    </w:r>
    <w:r>
      <w:rPr>
        <w:b/>
        <w:sz w:val="18"/>
        <w:szCs w:val="18"/>
      </w:rPr>
      <w:t>Perth Airport monitoring results</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t xml:space="preserve">                                                                                                                                                               </w:t>
    </w:r>
    <w:r>
      <w:rPr>
        <w:b/>
        <w:sz w:val="18"/>
        <w:szCs w:val="18"/>
      </w:rPr>
      <w:t>Perth Airport monitoring results</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2013-14</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D4389D">
      <w:rPr>
        <w:b/>
        <w:sz w:val="18"/>
        <w:szCs w:val="18"/>
      </w:rPr>
      <w:t xml:space="preserve">Perth </w:t>
    </w:r>
    <w:r>
      <w:rPr>
        <w:b/>
        <w:sz w:val="18"/>
        <w:szCs w:val="18"/>
      </w:rPr>
      <w:t>Airport monitoring results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871762">
    <w:pPr>
      <w:pStyle w:val="Header"/>
      <w:tabs>
        <w:tab w:val="clear" w:pos="9026"/>
        <w:tab w:val="right" w:pos="8505"/>
      </w:tabs>
    </w:pPr>
    <w:r>
      <w:rPr>
        <w:b/>
        <w:sz w:val="18"/>
        <w:szCs w:val="18"/>
      </w:rPr>
      <w:t>Key Findings</w:t>
    </w:r>
    <w:r w:rsidRPr="00871762">
      <w:rPr>
        <w:b/>
        <w:sz w:val="18"/>
        <w:szCs w:val="18"/>
      </w:rPr>
      <w:t xml:space="preserve"> </w:t>
    </w:r>
    <w:r>
      <w:rPr>
        <w:sz w:val="18"/>
        <w:szCs w:val="18"/>
      </w:rPr>
      <w:tab/>
    </w:r>
    <w:r>
      <w:rPr>
        <w:sz w:val="18"/>
        <w:szCs w:val="18"/>
      </w:rPr>
      <w:tab/>
      <w:t>Airport Monitoring Report 2014-15</w:t>
    </w:r>
    <w:r>
      <w:rPr>
        <w:sz w:val="18"/>
        <w:szCs w:val="18"/>
      </w:rPr>
      <w:tab/>
    </w:r>
    <w:r>
      <w:rPr>
        <w:sz w:val="18"/>
        <w:szCs w:val="18"/>
      </w:rPr>
      <w:tab/>
    </w:r>
  </w:p>
  <w:p w:rsidR="007A2C42" w:rsidRPr="00871762" w:rsidRDefault="007A2C42" w:rsidP="00871762">
    <w:pPr>
      <w:pStyle w:val="Header"/>
    </w:pPr>
  </w:p>
  <w:p w:rsidR="007A2C42" w:rsidRPr="00871762" w:rsidRDefault="007A2C42" w:rsidP="00871762">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sz w:val="18"/>
        <w:szCs w:val="18"/>
      </w:rPr>
      <w:t>Airport Monitoring Report 2014-15</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t xml:space="preserve">                                          </w:t>
    </w:r>
    <w:r>
      <w:rPr>
        <w:b/>
        <w:sz w:val="18"/>
        <w:szCs w:val="18"/>
      </w:rPr>
      <w:t>Perth Airport monitoring results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Perth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2014-15</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sidRPr="000E4347">
      <w:rPr>
        <w:b/>
        <w:sz w:val="18"/>
        <w:szCs w:val="18"/>
      </w:rPr>
      <w:t>Sydney</w:t>
    </w:r>
    <w:r>
      <w:rPr>
        <w:b/>
        <w:sz w:val="18"/>
        <w:szCs w:val="18"/>
      </w:rPr>
      <w:t xml:space="preserve"> Airport monitoring results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2014-15</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t xml:space="preserve">         </w:t>
    </w:r>
    <w:r>
      <w:rPr>
        <w:sz w:val="18"/>
        <w:szCs w:val="18"/>
      </w:rPr>
      <w:tab/>
    </w:r>
    <w:r>
      <w:rPr>
        <w:b/>
        <w:sz w:val="18"/>
        <w:szCs w:val="18"/>
      </w:rPr>
      <w:t>Sydney Airport monitoring results</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sidRPr="00CD24A5">
      <w:rPr>
        <w:b/>
        <w:sz w:val="18"/>
        <w:szCs w:val="18"/>
      </w:rPr>
      <w:t>Sydney A</w:t>
    </w:r>
    <w:r>
      <w:rPr>
        <w:b/>
        <w:sz w:val="18"/>
        <w:szCs w:val="18"/>
      </w:rPr>
      <w:t>irport monitoring results</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2014-15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EA71C1">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Key Findings</w:t>
    </w:r>
  </w:p>
  <w:p w:rsidR="007A2C42" w:rsidRDefault="007A2C42" w:rsidP="00871762">
    <w:pPr>
      <w:pStyle w:val="Header"/>
      <w:tabs>
        <w:tab w:val="clear" w:pos="9026"/>
        <w:tab w:val="right" w:pos="8505"/>
      </w:tabs>
    </w:pPr>
  </w:p>
  <w:p w:rsidR="007A2C42" w:rsidRPr="00871762" w:rsidRDefault="007A2C42" w:rsidP="00871762">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b/>
        <w:sz w:val="18"/>
        <w:szCs w:val="18"/>
      </w:rPr>
      <w:t>Sydney Airport monitoring results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Sydney Airport monitoring results</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2014-15</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sidRPr="00BA3577">
      <w:rPr>
        <w:b/>
        <w:sz w:val="18"/>
        <w:szCs w:val="18"/>
      </w:rPr>
      <w:t>Sydney Airport</w:t>
    </w:r>
    <w:r>
      <w:rPr>
        <w:b/>
        <w:sz w:val="18"/>
        <w:szCs w:val="18"/>
      </w:rPr>
      <w:t xml:space="preserve"> monitoring results</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BE4EED">
    <w:pPr>
      <w:pStyle w:val="Header"/>
      <w:tabs>
        <w:tab w:val="clear" w:pos="9026"/>
        <w:tab w:val="left" w:pos="5207"/>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Sydney Airport monitoring results</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2014-15</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sidRPr="00BA3577">
      <w:rPr>
        <w:b/>
        <w:sz w:val="18"/>
        <w:szCs w:val="18"/>
      </w:rPr>
      <w:t xml:space="preserve">Sydney </w:t>
    </w:r>
    <w:r>
      <w:rPr>
        <w:b/>
        <w:sz w:val="18"/>
        <w:szCs w:val="18"/>
      </w:rPr>
      <w:t>Airport monitoring results</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sz w:val="18"/>
        <w:szCs w:val="18"/>
      </w:rPr>
      <w:t>Airport Monitoring Report 2014-15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 xml:space="preserve"> </w:t>
    </w:r>
    <w:r w:rsidRPr="00755FF4">
      <w:rPr>
        <w:b/>
        <w:sz w:val="18"/>
        <w:szCs w:val="18"/>
      </w:rPr>
      <w:t>Introduction</w:t>
    </w:r>
    <w:r>
      <w:rPr>
        <w:b/>
        <w:sz w:val="18"/>
        <w:szCs w:val="18"/>
      </w:rPr>
      <w:tab/>
    </w:r>
    <w:r>
      <w:rPr>
        <w:b/>
        <w:sz w:val="18"/>
        <w:szCs w:val="18"/>
      </w:rPr>
      <w:tab/>
    </w:r>
    <w:r>
      <w:rPr>
        <w:sz w:val="18"/>
        <w:szCs w:val="18"/>
      </w:rPr>
      <w:t>Airport Monitoring Report 2014-15</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04142B">
    <w:pPr>
      <w:pStyle w:val="Header"/>
      <w:tabs>
        <w:tab w:val="clear" w:pos="9026"/>
        <w:tab w:val="right" w:pos="8505"/>
      </w:tabs>
    </w:pPr>
    <w:r>
      <w:rPr>
        <w:sz w:val="18"/>
        <w:szCs w:val="18"/>
      </w:rPr>
      <w:t>Airport Monitoring Report 2014-15</w:t>
    </w:r>
    <w:r>
      <w:rPr>
        <w:sz w:val="18"/>
        <w:szCs w:val="18"/>
      </w:rPr>
      <w:tab/>
    </w:r>
    <w:r>
      <w:rPr>
        <w:sz w:val="18"/>
        <w:szCs w:val="18"/>
      </w:rPr>
      <w:tab/>
    </w:r>
    <w:r>
      <w:rPr>
        <w:sz w:val="18"/>
        <w:szCs w:val="18"/>
      </w:rPr>
      <w:tab/>
    </w:r>
    <w:r>
      <w:rPr>
        <w:sz w:val="18"/>
        <w:szCs w:val="18"/>
      </w:rPr>
      <w:tab/>
    </w:r>
    <w:r>
      <w:rPr>
        <w:sz w:val="18"/>
        <w:szCs w:val="18"/>
      </w:rPr>
      <w:tab/>
    </w:r>
    <w:r>
      <w:rPr>
        <w:b/>
        <w:sz w:val="18"/>
        <w:szCs w:val="18"/>
      </w:rPr>
      <w:t>Sydney Airport monitoring results</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675CFA">
    <w:pPr>
      <w:pStyle w:val="Header"/>
      <w:tabs>
        <w:tab w:val="clear" w:pos="9026"/>
        <w:tab w:val="right" w:pos="8505"/>
      </w:tabs>
      <w:rPr>
        <w:sz w:val="18"/>
        <w:szCs w:val="18"/>
      </w:rPr>
    </w:pPr>
    <w:r>
      <w:rPr>
        <w:b/>
        <w:sz w:val="18"/>
        <w:szCs w:val="18"/>
      </w:rPr>
      <w:t>Sydney Airport monitoring results</w:t>
    </w:r>
    <w:r>
      <w:rPr>
        <w:b/>
        <w:sz w:val="18"/>
        <w:szCs w:val="18"/>
      </w:rPr>
      <w:tab/>
    </w:r>
    <w:r>
      <w:rPr>
        <w:b/>
        <w:sz w:val="18"/>
        <w:szCs w:val="18"/>
      </w:rPr>
      <w:tab/>
    </w:r>
    <w:r>
      <w:rPr>
        <w:sz w:val="18"/>
        <w:szCs w:val="18"/>
      </w:rPr>
      <w:t>Airport Monitoring Report 2014-15</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BE4EED">
    <w:pPr>
      <w:pStyle w:val="Header"/>
      <w:tabs>
        <w:tab w:val="clear" w:pos="9026"/>
        <w:tab w:val="left" w:pos="5191"/>
        <w:tab w:val="right" w:pos="8505"/>
      </w:tabs>
    </w:pPr>
    <w:r>
      <w:rPr>
        <w:sz w:val="18"/>
        <w:szCs w:val="18"/>
      </w:rPr>
      <w:t>Airport Monitoring Report 2014-15</w:t>
    </w:r>
    <w:r>
      <w:rPr>
        <w:sz w:val="18"/>
        <w:szCs w:val="18"/>
      </w:rPr>
      <w:tab/>
    </w:r>
    <w:r>
      <w:rPr>
        <w:sz w:val="18"/>
        <w:szCs w:val="18"/>
      </w:rPr>
      <w:tab/>
    </w:r>
    <w:r>
      <w:rPr>
        <w:sz w:val="18"/>
        <w:szCs w:val="18"/>
      </w:rPr>
      <w:tab/>
    </w:r>
    <w:r>
      <w:rPr>
        <w:b/>
        <w:sz w:val="18"/>
        <w:szCs w:val="18"/>
      </w:rPr>
      <w:t>Sydney Airport monitoring results</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8C0FF7">
    <w:pPr>
      <w:pStyle w:val="Header"/>
      <w:tabs>
        <w:tab w:val="clear" w:pos="9026"/>
        <w:tab w:val="left" w:pos="6135"/>
        <w:tab w:val="right" w:pos="8505"/>
      </w:tabs>
      <w:rPr>
        <w:sz w:val="18"/>
        <w:szCs w:val="18"/>
      </w:rPr>
    </w:pPr>
    <w:r>
      <w:rPr>
        <w:b/>
        <w:sz w:val="18"/>
        <w:szCs w:val="18"/>
      </w:rPr>
      <w:t>Sydney Airport monitoring results</w:t>
    </w:r>
    <w:r>
      <w:rPr>
        <w:b/>
        <w:sz w:val="18"/>
        <w:szCs w:val="18"/>
      </w:rPr>
      <w:tab/>
    </w:r>
    <w:r>
      <w:rPr>
        <w:b/>
        <w:sz w:val="18"/>
        <w:szCs w:val="18"/>
      </w:rPr>
      <w:tab/>
    </w:r>
    <w:r>
      <w:rPr>
        <w:b/>
        <w:sz w:val="18"/>
        <w:szCs w:val="18"/>
      </w:rPr>
      <w:tab/>
    </w:r>
    <w:r>
      <w:rPr>
        <w:sz w:val="18"/>
        <w:szCs w:val="18"/>
      </w:rPr>
      <w:t>Airport Monitoring Report 2014-15</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BE4EED">
    <w:pPr>
      <w:pStyle w:val="Header"/>
      <w:tabs>
        <w:tab w:val="clear" w:pos="9026"/>
        <w:tab w:val="left" w:pos="5191"/>
        <w:tab w:val="right" w:pos="8505"/>
      </w:tabs>
    </w:pPr>
    <w:r>
      <w:rPr>
        <w:sz w:val="18"/>
        <w:szCs w:val="18"/>
      </w:rPr>
      <w:t>Airport Monitoring Report 2014-15</w:t>
    </w:r>
    <w:r>
      <w:rPr>
        <w:sz w:val="18"/>
        <w:szCs w:val="18"/>
      </w:rPr>
      <w:tab/>
    </w:r>
    <w:r>
      <w:rPr>
        <w:sz w:val="18"/>
        <w:szCs w:val="18"/>
      </w:rPr>
      <w:tab/>
    </w:r>
    <w:r>
      <w:rPr>
        <w:sz w:val="18"/>
        <w:szCs w:val="18"/>
      </w:rPr>
      <w:tab/>
    </w:r>
    <w:r w:rsidRPr="00BA3577">
      <w:rPr>
        <w:b/>
        <w:sz w:val="18"/>
        <w:szCs w:val="18"/>
      </w:rPr>
      <w:t>Sydney Airport</w:t>
    </w:r>
    <w:r>
      <w:rPr>
        <w:b/>
        <w:sz w:val="18"/>
        <w:szCs w:val="18"/>
      </w:rPr>
      <w:t xml:space="preserve"> monitoring results</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8C0FF7">
    <w:pPr>
      <w:pStyle w:val="Header"/>
      <w:tabs>
        <w:tab w:val="clear" w:pos="4513"/>
        <w:tab w:val="clear" w:pos="9026"/>
        <w:tab w:val="center" w:pos="3969"/>
        <w:tab w:val="right" w:pos="8505"/>
      </w:tabs>
      <w:rPr>
        <w:sz w:val="18"/>
        <w:szCs w:val="18"/>
      </w:rPr>
    </w:pPr>
    <w:r>
      <w:rPr>
        <w:b/>
        <w:sz w:val="18"/>
        <w:szCs w:val="18"/>
      </w:rPr>
      <w:t xml:space="preserve">Appendix A1: History of airport regulation in Australia                     </w:t>
    </w:r>
    <w:r>
      <w:rPr>
        <w:sz w:val="18"/>
        <w:szCs w:val="18"/>
      </w:rPr>
      <w:t>Airport Monitoring Report 2014–15</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BE4EED">
    <w:pPr>
      <w:pStyle w:val="Header"/>
      <w:tabs>
        <w:tab w:val="clear" w:pos="4513"/>
        <w:tab w:val="clear" w:pos="9026"/>
        <w:tab w:val="center" w:pos="3969"/>
        <w:tab w:val="right" w:pos="8505"/>
      </w:tabs>
    </w:pPr>
    <w:r>
      <w:rPr>
        <w:sz w:val="18"/>
        <w:szCs w:val="18"/>
      </w:rPr>
      <w:t>Airport Monitoring Report 2014–15</w:t>
    </w:r>
    <w:r>
      <w:rPr>
        <w:sz w:val="18"/>
        <w:szCs w:val="18"/>
      </w:rPr>
      <w:tab/>
    </w:r>
    <w:r>
      <w:rPr>
        <w:sz w:val="18"/>
        <w:szCs w:val="18"/>
      </w:rPr>
      <w:tab/>
    </w:r>
    <w:r>
      <w:rPr>
        <w:b/>
        <w:sz w:val="18"/>
        <w:szCs w:val="18"/>
      </w:rPr>
      <w:t>Appendix A1: History of airport regulation in Australia</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8C0FF7">
    <w:pPr>
      <w:pStyle w:val="Header"/>
      <w:tabs>
        <w:tab w:val="clear" w:pos="4513"/>
        <w:tab w:val="clear" w:pos="9026"/>
        <w:tab w:val="center" w:pos="3969"/>
        <w:tab w:val="right" w:pos="8505"/>
      </w:tabs>
      <w:rPr>
        <w:sz w:val="18"/>
        <w:szCs w:val="18"/>
      </w:rPr>
    </w:pPr>
    <w:r>
      <w:rPr>
        <w:b/>
        <w:sz w:val="18"/>
        <w:szCs w:val="18"/>
      </w:rPr>
      <w:t xml:space="preserve">Appendix A2: Regulatory framework </w:t>
    </w:r>
    <w:r>
      <w:rPr>
        <w:b/>
        <w:sz w:val="18"/>
        <w:szCs w:val="18"/>
      </w:rPr>
      <w:tab/>
    </w:r>
    <w:r>
      <w:rPr>
        <w:b/>
        <w:sz w:val="18"/>
        <w:szCs w:val="18"/>
      </w:rPr>
      <w:tab/>
      <w:t xml:space="preserve">              </w:t>
    </w:r>
    <w:r>
      <w:rPr>
        <w:sz w:val="18"/>
        <w:szCs w:val="18"/>
      </w:rPr>
      <w:t>Airport Monitoring Report 2014–15</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Default="007A2C42" w:rsidP="00BE4EED">
    <w:pPr>
      <w:pStyle w:val="Header"/>
      <w:tabs>
        <w:tab w:val="clear" w:pos="4513"/>
        <w:tab w:val="clear" w:pos="9026"/>
        <w:tab w:val="center" w:pos="3969"/>
        <w:tab w:val="right" w:pos="8505"/>
      </w:tabs>
    </w:pPr>
    <w:r>
      <w:rPr>
        <w:sz w:val="18"/>
        <w:szCs w:val="18"/>
      </w:rPr>
      <w:t>Airport Monitoring Report 2014–15</w:t>
    </w:r>
    <w:r>
      <w:rPr>
        <w:sz w:val="18"/>
        <w:szCs w:val="18"/>
      </w:rPr>
      <w:tab/>
    </w:r>
    <w:r>
      <w:rPr>
        <w:sz w:val="18"/>
        <w:szCs w:val="18"/>
      </w:rPr>
      <w:tab/>
    </w:r>
    <w:r>
      <w:rPr>
        <w:b/>
        <w:sz w:val="18"/>
        <w:szCs w:val="18"/>
      </w:rPr>
      <w:t>Appendix A2: Regulatory framework</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42" w:rsidRPr="00675CFA" w:rsidRDefault="007A2C42" w:rsidP="008C0FF7">
    <w:pPr>
      <w:pStyle w:val="Header"/>
      <w:tabs>
        <w:tab w:val="clear" w:pos="4513"/>
        <w:tab w:val="clear" w:pos="9026"/>
        <w:tab w:val="center" w:pos="3969"/>
        <w:tab w:val="right" w:pos="8505"/>
      </w:tabs>
      <w:rPr>
        <w:sz w:val="18"/>
        <w:szCs w:val="18"/>
      </w:rPr>
    </w:pPr>
    <w:r>
      <w:rPr>
        <w:b/>
        <w:sz w:val="18"/>
        <w:szCs w:val="18"/>
      </w:rPr>
      <w:t>Appendix A3: Services provided by airports</w:t>
    </w:r>
    <w:r>
      <w:rPr>
        <w:b/>
        <w:sz w:val="18"/>
        <w:szCs w:val="18"/>
      </w:rPr>
      <w:tab/>
    </w:r>
    <w:r>
      <w:rPr>
        <w:b/>
        <w:sz w:val="18"/>
        <w:szCs w:val="18"/>
      </w:rPr>
      <w:tab/>
      <w:t xml:space="preserve">              </w:t>
    </w:r>
    <w:r>
      <w:rPr>
        <w:sz w:val="18"/>
        <w:szCs w:val="18"/>
      </w:rPr>
      <w:t>Airport Monitoring Report 2014–15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536A662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0D6D6D"/>
    <w:multiLevelType w:val="hybridMultilevel"/>
    <w:tmpl w:val="9D2C2EBA"/>
    <w:lvl w:ilvl="0" w:tplc="B0C64568">
      <w:start w:val="1"/>
      <w:numFmt w:val="decimal"/>
      <w:pStyle w:val="numbered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B73523"/>
    <w:multiLevelType w:val="hybridMultilevel"/>
    <w:tmpl w:val="961A0CAC"/>
    <w:lvl w:ilvl="0" w:tplc="749E3A5A">
      <w:start w:val="1"/>
      <w:numFmt w:val="bullet"/>
      <w:pStyle w:val="Tabletextlistbulletlef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B6506F"/>
    <w:multiLevelType w:val="hybridMultilevel"/>
    <w:tmpl w:val="9C0627BE"/>
    <w:lvl w:ilvl="0" w:tplc="028CF5D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8D6DF9"/>
    <w:multiLevelType w:val="multilevel"/>
    <w:tmpl w:val="30163308"/>
    <w:lvl w:ilvl="0">
      <w:start w:val="1"/>
      <w:numFmt w:val="upperLetter"/>
      <w:pStyle w:val="Appendixheading1"/>
      <w:lvlText w:val="%1"/>
      <w:lvlJc w:val="left"/>
      <w:pPr>
        <w:tabs>
          <w:tab w:val="num" w:pos="958"/>
        </w:tabs>
        <w:ind w:left="958" w:hanging="958"/>
      </w:pPr>
      <w:rPr>
        <w:rFonts w:hint="default"/>
      </w:rPr>
    </w:lvl>
    <w:lvl w:ilvl="1">
      <w:start w:val="1"/>
      <w:numFmt w:val="decimal"/>
      <w:pStyle w:val="Appendixheading2"/>
      <w:lvlText w:val="%1.%2"/>
      <w:lvlJc w:val="left"/>
      <w:pPr>
        <w:tabs>
          <w:tab w:val="num" w:pos="958"/>
        </w:tabs>
        <w:ind w:left="958" w:hanging="958"/>
      </w:pPr>
      <w:rPr>
        <w:rFonts w:hint="default"/>
      </w:rPr>
    </w:lvl>
    <w:lvl w:ilvl="2">
      <w:start w:val="1"/>
      <w:numFmt w:val="decimal"/>
      <w:pStyle w:val="Appendixheading3"/>
      <w:lvlText w:val="%1.%2.%3"/>
      <w:lvlJc w:val="left"/>
      <w:pPr>
        <w:tabs>
          <w:tab w:val="num" w:pos="958"/>
        </w:tabs>
        <w:ind w:left="958" w:hanging="958"/>
      </w:pPr>
      <w:rPr>
        <w:rFonts w:hint="default"/>
      </w:rPr>
    </w:lvl>
    <w:lvl w:ilvl="3">
      <w:start w:val="1"/>
      <w:numFmt w:val="decimal"/>
      <w:pStyle w:val="Appendixheading4"/>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6905243"/>
    <w:multiLevelType w:val="hybridMultilevel"/>
    <w:tmpl w:val="446EB9EA"/>
    <w:lvl w:ilvl="0" w:tplc="469647D6">
      <w:start w:val="1"/>
      <w:numFmt w:val="bullet"/>
      <w:pStyle w:val="Listbullet1"/>
      <w:lvlText w:val=""/>
      <w:lvlJc w:val="left"/>
      <w:pPr>
        <w:ind w:left="360" w:hanging="360"/>
      </w:pPr>
      <w:rPr>
        <w:rFonts w:ascii="Symbol" w:hAnsi="Symbol"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AE3F7D"/>
    <w:multiLevelType w:val="hybridMultilevel"/>
    <w:tmpl w:val="CE14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4B5DEE"/>
    <w:multiLevelType w:val="hybridMultilevel"/>
    <w:tmpl w:val="70668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0F27F7"/>
    <w:multiLevelType w:val="hybridMultilevel"/>
    <w:tmpl w:val="436AA8B8"/>
    <w:lvl w:ilvl="0" w:tplc="FE34DCFC">
      <w:start w:val="1"/>
      <w:numFmt w:val="decimal"/>
      <w:pStyle w:val="Paragraphnumbering"/>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3771588"/>
    <w:multiLevelType w:val="hybridMultilevel"/>
    <w:tmpl w:val="853E276E"/>
    <w:lvl w:ilvl="0" w:tplc="1A7456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3C790E"/>
    <w:multiLevelType w:val="hybridMultilevel"/>
    <w:tmpl w:val="F9FC00AE"/>
    <w:lvl w:ilvl="0" w:tplc="A612995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32D68D4"/>
    <w:multiLevelType w:val="hybridMultilevel"/>
    <w:tmpl w:val="C00C3E80"/>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13">
    <w:nsid w:val="4742710D"/>
    <w:multiLevelType w:val="multilevel"/>
    <w:tmpl w:val="22C67DD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tabs>
          <w:tab w:val="num" w:pos="958"/>
        </w:tabs>
        <w:ind w:left="958" w:hanging="958"/>
      </w:pPr>
      <w:rPr>
        <w:rFonts w:hint="default"/>
      </w:rPr>
    </w:lvl>
    <w:lvl w:ilvl="2">
      <w:start w:val="1"/>
      <w:numFmt w:val="decimal"/>
      <w:pStyle w:val="Numberedheading3"/>
      <w:lvlText w:val="%1.%2.%3"/>
      <w:lvlJc w:val="left"/>
      <w:pPr>
        <w:tabs>
          <w:tab w:val="num" w:pos="1384"/>
        </w:tabs>
        <w:ind w:left="1384" w:hanging="958"/>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81100D5"/>
    <w:multiLevelType w:val="hybridMultilevel"/>
    <w:tmpl w:val="371ECC96"/>
    <w:lvl w:ilvl="0" w:tplc="DCBA8916">
      <w:start w:val="1"/>
      <w:numFmt w:val="bullet"/>
      <w:pStyle w:val="tabletextindentbullet"/>
      <w:lvlText w:val="•"/>
      <w:lvlJc w:val="left"/>
      <w:pPr>
        <w:ind w:left="720" w:hanging="360"/>
      </w:pPr>
      <w:rPr>
        <w:rFonts w:ascii="Times New Roman" w:hAnsi="Times New Roman" w:cs="Times New Roman"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912D24"/>
    <w:multiLevelType w:val="hybridMultilevel"/>
    <w:tmpl w:val="F668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15A0779"/>
    <w:multiLevelType w:val="hybridMultilevel"/>
    <w:tmpl w:val="BF443C6E"/>
    <w:lvl w:ilvl="0" w:tplc="BF5E02E8">
      <w:start w:val="1"/>
      <w:numFmt w:val="bullet"/>
      <w:pStyle w:val="ListBullet21"/>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5037F1E"/>
    <w:multiLevelType w:val="multilevel"/>
    <w:tmpl w:val="96D8725A"/>
    <w:styleLink w:val="Numberedlist"/>
    <w:lvl w:ilvl="0">
      <w:start w:val="1"/>
      <w:numFmt w:val="decimal"/>
      <w:lvlText w:val="%1"/>
      <w:lvlJc w:val="left"/>
      <w:pPr>
        <w:tabs>
          <w:tab w:val="num" w:pos="958"/>
        </w:tabs>
        <w:ind w:left="958" w:hanging="958"/>
      </w:pPr>
      <w:rPr>
        <w:rFonts w:hint="default"/>
      </w:rPr>
    </w:lvl>
    <w:lvl w:ilvl="1">
      <w:start w:val="1"/>
      <w:numFmt w:val="decimal"/>
      <w:lvlText w:val="%1.%2"/>
      <w:lvlJc w:val="left"/>
      <w:pPr>
        <w:tabs>
          <w:tab w:val="num" w:pos="958"/>
        </w:tabs>
        <w:ind w:left="958" w:hanging="958"/>
      </w:pPr>
      <w:rPr>
        <w:rFonts w:hint="default"/>
      </w:rPr>
    </w:lvl>
    <w:lvl w:ilvl="2">
      <w:start w:val="1"/>
      <w:numFmt w:val="decimal"/>
      <w:lvlText w:val="%1.%2.%3"/>
      <w:lvlJc w:val="left"/>
      <w:pPr>
        <w:tabs>
          <w:tab w:val="num" w:pos="958"/>
        </w:tabs>
        <w:ind w:left="958" w:hanging="958"/>
      </w:pPr>
      <w:rPr>
        <w:rFonts w:hint="default"/>
      </w:rPr>
    </w:lvl>
    <w:lvl w:ilvl="3">
      <w:start w:val="1"/>
      <w:numFmt w:val="decimal"/>
      <w:lvlText w:val="%1.%2.%3.%4"/>
      <w:lvlJc w:val="left"/>
      <w:pPr>
        <w:tabs>
          <w:tab w:val="num" w:pos="958"/>
        </w:tabs>
        <w:ind w:left="958" w:hanging="95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num w:numId="1">
    <w:abstractNumId w:val="13"/>
  </w:num>
  <w:num w:numId="2">
    <w:abstractNumId w:val="17"/>
  </w:num>
  <w:num w:numId="3">
    <w:abstractNumId w:val="5"/>
  </w:num>
  <w:num w:numId="4">
    <w:abstractNumId w:val="3"/>
  </w:num>
  <w:num w:numId="5">
    <w:abstractNumId w:val="14"/>
  </w:num>
  <w:num w:numId="6">
    <w:abstractNumId w:val="6"/>
  </w:num>
  <w:num w:numId="7">
    <w:abstractNumId w:val="16"/>
  </w:num>
  <w:num w:numId="8">
    <w:abstractNumId w:val="9"/>
  </w:num>
  <w:num w:numId="9">
    <w:abstractNumId w:val="2"/>
  </w:num>
  <w:num w:numId="10">
    <w:abstractNumId w:val="1"/>
  </w:num>
  <w:num w:numId="11">
    <w:abstractNumId w:val="11"/>
  </w:num>
  <w:num w:numId="12">
    <w:abstractNumId w:val="4"/>
  </w:num>
  <w:num w:numId="13">
    <w:abstractNumId w:val="0"/>
  </w:num>
  <w:num w:numId="14">
    <w:abstractNumId w:val="8"/>
  </w:num>
  <w:num w:numId="15">
    <w:abstractNumId w:val="12"/>
  </w:num>
  <w:num w:numId="16">
    <w:abstractNumId w:val="18"/>
  </w:num>
  <w:num w:numId="17">
    <w:abstractNumId w:val="15"/>
  </w:num>
  <w:num w:numId="18">
    <w:abstractNumId w:val="7"/>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00"/>
  <w:displayHorizontalDrawingGridEvery w:val="2"/>
  <w:characterSpacingControl w:val="doNotCompress"/>
  <w:hdrShapeDefaults>
    <o:shapedefaults v:ext="edit" spidmax="237569"/>
  </w:hdrShapeDefaults>
  <w:footnotePr>
    <w:numStart w:val="9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028\D16 35310  am_20160321_FINAL WEB Word Version_2014-15 AMR.DOCX"/>
  </w:docVars>
  <w:rsids>
    <w:rsidRoot w:val="008C74A6"/>
    <w:rsid w:val="000001D9"/>
    <w:rsid w:val="000003CA"/>
    <w:rsid w:val="000011A7"/>
    <w:rsid w:val="00001326"/>
    <w:rsid w:val="000016C8"/>
    <w:rsid w:val="00001FEB"/>
    <w:rsid w:val="000030D3"/>
    <w:rsid w:val="00003995"/>
    <w:rsid w:val="00004E67"/>
    <w:rsid w:val="00005099"/>
    <w:rsid w:val="00005292"/>
    <w:rsid w:val="00005817"/>
    <w:rsid w:val="00007495"/>
    <w:rsid w:val="00007AAF"/>
    <w:rsid w:val="00010E1F"/>
    <w:rsid w:val="00011AEB"/>
    <w:rsid w:val="00011E0F"/>
    <w:rsid w:val="000121D0"/>
    <w:rsid w:val="00012994"/>
    <w:rsid w:val="00013415"/>
    <w:rsid w:val="00013D9C"/>
    <w:rsid w:val="00013EAB"/>
    <w:rsid w:val="000151D1"/>
    <w:rsid w:val="0001540E"/>
    <w:rsid w:val="00015E60"/>
    <w:rsid w:val="000204C1"/>
    <w:rsid w:val="00020EAB"/>
    <w:rsid w:val="000215A9"/>
    <w:rsid w:val="00021FC5"/>
    <w:rsid w:val="000220AD"/>
    <w:rsid w:val="00023CDF"/>
    <w:rsid w:val="00023CF6"/>
    <w:rsid w:val="00024FD4"/>
    <w:rsid w:val="000252E8"/>
    <w:rsid w:val="00025826"/>
    <w:rsid w:val="00025EE9"/>
    <w:rsid w:val="00026B14"/>
    <w:rsid w:val="00026BD0"/>
    <w:rsid w:val="000275ED"/>
    <w:rsid w:val="0002792E"/>
    <w:rsid w:val="00027D9A"/>
    <w:rsid w:val="000310F2"/>
    <w:rsid w:val="00031ABF"/>
    <w:rsid w:val="00032DD1"/>
    <w:rsid w:val="00033AE7"/>
    <w:rsid w:val="00033C83"/>
    <w:rsid w:val="00034A2E"/>
    <w:rsid w:val="00040400"/>
    <w:rsid w:val="00040C6E"/>
    <w:rsid w:val="0004142B"/>
    <w:rsid w:val="000427D2"/>
    <w:rsid w:val="00042872"/>
    <w:rsid w:val="00042DB5"/>
    <w:rsid w:val="0004351A"/>
    <w:rsid w:val="00043C97"/>
    <w:rsid w:val="000452A7"/>
    <w:rsid w:val="000453CA"/>
    <w:rsid w:val="00045957"/>
    <w:rsid w:val="00045C98"/>
    <w:rsid w:val="00046856"/>
    <w:rsid w:val="00050D22"/>
    <w:rsid w:val="00050DD4"/>
    <w:rsid w:val="00052DBC"/>
    <w:rsid w:val="00052ECA"/>
    <w:rsid w:val="00053958"/>
    <w:rsid w:val="00055045"/>
    <w:rsid w:val="00055533"/>
    <w:rsid w:val="0005714A"/>
    <w:rsid w:val="000603A1"/>
    <w:rsid w:val="000615C0"/>
    <w:rsid w:val="00062A0A"/>
    <w:rsid w:val="00062EDA"/>
    <w:rsid w:val="000654CF"/>
    <w:rsid w:val="00072602"/>
    <w:rsid w:val="00072FCC"/>
    <w:rsid w:val="0007366A"/>
    <w:rsid w:val="0007446D"/>
    <w:rsid w:val="00076821"/>
    <w:rsid w:val="00081210"/>
    <w:rsid w:val="00081477"/>
    <w:rsid w:val="0008204C"/>
    <w:rsid w:val="0008255A"/>
    <w:rsid w:val="00082AD2"/>
    <w:rsid w:val="00083D59"/>
    <w:rsid w:val="000848E1"/>
    <w:rsid w:val="00085A72"/>
    <w:rsid w:val="00086032"/>
    <w:rsid w:val="00086497"/>
    <w:rsid w:val="00086737"/>
    <w:rsid w:val="000867BE"/>
    <w:rsid w:val="00086FCA"/>
    <w:rsid w:val="00087E61"/>
    <w:rsid w:val="00091600"/>
    <w:rsid w:val="00091CFC"/>
    <w:rsid w:val="000932BD"/>
    <w:rsid w:val="00093E21"/>
    <w:rsid w:val="00093F05"/>
    <w:rsid w:val="000941D6"/>
    <w:rsid w:val="000945EB"/>
    <w:rsid w:val="00094AEE"/>
    <w:rsid w:val="00094B8C"/>
    <w:rsid w:val="000964F6"/>
    <w:rsid w:val="0009740D"/>
    <w:rsid w:val="00097951"/>
    <w:rsid w:val="00097CAA"/>
    <w:rsid w:val="00097CDB"/>
    <w:rsid w:val="000A0D2C"/>
    <w:rsid w:val="000A1BD7"/>
    <w:rsid w:val="000A259E"/>
    <w:rsid w:val="000A29A2"/>
    <w:rsid w:val="000A3A2D"/>
    <w:rsid w:val="000A3C76"/>
    <w:rsid w:val="000A46B9"/>
    <w:rsid w:val="000A4E86"/>
    <w:rsid w:val="000A57F4"/>
    <w:rsid w:val="000A5B4D"/>
    <w:rsid w:val="000A7C36"/>
    <w:rsid w:val="000A7C8C"/>
    <w:rsid w:val="000B4E28"/>
    <w:rsid w:val="000B4E2F"/>
    <w:rsid w:val="000B6A6B"/>
    <w:rsid w:val="000C0573"/>
    <w:rsid w:val="000C101B"/>
    <w:rsid w:val="000C1BCF"/>
    <w:rsid w:val="000C2100"/>
    <w:rsid w:val="000C2637"/>
    <w:rsid w:val="000C61F2"/>
    <w:rsid w:val="000C6212"/>
    <w:rsid w:val="000C76D7"/>
    <w:rsid w:val="000C7C8F"/>
    <w:rsid w:val="000D08DE"/>
    <w:rsid w:val="000D160A"/>
    <w:rsid w:val="000D1832"/>
    <w:rsid w:val="000D1F4F"/>
    <w:rsid w:val="000D1FD4"/>
    <w:rsid w:val="000D2B82"/>
    <w:rsid w:val="000D2DBA"/>
    <w:rsid w:val="000D36CF"/>
    <w:rsid w:val="000D42BA"/>
    <w:rsid w:val="000D4723"/>
    <w:rsid w:val="000D49BF"/>
    <w:rsid w:val="000D78BC"/>
    <w:rsid w:val="000E053B"/>
    <w:rsid w:val="000E17FB"/>
    <w:rsid w:val="000E24AA"/>
    <w:rsid w:val="000E3786"/>
    <w:rsid w:val="000E42A1"/>
    <w:rsid w:val="000E460E"/>
    <w:rsid w:val="000E6030"/>
    <w:rsid w:val="000E6201"/>
    <w:rsid w:val="000E6492"/>
    <w:rsid w:val="000E7C19"/>
    <w:rsid w:val="000F0A46"/>
    <w:rsid w:val="000F1D6B"/>
    <w:rsid w:val="000F1F26"/>
    <w:rsid w:val="000F2126"/>
    <w:rsid w:val="000F25AB"/>
    <w:rsid w:val="000F3B9D"/>
    <w:rsid w:val="000F435A"/>
    <w:rsid w:val="000F489A"/>
    <w:rsid w:val="000F51AA"/>
    <w:rsid w:val="000F6FCE"/>
    <w:rsid w:val="000F777B"/>
    <w:rsid w:val="00101132"/>
    <w:rsid w:val="001023D1"/>
    <w:rsid w:val="00106BB8"/>
    <w:rsid w:val="00107019"/>
    <w:rsid w:val="00107832"/>
    <w:rsid w:val="00107AB0"/>
    <w:rsid w:val="001124AD"/>
    <w:rsid w:val="00112941"/>
    <w:rsid w:val="00113A3F"/>
    <w:rsid w:val="00113C70"/>
    <w:rsid w:val="00114E05"/>
    <w:rsid w:val="00115002"/>
    <w:rsid w:val="00116830"/>
    <w:rsid w:val="001170ED"/>
    <w:rsid w:val="00117BC8"/>
    <w:rsid w:val="00120349"/>
    <w:rsid w:val="00120579"/>
    <w:rsid w:val="001209CE"/>
    <w:rsid w:val="001209E0"/>
    <w:rsid w:val="00120E4B"/>
    <w:rsid w:val="0012128F"/>
    <w:rsid w:val="0012291A"/>
    <w:rsid w:val="00122ABA"/>
    <w:rsid w:val="001235DD"/>
    <w:rsid w:val="00124025"/>
    <w:rsid w:val="001244C2"/>
    <w:rsid w:val="00125868"/>
    <w:rsid w:val="0012621A"/>
    <w:rsid w:val="00132B7F"/>
    <w:rsid w:val="001343FD"/>
    <w:rsid w:val="00134787"/>
    <w:rsid w:val="00135046"/>
    <w:rsid w:val="001353FD"/>
    <w:rsid w:val="00136CA1"/>
    <w:rsid w:val="001400BA"/>
    <w:rsid w:val="001404C7"/>
    <w:rsid w:val="0014087B"/>
    <w:rsid w:val="00141C82"/>
    <w:rsid w:val="0014219E"/>
    <w:rsid w:val="00142253"/>
    <w:rsid w:val="001425AA"/>
    <w:rsid w:val="00143DF6"/>
    <w:rsid w:val="0014413C"/>
    <w:rsid w:val="00145785"/>
    <w:rsid w:val="001461E6"/>
    <w:rsid w:val="00146269"/>
    <w:rsid w:val="00147056"/>
    <w:rsid w:val="001477BD"/>
    <w:rsid w:val="00147997"/>
    <w:rsid w:val="00147B38"/>
    <w:rsid w:val="00150AF0"/>
    <w:rsid w:val="00150DB9"/>
    <w:rsid w:val="001516DD"/>
    <w:rsid w:val="00151F48"/>
    <w:rsid w:val="0015210D"/>
    <w:rsid w:val="00152996"/>
    <w:rsid w:val="00153281"/>
    <w:rsid w:val="0015388B"/>
    <w:rsid w:val="00153F06"/>
    <w:rsid w:val="00155557"/>
    <w:rsid w:val="00155F87"/>
    <w:rsid w:val="001565F1"/>
    <w:rsid w:val="00156B44"/>
    <w:rsid w:val="00156B5D"/>
    <w:rsid w:val="00156C0A"/>
    <w:rsid w:val="001574A8"/>
    <w:rsid w:val="00157C32"/>
    <w:rsid w:val="00157ED6"/>
    <w:rsid w:val="00160059"/>
    <w:rsid w:val="00160997"/>
    <w:rsid w:val="00160A23"/>
    <w:rsid w:val="00160DFC"/>
    <w:rsid w:val="001623AC"/>
    <w:rsid w:val="001628C3"/>
    <w:rsid w:val="0016352E"/>
    <w:rsid w:val="0016410F"/>
    <w:rsid w:val="00164A1F"/>
    <w:rsid w:val="001660F8"/>
    <w:rsid w:val="00166E3E"/>
    <w:rsid w:val="001676D6"/>
    <w:rsid w:val="00167768"/>
    <w:rsid w:val="001677C8"/>
    <w:rsid w:val="00167FCB"/>
    <w:rsid w:val="00170473"/>
    <w:rsid w:val="001712A5"/>
    <w:rsid w:val="001717B2"/>
    <w:rsid w:val="001717E8"/>
    <w:rsid w:val="001724A5"/>
    <w:rsid w:val="001727E6"/>
    <w:rsid w:val="001734F5"/>
    <w:rsid w:val="00175194"/>
    <w:rsid w:val="00176298"/>
    <w:rsid w:val="00177C6E"/>
    <w:rsid w:val="00177EAA"/>
    <w:rsid w:val="001811BD"/>
    <w:rsid w:val="00184748"/>
    <w:rsid w:val="0018519A"/>
    <w:rsid w:val="001863D0"/>
    <w:rsid w:val="001913F9"/>
    <w:rsid w:val="00192222"/>
    <w:rsid w:val="001936B4"/>
    <w:rsid w:val="00193953"/>
    <w:rsid w:val="00194A21"/>
    <w:rsid w:val="00194BD1"/>
    <w:rsid w:val="001961F4"/>
    <w:rsid w:val="00196D01"/>
    <w:rsid w:val="00197931"/>
    <w:rsid w:val="00197EA3"/>
    <w:rsid w:val="001A0808"/>
    <w:rsid w:val="001A1201"/>
    <w:rsid w:val="001A1F2C"/>
    <w:rsid w:val="001A241E"/>
    <w:rsid w:val="001A3B93"/>
    <w:rsid w:val="001A3E66"/>
    <w:rsid w:val="001A3EC3"/>
    <w:rsid w:val="001A491B"/>
    <w:rsid w:val="001A5E9E"/>
    <w:rsid w:val="001A7057"/>
    <w:rsid w:val="001B13DF"/>
    <w:rsid w:val="001B25EF"/>
    <w:rsid w:val="001B2725"/>
    <w:rsid w:val="001B4470"/>
    <w:rsid w:val="001B54DC"/>
    <w:rsid w:val="001B5678"/>
    <w:rsid w:val="001B7A5D"/>
    <w:rsid w:val="001C1711"/>
    <w:rsid w:val="001C1ACC"/>
    <w:rsid w:val="001C2E4F"/>
    <w:rsid w:val="001C3909"/>
    <w:rsid w:val="001C3C1C"/>
    <w:rsid w:val="001C4575"/>
    <w:rsid w:val="001C4DAF"/>
    <w:rsid w:val="001C6045"/>
    <w:rsid w:val="001C6A06"/>
    <w:rsid w:val="001C7AD9"/>
    <w:rsid w:val="001D0E51"/>
    <w:rsid w:val="001D0EB6"/>
    <w:rsid w:val="001D0F0F"/>
    <w:rsid w:val="001D4452"/>
    <w:rsid w:val="001D447F"/>
    <w:rsid w:val="001D598A"/>
    <w:rsid w:val="001D6500"/>
    <w:rsid w:val="001D680E"/>
    <w:rsid w:val="001D7527"/>
    <w:rsid w:val="001D77AF"/>
    <w:rsid w:val="001E040C"/>
    <w:rsid w:val="001E0FC9"/>
    <w:rsid w:val="001E10E7"/>
    <w:rsid w:val="001E15CF"/>
    <w:rsid w:val="001E1E83"/>
    <w:rsid w:val="001E241B"/>
    <w:rsid w:val="001E31D2"/>
    <w:rsid w:val="001E4A2A"/>
    <w:rsid w:val="001E4C58"/>
    <w:rsid w:val="001E6642"/>
    <w:rsid w:val="001E69EC"/>
    <w:rsid w:val="001E6FEA"/>
    <w:rsid w:val="001E7A9C"/>
    <w:rsid w:val="001F02FB"/>
    <w:rsid w:val="001F0E6B"/>
    <w:rsid w:val="001F17A4"/>
    <w:rsid w:val="001F1DE9"/>
    <w:rsid w:val="001F1FDE"/>
    <w:rsid w:val="001F237A"/>
    <w:rsid w:val="001F3971"/>
    <w:rsid w:val="001F417A"/>
    <w:rsid w:val="001F4338"/>
    <w:rsid w:val="001F5AB7"/>
    <w:rsid w:val="001F7458"/>
    <w:rsid w:val="0020427E"/>
    <w:rsid w:val="00204D55"/>
    <w:rsid w:val="00204F0A"/>
    <w:rsid w:val="00205A4D"/>
    <w:rsid w:val="00206231"/>
    <w:rsid w:val="002064A5"/>
    <w:rsid w:val="00206B97"/>
    <w:rsid w:val="00207065"/>
    <w:rsid w:val="002103F3"/>
    <w:rsid w:val="00213936"/>
    <w:rsid w:val="00213D35"/>
    <w:rsid w:val="00214B7B"/>
    <w:rsid w:val="00215214"/>
    <w:rsid w:val="00215516"/>
    <w:rsid w:val="002156C4"/>
    <w:rsid w:val="002174FC"/>
    <w:rsid w:val="002179B1"/>
    <w:rsid w:val="002203B2"/>
    <w:rsid w:val="00220E87"/>
    <w:rsid w:val="002233FB"/>
    <w:rsid w:val="00223B6A"/>
    <w:rsid w:val="002240CB"/>
    <w:rsid w:val="00224270"/>
    <w:rsid w:val="00224803"/>
    <w:rsid w:val="00226F88"/>
    <w:rsid w:val="00227E09"/>
    <w:rsid w:val="00230635"/>
    <w:rsid w:val="00230938"/>
    <w:rsid w:val="00231945"/>
    <w:rsid w:val="00231A11"/>
    <w:rsid w:val="002323A8"/>
    <w:rsid w:val="00232757"/>
    <w:rsid w:val="00235A2C"/>
    <w:rsid w:val="00236295"/>
    <w:rsid w:val="00237414"/>
    <w:rsid w:val="00237AE1"/>
    <w:rsid w:val="00237EBB"/>
    <w:rsid w:val="002401B1"/>
    <w:rsid w:val="00240236"/>
    <w:rsid w:val="0024031C"/>
    <w:rsid w:val="00245204"/>
    <w:rsid w:val="0024523F"/>
    <w:rsid w:val="00245A47"/>
    <w:rsid w:val="00246367"/>
    <w:rsid w:val="002514FA"/>
    <w:rsid w:val="00251C14"/>
    <w:rsid w:val="00251D6B"/>
    <w:rsid w:val="00252F5C"/>
    <w:rsid w:val="00253256"/>
    <w:rsid w:val="0025433B"/>
    <w:rsid w:val="00255676"/>
    <w:rsid w:val="00257211"/>
    <w:rsid w:val="00257C4E"/>
    <w:rsid w:val="002602C6"/>
    <w:rsid w:val="0026050C"/>
    <w:rsid w:val="002618E0"/>
    <w:rsid w:val="00261B43"/>
    <w:rsid w:val="00261D44"/>
    <w:rsid w:val="00262895"/>
    <w:rsid w:val="00263515"/>
    <w:rsid w:val="00263A79"/>
    <w:rsid w:val="002651EE"/>
    <w:rsid w:val="00265831"/>
    <w:rsid w:val="00265B18"/>
    <w:rsid w:val="00265D03"/>
    <w:rsid w:val="00266444"/>
    <w:rsid w:val="00267C6D"/>
    <w:rsid w:val="00270B83"/>
    <w:rsid w:val="00270C68"/>
    <w:rsid w:val="00271A24"/>
    <w:rsid w:val="00272FB6"/>
    <w:rsid w:val="00273C8B"/>
    <w:rsid w:val="002748EF"/>
    <w:rsid w:val="0027563C"/>
    <w:rsid w:val="002758B8"/>
    <w:rsid w:val="00275FA9"/>
    <w:rsid w:val="0028277A"/>
    <w:rsid w:val="00282D26"/>
    <w:rsid w:val="00283842"/>
    <w:rsid w:val="0028481F"/>
    <w:rsid w:val="00286507"/>
    <w:rsid w:val="00286BA8"/>
    <w:rsid w:val="002876FC"/>
    <w:rsid w:val="002878B3"/>
    <w:rsid w:val="00287F47"/>
    <w:rsid w:val="00290F49"/>
    <w:rsid w:val="002911F9"/>
    <w:rsid w:val="00291503"/>
    <w:rsid w:val="00292546"/>
    <w:rsid w:val="00293091"/>
    <w:rsid w:val="002932A8"/>
    <w:rsid w:val="00293564"/>
    <w:rsid w:val="00294490"/>
    <w:rsid w:val="00295340"/>
    <w:rsid w:val="00295F18"/>
    <w:rsid w:val="002962A2"/>
    <w:rsid w:val="002A34D6"/>
    <w:rsid w:val="002A39F9"/>
    <w:rsid w:val="002A3E28"/>
    <w:rsid w:val="002A4D64"/>
    <w:rsid w:val="002A633B"/>
    <w:rsid w:val="002A6E47"/>
    <w:rsid w:val="002B000A"/>
    <w:rsid w:val="002B0AF7"/>
    <w:rsid w:val="002B134E"/>
    <w:rsid w:val="002B2B72"/>
    <w:rsid w:val="002B2D8D"/>
    <w:rsid w:val="002B3909"/>
    <w:rsid w:val="002B451C"/>
    <w:rsid w:val="002B56EE"/>
    <w:rsid w:val="002B58F2"/>
    <w:rsid w:val="002B6038"/>
    <w:rsid w:val="002B64E4"/>
    <w:rsid w:val="002B6B51"/>
    <w:rsid w:val="002B796A"/>
    <w:rsid w:val="002B7A91"/>
    <w:rsid w:val="002C021E"/>
    <w:rsid w:val="002C0587"/>
    <w:rsid w:val="002C0F27"/>
    <w:rsid w:val="002C0F6C"/>
    <w:rsid w:val="002C1795"/>
    <w:rsid w:val="002C23E6"/>
    <w:rsid w:val="002C2433"/>
    <w:rsid w:val="002C3993"/>
    <w:rsid w:val="002C4D11"/>
    <w:rsid w:val="002C4DC0"/>
    <w:rsid w:val="002C4F5D"/>
    <w:rsid w:val="002C6B29"/>
    <w:rsid w:val="002C7236"/>
    <w:rsid w:val="002D0E47"/>
    <w:rsid w:val="002D1F13"/>
    <w:rsid w:val="002D2A42"/>
    <w:rsid w:val="002D58FD"/>
    <w:rsid w:val="002D6B45"/>
    <w:rsid w:val="002D6F2D"/>
    <w:rsid w:val="002D73BC"/>
    <w:rsid w:val="002D7BE5"/>
    <w:rsid w:val="002E0AED"/>
    <w:rsid w:val="002E0AEF"/>
    <w:rsid w:val="002E0BE1"/>
    <w:rsid w:val="002E2886"/>
    <w:rsid w:val="002E315E"/>
    <w:rsid w:val="002E41C3"/>
    <w:rsid w:val="002E4751"/>
    <w:rsid w:val="002E48F0"/>
    <w:rsid w:val="002E5767"/>
    <w:rsid w:val="002E59FF"/>
    <w:rsid w:val="002E6761"/>
    <w:rsid w:val="002E7245"/>
    <w:rsid w:val="002E732C"/>
    <w:rsid w:val="002E7A91"/>
    <w:rsid w:val="002E7EEB"/>
    <w:rsid w:val="002F02CF"/>
    <w:rsid w:val="002F0526"/>
    <w:rsid w:val="002F07E5"/>
    <w:rsid w:val="002F0828"/>
    <w:rsid w:val="002F0EA2"/>
    <w:rsid w:val="002F0F9C"/>
    <w:rsid w:val="002F2570"/>
    <w:rsid w:val="002F2807"/>
    <w:rsid w:val="002F2A0D"/>
    <w:rsid w:val="002F2DC3"/>
    <w:rsid w:val="002F2FA6"/>
    <w:rsid w:val="002F316E"/>
    <w:rsid w:val="002F3AD2"/>
    <w:rsid w:val="002F548D"/>
    <w:rsid w:val="002F60EA"/>
    <w:rsid w:val="002F6B30"/>
    <w:rsid w:val="002F6B50"/>
    <w:rsid w:val="002F7DC4"/>
    <w:rsid w:val="00301B76"/>
    <w:rsid w:val="003027D5"/>
    <w:rsid w:val="00302804"/>
    <w:rsid w:val="00303B13"/>
    <w:rsid w:val="00303D94"/>
    <w:rsid w:val="00305C03"/>
    <w:rsid w:val="00305EE8"/>
    <w:rsid w:val="00306179"/>
    <w:rsid w:val="00306342"/>
    <w:rsid w:val="00306DBD"/>
    <w:rsid w:val="00307674"/>
    <w:rsid w:val="003076A7"/>
    <w:rsid w:val="00307845"/>
    <w:rsid w:val="00307EA4"/>
    <w:rsid w:val="00310CD8"/>
    <w:rsid w:val="00311B72"/>
    <w:rsid w:val="0031233D"/>
    <w:rsid w:val="00312716"/>
    <w:rsid w:val="00314A09"/>
    <w:rsid w:val="00315684"/>
    <w:rsid w:val="00315C00"/>
    <w:rsid w:val="00316E52"/>
    <w:rsid w:val="0031717D"/>
    <w:rsid w:val="0032049F"/>
    <w:rsid w:val="0032130D"/>
    <w:rsid w:val="0032245D"/>
    <w:rsid w:val="00322C5F"/>
    <w:rsid w:val="00322E6F"/>
    <w:rsid w:val="003235F4"/>
    <w:rsid w:val="0032607D"/>
    <w:rsid w:val="00327CA7"/>
    <w:rsid w:val="00330376"/>
    <w:rsid w:val="00330C27"/>
    <w:rsid w:val="0033177E"/>
    <w:rsid w:val="00332520"/>
    <w:rsid w:val="003327F2"/>
    <w:rsid w:val="00332AA2"/>
    <w:rsid w:val="00332E99"/>
    <w:rsid w:val="00335182"/>
    <w:rsid w:val="0033619F"/>
    <w:rsid w:val="0033710F"/>
    <w:rsid w:val="003405BB"/>
    <w:rsid w:val="003419EE"/>
    <w:rsid w:val="003420CB"/>
    <w:rsid w:val="00342451"/>
    <w:rsid w:val="003425DB"/>
    <w:rsid w:val="003431DA"/>
    <w:rsid w:val="003473E1"/>
    <w:rsid w:val="00347BF7"/>
    <w:rsid w:val="00350E14"/>
    <w:rsid w:val="00352E9D"/>
    <w:rsid w:val="003533C8"/>
    <w:rsid w:val="0035470B"/>
    <w:rsid w:val="003547D0"/>
    <w:rsid w:val="0035491A"/>
    <w:rsid w:val="00354DC5"/>
    <w:rsid w:val="00354F31"/>
    <w:rsid w:val="00356F14"/>
    <w:rsid w:val="003577EB"/>
    <w:rsid w:val="0036104C"/>
    <w:rsid w:val="0036237B"/>
    <w:rsid w:val="003636E0"/>
    <w:rsid w:val="00364A86"/>
    <w:rsid w:val="00365304"/>
    <w:rsid w:val="00365463"/>
    <w:rsid w:val="0036606D"/>
    <w:rsid w:val="003661BF"/>
    <w:rsid w:val="00366860"/>
    <w:rsid w:val="0036704A"/>
    <w:rsid w:val="00374611"/>
    <w:rsid w:val="0037468F"/>
    <w:rsid w:val="0037569E"/>
    <w:rsid w:val="003804AE"/>
    <w:rsid w:val="003824DB"/>
    <w:rsid w:val="00382D9D"/>
    <w:rsid w:val="00382E23"/>
    <w:rsid w:val="00383E4B"/>
    <w:rsid w:val="003872C2"/>
    <w:rsid w:val="0039028D"/>
    <w:rsid w:val="00390318"/>
    <w:rsid w:val="003913BB"/>
    <w:rsid w:val="003924C2"/>
    <w:rsid w:val="00394F6B"/>
    <w:rsid w:val="003951DF"/>
    <w:rsid w:val="003953ED"/>
    <w:rsid w:val="00395405"/>
    <w:rsid w:val="003976CC"/>
    <w:rsid w:val="00397EDF"/>
    <w:rsid w:val="003A0188"/>
    <w:rsid w:val="003A06A6"/>
    <w:rsid w:val="003A0D86"/>
    <w:rsid w:val="003A102F"/>
    <w:rsid w:val="003A229E"/>
    <w:rsid w:val="003A25C3"/>
    <w:rsid w:val="003A2A26"/>
    <w:rsid w:val="003A2F19"/>
    <w:rsid w:val="003A3368"/>
    <w:rsid w:val="003A3B59"/>
    <w:rsid w:val="003A41F9"/>
    <w:rsid w:val="003A47F6"/>
    <w:rsid w:val="003A74D5"/>
    <w:rsid w:val="003A7A7B"/>
    <w:rsid w:val="003B09E2"/>
    <w:rsid w:val="003B1301"/>
    <w:rsid w:val="003B184C"/>
    <w:rsid w:val="003B18BA"/>
    <w:rsid w:val="003B2515"/>
    <w:rsid w:val="003B2CE3"/>
    <w:rsid w:val="003B65E2"/>
    <w:rsid w:val="003B6F42"/>
    <w:rsid w:val="003B74F8"/>
    <w:rsid w:val="003B76E9"/>
    <w:rsid w:val="003B7A53"/>
    <w:rsid w:val="003C201E"/>
    <w:rsid w:val="003C2331"/>
    <w:rsid w:val="003C253B"/>
    <w:rsid w:val="003C2592"/>
    <w:rsid w:val="003C28C1"/>
    <w:rsid w:val="003C2AF2"/>
    <w:rsid w:val="003C2CA0"/>
    <w:rsid w:val="003C2E68"/>
    <w:rsid w:val="003C422B"/>
    <w:rsid w:val="003C42D8"/>
    <w:rsid w:val="003C6609"/>
    <w:rsid w:val="003D11A3"/>
    <w:rsid w:val="003D3C36"/>
    <w:rsid w:val="003D3F10"/>
    <w:rsid w:val="003D3F1B"/>
    <w:rsid w:val="003D4144"/>
    <w:rsid w:val="003D4866"/>
    <w:rsid w:val="003D6D52"/>
    <w:rsid w:val="003D7F11"/>
    <w:rsid w:val="003D7FB7"/>
    <w:rsid w:val="003E0864"/>
    <w:rsid w:val="003E09C8"/>
    <w:rsid w:val="003E28F9"/>
    <w:rsid w:val="003E4867"/>
    <w:rsid w:val="003E51D9"/>
    <w:rsid w:val="003E5D3D"/>
    <w:rsid w:val="003E64C3"/>
    <w:rsid w:val="003E6F88"/>
    <w:rsid w:val="003E7502"/>
    <w:rsid w:val="003F1715"/>
    <w:rsid w:val="003F2476"/>
    <w:rsid w:val="003F366C"/>
    <w:rsid w:val="003F376F"/>
    <w:rsid w:val="003F3AFB"/>
    <w:rsid w:val="003F3B18"/>
    <w:rsid w:val="003F3F49"/>
    <w:rsid w:val="003F4866"/>
    <w:rsid w:val="003F625C"/>
    <w:rsid w:val="003F665C"/>
    <w:rsid w:val="003F668B"/>
    <w:rsid w:val="003F66C3"/>
    <w:rsid w:val="003F6E7B"/>
    <w:rsid w:val="003F74AA"/>
    <w:rsid w:val="004012BF"/>
    <w:rsid w:val="004014C2"/>
    <w:rsid w:val="00401912"/>
    <w:rsid w:val="00402039"/>
    <w:rsid w:val="004042D3"/>
    <w:rsid w:val="00405EBB"/>
    <w:rsid w:val="00407D7D"/>
    <w:rsid w:val="004114A6"/>
    <w:rsid w:val="00411645"/>
    <w:rsid w:val="0041187B"/>
    <w:rsid w:val="00411C42"/>
    <w:rsid w:val="00412C14"/>
    <w:rsid w:val="004133BE"/>
    <w:rsid w:val="004138B1"/>
    <w:rsid w:val="004151A8"/>
    <w:rsid w:val="004164E5"/>
    <w:rsid w:val="00416BD3"/>
    <w:rsid w:val="00416D8A"/>
    <w:rsid w:val="00416DAF"/>
    <w:rsid w:val="004172AE"/>
    <w:rsid w:val="004172B2"/>
    <w:rsid w:val="004173C9"/>
    <w:rsid w:val="004209E1"/>
    <w:rsid w:val="0042147F"/>
    <w:rsid w:val="00421515"/>
    <w:rsid w:val="00421646"/>
    <w:rsid w:val="00423AA9"/>
    <w:rsid w:val="00426D4F"/>
    <w:rsid w:val="004270B1"/>
    <w:rsid w:val="00427721"/>
    <w:rsid w:val="004302AD"/>
    <w:rsid w:val="004302E6"/>
    <w:rsid w:val="004307DA"/>
    <w:rsid w:val="00430BDB"/>
    <w:rsid w:val="00430C73"/>
    <w:rsid w:val="004317E3"/>
    <w:rsid w:val="00432980"/>
    <w:rsid w:val="00433DB7"/>
    <w:rsid w:val="00434699"/>
    <w:rsid w:val="004355FD"/>
    <w:rsid w:val="00435C3A"/>
    <w:rsid w:val="0043730C"/>
    <w:rsid w:val="004400CA"/>
    <w:rsid w:val="0044169B"/>
    <w:rsid w:val="00441FCC"/>
    <w:rsid w:val="00441FD3"/>
    <w:rsid w:val="00444EEE"/>
    <w:rsid w:val="004459EF"/>
    <w:rsid w:val="00445F34"/>
    <w:rsid w:val="00445F59"/>
    <w:rsid w:val="00450848"/>
    <w:rsid w:val="00450D6A"/>
    <w:rsid w:val="00451657"/>
    <w:rsid w:val="00452FD3"/>
    <w:rsid w:val="004544B0"/>
    <w:rsid w:val="00455EF3"/>
    <w:rsid w:val="00456E26"/>
    <w:rsid w:val="00460272"/>
    <w:rsid w:val="004618E5"/>
    <w:rsid w:val="00462F8F"/>
    <w:rsid w:val="004631F6"/>
    <w:rsid w:val="00463EB8"/>
    <w:rsid w:val="0046574E"/>
    <w:rsid w:val="004663CA"/>
    <w:rsid w:val="00466950"/>
    <w:rsid w:val="00470263"/>
    <w:rsid w:val="0047136E"/>
    <w:rsid w:val="00471B8C"/>
    <w:rsid w:val="00472126"/>
    <w:rsid w:val="004726E6"/>
    <w:rsid w:val="004742A1"/>
    <w:rsid w:val="004757A4"/>
    <w:rsid w:val="00475B4E"/>
    <w:rsid w:val="004760BC"/>
    <w:rsid w:val="0047613D"/>
    <w:rsid w:val="004763FB"/>
    <w:rsid w:val="0047779B"/>
    <w:rsid w:val="00480789"/>
    <w:rsid w:val="004810DD"/>
    <w:rsid w:val="004819B6"/>
    <w:rsid w:val="004819E8"/>
    <w:rsid w:val="00482C76"/>
    <w:rsid w:val="004838D3"/>
    <w:rsid w:val="00483A49"/>
    <w:rsid w:val="00483D4F"/>
    <w:rsid w:val="00484E13"/>
    <w:rsid w:val="004854A6"/>
    <w:rsid w:val="00486F31"/>
    <w:rsid w:val="004900E9"/>
    <w:rsid w:val="0049030A"/>
    <w:rsid w:val="00490D8B"/>
    <w:rsid w:val="0049167C"/>
    <w:rsid w:val="00491C67"/>
    <w:rsid w:val="00492361"/>
    <w:rsid w:val="00492583"/>
    <w:rsid w:val="0049274C"/>
    <w:rsid w:val="004937FA"/>
    <w:rsid w:val="00493C24"/>
    <w:rsid w:val="00493FE6"/>
    <w:rsid w:val="00494E89"/>
    <w:rsid w:val="00496185"/>
    <w:rsid w:val="0049774E"/>
    <w:rsid w:val="004A1B51"/>
    <w:rsid w:val="004A1EB4"/>
    <w:rsid w:val="004A3040"/>
    <w:rsid w:val="004A30D5"/>
    <w:rsid w:val="004A480A"/>
    <w:rsid w:val="004A4AF4"/>
    <w:rsid w:val="004A4AF9"/>
    <w:rsid w:val="004A5BB8"/>
    <w:rsid w:val="004A748E"/>
    <w:rsid w:val="004B000D"/>
    <w:rsid w:val="004B0AD2"/>
    <w:rsid w:val="004B0ED3"/>
    <w:rsid w:val="004B1397"/>
    <w:rsid w:val="004B1ED7"/>
    <w:rsid w:val="004B2C0A"/>
    <w:rsid w:val="004B2E8D"/>
    <w:rsid w:val="004B3370"/>
    <w:rsid w:val="004B3B2D"/>
    <w:rsid w:val="004B50FF"/>
    <w:rsid w:val="004B51C4"/>
    <w:rsid w:val="004B623B"/>
    <w:rsid w:val="004B62B5"/>
    <w:rsid w:val="004B6FAC"/>
    <w:rsid w:val="004B7DF1"/>
    <w:rsid w:val="004B7F92"/>
    <w:rsid w:val="004C002E"/>
    <w:rsid w:val="004C0153"/>
    <w:rsid w:val="004C07D5"/>
    <w:rsid w:val="004C0AAA"/>
    <w:rsid w:val="004C0F52"/>
    <w:rsid w:val="004C18DF"/>
    <w:rsid w:val="004C39F7"/>
    <w:rsid w:val="004C3F12"/>
    <w:rsid w:val="004C486D"/>
    <w:rsid w:val="004C492F"/>
    <w:rsid w:val="004C524A"/>
    <w:rsid w:val="004C6CBC"/>
    <w:rsid w:val="004C6DE0"/>
    <w:rsid w:val="004C7EA2"/>
    <w:rsid w:val="004D013B"/>
    <w:rsid w:val="004D0471"/>
    <w:rsid w:val="004D1489"/>
    <w:rsid w:val="004D1E9D"/>
    <w:rsid w:val="004D2235"/>
    <w:rsid w:val="004D263A"/>
    <w:rsid w:val="004D4F70"/>
    <w:rsid w:val="004D733B"/>
    <w:rsid w:val="004E0CDC"/>
    <w:rsid w:val="004E1031"/>
    <w:rsid w:val="004E29BA"/>
    <w:rsid w:val="004E2CB0"/>
    <w:rsid w:val="004E2F60"/>
    <w:rsid w:val="004E421E"/>
    <w:rsid w:val="004E53D9"/>
    <w:rsid w:val="004E5513"/>
    <w:rsid w:val="004E5B4E"/>
    <w:rsid w:val="004E667F"/>
    <w:rsid w:val="004E6D12"/>
    <w:rsid w:val="004E7C91"/>
    <w:rsid w:val="004E7E32"/>
    <w:rsid w:val="004F0AB8"/>
    <w:rsid w:val="004F0B40"/>
    <w:rsid w:val="004F32B4"/>
    <w:rsid w:val="004F3900"/>
    <w:rsid w:val="004F4C7E"/>
    <w:rsid w:val="004F4DA8"/>
    <w:rsid w:val="004F5DC6"/>
    <w:rsid w:val="004F657C"/>
    <w:rsid w:val="004F6AFE"/>
    <w:rsid w:val="004F7A1A"/>
    <w:rsid w:val="004F7CB6"/>
    <w:rsid w:val="00500775"/>
    <w:rsid w:val="00500C2C"/>
    <w:rsid w:val="00503911"/>
    <w:rsid w:val="00503D0A"/>
    <w:rsid w:val="00504EE7"/>
    <w:rsid w:val="00505551"/>
    <w:rsid w:val="00506B3C"/>
    <w:rsid w:val="00510721"/>
    <w:rsid w:val="00510735"/>
    <w:rsid w:val="005107C9"/>
    <w:rsid w:val="00511584"/>
    <w:rsid w:val="005128AC"/>
    <w:rsid w:val="00512CA7"/>
    <w:rsid w:val="00513631"/>
    <w:rsid w:val="005172CD"/>
    <w:rsid w:val="005172D5"/>
    <w:rsid w:val="005210E4"/>
    <w:rsid w:val="00521174"/>
    <w:rsid w:val="00521F5E"/>
    <w:rsid w:val="00522830"/>
    <w:rsid w:val="00523F6A"/>
    <w:rsid w:val="00524522"/>
    <w:rsid w:val="00524984"/>
    <w:rsid w:val="00524D9B"/>
    <w:rsid w:val="00525196"/>
    <w:rsid w:val="00525D70"/>
    <w:rsid w:val="005268A5"/>
    <w:rsid w:val="005268EA"/>
    <w:rsid w:val="00531E00"/>
    <w:rsid w:val="005332D4"/>
    <w:rsid w:val="005334D1"/>
    <w:rsid w:val="0053526A"/>
    <w:rsid w:val="0053601E"/>
    <w:rsid w:val="00536592"/>
    <w:rsid w:val="00536A17"/>
    <w:rsid w:val="00537F63"/>
    <w:rsid w:val="005402CF"/>
    <w:rsid w:val="00541508"/>
    <w:rsid w:val="00542123"/>
    <w:rsid w:val="00544053"/>
    <w:rsid w:val="005445D1"/>
    <w:rsid w:val="005463EF"/>
    <w:rsid w:val="00546C88"/>
    <w:rsid w:val="00551023"/>
    <w:rsid w:val="00551BAD"/>
    <w:rsid w:val="00552FD4"/>
    <w:rsid w:val="0055382F"/>
    <w:rsid w:val="00554306"/>
    <w:rsid w:val="005568F2"/>
    <w:rsid w:val="00560F9F"/>
    <w:rsid w:val="005615D0"/>
    <w:rsid w:val="00562437"/>
    <w:rsid w:val="005630D3"/>
    <w:rsid w:val="00564247"/>
    <w:rsid w:val="00564D50"/>
    <w:rsid w:val="005656E0"/>
    <w:rsid w:val="00566A75"/>
    <w:rsid w:val="00566D59"/>
    <w:rsid w:val="0057001C"/>
    <w:rsid w:val="005710CF"/>
    <w:rsid w:val="00572ED2"/>
    <w:rsid w:val="00572F0F"/>
    <w:rsid w:val="00580202"/>
    <w:rsid w:val="005811CA"/>
    <w:rsid w:val="0058300B"/>
    <w:rsid w:val="005836C7"/>
    <w:rsid w:val="00583AB4"/>
    <w:rsid w:val="00583AF8"/>
    <w:rsid w:val="00583B5C"/>
    <w:rsid w:val="00583C27"/>
    <w:rsid w:val="00583CA1"/>
    <w:rsid w:val="00583E83"/>
    <w:rsid w:val="00584813"/>
    <w:rsid w:val="0058513F"/>
    <w:rsid w:val="005854DF"/>
    <w:rsid w:val="00586293"/>
    <w:rsid w:val="0058682C"/>
    <w:rsid w:val="0058682F"/>
    <w:rsid w:val="0058774A"/>
    <w:rsid w:val="00587780"/>
    <w:rsid w:val="005903C3"/>
    <w:rsid w:val="00590D56"/>
    <w:rsid w:val="0059120B"/>
    <w:rsid w:val="0059159B"/>
    <w:rsid w:val="00591B0A"/>
    <w:rsid w:val="00592AA0"/>
    <w:rsid w:val="0059394D"/>
    <w:rsid w:val="0059400B"/>
    <w:rsid w:val="00594454"/>
    <w:rsid w:val="00594640"/>
    <w:rsid w:val="00594B6B"/>
    <w:rsid w:val="00594D39"/>
    <w:rsid w:val="005951F0"/>
    <w:rsid w:val="00595B63"/>
    <w:rsid w:val="00596639"/>
    <w:rsid w:val="005974C8"/>
    <w:rsid w:val="00597939"/>
    <w:rsid w:val="005A04F1"/>
    <w:rsid w:val="005A13CF"/>
    <w:rsid w:val="005A1613"/>
    <w:rsid w:val="005A1756"/>
    <w:rsid w:val="005A2187"/>
    <w:rsid w:val="005A37B5"/>
    <w:rsid w:val="005A3CF9"/>
    <w:rsid w:val="005A416D"/>
    <w:rsid w:val="005A499A"/>
    <w:rsid w:val="005A4A87"/>
    <w:rsid w:val="005A54B9"/>
    <w:rsid w:val="005A62E7"/>
    <w:rsid w:val="005B0395"/>
    <w:rsid w:val="005B1471"/>
    <w:rsid w:val="005B1604"/>
    <w:rsid w:val="005B1808"/>
    <w:rsid w:val="005B1BC4"/>
    <w:rsid w:val="005B1D3A"/>
    <w:rsid w:val="005B3C97"/>
    <w:rsid w:val="005B5960"/>
    <w:rsid w:val="005B6313"/>
    <w:rsid w:val="005B631F"/>
    <w:rsid w:val="005C02BB"/>
    <w:rsid w:val="005C03CD"/>
    <w:rsid w:val="005C0BC9"/>
    <w:rsid w:val="005C0C3D"/>
    <w:rsid w:val="005C0DC0"/>
    <w:rsid w:val="005C1275"/>
    <w:rsid w:val="005C2023"/>
    <w:rsid w:val="005C2769"/>
    <w:rsid w:val="005C3196"/>
    <w:rsid w:val="005C41F4"/>
    <w:rsid w:val="005C42B3"/>
    <w:rsid w:val="005C4A47"/>
    <w:rsid w:val="005C4C28"/>
    <w:rsid w:val="005C5B56"/>
    <w:rsid w:val="005C6B0B"/>
    <w:rsid w:val="005C6C9E"/>
    <w:rsid w:val="005C6E9F"/>
    <w:rsid w:val="005C7DBB"/>
    <w:rsid w:val="005D04E4"/>
    <w:rsid w:val="005D0778"/>
    <w:rsid w:val="005D117C"/>
    <w:rsid w:val="005D236F"/>
    <w:rsid w:val="005D2A76"/>
    <w:rsid w:val="005D2D3F"/>
    <w:rsid w:val="005D5563"/>
    <w:rsid w:val="005D5B29"/>
    <w:rsid w:val="005D61FB"/>
    <w:rsid w:val="005D6D13"/>
    <w:rsid w:val="005E0647"/>
    <w:rsid w:val="005E0BBB"/>
    <w:rsid w:val="005E0CEE"/>
    <w:rsid w:val="005E142F"/>
    <w:rsid w:val="005E1466"/>
    <w:rsid w:val="005E1DDC"/>
    <w:rsid w:val="005E1F45"/>
    <w:rsid w:val="005E27D5"/>
    <w:rsid w:val="005E28AC"/>
    <w:rsid w:val="005E2989"/>
    <w:rsid w:val="005E4086"/>
    <w:rsid w:val="005E467C"/>
    <w:rsid w:val="005E5124"/>
    <w:rsid w:val="005E59AE"/>
    <w:rsid w:val="005E5B2A"/>
    <w:rsid w:val="005E5BAE"/>
    <w:rsid w:val="005E6012"/>
    <w:rsid w:val="005F0B8D"/>
    <w:rsid w:val="005F0F73"/>
    <w:rsid w:val="005F19F9"/>
    <w:rsid w:val="005F1B7B"/>
    <w:rsid w:val="005F2612"/>
    <w:rsid w:val="005F2B25"/>
    <w:rsid w:val="005F2DA4"/>
    <w:rsid w:val="005F366A"/>
    <w:rsid w:val="005F3968"/>
    <w:rsid w:val="005F4A37"/>
    <w:rsid w:val="005F5976"/>
    <w:rsid w:val="005F5A19"/>
    <w:rsid w:val="005F6209"/>
    <w:rsid w:val="005F65BD"/>
    <w:rsid w:val="005F70C6"/>
    <w:rsid w:val="005F7BF8"/>
    <w:rsid w:val="00600610"/>
    <w:rsid w:val="006011F6"/>
    <w:rsid w:val="00601360"/>
    <w:rsid w:val="00602FDC"/>
    <w:rsid w:val="006032DF"/>
    <w:rsid w:val="0060344A"/>
    <w:rsid w:val="00603FDC"/>
    <w:rsid w:val="006057B0"/>
    <w:rsid w:val="00605B5E"/>
    <w:rsid w:val="00606041"/>
    <w:rsid w:val="00606790"/>
    <w:rsid w:val="006075FA"/>
    <w:rsid w:val="00607D66"/>
    <w:rsid w:val="006101AB"/>
    <w:rsid w:val="0061032B"/>
    <w:rsid w:val="00611280"/>
    <w:rsid w:val="00612403"/>
    <w:rsid w:val="00612E2B"/>
    <w:rsid w:val="0061300D"/>
    <w:rsid w:val="00613428"/>
    <w:rsid w:val="006136A4"/>
    <w:rsid w:val="00613DFB"/>
    <w:rsid w:val="006143D0"/>
    <w:rsid w:val="00615123"/>
    <w:rsid w:val="00615F1A"/>
    <w:rsid w:val="006164E1"/>
    <w:rsid w:val="00620B8C"/>
    <w:rsid w:val="00620FE5"/>
    <w:rsid w:val="0062176D"/>
    <w:rsid w:val="00621A43"/>
    <w:rsid w:val="00624307"/>
    <w:rsid w:val="00624B16"/>
    <w:rsid w:val="00626A9A"/>
    <w:rsid w:val="00627E67"/>
    <w:rsid w:val="006319D7"/>
    <w:rsid w:val="00632DC8"/>
    <w:rsid w:val="00633155"/>
    <w:rsid w:val="00634FF9"/>
    <w:rsid w:val="006350EE"/>
    <w:rsid w:val="00635151"/>
    <w:rsid w:val="00635165"/>
    <w:rsid w:val="00635E71"/>
    <w:rsid w:val="00636676"/>
    <w:rsid w:val="00637093"/>
    <w:rsid w:val="0064045F"/>
    <w:rsid w:val="00640833"/>
    <w:rsid w:val="00641019"/>
    <w:rsid w:val="00641C66"/>
    <w:rsid w:val="00642881"/>
    <w:rsid w:val="00643711"/>
    <w:rsid w:val="00643722"/>
    <w:rsid w:val="00645FF8"/>
    <w:rsid w:val="006465F8"/>
    <w:rsid w:val="00647AB8"/>
    <w:rsid w:val="00651927"/>
    <w:rsid w:val="00652D15"/>
    <w:rsid w:val="00653874"/>
    <w:rsid w:val="0065474B"/>
    <w:rsid w:val="00654897"/>
    <w:rsid w:val="00656A38"/>
    <w:rsid w:val="00657480"/>
    <w:rsid w:val="00657D04"/>
    <w:rsid w:val="00660319"/>
    <w:rsid w:val="00660E68"/>
    <w:rsid w:val="006610B8"/>
    <w:rsid w:val="0066145E"/>
    <w:rsid w:val="006616A1"/>
    <w:rsid w:val="00661957"/>
    <w:rsid w:val="00662A28"/>
    <w:rsid w:val="0066471D"/>
    <w:rsid w:val="00664A41"/>
    <w:rsid w:val="0066565E"/>
    <w:rsid w:val="00665CF1"/>
    <w:rsid w:val="00666F4D"/>
    <w:rsid w:val="006674A8"/>
    <w:rsid w:val="0067044A"/>
    <w:rsid w:val="00670D41"/>
    <w:rsid w:val="006719CF"/>
    <w:rsid w:val="00672488"/>
    <w:rsid w:val="00672E46"/>
    <w:rsid w:val="00673553"/>
    <w:rsid w:val="00674559"/>
    <w:rsid w:val="00674CBD"/>
    <w:rsid w:val="00675CFA"/>
    <w:rsid w:val="00676801"/>
    <w:rsid w:val="006779D2"/>
    <w:rsid w:val="0068033A"/>
    <w:rsid w:val="0068105B"/>
    <w:rsid w:val="00681279"/>
    <w:rsid w:val="00681F1B"/>
    <w:rsid w:val="00682C79"/>
    <w:rsid w:val="006831D8"/>
    <w:rsid w:val="00684566"/>
    <w:rsid w:val="00684E37"/>
    <w:rsid w:val="00687377"/>
    <w:rsid w:val="006874B0"/>
    <w:rsid w:val="00687A39"/>
    <w:rsid w:val="00687C84"/>
    <w:rsid w:val="00690223"/>
    <w:rsid w:val="00690237"/>
    <w:rsid w:val="0069194A"/>
    <w:rsid w:val="00694C7B"/>
    <w:rsid w:val="00695034"/>
    <w:rsid w:val="0069575A"/>
    <w:rsid w:val="0069576E"/>
    <w:rsid w:val="00696C40"/>
    <w:rsid w:val="00696F60"/>
    <w:rsid w:val="00696F87"/>
    <w:rsid w:val="0069761C"/>
    <w:rsid w:val="006A0917"/>
    <w:rsid w:val="006A0FF7"/>
    <w:rsid w:val="006A219F"/>
    <w:rsid w:val="006A256B"/>
    <w:rsid w:val="006A3114"/>
    <w:rsid w:val="006A4429"/>
    <w:rsid w:val="006A4520"/>
    <w:rsid w:val="006A4A52"/>
    <w:rsid w:val="006A4ADA"/>
    <w:rsid w:val="006A545D"/>
    <w:rsid w:val="006A5BEE"/>
    <w:rsid w:val="006A71C9"/>
    <w:rsid w:val="006A72B8"/>
    <w:rsid w:val="006A730C"/>
    <w:rsid w:val="006B06CD"/>
    <w:rsid w:val="006B07AD"/>
    <w:rsid w:val="006B1C3A"/>
    <w:rsid w:val="006B4A98"/>
    <w:rsid w:val="006B4F4B"/>
    <w:rsid w:val="006B7259"/>
    <w:rsid w:val="006B7BAD"/>
    <w:rsid w:val="006C03E7"/>
    <w:rsid w:val="006C1071"/>
    <w:rsid w:val="006C253B"/>
    <w:rsid w:val="006C51CB"/>
    <w:rsid w:val="006C65CA"/>
    <w:rsid w:val="006C66AB"/>
    <w:rsid w:val="006D0B22"/>
    <w:rsid w:val="006D1398"/>
    <w:rsid w:val="006D14EA"/>
    <w:rsid w:val="006D16DD"/>
    <w:rsid w:val="006D33D5"/>
    <w:rsid w:val="006D3A4A"/>
    <w:rsid w:val="006D4AB9"/>
    <w:rsid w:val="006D5130"/>
    <w:rsid w:val="006D56A2"/>
    <w:rsid w:val="006D645C"/>
    <w:rsid w:val="006D6642"/>
    <w:rsid w:val="006D79FF"/>
    <w:rsid w:val="006D7A65"/>
    <w:rsid w:val="006E122C"/>
    <w:rsid w:val="006E1C63"/>
    <w:rsid w:val="006E2176"/>
    <w:rsid w:val="006E2382"/>
    <w:rsid w:val="006E2984"/>
    <w:rsid w:val="006E2DF1"/>
    <w:rsid w:val="006E3F8B"/>
    <w:rsid w:val="006E6CF0"/>
    <w:rsid w:val="006E79EE"/>
    <w:rsid w:val="006E7F13"/>
    <w:rsid w:val="006F409B"/>
    <w:rsid w:val="006F452D"/>
    <w:rsid w:val="006F5BB1"/>
    <w:rsid w:val="006F66D0"/>
    <w:rsid w:val="006F6E49"/>
    <w:rsid w:val="006F7270"/>
    <w:rsid w:val="006F760C"/>
    <w:rsid w:val="006F76E7"/>
    <w:rsid w:val="006F7BC6"/>
    <w:rsid w:val="00701148"/>
    <w:rsid w:val="00705210"/>
    <w:rsid w:val="00705963"/>
    <w:rsid w:val="00707009"/>
    <w:rsid w:val="00711089"/>
    <w:rsid w:val="0071176F"/>
    <w:rsid w:val="00711E8A"/>
    <w:rsid w:val="00711FA0"/>
    <w:rsid w:val="007120FA"/>
    <w:rsid w:val="007125A5"/>
    <w:rsid w:val="00712F96"/>
    <w:rsid w:val="00713AD6"/>
    <w:rsid w:val="00713F23"/>
    <w:rsid w:val="0071438F"/>
    <w:rsid w:val="0071485C"/>
    <w:rsid w:val="00715279"/>
    <w:rsid w:val="0071541E"/>
    <w:rsid w:val="007157E7"/>
    <w:rsid w:val="0071604A"/>
    <w:rsid w:val="00716103"/>
    <w:rsid w:val="007164EE"/>
    <w:rsid w:val="007174BD"/>
    <w:rsid w:val="007204DC"/>
    <w:rsid w:val="00720694"/>
    <w:rsid w:val="0072170C"/>
    <w:rsid w:val="00723785"/>
    <w:rsid w:val="007242D4"/>
    <w:rsid w:val="007244D2"/>
    <w:rsid w:val="00725AED"/>
    <w:rsid w:val="00726F8D"/>
    <w:rsid w:val="00727419"/>
    <w:rsid w:val="00727432"/>
    <w:rsid w:val="007310DD"/>
    <w:rsid w:val="00731B62"/>
    <w:rsid w:val="00732910"/>
    <w:rsid w:val="0073469C"/>
    <w:rsid w:val="00734AEF"/>
    <w:rsid w:val="00735A5A"/>
    <w:rsid w:val="00736058"/>
    <w:rsid w:val="0073641F"/>
    <w:rsid w:val="00736425"/>
    <w:rsid w:val="0073648C"/>
    <w:rsid w:val="00736602"/>
    <w:rsid w:val="00737997"/>
    <w:rsid w:val="00740E6E"/>
    <w:rsid w:val="00741F70"/>
    <w:rsid w:val="00742FC8"/>
    <w:rsid w:val="007431D9"/>
    <w:rsid w:val="00743FE7"/>
    <w:rsid w:val="007441BF"/>
    <w:rsid w:val="00744937"/>
    <w:rsid w:val="00746070"/>
    <w:rsid w:val="0074640D"/>
    <w:rsid w:val="00746A20"/>
    <w:rsid w:val="00751662"/>
    <w:rsid w:val="0075234F"/>
    <w:rsid w:val="0075412F"/>
    <w:rsid w:val="00755EA1"/>
    <w:rsid w:val="00756E2B"/>
    <w:rsid w:val="007607FF"/>
    <w:rsid w:val="0076089C"/>
    <w:rsid w:val="007608C8"/>
    <w:rsid w:val="00760B0B"/>
    <w:rsid w:val="00762279"/>
    <w:rsid w:val="007626B4"/>
    <w:rsid w:val="007641C0"/>
    <w:rsid w:val="00764648"/>
    <w:rsid w:val="00764CEE"/>
    <w:rsid w:val="00764D3E"/>
    <w:rsid w:val="00765AFB"/>
    <w:rsid w:val="0077056F"/>
    <w:rsid w:val="0077154F"/>
    <w:rsid w:val="007721AF"/>
    <w:rsid w:val="00773EBC"/>
    <w:rsid w:val="007742AB"/>
    <w:rsid w:val="00775474"/>
    <w:rsid w:val="00775CFD"/>
    <w:rsid w:val="00776E4E"/>
    <w:rsid w:val="007772C2"/>
    <w:rsid w:val="007776E9"/>
    <w:rsid w:val="00777E36"/>
    <w:rsid w:val="00777FAE"/>
    <w:rsid w:val="0078102D"/>
    <w:rsid w:val="00781088"/>
    <w:rsid w:val="007813DE"/>
    <w:rsid w:val="00781787"/>
    <w:rsid w:val="00785A12"/>
    <w:rsid w:val="007860ED"/>
    <w:rsid w:val="00786F96"/>
    <w:rsid w:val="00787084"/>
    <w:rsid w:val="007873C4"/>
    <w:rsid w:val="00787420"/>
    <w:rsid w:val="00787482"/>
    <w:rsid w:val="00791CFB"/>
    <w:rsid w:val="00792887"/>
    <w:rsid w:val="007930AA"/>
    <w:rsid w:val="0079345E"/>
    <w:rsid w:val="007939A4"/>
    <w:rsid w:val="007A036A"/>
    <w:rsid w:val="007A14C2"/>
    <w:rsid w:val="007A1728"/>
    <w:rsid w:val="007A28E2"/>
    <w:rsid w:val="007A2C42"/>
    <w:rsid w:val="007A31B2"/>
    <w:rsid w:val="007A3F64"/>
    <w:rsid w:val="007A4651"/>
    <w:rsid w:val="007A5041"/>
    <w:rsid w:val="007A66B1"/>
    <w:rsid w:val="007A6E3D"/>
    <w:rsid w:val="007A7145"/>
    <w:rsid w:val="007B039B"/>
    <w:rsid w:val="007B1276"/>
    <w:rsid w:val="007B133D"/>
    <w:rsid w:val="007B175F"/>
    <w:rsid w:val="007B186C"/>
    <w:rsid w:val="007B1A85"/>
    <w:rsid w:val="007B3503"/>
    <w:rsid w:val="007B3943"/>
    <w:rsid w:val="007B40AD"/>
    <w:rsid w:val="007B4236"/>
    <w:rsid w:val="007B476D"/>
    <w:rsid w:val="007B50FD"/>
    <w:rsid w:val="007B554F"/>
    <w:rsid w:val="007B58D0"/>
    <w:rsid w:val="007B6C99"/>
    <w:rsid w:val="007B6D66"/>
    <w:rsid w:val="007B7120"/>
    <w:rsid w:val="007B7726"/>
    <w:rsid w:val="007B7D3F"/>
    <w:rsid w:val="007C02F3"/>
    <w:rsid w:val="007C1424"/>
    <w:rsid w:val="007C1618"/>
    <w:rsid w:val="007C2EC3"/>
    <w:rsid w:val="007C3194"/>
    <w:rsid w:val="007C3F97"/>
    <w:rsid w:val="007C49B0"/>
    <w:rsid w:val="007C4DC6"/>
    <w:rsid w:val="007C4F67"/>
    <w:rsid w:val="007C54B4"/>
    <w:rsid w:val="007C6143"/>
    <w:rsid w:val="007C6D4A"/>
    <w:rsid w:val="007C7791"/>
    <w:rsid w:val="007C7A6D"/>
    <w:rsid w:val="007D04E4"/>
    <w:rsid w:val="007D089A"/>
    <w:rsid w:val="007D08F5"/>
    <w:rsid w:val="007D134D"/>
    <w:rsid w:val="007D1F56"/>
    <w:rsid w:val="007D29CE"/>
    <w:rsid w:val="007D3361"/>
    <w:rsid w:val="007D344F"/>
    <w:rsid w:val="007D36C9"/>
    <w:rsid w:val="007D415E"/>
    <w:rsid w:val="007D5A1D"/>
    <w:rsid w:val="007D7249"/>
    <w:rsid w:val="007D754C"/>
    <w:rsid w:val="007D7853"/>
    <w:rsid w:val="007D7AEA"/>
    <w:rsid w:val="007E1336"/>
    <w:rsid w:val="007E25A3"/>
    <w:rsid w:val="007E2927"/>
    <w:rsid w:val="007E435E"/>
    <w:rsid w:val="007E4763"/>
    <w:rsid w:val="007E4DDE"/>
    <w:rsid w:val="007E663C"/>
    <w:rsid w:val="007E6EEE"/>
    <w:rsid w:val="007E7553"/>
    <w:rsid w:val="007F0099"/>
    <w:rsid w:val="007F0F63"/>
    <w:rsid w:val="007F1A3C"/>
    <w:rsid w:val="007F434A"/>
    <w:rsid w:val="007F4B49"/>
    <w:rsid w:val="007F6F21"/>
    <w:rsid w:val="007F74D2"/>
    <w:rsid w:val="0080004D"/>
    <w:rsid w:val="00801638"/>
    <w:rsid w:val="00801841"/>
    <w:rsid w:val="00801CB6"/>
    <w:rsid w:val="00801F96"/>
    <w:rsid w:val="0080200B"/>
    <w:rsid w:val="008028C6"/>
    <w:rsid w:val="00802A3B"/>
    <w:rsid w:val="00803C90"/>
    <w:rsid w:val="008049EE"/>
    <w:rsid w:val="0080686E"/>
    <w:rsid w:val="0080694F"/>
    <w:rsid w:val="00806BA2"/>
    <w:rsid w:val="00806F40"/>
    <w:rsid w:val="008070B6"/>
    <w:rsid w:val="00807280"/>
    <w:rsid w:val="008104AA"/>
    <w:rsid w:val="0081064C"/>
    <w:rsid w:val="00810D6D"/>
    <w:rsid w:val="0081362F"/>
    <w:rsid w:val="008136E4"/>
    <w:rsid w:val="00813B66"/>
    <w:rsid w:val="00813CAC"/>
    <w:rsid w:val="00814408"/>
    <w:rsid w:val="008150B0"/>
    <w:rsid w:val="0081647E"/>
    <w:rsid w:val="00817051"/>
    <w:rsid w:val="00820ED4"/>
    <w:rsid w:val="00821311"/>
    <w:rsid w:val="00821F05"/>
    <w:rsid w:val="00822660"/>
    <w:rsid w:val="008255AC"/>
    <w:rsid w:val="00825BB7"/>
    <w:rsid w:val="0082613B"/>
    <w:rsid w:val="00827AB7"/>
    <w:rsid w:val="00827F27"/>
    <w:rsid w:val="008303B5"/>
    <w:rsid w:val="008303BF"/>
    <w:rsid w:val="008309C4"/>
    <w:rsid w:val="00833129"/>
    <w:rsid w:val="00833B8E"/>
    <w:rsid w:val="00834076"/>
    <w:rsid w:val="008348BE"/>
    <w:rsid w:val="008369F2"/>
    <w:rsid w:val="008372FD"/>
    <w:rsid w:val="00841AE4"/>
    <w:rsid w:val="00846D74"/>
    <w:rsid w:val="00846F3E"/>
    <w:rsid w:val="00847910"/>
    <w:rsid w:val="00850476"/>
    <w:rsid w:val="00850DB3"/>
    <w:rsid w:val="00851021"/>
    <w:rsid w:val="00851A74"/>
    <w:rsid w:val="00851EA7"/>
    <w:rsid w:val="00852DC2"/>
    <w:rsid w:val="008536C5"/>
    <w:rsid w:val="00854BB0"/>
    <w:rsid w:val="00854E46"/>
    <w:rsid w:val="0085525B"/>
    <w:rsid w:val="008553C5"/>
    <w:rsid w:val="008554C1"/>
    <w:rsid w:val="008557C9"/>
    <w:rsid w:val="00856719"/>
    <w:rsid w:val="00857401"/>
    <w:rsid w:val="008601C2"/>
    <w:rsid w:val="00861426"/>
    <w:rsid w:val="00862270"/>
    <w:rsid w:val="008623BD"/>
    <w:rsid w:val="00862FE5"/>
    <w:rsid w:val="008639F0"/>
    <w:rsid w:val="008643F2"/>
    <w:rsid w:val="00864EDC"/>
    <w:rsid w:val="00865BB2"/>
    <w:rsid w:val="00866E7D"/>
    <w:rsid w:val="00870644"/>
    <w:rsid w:val="00871329"/>
    <w:rsid w:val="00871762"/>
    <w:rsid w:val="0087197A"/>
    <w:rsid w:val="00871FE7"/>
    <w:rsid w:val="00872441"/>
    <w:rsid w:val="0087490D"/>
    <w:rsid w:val="0087595B"/>
    <w:rsid w:val="008760AA"/>
    <w:rsid w:val="0087613B"/>
    <w:rsid w:val="0087624F"/>
    <w:rsid w:val="008768B0"/>
    <w:rsid w:val="0087694C"/>
    <w:rsid w:val="00876D38"/>
    <w:rsid w:val="00876F71"/>
    <w:rsid w:val="00877DA3"/>
    <w:rsid w:val="00881B28"/>
    <w:rsid w:val="00881C34"/>
    <w:rsid w:val="00881F92"/>
    <w:rsid w:val="008820CF"/>
    <w:rsid w:val="008823A5"/>
    <w:rsid w:val="00882D0A"/>
    <w:rsid w:val="00883436"/>
    <w:rsid w:val="00883552"/>
    <w:rsid w:val="00883BA7"/>
    <w:rsid w:val="008847CC"/>
    <w:rsid w:val="00884929"/>
    <w:rsid w:val="00884985"/>
    <w:rsid w:val="00884CE9"/>
    <w:rsid w:val="008854E2"/>
    <w:rsid w:val="00885A81"/>
    <w:rsid w:val="008870B4"/>
    <w:rsid w:val="0088764C"/>
    <w:rsid w:val="00887999"/>
    <w:rsid w:val="00891B65"/>
    <w:rsid w:val="00891C12"/>
    <w:rsid w:val="00892367"/>
    <w:rsid w:val="00893146"/>
    <w:rsid w:val="00895053"/>
    <w:rsid w:val="00895724"/>
    <w:rsid w:val="00897E44"/>
    <w:rsid w:val="008A0006"/>
    <w:rsid w:val="008A03BC"/>
    <w:rsid w:val="008A0E06"/>
    <w:rsid w:val="008A104D"/>
    <w:rsid w:val="008A3374"/>
    <w:rsid w:val="008A3F81"/>
    <w:rsid w:val="008A4108"/>
    <w:rsid w:val="008A441A"/>
    <w:rsid w:val="008A5162"/>
    <w:rsid w:val="008A5328"/>
    <w:rsid w:val="008A5399"/>
    <w:rsid w:val="008A5656"/>
    <w:rsid w:val="008A5A62"/>
    <w:rsid w:val="008A791F"/>
    <w:rsid w:val="008A7F05"/>
    <w:rsid w:val="008B0230"/>
    <w:rsid w:val="008B06AC"/>
    <w:rsid w:val="008B0B2A"/>
    <w:rsid w:val="008B29E2"/>
    <w:rsid w:val="008B30DE"/>
    <w:rsid w:val="008B3E7C"/>
    <w:rsid w:val="008B4019"/>
    <w:rsid w:val="008B41A6"/>
    <w:rsid w:val="008B4CB5"/>
    <w:rsid w:val="008B592F"/>
    <w:rsid w:val="008B5CA2"/>
    <w:rsid w:val="008C0801"/>
    <w:rsid w:val="008C0FF7"/>
    <w:rsid w:val="008C2C0B"/>
    <w:rsid w:val="008C2E8D"/>
    <w:rsid w:val="008C4B22"/>
    <w:rsid w:val="008C537D"/>
    <w:rsid w:val="008C54A6"/>
    <w:rsid w:val="008C6434"/>
    <w:rsid w:val="008C69ED"/>
    <w:rsid w:val="008C74A6"/>
    <w:rsid w:val="008D02AB"/>
    <w:rsid w:val="008D059A"/>
    <w:rsid w:val="008D07A8"/>
    <w:rsid w:val="008D0939"/>
    <w:rsid w:val="008D0AE3"/>
    <w:rsid w:val="008D1B70"/>
    <w:rsid w:val="008D2701"/>
    <w:rsid w:val="008D29E9"/>
    <w:rsid w:val="008D3870"/>
    <w:rsid w:val="008D42AA"/>
    <w:rsid w:val="008D4368"/>
    <w:rsid w:val="008D5BF8"/>
    <w:rsid w:val="008D754B"/>
    <w:rsid w:val="008D7B51"/>
    <w:rsid w:val="008E0558"/>
    <w:rsid w:val="008E05CB"/>
    <w:rsid w:val="008E1697"/>
    <w:rsid w:val="008E1B97"/>
    <w:rsid w:val="008E1BB4"/>
    <w:rsid w:val="008E2286"/>
    <w:rsid w:val="008E2A6C"/>
    <w:rsid w:val="008E321D"/>
    <w:rsid w:val="008E3862"/>
    <w:rsid w:val="008E3872"/>
    <w:rsid w:val="008E4051"/>
    <w:rsid w:val="008E60EF"/>
    <w:rsid w:val="008E62CD"/>
    <w:rsid w:val="008E6C5D"/>
    <w:rsid w:val="008E7BB7"/>
    <w:rsid w:val="008E7DBC"/>
    <w:rsid w:val="008F3081"/>
    <w:rsid w:val="008F4658"/>
    <w:rsid w:val="008F5EC2"/>
    <w:rsid w:val="008F66CD"/>
    <w:rsid w:val="008F6E8D"/>
    <w:rsid w:val="008F7215"/>
    <w:rsid w:val="008F7D91"/>
    <w:rsid w:val="008F7F5D"/>
    <w:rsid w:val="009006FB"/>
    <w:rsid w:val="009007E3"/>
    <w:rsid w:val="00902223"/>
    <w:rsid w:val="00902C87"/>
    <w:rsid w:val="009030C1"/>
    <w:rsid w:val="009031CA"/>
    <w:rsid w:val="00903C49"/>
    <w:rsid w:val="00903C78"/>
    <w:rsid w:val="00904289"/>
    <w:rsid w:val="00904ADE"/>
    <w:rsid w:val="00905E7A"/>
    <w:rsid w:val="00906A60"/>
    <w:rsid w:val="009078B0"/>
    <w:rsid w:val="009120BB"/>
    <w:rsid w:val="009123D6"/>
    <w:rsid w:val="00912A0A"/>
    <w:rsid w:val="00912FC3"/>
    <w:rsid w:val="00914968"/>
    <w:rsid w:val="00915742"/>
    <w:rsid w:val="00915D49"/>
    <w:rsid w:val="0091616F"/>
    <w:rsid w:val="00916D93"/>
    <w:rsid w:val="00917ADD"/>
    <w:rsid w:val="00917C10"/>
    <w:rsid w:val="00920240"/>
    <w:rsid w:val="009203C3"/>
    <w:rsid w:val="009207C4"/>
    <w:rsid w:val="0092295F"/>
    <w:rsid w:val="009235AF"/>
    <w:rsid w:val="00923F20"/>
    <w:rsid w:val="009259DF"/>
    <w:rsid w:val="00926923"/>
    <w:rsid w:val="00930816"/>
    <w:rsid w:val="00931701"/>
    <w:rsid w:val="00933B43"/>
    <w:rsid w:val="009343F0"/>
    <w:rsid w:val="009344A1"/>
    <w:rsid w:val="0093592F"/>
    <w:rsid w:val="00936F88"/>
    <w:rsid w:val="0094059B"/>
    <w:rsid w:val="00940B7E"/>
    <w:rsid w:val="00940C62"/>
    <w:rsid w:val="009416B8"/>
    <w:rsid w:val="00941ADF"/>
    <w:rsid w:val="0094240F"/>
    <w:rsid w:val="00942621"/>
    <w:rsid w:val="00943506"/>
    <w:rsid w:val="00943741"/>
    <w:rsid w:val="0095170F"/>
    <w:rsid w:val="00951C5B"/>
    <w:rsid w:val="00952657"/>
    <w:rsid w:val="00952B93"/>
    <w:rsid w:val="00953199"/>
    <w:rsid w:val="009538DF"/>
    <w:rsid w:val="009543DB"/>
    <w:rsid w:val="009557AE"/>
    <w:rsid w:val="00955E5F"/>
    <w:rsid w:val="00957959"/>
    <w:rsid w:val="00960416"/>
    <w:rsid w:val="009606DC"/>
    <w:rsid w:val="0096197F"/>
    <w:rsid w:val="00962120"/>
    <w:rsid w:val="00962B5D"/>
    <w:rsid w:val="0096386D"/>
    <w:rsid w:val="00963AE3"/>
    <w:rsid w:val="009671D2"/>
    <w:rsid w:val="00970DF2"/>
    <w:rsid w:val="0097204D"/>
    <w:rsid w:val="0097235E"/>
    <w:rsid w:val="009739CC"/>
    <w:rsid w:val="0097437F"/>
    <w:rsid w:val="00977784"/>
    <w:rsid w:val="0097778D"/>
    <w:rsid w:val="00980721"/>
    <w:rsid w:val="00981069"/>
    <w:rsid w:val="009829AC"/>
    <w:rsid w:val="00982F09"/>
    <w:rsid w:val="00983298"/>
    <w:rsid w:val="00983FE2"/>
    <w:rsid w:val="0098405F"/>
    <w:rsid w:val="009843B2"/>
    <w:rsid w:val="00985A4C"/>
    <w:rsid w:val="00985F83"/>
    <w:rsid w:val="009871BF"/>
    <w:rsid w:val="00987552"/>
    <w:rsid w:val="00987E8F"/>
    <w:rsid w:val="00990137"/>
    <w:rsid w:val="00990186"/>
    <w:rsid w:val="00990E42"/>
    <w:rsid w:val="009913B7"/>
    <w:rsid w:val="00991CBB"/>
    <w:rsid w:val="0099298D"/>
    <w:rsid w:val="0099327A"/>
    <w:rsid w:val="00994D72"/>
    <w:rsid w:val="009957C2"/>
    <w:rsid w:val="009958F4"/>
    <w:rsid w:val="00995B8B"/>
    <w:rsid w:val="00995F1B"/>
    <w:rsid w:val="00996AC1"/>
    <w:rsid w:val="00996B06"/>
    <w:rsid w:val="00996D33"/>
    <w:rsid w:val="009A02A8"/>
    <w:rsid w:val="009A172E"/>
    <w:rsid w:val="009A1E73"/>
    <w:rsid w:val="009A3D31"/>
    <w:rsid w:val="009A4A7E"/>
    <w:rsid w:val="009A5BDF"/>
    <w:rsid w:val="009A6DB0"/>
    <w:rsid w:val="009A6E9A"/>
    <w:rsid w:val="009A7550"/>
    <w:rsid w:val="009B026E"/>
    <w:rsid w:val="009B0B38"/>
    <w:rsid w:val="009B0BDA"/>
    <w:rsid w:val="009B0F6E"/>
    <w:rsid w:val="009B14EE"/>
    <w:rsid w:val="009B1755"/>
    <w:rsid w:val="009B18C9"/>
    <w:rsid w:val="009B2A59"/>
    <w:rsid w:val="009B3CB1"/>
    <w:rsid w:val="009B4BB7"/>
    <w:rsid w:val="009B5AE6"/>
    <w:rsid w:val="009B5B5A"/>
    <w:rsid w:val="009B5D11"/>
    <w:rsid w:val="009B6D26"/>
    <w:rsid w:val="009B717C"/>
    <w:rsid w:val="009C0152"/>
    <w:rsid w:val="009C0EFC"/>
    <w:rsid w:val="009C1724"/>
    <w:rsid w:val="009C254A"/>
    <w:rsid w:val="009C267E"/>
    <w:rsid w:val="009C2D79"/>
    <w:rsid w:val="009C4A70"/>
    <w:rsid w:val="009C64D9"/>
    <w:rsid w:val="009C7C36"/>
    <w:rsid w:val="009D02B9"/>
    <w:rsid w:val="009D108A"/>
    <w:rsid w:val="009D1139"/>
    <w:rsid w:val="009D164F"/>
    <w:rsid w:val="009D1B8C"/>
    <w:rsid w:val="009D2DF8"/>
    <w:rsid w:val="009D372D"/>
    <w:rsid w:val="009D39FE"/>
    <w:rsid w:val="009D3A64"/>
    <w:rsid w:val="009D5777"/>
    <w:rsid w:val="009D584F"/>
    <w:rsid w:val="009D7029"/>
    <w:rsid w:val="009E15B9"/>
    <w:rsid w:val="009E1D2D"/>
    <w:rsid w:val="009E3192"/>
    <w:rsid w:val="009E3560"/>
    <w:rsid w:val="009E3FF8"/>
    <w:rsid w:val="009E45A0"/>
    <w:rsid w:val="009E591F"/>
    <w:rsid w:val="009E6883"/>
    <w:rsid w:val="009E78D8"/>
    <w:rsid w:val="009F0A27"/>
    <w:rsid w:val="009F0A92"/>
    <w:rsid w:val="009F0BDA"/>
    <w:rsid w:val="009F0DBF"/>
    <w:rsid w:val="009F0F94"/>
    <w:rsid w:val="009F2548"/>
    <w:rsid w:val="009F2644"/>
    <w:rsid w:val="009F4FD8"/>
    <w:rsid w:val="009F5460"/>
    <w:rsid w:val="009F65EB"/>
    <w:rsid w:val="009F6C28"/>
    <w:rsid w:val="00A006A9"/>
    <w:rsid w:val="00A00A52"/>
    <w:rsid w:val="00A013DA"/>
    <w:rsid w:val="00A025CD"/>
    <w:rsid w:val="00A0283E"/>
    <w:rsid w:val="00A02A3A"/>
    <w:rsid w:val="00A02EC9"/>
    <w:rsid w:val="00A03F33"/>
    <w:rsid w:val="00A04401"/>
    <w:rsid w:val="00A0511B"/>
    <w:rsid w:val="00A05380"/>
    <w:rsid w:val="00A07AFD"/>
    <w:rsid w:val="00A102E1"/>
    <w:rsid w:val="00A10DE4"/>
    <w:rsid w:val="00A11A12"/>
    <w:rsid w:val="00A11F4A"/>
    <w:rsid w:val="00A131EC"/>
    <w:rsid w:val="00A134D9"/>
    <w:rsid w:val="00A13F24"/>
    <w:rsid w:val="00A1445B"/>
    <w:rsid w:val="00A145C2"/>
    <w:rsid w:val="00A14ABE"/>
    <w:rsid w:val="00A14BB3"/>
    <w:rsid w:val="00A15764"/>
    <w:rsid w:val="00A15A1D"/>
    <w:rsid w:val="00A15F6A"/>
    <w:rsid w:val="00A17A8F"/>
    <w:rsid w:val="00A17D57"/>
    <w:rsid w:val="00A20B2B"/>
    <w:rsid w:val="00A21555"/>
    <w:rsid w:val="00A21EA6"/>
    <w:rsid w:val="00A235CF"/>
    <w:rsid w:val="00A23A49"/>
    <w:rsid w:val="00A24811"/>
    <w:rsid w:val="00A24C40"/>
    <w:rsid w:val="00A25FFB"/>
    <w:rsid w:val="00A30988"/>
    <w:rsid w:val="00A31B55"/>
    <w:rsid w:val="00A327F3"/>
    <w:rsid w:val="00A32A46"/>
    <w:rsid w:val="00A34C17"/>
    <w:rsid w:val="00A34EE9"/>
    <w:rsid w:val="00A37664"/>
    <w:rsid w:val="00A4260D"/>
    <w:rsid w:val="00A432E5"/>
    <w:rsid w:val="00A43C7B"/>
    <w:rsid w:val="00A44806"/>
    <w:rsid w:val="00A449BF"/>
    <w:rsid w:val="00A44A54"/>
    <w:rsid w:val="00A45192"/>
    <w:rsid w:val="00A4586F"/>
    <w:rsid w:val="00A46813"/>
    <w:rsid w:val="00A51018"/>
    <w:rsid w:val="00A511E0"/>
    <w:rsid w:val="00A51ADC"/>
    <w:rsid w:val="00A52CA8"/>
    <w:rsid w:val="00A52D42"/>
    <w:rsid w:val="00A5390D"/>
    <w:rsid w:val="00A5490E"/>
    <w:rsid w:val="00A5498A"/>
    <w:rsid w:val="00A54DA7"/>
    <w:rsid w:val="00A55543"/>
    <w:rsid w:val="00A556CF"/>
    <w:rsid w:val="00A55C83"/>
    <w:rsid w:val="00A55CF0"/>
    <w:rsid w:val="00A5617E"/>
    <w:rsid w:val="00A56ABF"/>
    <w:rsid w:val="00A56E26"/>
    <w:rsid w:val="00A57952"/>
    <w:rsid w:val="00A57AAD"/>
    <w:rsid w:val="00A6157C"/>
    <w:rsid w:val="00A61EEE"/>
    <w:rsid w:val="00A62304"/>
    <w:rsid w:val="00A63B6D"/>
    <w:rsid w:val="00A648E7"/>
    <w:rsid w:val="00A65259"/>
    <w:rsid w:val="00A6580B"/>
    <w:rsid w:val="00A65994"/>
    <w:rsid w:val="00A65AC9"/>
    <w:rsid w:val="00A673D1"/>
    <w:rsid w:val="00A674D6"/>
    <w:rsid w:val="00A71958"/>
    <w:rsid w:val="00A7303C"/>
    <w:rsid w:val="00A73172"/>
    <w:rsid w:val="00A73E24"/>
    <w:rsid w:val="00A75163"/>
    <w:rsid w:val="00A75C8A"/>
    <w:rsid w:val="00A75FD0"/>
    <w:rsid w:val="00A76A75"/>
    <w:rsid w:val="00A77FF3"/>
    <w:rsid w:val="00A8048C"/>
    <w:rsid w:val="00A80F80"/>
    <w:rsid w:val="00A81BF5"/>
    <w:rsid w:val="00A8452B"/>
    <w:rsid w:val="00A855C4"/>
    <w:rsid w:val="00A856B4"/>
    <w:rsid w:val="00A85CF8"/>
    <w:rsid w:val="00A85D84"/>
    <w:rsid w:val="00A86D5C"/>
    <w:rsid w:val="00A86FCA"/>
    <w:rsid w:val="00A904BF"/>
    <w:rsid w:val="00A911E4"/>
    <w:rsid w:val="00A92463"/>
    <w:rsid w:val="00A93F30"/>
    <w:rsid w:val="00A9451F"/>
    <w:rsid w:val="00A945BE"/>
    <w:rsid w:val="00A947F9"/>
    <w:rsid w:val="00A94B54"/>
    <w:rsid w:val="00A9557C"/>
    <w:rsid w:val="00A96518"/>
    <w:rsid w:val="00A96F2F"/>
    <w:rsid w:val="00A979D6"/>
    <w:rsid w:val="00AA003E"/>
    <w:rsid w:val="00AA01A4"/>
    <w:rsid w:val="00AA086C"/>
    <w:rsid w:val="00AA090C"/>
    <w:rsid w:val="00AA13D4"/>
    <w:rsid w:val="00AA35A7"/>
    <w:rsid w:val="00AA4666"/>
    <w:rsid w:val="00AA4A0C"/>
    <w:rsid w:val="00AA4EAB"/>
    <w:rsid w:val="00AA6AE3"/>
    <w:rsid w:val="00AA6E71"/>
    <w:rsid w:val="00AA6FC9"/>
    <w:rsid w:val="00AA75CC"/>
    <w:rsid w:val="00AA7E18"/>
    <w:rsid w:val="00AB03A2"/>
    <w:rsid w:val="00AB07E1"/>
    <w:rsid w:val="00AB0F72"/>
    <w:rsid w:val="00AB12DA"/>
    <w:rsid w:val="00AB242D"/>
    <w:rsid w:val="00AB2506"/>
    <w:rsid w:val="00AB2B33"/>
    <w:rsid w:val="00AB3B01"/>
    <w:rsid w:val="00AB3D07"/>
    <w:rsid w:val="00AB674F"/>
    <w:rsid w:val="00AB750A"/>
    <w:rsid w:val="00AC089D"/>
    <w:rsid w:val="00AC0F12"/>
    <w:rsid w:val="00AC2035"/>
    <w:rsid w:val="00AC3223"/>
    <w:rsid w:val="00AC32A2"/>
    <w:rsid w:val="00AC3B7B"/>
    <w:rsid w:val="00AC3D31"/>
    <w:rsid w:val="00AC531D"/>
    <w:rsid w:val="00AC7444"/>
    <w:rsid w:val="00AD0BA6"/>
    <w:rsid w:val="00AD1324"/>
    <w:rsid w:val="00AD1FAA"/>
    <w:rsid w:val="00AD2180"/>
    <w:rsid w:val="00AD500F"/>
    <w:rsid w:val="00AD5934"/>
    <w:rsid w:val="00AD647A"/>
    <w:rsid w:val="00AD75C2"/>
    <w:rsid w:val="00AD7657"/>
    <w:rsid w:val="00AD7E69"/>
    <w:rsid w:val="00AE1D7A"/>
    <w:rsid w:val="00AE4BD9"/>
    <w:rsid w:val="00AE4FDE"/>
    <w:rsid w:val="00AE5344"/>
    <w:rsid w:val="00AE5998"/>
    <w:rsid w:val="00AE6555"/>
    <w:rsid w:val="00AE75DC"/>
    <w:rsid w:val="00AE795B"/>
    <w:rsid w:val="00AE7BF4"/>
    <w:rsid w:val="00AE7CDB"/>
    <w:rsid w:val="00AF022C"/>
    <w:rsid w:val="00AF028A"/>
    <w:rsid w:val="00AF05E1"/>
    <w:rsid w:val="00AF0723"/>
    <w:rsid w:val="00AF0BF6"/>
    <w:rsid w:val="00AF1AA1"/>
    <w:rsid w:val="00AF2FE2"/>
    <w:rsid w:val="00AF4347"/>
    <w:rsid w:val="00AF48BB"/>
    <w:rsid w:val="00AF4D0A"/>
    <w:rsid w:val="00AF57FD"/>
    <w:rsid w:val="00AF5BBF"/>
    <w:rsid w:val="00AF66FD"/>
    <w:rsid w:val="00AF7CD0"/>
    <w:rsid w:val="00B00053"/>
    <w:rsid w:val="00B002D3"/>
    <w:rsid w:val="00B00468"/>
    <w:rsid w:val="00B014E5"/>
    <w:rsid w:val="00B02588"/>
    <w:rsid w:val="00B027E1"/>
    <w:rsid w:val="00B02F6A"/>
    <w:rsid w:val="00B0443A"/>
    <w:rsid w:val="00B045AB"/>
    <w:rsid w:val="00B04A74"/>
    <w:rsid w:val="00B0677E"/>
    <w:rsid w:val="00B06935"/>
    <w:rsid w:val="00B07D27"/>
    <w:rsid w:val="00B10179"/>
    <w:rsid w:val="00B11340"/>
    <w:rsid w:val="00B11432"/>
    <w:rsid w:val="00B115CE"/>
    <w:rsid w:val="00B11BBB"/>
    <w:rsid w:val="00B11FD4"/>
    <w:rsid w:val="00B1298D"/>
    <w:rsid w:val="00B12A10"/>
    <w:rsid w:val="00B12F62"/>
    <w:rsid w:val="00B13286"/>
    <w:rsid w:val="00B153A1"/>
    <w:rsid w:val="00B15E8A"/>
    <w:rsid w:val="00B1798B"/>
    <w:rsid w:val="00B20A09"/>
    <w:rsid w:val="00B216CE"/>
    <w:rsid w:val="00B221C2"/>
    <w:rsid w:val="00B22D27"/>
    <w:rsid w:val="00B2438B"/>
    <w:rsid w:val="00B24B33"/>
    <w:rsid w:val="00B24F19"/>
    <w:rsid w:val="00B2530B"/>
    <w:rsid w:val="00B25D1A"/>
    <w:rsid w:val="00B27254"/>
    <w:rsid w:val="00B30049"/>
    <w:rsid w:val="00B301F8"/>
    <w:rsid w:val="00B302F3"/>
    <w:rsid w:val="00B3058D"/>
    <w:rsid w:val="00B3275B"/>
    <w:rsid w:val="00B32DA3"/>
    <w:rsid w:val="00B33979"/>
    <w:rsid w:val="00B34655"/>
    <w:rsid w:val="00B349BA"/>
    <w:rsid w:val="00B35005"/>
    <w:rsid w:val="00B364A6"/>
    <w:rsid w:val="00B3699A"/>
    <w:rsid w:val="00B36F41"/>
    <w:rsid w:val="00B37C8B"/>
    <w:rsid w:val="00B37E64"/>
    <w:rsid w:val="00B40143"/>
    <w:rsid w:val="00B41254"/>
    <w:rsid w:val="00B4139D"/>
    <w:rsid w:val="00B41695"/>
    <w:rsid w:val="00B41820"/>
    <w:rsid w:val="00B42084"/>
    <w:rsid w:val="00B426D4"/>
    <w:rsid w:val="00B42826"/>
    <w:rsid w:val="00B4305B"/>
    <w:rsid w:val="00B4357F"/>
    <w:rsid w:val="00B43A9E"/>
    <w:rsid w:val="00B43B36"/>
    <w:rsid w:val="00B46326"/>
    <w:rsid w:val="00B466EC"/>
    <w:rsid w:val="00B47DE4"/>
    <w:rsid w:val="00B508A2"/>
    <w:rsid w:val="00B50E4C"/>
    <w:rsid w:val="00B513D7"/>
    <w:rsid w:val="00B515F9"/>
    <w:rsid w:val="00B531E8"/>
    <w:rsid w:val="00B53C26"/>
    <w:rsid w:val="00B53CE0"/>
    <w:rsid w:val="00B53D96"/>
    <w:rsid w:val="00B53F79"/>
    <w:rsid w:val="00B543D1"/>
    <w:rsid w:val="00B544E6"/>
    <w:rsid w:val="00B574D1"/>
    <w:rsid w:val="00B60185"/>
    <w:rsid w:val="00B61B81"/>
    <w:rsid w:val="00B64571"/>
    <w:rsid w:val="00B648C3"/>
    <w:rsid w:val="00B64A97"/>
    <w:rsid w:val="00B65AA8"/>
    <w:rsid w:val="00B66C0E"/>
    <w:rsid w:val="00B66E82"/>
    <w:rsid w:val="00B670EA"/>
    <w:rsid w:val="00B6719F"/>
    <w:rsid w:val="00B711A0"/>
    <w:rsid w:val="00B71600"/>
    <w:rsid w:val="00B71CFE"/>
    <w:rsid w:val="00B728FC"/>
    <w:rsid w:val="00B73A67"/>
    <w:rsid w:val="00B73BD9"/>
    <w:rsid w:val="00B7463E"/>
    <w:rsid w:val="00B7510D"/>
    <w:rsid w:val="00B7543A"/>
    <w:rsid w:val="00B776A5"/>
    <w:rsid w:val="00B77A53"/>
    <w:rsid w:val="00B803B7"/>
    <w:rsid w:val="00B83A3F"/>
    <w:rsid w:val="00B842BC"/>
    <w:rsid w:val="00B84C64"/>
    <w:rsid w:val="00B84CD6"/>
    <w:rsid w:val="00B87D33"/>
    <w:rsid w:val="00B91740"/>
    <w:rsid w:val="00B92771"/>
    <w:rsid w:val="00B9343A"/>
    <w:rsid w:val="00B95730"/>
    <w:rsid w:val="00B968B3"/>
    <w:rsid w:val="00B978C4"/>
    <w:rsid w:val="00B97C42"/>
    <w:rsid w:val="00BA3326"/>
    <w:rsid w:val="00BA375B"/>
    <w:rsid w:val="00BA3F0D"/>
    <w:rsid w:val="00BA40CF"/>
    <w:rsid w:val="00BA4A2D"/>
    <w:rsid w:val="00BA5F34"/>
    <w:rsid w:val="00BA63FD"/>
    <w:rsid w:val="00BA6424"/>
    <w:rsid w:val="00BA6895"/>
    <w:rsid w:val="00BA6CA3"/>
    <w:rsid w:val="00BA6CAB"/>
    <w:rsid w:val="00BA7ABD"/>
    <w:rsid w:val="00BB0214"/>
    <w:rsid w:val="00BB1257"/>
    <w:rsid w:val="00BB33A5"/>
    <w:rsid w:val="00BB432D"/>
    <w:rsid w:val="00BB434E"/>
    <w:rsid w:val="00BB5643"/>
    <w:rsid w:val="00BB5B2E"/>
    <w:rsid w:val="00BB61BA"/>
    <w:rsid w:val="00BB63A6"/>
    <w:rsid w:val="00BB6F19"/>
    <w:rsid w:val="00BB74EE"/>
    <w:rsid w:val="00BC1148"/>
    <w:rsid w:val="00BC1C04"/>
    <w:rsid w:val="00BC394C"/>
    <w:rsid w:val="00BC4F81"/>
    <w:rsid w:val="00BC52B5"/>
    <w:rsid w:val="00BC5E41"/>
    <w:rsid w:val="00BC5EC0"/>
    <w:rsid w:val="00BC6553"/>
    <w:rsid w:val="00BC70DC"/>
    <w:rsid w:val="00BC775A"/>
    <w:rsid w:val="00BD20FE"/>
    <w:rsid w:val="00BD2BB8"/>
    <w:rsid w:val="00BD3476"/>
    <w:rsid w:val="00BD37DA"/>
    <w:rsid w:val="00BD441F"/>
    <w:rsid w:val="00BD5756"/>
    <w:rsid w:val="00BD5813"/>
    <w:rsid w:val="00BD6098"/>
    <w:rsid w:val="00BD6DF3"/>
    <w:rsid w:val="00BD72CC"/>
    <w:rsid w:val="00BD7D7E"/>
    <w:rsid w:val="00BD7E38"/>
    <w:rsid w:val="00BE083D"/>
    <w:rsid w:val="00BE0A4F"/>
    <w:rsid w:val="00BE0B94"/>
    <w:rsid w:val="00BE0F43"/>
    <w:rsid w:val="00BE11FF"/>
    <w:rsid w:val="00BE144D"/>
    <w:rsid w:val="00BE1CEB"/>
    <w:rsid w:val="00BE207E"/>
    <w:rsid w:val="00BE3958"/>
    <w:rsid w:val="00BE4EED"/>
    <w:rsid w:val="00BE585A"/>
    <w:rsid w:val="00BE61D0"/>
    <w:rsid w:val="00BE663B"/>
    <w:rsid w:val="00BE79AB"/>
    <w:rsid w:val="00BE7A8E"/>
    <w:rsid w:val="00BE7FC8"/>
    <w:rsid w:val="00BF04B9"/>
    <w:rsid w:val="00BF0A53"/>
    <w:rsid w:val="00BF0AEF"/>
    <w:rsid w:val="00BF0BF5"/>
    <w:rsid w:val="00BF0F4D"/>
    <w:rsid w:val="00BF1355"/>
    <w:rsid w:val="00BF1BB4"/>
    <w:rsid w:val="00BF1C34"/>
    <w:rsid w:val="00BF1D25"/>
    <w:rsid w:val="00BF1DF7"/>
    <w:rsid w:val="00BF23EB"/>
    <w:rsid w:val="00BF3598"/>
    <w:rsid w:val="00BF3965"/>
    <w:rsid w:val="00BF3E1D"/>
    <w:rsid w:val="00BF4471"/>
    <w:rsid w:val="00BF48F0"/>
    <w:rsid w:val="00BF48F9"/>
    <w:rsid w:val="00BF52BB"/>
    <w:rsid w:val="00BF598C"/>
    <w:rsid w:val="00C00759"/>
    <w:rsid w:val="00C00C6F"/>
    <w:rsid w:val="00C00D2B"/>
    <w:rsid w:val="00C00DCB"/>
    <w:rsid w:val="00C015CD"/>
    <w:rsid w:val="00C016A9"/>
    <w:rsid w:val="00C02939"/>
    <w:rsid w:val="00C030BB"/>
    <w:rsid w:val="00C03149"/>
    <w:rsid w:val="00C03BD7"/>
    <w:rsid w:val="00C04617"/>
    <w:rsid w:val="00C04B4D"/>
    <w:rsid w:val="00C0693D"/>
    <w:rsid w:val="00C06BA9"/>
    <w:rsid w:val="00C06E80"/>
    <w:rsid w:val="00C11028"/>
    <w:rsid w:val="00C117FB"/>
    <w:rsid w:val="00C13C0E"/>
    <w:rsid w:val="00C143A0"/>
    <w:rsid w:val="00C14F36"/>
    <w:rsid w:val="00C15043"/>
    <w:rsid w:val="00C16752"/>
    <w:rsid w:val="00C17078"/>
    <w:rsid w:val="00C175E4"/>
    <w:rsid w:val="00C2093D"/>
    <w:rsid w:val="00C2136B"/>
    <w:rsid w:val="00C213D7"/>
    <w:rsid w:val="00C2140A"/>
    <w:rsid w:val="00C22063"/>
    <w:rsid w:val="00C23F14"/>
    <w:rsid w:val="00C2432F"/>
    <w:rsid w:val="00C24808"/>
    <w:rsid w:val="00C24C45"/>
    <w:rsid w:val="00C2538B"/>
    <w:rsid w:val="00C259D8"/>
    <w:rsid w:val="00C266E4"/>
    <w:rsid w:val="00C26B26"/>
    <w:rsid w:val="00C26D92"/>
    <w:rsid w:val="00C278D5"/>
    <w:rsid w:val="00C279AE"/>
    <w:rsid w:val="00C30922"/>
    <w:rsid w:val="00C31157"/>
    <w:rsid w:val="00C319E6"/>
    <w:rsid w:val="00C31AED"/>
    <w:rsid w:val="00C33948"/>
    <w:rsid w:val="00C34B83"/>
    <w:rsid w:val="00C413CC"/>
    <w:rsid w:val="00C42A88"/>
    <w:rsid w:val="00C44AF3"/>
    <w:rsid w:val="00C44E5F"/>
    <w:rsid w:val="00C4529A"/>
    <w:rsid w:val="00C45FAD"/>
    <w:rsid w:val="00C467E7"/>
    <w:rsid w:val="00C50A19"/>
    <w:rsid w:val="00C50C70"/>
    <w:rsid w:val="00C53FA1"/>
    <w:rsid w:val="00C541D5"/>
    <w:rsid w:val="00C54A11"/>
    <w:rsid w:val="00C5520A"/>
    <w:rsid w:val="00C555AB"/>
    <w:rsid w:val="00C556F7"/>
    <w:rsid w:val="00C55919"/>
    <w:rsid w:val="00C55FCA"/>
    <w:rsid w:val="00C56E2D"/>
    <w:rsid w:val="00C56E4D"/>
    <w:rsid w:val="00C57F49"/>
    <w:rsid w:val="00C6000C"/>
    <w:rsid w:val="00C60838"/>
    <w:rsid w:val="00C616B8"/>
    <w:rsid w:val="00C62A98"/>
    <w:rsid w:val="00C63307"/>
    <w:rsid w:val="00C63467"/>
    <w:rsid w:val="00C634F1"/>
    <w:rsid w:val="00C642EB"/>
    <w:rsid w:val="00C650FC"/>
    <w:rsid w:val="00C651BD"/>
    <w:rsid w:val="00C65C22"/>
    <w:rsid w:val="00C666D4"/>
    <w:rsid w:val="00C6719A"/>
    <w:rsid w:val="00C701C8"/>
    <w:rsid w:val="00C7057D"/>
    <w:rsid w:val="00C72068"/>
    <w:rsid w:val="00C72AFC"/>
    <w:rsid w:val="00C72E00"/>
    <w:rsid w:val="00C7336E"/>
    <w:rsid w:val="00C73C29"/>
    <w:rsid w:val="00C7432C"/>
    <w:rsid w:val="00C7492D"/>
    <w:rsid w:val="00C74F9B"/>
    <w:rsid w:val="00C752C1"/>
    <w:rsid w:val="00C7561C"/>
    <w:rsid w:val="00C7581D"/>
    <w:rsid w:val="00C77D52"/>
    <w:rsid w:val="00C80321"/>
    <w:rsid w:val="00C80969"/>
    <w:rsid w:val="00C80BC6"/>
    <w:rsid w:val="00C81009"/>
    <w:rsid w:val="00C817D9"/>
    <w:rsid w:val="00C82229"/>
    <w:rsid w:val="00C8272F"/>
    <w:rsid w:val="00C8287B"/>
    <w:rsid w:val="00C828D4"/>
    <w:rsid w:val="00C82D2F"/>
    <w:rsid w:val="00C83A7E"/>
    <w:rsid w:val="00C83D28"/>
    <w:rsid w:val="00C847F7"/>
    <w:rsid w:val="00C84C47"/>
    <w:rsid w:val="00C84DEF"/>
    <w:rsid w:val="00C85CCB"/>
    <w:rsid w:val="00C864BB"/>
    <w:rsid w:val="00C869C2"/>
    <w:rsid w:val="00C9006B"/>
    <w:rsid w:val="00C90BAE"/>
    <w:rsid w:val="00C91899"/>
    <w:rsid w:val="00C918C7"/>
    <w:rsid w:val="00C91CA0"/>
    <w:rsid w:val="00C91ED6"/>
    <w:rsid w:val="00C92A4B"/>
    <w:rsid w:val="00C92DC1"/>
    <w:rsid w:val="00C93B5F"/>
    <w:rsid w:val="00C94259"/>
    <w:rsid w:val="00C945A5"/>
    <w:rsid w:val="00C94866"/>
    <w:rsid w:val="00C970A8"/>
    <w:rsid w:val="00C97E73"/>
    <w:rsid w:val="00CA0DB6"/>
    <w:rsid w:val="00CA1552"/>
    <w:rsid w:val="00CA2F55"/>
    <w:rsid w:val="00CA345F"/>
    <w:rsid w:val="00CA42E0"/>
    <w:rsid w:val="00CA42E9"/>
    <w:rsid w:val="00CA45DB"/>
    <w:rsid w:val="00CA5111"/>
    <w:rsid w:val="00CA5BAF"/>
    <w:rsid w:val="00CA5F27"/>
    <w:rsid w:val="00CA6D3F"/>
    <w:rsid w:val="00CA776D"/>
    <w:rsid w:val="00CA7D9B"/>
    <w:rsid w:val="00CB15F5"/>
    <w:rsid w:val="00CB2087"/>
    <w:rsid w:val="00CB2760"/>
    <w:rsid w:val="00CB2826"/>
    <w:rsid w:val="00CB2AD8"/>
    <w:rsid w:val="00CB2B1E"/>
    <w:rsid w:val="00CB3291"/>
    <w:rsid w:val="00CB4156"/>
    <w:rsid w:val="00CB5B4E"/>
    <w:rsid w:val="00CB6D06"/>
    <w:rsid w:val="00CB7FC4"/>
    <w:rsid w:val="00CC0DA4"/>
    <w:rsid w:val="00CC0DFE"/>
    <w:rsid w:val="00CC0E04"/>
    <w:rsid w:val="00CC1496"/>
    <w:rsid w:val="00CC1B15"/>
    <w:rsid w:val="00CC1F6F"/>
    <w:rsid w:val="00CC23D6"/>
    <w:rsid w:val="00CC2692"/>
    <w:rsid w:val="00CC2F16"/>
    <w:rsid w:val="00CC3198"/>
    <w:rsid w:val="00CC3779"/>
    <w:rsid w:val="00CC4227"/>
    <w:rsid w:val="00CC5E76"/>
    <w:rsid w:val="00CC6257"/>
    <w:rsid w:val="00CC6CBA"/>
    <w:rsid w:val="00CC72AE"/>
    <w:rsid w:val="00CC7A64"/>
    <w:rsid w:val="00CC7D4B"/>
    <w:rsid w:val="00CD019D"/>
    <w:rsid w:val="00CD026F"/>
    <w:rsid w:val="00CD05B7"/>
    <w:rsid w:val="00CD0D7D"/>
    <w:rsid w:val="00CD1698"/>
    <w:rsid w:val="00CD1BFC"/>
    <w:rsid w:val="00CD3F5D"/>
    <w:rsid w:val="00CD3FC5"/>
    <w:rsid w:val="00CD4613"/>
    <w:rsid w:val="00CD490B"/>
    <w:rsid w:val="00CD64FF"/>
    <w:rsid w:val="00CD79B5"/>
    <w:rsid w:val="00CE1AE2"/>
    <w:rsid w:val="00CE306A"/>
    <w:rsid w:val="00CE3CDA"/>
    <w:rsid w:val="00CE79A0"/>
    <w:rsid w:val="00CE7BBE"/>
    <w:rsid w:val="00CF00E8"/>
    <w:rsid w:val="00CF14C8"/>
    <w:rsid w:val="00CF1F07"/>
    <w:rsid w:val="00CF200D"/>
    <w:rsid w:val="00CF2FB5"/>
    <w:rsid w:val="00CF4890"/>
    <w:rsid w:val="00CF5071"/>
    <w:rsid w:val="00CF6081"/>
    <w:rsid w:val="00CF629F"/>
    <w:rsid w:val="00CF636A"/>
    <w:rsid w:val="00CF6A4C"/>
    <w:rsid w:val="00CF7B67"/>
    <w:rsid w:val="00CF7DB7"/>
    <w:rsid w:val="00D007BB"/>
    <w:rsid w:val="00D00E68"/>
    <w:rsid w:val="00D012EE"/>
    <w:rsid w:val="00D023F8"/>
    <w:rsid w:val="00D02405"/>
    <w:rsid w:val="00D02564"/>
    <w:rsid w:val="00D02815"/>
    <w:rsid w:val="00D03297"/>
    <w:rsid w:val="00D03688"/>
    <w:rsid w:val="00D0414C"/>
    <w:rsid w:val="00D04891"/>
    <w:rsid w:val="00D048FF"/>
    <w:rsid w:val="00D05C0F"/>
    <w:rsid w:val="00D05CF5"/>
    <w:rsid w:val="00D064A5"/>
    <w:rsid w:val="00D105C7"/>
    <w:rsid w:val="00D1105A"/>
    <w:rsid w:val="00D12295"/>
    <w:rsid w:val="00D13330"/>
    <w:rsid w:val="00D13A21"/>
    <w:rsid w:val="00D13D4F"/>
    <w:rsid w:val="00D13D6C"/>
    <w:rsid w:val="00D14D1A"/>
    <w:rsid w:val="00D14F55"/>
    <w:rsid w:val="00D15A4D"/>
    <w:rsid w:val="00D15FC4"/>
    <w:rsid w:val="00D16902"/>
    <w:rsid w:val="00D17870"/>
    <w:rsid w:val="00D17DCD"/>
    <w:rsid w:val="00D2116A"/>
    <w:rsid w:val="00D2383C"/>
    <w:rsid w:val="00D24301"/>
    <w:rsid w:val="00D24EAE"/>
    <w:rsid w:val="00D27143"/>
    <w:rsid w:val="00D27D6A"/>
    <w:rsid w:val="00D32D59"/>
    <w:rsid w:val="00D32D92"/>
    <w:rsid w:val="00D33668"/>
    <w:rsid w:val="00D3385F"/>
    <w:rsid w:val="00D34AEC"/>
    <w:rsid w:val="00D34BD3"/>
    <w:rsid w:val="00D36897"/>
    <w:rsid w:val="00D36A5F"/>
    <w:rsid w:val="00D36D16"/>
    <w:rsid w:val="00D37CDD"/>
    <w:rsid w:val="00D40A98"/>
    <w:rsid w:val="00D4158D"/>
    <w:rsid w:val="00D424F7"/>
    <w:rsid w:val="00D504DE"/>
    <w:rsid w:val="00D516D4"/>
    <w:rsid w:val="00D51B26"/>
    <w:rsid w:val="00D51DA9"/>
    <w:rsid w:val="00D5446E"/>
    <w:rsid w:val="00D54578"/>
    <w:rsid w:val="00D5500E"/>
    <w:rsid w:val="00D55930"/>
    <w:rsid w:val="00D56432"/>
    <w:rsid w:val="00D57167"/>
    <w:rsid w:val="00D611D3"/>
    <w:rsid w:val="00D61629"/>
    <w:rsid w:val="00D61AFE"/>
    <w:rsid w:val="00D62365"/>
    <w:rsid w:val="00D63989"/>
    <w:rsid w:val="00D64744"/>
    <w:rsid w:val="00D65CF3"/>
    <w:rsid w:val="00D65FA7"/>
    <w:rsid w:val="00D66099"/>
    <w:rsid w:val="00D670D8"/>
    <w:rsid w:val="00D70314"/>
    <w:rsid w:val="00D70CD2"/>
    <w:rsid w:val="00D72E35"/>
    <w:rsid w:val="00D7314A"/>
    <w:rsid w:val="00D73B2A"/>
    <w:rsid w:val="00D740B8"/>
    <w:rsid w:val="00D74277"/>
    <w:rsid w:val="00D752CF"/>
    <w:rsid w:val="00D7588A"/>
    <w:rsid w:val="00D75FDE"/>
    <w:rsid w:val="00D7643D"/>
    <w:rsid w:val="00D76EFF"/>
    <w:rsid w:val="00D76F16"/>
    <w:rsid w:val="00D77AC7"/>
    <w:rsid w:val="00D8055F"/>
    <w:rsid w:val="00D80779"/>
    <w:rsid w:val="00D82500"/>
    <w:rsid w:val="00D82813"/>
    <w:rsid w:val="00D82B89"/>
    <w:rsid w:val="00D8391A"/>
    <w:rsid w:val="00D8508D"/>
    <w:rsid w:val="00D85842"/>
    <w:rsid w:val="00D85CB2"/>
    <w:rsid w:val="00D86837"/>
    <w:rsid w:val="00D86A4A"/>
    <w:rsid w:val="00D86AAE"/>
    <w:rsid w:val="00D86C20"/>
    <w:rsid w:val="00D90754"/>
    <w:rsid w:val="00D912CA"/>
    <w:rsid w:val="00D9488F"/>
    <w:rsid w:val="00D95511"/>
    <w:rsid w:val="00D96197"/>
    <w:rsid w:val="00D96D8F"/>
    <w:rsid w:val="00D977A0"/>
    <w:rsid w:val="00DA291C"/>
    <w:rsid w:val="00DA2CC4"/>
    <w:rsid w:val="00DA3E3D"/>
    <w:rsid w:val="00DA4A19"/>
    <w:rsid w:val="00DA5688"/>
    <w:rsid w:val="00DA5D7C"/>
    <w:rsid w:val="00DA5E4D"/>
    <w:rsid w:val="00DA67C5"/>
    <w:rsid w:val="00DA6B46"/>
    <w:rsid w:val="00DA7726"/>
    <w:rsid w:val="00DB0255"/>
    <w:rsid w:val="00DB0258"/>
    <w:rsid w:val="00DB0C76"/>
    <w:rsid w:val="00DB12F3"/>
    <w:rsid w:val="00DB2A45"/>
    <w:rsid w:val="00DB38C6"/>
    <w:rsid w:val="00DB3AC7"/>
    <w:rsid w:val="00DB3B10"/>
    <w:rsid w:val="00DB4F89"/>
    <w:rsid w:val="00DB5696"/>
    <w:rsid w:val="00DB5C0E"/>
    <w:rsid w:val="00DB6226"/>
    <w:rsid w:val="00DB674E"/>
    <w:rsid w:val="00DB7BC1"/>
    <w:rsid w:val="00DC084A"/>
    <w:rsid w:val="00DC13C2"/>
    <w:rsid w:val="00DC1BAD"/>
    <w:rsid w:val="00DC28CB"/>
    <w:rsid w:val="00DC2D18"/>
    <w:rsid w:val="00DC36F2"/>
    <w:rsid w:val="00DC3784"/>
    <w:rsid w:val="00DC3BC3"/>
    <w:rsid w:val="00DC4043"/>
    <w:rsid w:val="00DC4077"/>
    <w:rsid w:val="00DC422E"/>
    <w:rsid w:val="00DC468B"/>
    <w:rsid w:val="00DC4E28"/>
    <w:rsid w:val="00DC5DC9"/>
    <w:rsid w:val="00DC5F71"/>
    <w:rsid w:val="00DC5FB4"/>
    <w:rsid w:val="00DC71AB"/>
    <w:rsid w:val="00DC7DD8"/>
    <w:rsid w:val="00DD025B"/>
    <w:rsid w:val="00DD059E"/>
    <w:rsid w:val="00DD0612"/>
    <w:rsid w:val="00DD0CE6"/>
    <w:rsid w:val="00DD18E8"/>
    <w:rsid w:val="00DD2DB6"/>
    <w:rsid w:val="00DD2DE7"/>
    <w:rsid w:val="00DD3184"/>
    <w:rsid w:val="00DD3A09"/>
    <w:rsid w:val="00DD72A6"/>
    <w:rsid w:val="00DD79E0"/>
    <w:rsid w:val="00DD7F75"/>
    <w:rsid w:val="00DE167E"/>
    <w:rsid w:val="00DE1EF2"/>
    <w:rsid w:val="00DE4468"/>
    <w:rsid w:val="00DE6594"/>
    <w:rsid w:val="00DE76B3"/>
    <w:rsid w:val="00DF049A"/>
    <w:rsid w:val="00DF1DC8"/>
    <w:rsid w:val="00DF39EF"/>
    <w:rsid w:val="00DF4C03"/>
    <w:rsid w:val="00DF52A7"/>
    <w:rsid w:val="00DF54A5"/>
    <w:rsid w:val="00DF570B"/>
    <w:rsid w:val="00DF6259"/>
    <w:rsid w:val="00DF6AF1"/>
    <w:rsid w:val="00DF75CF"/>
    <w:rsid w:val="00DF7633"/>
    <w:rsid w:val="00E00A18"/>
    <w:rsid w:val="00E01BD8"/>
    <w:rsid w:val="00E01F33"/>
    <w:rsid w:val="00E02743"/>
    <w:rsid w:val="00E0397F"/>
    <w:rsid w:val="00E040F4"/>
    <w:rsid w:val="00E04B29"/>
    <w:rsid w:val="00E04FE9"/>
    <w:rsid w:val="00E056CE"/>
    <w:rsid w:val="00E058CB"/>
    <w:rsid w:val="00E06329"/>
    <w:rsid w:val="00E06780"/>
    <w:rsid w:val="00E078BA"/>
    <w:rsid w:val="00E10D5F"/>
    <w:rsid w:val="00E11037"/>
    <w:rsid w:val="00E1230E"/>
    <w:rsid w:val="00E12D66"/>
    <w:rsid w:val="00E13944"/>
    <w:rsid w:val="00E14700"/>
    <w:rsid w:val="00E155FF"/>
    <w:rsid w:val="00E1574B"/>
    <w:rsid w:val="00E210F6"/>
    <w:rsid w:val="00E21956"/>
    <w:rsid w:val="00E21D66"/>
    <w:rsid w:val="00E2212A"/>
    <w:rsid w:val="00E22EBB"/>
    <w:rsid w:val="00E23C40"/>
    <w:rsid w:val="00E245F0"/>
    <w:rsid w:val="00E249FD"/>
    <w:rsid w:val="00E24AAC"/>
    <w:rsid w:val="00E24EEE"/>
    <w:rsid w:val="00E26A4D"/>
    <w:rsid w:val="00E26A90"/>
    <w:rsid w:val="00E26C3C"/>
    <w:rsid w:val="00E26FDE"/>
    <w:rsid w:val="00E311DF"/>
    <w:rsid w:val="00E31E80"/>
    <w:rsid w:val="00E32EFE"/>
    <w:rsid w:val="00E343F5"/>
    <w:rsid w:val="00E349AF"/>
    <w:rsid w:val="00E34C85"/>
    <w:rsid w:val="00E34EFB"/>
    <w:rsid w:val="00E35551"/>
    <w:rsid w:val="00E364E2"/>
    <w:rsid w:val="00E36AC1"/>
    <w:rsid w:val="00E37058"/>
    <w:rsid w:val="00E3764E"/>
    <w:rsid w:val="00E40224"/>
    <w:rsid w:val="00E4050C"/>
    <w:rsid w:val="00E40667"/>
    <w:rsid w:val="00E40D30"/>
    <w:rsid w:val="00E41ACD"/>
    <w:rsid w:val="00E42A7A"/>
    <w:rsid w:val="00E436B2"/>
    <w:rsid w:val="00E43EC6"/>
    <w:rsid w:val="00E44190"/>
    <w:rsid w:val="00E4559C"/>
    <w:rsid w:val="00E45938"/>
    <w:rsid w:val="00E47BFF"/>
    <w:rsid w:val="00E528A2"/>
    <w:rsid w:val="00E533E8"/>
    <w:rsid w:val="00E53537"/>
    <w:rsid w:val="00E53DA6"/>
    <w:rsid w:val="00E53DB0"/>
    <w:rsid w:val="00E56225"/>
    <w:rsid w:val="00E56369"/>
    <w:rsid w:val="00E56504"/>
    <w:rsid w:val="00E56758"/>
    <w:rsid w:val="00E56BCA"/>
    <w:rsid w:val="00E5727E"/>
    <w:rsid w:val="00E57DC8"/>
    <w:rsid w:val="00E605C6"/>
    <w:rsid w:val="00E607ED"/>
    <w:rsid w:val="00E61837"/>
    <w:rsid w:val="00E618EA"/>
    <w:rsid w:val="00E626F0"/>
    <w:rsid w:val="00E63D7E"/>
    <w:rsid w:val="00E64151"/>
    <w:rsid w:val="00E65027"/>
    <w:rsid w:val="00E65491"/>
    <w:rsid w:val="00E65819"/>
    <w:rsid w:val="00E67540"/>
    <w:rsid w:val="00E676E1"/>
    <w:rsid w:val="00E70D82"/>
    <w:rsid w:val="00E72645"/>
    <w:rsid w:val="00E733AD"/>
    <w:rsid w:val="00E73725"/>
    <w:rsid w:val="00E741E2"/>
    <w:rsid w:val="00E744D4"/>
    <w:rsid w:val="00E75561"/>
    <w:rsid w:val="00E760D3"/>
    <w:rsid w:val="00E76345"/>
    <w:rsid w:val="00E80990"/>
    <w:rsid w:val="00E816EC"/>
    <w:rsid w:val="00E82122"/>
    <w:rsid w:val="00E821C6"/>
    <w:rsid w:val="00E82559"/>
    <w:rsid w:val="00E82F30"/>
    <w:rsid w:val="00E83CCA"/>
    <w:rsid w:val="00E84989"/>
    <w:rsid w:val="00E849E5"/>
    <w:rsid w:val="00E86398"/>
    <w:rsid w:val="00E863D0"/>
    <w:rsid w:val="00E86405"/>
    <w:rsid w:val="00E873EF"/>
    <w:rsid w:val="00E904CB"/>
    <w:rsid w:val="00E90854"/>
    <w:rsid w:val="00E90938"/>
    <w:rsid w:val="00E90D47"/>
    <w:rsid w:val="00E927CA"/>
    <w:rsid w:val="00E93068"/>
    <w:rsid w:val="00E930F9"/>
    <w:rsid w:val="00E9358C"/>
    <w:rsid w:val="00E93839"/>
    <w:rsid w:val="00E93C75"/>
    <w:rsid w:val="00E93CA1"/>
    <w:rsid w:val="00E95A12"/>
    <w:rsid w:val="00E97339"/>
    <w:rsid w:val="00E97AAC"/>
    <w:rsid w:val="00E97BC5"/>
    <w:rsid w:val="00EA0296"/>
    <w:rsid w:val="00EA07E8"/>
    <w:rsid w:val="00EA0A96"/>
    <w:rsid w:val="00EA1585"/>
    <w:rsid w:val="00EA173C"/>
    <w:rsid w:val="00EA206F"/>
    <w:rsid w:val="00EA2563"/>
    <w:rsid w:val="00EA2868"/>
    <w:rsid w:val="00EA508F"/>
    <w:rsid w:val="00EA5300"/>
    <w:rsid w:val="00EA662B"/>
    <w:rsid w:val="00EA71C1"/>
    <w:rsid w:val="00EA774F"/>
    <w:rsid w:val="00EA7AD7"/>
    <w:rsid w:val="00EB0013"/>
    <w:rsid w:val="00EB07D9"/>
    <w:rsid w:val="00EB08CD"/>
    <w:rsid w:val="00EB1ADE"/>
    <w:rsid w:val="00EB2BD3"/>
    <w:rsid w:val="00EB4437"/>
    <w:rsid w:val="00EB4E3D"/>
    <w:rsid w:val="00EB5347"/>
    <w:rsid w:val="00EB59E7"/>
    <w:rsid w:val="00EB5C25"/>
    <w:rsid w:val="00EB5F33"/>
    <w:rsid w:val="00EB5FC4"/>
    <w:rsid w:val="00EB72BE"/>
    <w:rsid w:val="00EB7950"/>
    <w:rsid w:val="00EB79C8"/>
    <w:rsid w:val="00EB7EAA"/>
    <w:rsid w:val="00EC0F89"/>
    <w:rsid w:val="00EC21E6"/>
    <w:rsid w:val="00EC2643"/>
    <w:rsid w:val="00EC2939"/>
    <w:rsid w:val="00EC3029"/>
    <w:rsid w:val="00EC475C"/>
    <w:rsid w:val="00EC490E"/>
    <w:rsid w:val="00EC5F12"/>
    <w:rsid w:val="00EC6C1F"/>
    <w:rsid w:val="00ED00EA"/>
    <w:rsid w:val="00ED075A"/>
    <w:rsid w:val="00ED0A7F"/>
    <w:rsid w:val="00ED23FA"/>
    <w:rsid w:val="00ED2848"/>
    <w:rsid w:val="00ED4276"/>
    <w:rsid w:val="00ED5669"/>
    <w:rsid w:val="00ED5949"/>
    <w:rsid w:val="00ED5C40"/>
    <w:rsid w:val="00ED6066"/>
    <w:rsid w:val="00ED6C18"/>
    <w:rsid w:val="00ED729A"/>
    <w:rsid w:val="00ED7E06"/>
    <w:rsid w:val="00EE001A"/>
    <w:rsid w:val="00EE020B"/>
    <w:rsid w:val="00EE0645"/>
    <w:rsid w:val="00EE1D86"/>
    <w:rsid w:val="00EE1DF1"/>
    <w:rsid w:val="00EE1DFF"/>
    <w:rsid w:val="00EE2371"/>
    <w:rsid w:val="00EE274D"/>
    <w:rsid w:val="00EE322E"/>
    <w:rsid w:val="00EE4801"/>
    <w:rsid w:val="00EE4ECC"/>
    <w:rsid w:val="00EE56BE"/>
    <w:rsid w:val="00EE5714"/>
    <w:rsid w:val="00EE6043"/>
    <w:rsid w:val="00EE6874"/>
    <w:rsid w:val="00EE6978"/>
    <w:rsid w:val="00EE6A0B"/>
    <w:rsid w:val="00EF0AF0"/>
    <w:rsid w:val="00EF152E"/>
    <w:rsid w:val="00EF1BE7"/>
    <w:rsid w:val="00EF2CE5"/>
    <w:rsid w:val="00EF2F2F"/>
    <w:rsid w:val="00EF3B9B"/>
    <w:rsid w:val="00EF3FBB"/>
    <w:rsid w:val="00EF4FE4"/>
    <w:rsid w:val="00EF5743"/>
    <w:rsid w:val="00EF593F"/>
    <w:rsid w:val="00EF7C3B"/>
    <w:rsid w:val="00F0053D"/>
    <w:rsid w:val="00F03DFF"/>
    <w:rsid w:val="00F044AD"/>
    <w:rsid w:val="00F05093"/>
    <w:rsid w:val="00F05C4D"/>
    <w:rsid w:val="00F078FF"/>
    <w:rsid w:val="00F10514"/>
    <w:rsid w:val="00F10E73"/>
    <w:rsid w:val="00F11384"/>
    <w:rsid w:val="00F114B2"/>
    <w:rsid w:val="00F131A0"/>
    <w:rsid w:val="00F14A07"/>
    <w:rsid w:val="00F15330"/>
    <w:rsid w:val="00F15927"/>
    <w:rsid w:val="00F16828"/>
    <w:rsid w:val="00F174DD"/>
    <w:rsid w:val="00F17E11"/>
    <w:rsid w:val="00F22529"/>
    <w:rsid w:val="00F22CCC"/>
    <w:rsid w:val="00F23399"/>
    <w:rsid w:val="00F23B61"/>
    <w:rsid w:val="00F24108"/>
    <w:rsid w:val="00F243B6"/>
    <w:rsid w:val="00F24CE4"/>
    <w:rsid w:val="00F265C4"/>
    <w:rsid w:val="00F26847"/>
    <w:rsid w:val="00F26A93"/>
    <w:rsid w:val="00F30CC5"/>
    <w:rsid w:val="00F3272A"/>
    <w:rsid w:val="00F327F8"/>
    <w:rsid w:val="00F34AA7"/>
    <w:rsid w:val="00F36BF4"/>
    <w:rsid w:val="00F379FB"/>
    <w:rsid w:val="00F41D5C"/>
    <w:rsid w:val="00F4221B"/>
    <w:rsid w:val="00F43FFB"/>
    <w:rsid w:val="00F45090"/>
    <w:rsid w:val="00F45322"/>
    <w:rsid w:val="00F45DC7"/>
    <w:rsid w:val="00F46EBC"/>
    <w:rsid w:val="00F47343"/>
    <w:rsid w:val="00F50533"/>
    <w:rsid w:val="00F505F7"/>
    <w:rsid w:val="00F50C47"/>
    <w:rsid w:val="00F51065"/>
    <w:rsid w:val="00F51603"/>
    <w:rsid w:val="00F5244C"/>
    <w:rsid w:val="00F53B64"/>
    <w:rsid w:val="00F547D7"/>
    <w:rsid w:val="00F54ED1"/>
    <w:rsid w:val="00F556F1"/>
    <w:rsid w:val="00F56817"/>
    <w:rsid w:val="00F57203"/>
    <w:rsid w:val="00F6026B"/>
    <w:rsid w:val="00F613A5"/>
    <w:rsid w:val="00F615CB"/>
    <w:rsid w:val="00F64119"/>
    <w:rsid w:val="00F6492B"/>
    <w:rsid w:val="00F656A5"/>
    <w:rsid w:val="00F65AE0"/>
    <w:rsid w:val="00F71334"/>
    <w:rsid w:val="00F71E07"/>
    <w:rsid w:val="00F71FB5"/>
    <w:rsid w:val="00F7241D"/>
    <w:rsid w:val="00F748C6"/>
    <w:rsid w:val="00F755E7"/>
    <w:rsid w:val="00F75680"/>
    <w:rsid w:val="00F76193"/>
    <w:rsid w:val="00F7625C"/>
    <w:rsid w:val="00F76BD2"/>
    <w:rsid w:val="00F76C7B"/>
    <w:rsid w:val="00F76DEE"/>
    <w:rsid w:val="00F77030"/>
    <w:rsid w:val="00F77B5C"/>
    <w:rsid w:val="00F77BF8"/>
    <w:rsid w:val="00F80D5D"/>
    <w:rsid w:val="00F81021"/>
    <w:rsid w:val="00F81A48"/>
    <w:rsid w:val="00F82298"/>
    <w:rsid w:val="00F837F5"/>
    <w:rsid w:val="00F85089"/>
    <w:rsid w:val="00F8669A"/>
    <w:rsid w:val="00F867C7"/>
    <w:rsid w:val="00F86A14"/>
    <w:rsid w:val="00F86A88"/>
    <w:rsid w:val="00F9022B"/>
    <w:rsid w:val="00F9057B"/>
    <w:rsid w:val="00F90597"/>
    <w:rsid w:val="00F90641"/>
    <w:rsid w:val="00F91361"/>
    <w:rsid w:val="00F91626"/>
    <w:rsid w:val="00F94CBD"/>
    <w:rsid w:val="00F95A7C"/>
    <w:rsid w:val="00F97B23"/>
    <w:rsid w:val="00F97C27"/>
    <w:rsid w:val="00F97FF4"/>
    <w:rsid w:val="00FA0BA7"/>
    <w:rsid w:val="00FA0CFD"/>
    <w:rsid w:val="00FA5041"/>
    <w:rsid w:val="00FA56DD"/>
    <w:rsid w:val="00FA5B47"/>
    <w:rsid w:val="00FA6977"/>
    <w:rsid w:val="00FA6ED4"/>
    <w:rsid w:val="00FA74CD"/>
    <w:rsid w:val="00FA75AD"/>
    <w:rsid w:val="00FA7E7F"/>
    <w:rsid w:val="00FB01E8"/>
    <w:rsid w:val="00FB204E"/>
    <w:rsid w:val="00FB323C"/>
    <w:rsid w:val="00FB3C9E"/>
    <w:rsid w:val="00FB4481"/>
    <w:rsid w:val="00FB4B1C"/>
    <w:rsid w:val="00FB505E"/>
    <w:rsid w:val="00FB58DE"/>
    <w:rsid w:val="00FB5D2E"/>
    <w:rsid w:val="00FB6F50"/>
    <w:rsid w:val="00FB758D"/>
    <w:rsid w:val="00FB75B1"/>
    <w:rsid w:val="00FB7B72"/>
    <w:rsid w:val="00FB7DFA"/>
    <w:rsid w:val="00FC042E"/>
    <w:rsid w:val="00FC0ABE"/>
    <w:rsid w:val="00FC14A7"/>
    <w:rsid w:val="00FC1DD9"/>
    <w:rsid w:val="00FC486D"/>
    <w:rsid w:val="00FC558D"/>
    <w:rsid w:val="00FC5730"/>
    <w:rsid w:val="00FC6043"/>
    <w:rsid w:val="00FC64B3"/>
    <w:rsid w:val="00FC69A5"/>
    <w:rsid w:val="00FC702E"/>
    <w:rsid w:val="00FD06AA"/>
    <w:rsid w:val="00FD2086"/>
    <w:rsid w:val="00FD25FC"/>
    <w:rsid w:val="00FD2BFA"/>
    <w:rsid w:val="00FD3416"/>
    <w:rsid w:val="00FD37D8"/>
    <w:rsid w:val="00FD39FD"/>
    <w:rsid w:val="00FD5E4E"/>
    <w:rsid w:val="00FD6FE7"/>
    <w:rsid w:val="00FD702D"/>
    <w:rsid w:val="00FD7108"/>
    <w:rsid w:val="00FD76F7"/>
    <w:rsid w:val="00FD780B"/>
    <w:rsid w:val="00FE15C7"/>
    <w:rsid w:val="00FE1B41"/>
    <w:rsid w:val="00FE2120"/>
    <w:rsid w:val="00FE2D1B"/>
    <w:rsid w:val="00FE2E31"/>
    <w:rsid w:val="00FE4A2D"/>
    <w:rsid w:val="00FE4B30"/>
    <w:rsid w:val="00FE4DFB"/>
    <w:rsid w:val="00FE5063"/>
    <w:rsid w:val="00FE577D"/>
    <w:rsid w:val="00FE5A69"/>
    <w:rsid w:val="00FE5EB4"/>
    <w:rsid w:val="00FF0834"/>
    <w:rsid w:val="00FF11A8"/>
    <w:rsid w:val="00FF1AC2"/>
    <w:rsid w:val="00FF1D42"/>
    <w:rsid w:val="00FF27A3"/>
    <w:rsid w:val="00FF2D28"/>
    <w:rsid w:val="00FF2DA2"/>
    <w:rsid w:val="00FF30C7"/>
    <w:rsid w:val="00FF3EAF"/>
    <w:rsid w:val="00FF49F0"/>
    <w:rsid w:val="00FF4F9C"/>
    <w:rsid w:val="00FF5F3A"/>
    <w:rsid w:val="00FF7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75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AD8"/>
    <w:pPr>
      <w:spacing w:after="240" w:line="240" w:lineRule="auto"/>
    </w:pPr>
    <w:rPr>
      <w:rFonts w:ascii="Arial" w:hAnsi="Arial"/>
      <w:sz w:val="20"/>
    </w:rPr>
  </w:style>
  <w:style w:type="paragraph" w:styleId="Heading1">
    <w:name w:val="heading 1"/>
    <w:basedOn w:val="Normal"/>
    <w:next w:val="Normal"/>
    <w:link w:val="Heading1Char"/>
    <w:uiPriority w:val="9"/>
    <w:qFormat/>
    <w:rsid w:val="00BE7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DC13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A8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7A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8E"/>
    <w:rPr>
      <w:rFonts w:ascii="Tahoma" w:hAnsi="Tahoma" w:cs="Tahoma"/>
      <w:sz w:val="16"/>
      <w:szCs w:val="16"/>
    </w:rPr>
  </w:style>
  <w:style w:type="paragraph" w:customStyle="1" w:styleId="ACCCreporttitle1">
    <w:name w:val="ACCC report title 1"/>
    <w:rsid w:val="00A75163"/>
    <w:pPr>
      <w:spacing w:before="4200" w:after="240" w:line="240" w:lineRule="auto"/>
      <w:ind w:left="454" w:hanging="454"/>
      <w:contextualSpacing/>
      <w:outlineLvl w:val="0"/>
    </w:pPr>
    <w:rPr>
      <w:rFonts w:ascii="Lucida Fax" w:eastAsia="Times New Roman" w:hAnsi="Lucida Fax" w:cs="Times New Roman"/>
      <w:bCs/>
      <w:color w:val="4F2D7F"/>
      <w:sz w:val="96"/>
      <w:szCs w:val="20"/>
      <w:lang w:eastAsia="en-AU"/>
    </w:rPr>
  </w:style>
  <w:style w:type="paragraph" w:customStyle="1" w:styleId="ACCCreportdate">
    <w:name w:val="ACCC report date"/>
    <w:qFormat/>
    <w:rsid w:val="00A75163"/>
    <w:rPr>
      <w:rFonts w:ascii="Arial" w:eastAsia="Times New Roman" w:hAnsi="Arial" w:cs="Times New Roman"/>
      <w:b/>
      <w:bCs/>
      <w:color w:val="51626F"/>
      <w:sz w:val="24"/>
      <w:szCs w:val="20"/>
      <w:lang w:eastAsia="en-AU"/>
    </w:rPr>
  </w:style>
  <w:style w:type="paragraph" w:customStyle="1" w:styleId="ACCCreporttitle2">
    <w:name w:val="ACCC report title 2"/>
    <w:qFormat/>
    <w:rsid w:val="00A75163"/>
    <w:pPr>
      <w:spacing w:before="40"/>
    </w:pPr>
    <w:rPr>
      <w:rFonts w:ascii="Lucida Fax" w:eastAsia="Times New Roman" w:hAnsi="Lucida Fax" w:cs="Times New Roman"/>
      <w:bCs/>
      <w:color w:val="4F2D7F"/>
      <w:sz w:val="52"/>
      <w:szCs w:val="20"/>
      <w:lang w:eastAsia="en-AU"/>
    </w:rPr>
  </w:style>
  <w:style w:type="paragraph" w:customStyle="1" w:styleId="ACCCcopyrighttext">
    <w:name w:val="ACCC copyright text"/>
    <w:basedOn w:val="Normal"/>
    <w:qFormat/>
    <w:rsid w:val="00BF48F0"/>
    <w:pPr>
      <w:spacing w:after="0"/>
    </w:pPr>
  </w:style>
  <w:style w:type="character" w:styleId="Hyperlink">
    <w:name w:val="Hyperlink"/>
    <w:basedOn w:val="DefaultParagraphFont"/>
    <w:uiPriority w:val="99"/>
    <w:unhideWhenUsed/>
    <w:rsid w:val="006D16DD"/>
    <w:rPr>
      <w:color w:val="0000FF" w:themeColor="hyperlink"/>
      <w:u w:val="single"/>
    </w:rPr>
  </w:style>
  <w:style w:type="paragraph" w:customStyle="1" w:styleId="Non-numberedheading1">
    <w:name w:val="Non-numbered heading 1"/>
    <w:qFormat/>
    <w:rsid w:val="00A75163"/>
    <w:pPr>
      <w:pageBreakBefore/>
      <w:spacing w:after="480" w:line="240" w:lineRule="auto"/>
      <w:outlineLvl w:val="1"/>
    </w:pPr>
    <w:rPr>
      <w:rFonts w:ascii="Lucida Fax" w:eastAsiaTheme="majorEastAsia" w:hAnsi="Lucida Fax" w:cstheme="majorBidi"/>
      <w:bCs/>
      <w:color w:val="4F2D7F"/>
      <w:sz w:val="52"/>
      <w:szCs w:val="28"/>
    </w:rPr>
  </w:style>
  <w:style w:type="paragraph" w:customStyle="1" w:styleId="Numberedheading1">
    <w:name w:val="Numbered heading 1"/>
    <w:basedOn w:val="Non-numberedheading1"/>
    <w:autoRedefine/>
    <w:qFormat/>
    <w:rsid w:val="00265B18"/>
    <w:pPr>
      <w:numPr>
        <w:numId w:val="1"/>
      </w:numPr>
    </w:pPr>
    <w:rPr>
      <w:rFonts w:ascii="Lucida Bright" w:hAnsi="Lucida Bright"/>
    </w:rPr>
  </w:style>
  <w:style w:type="paragraph" w:customStyle="1" w:styleId="Non-numberedheading2">
    <w:name w:val="Non-numbered heading 2"/>
    <w:basedOn w:val="Non-numberedheading1"/>
    <w:autoRedefine/>
    <w:qFormat/>
    <w:rsid w:val="00114E05"/>
    <w:pPr>
      <w:pageBreakBefore w:val="0"/>
      <w:spacing w:before="480" w:after="240"/>
      <w:ind w:left="851" w:hanging="851"/>
      <w:outlineLvl w:val="2"/>
    </w:pPr>
    <w:rPr>
      <w:color w:val="51626F"/>
      <w:sz w:val="28"/>
    </w:rPr>
  </w:style>
  <w:style w:type="paragraph" w:customStyle="1" w:styleId="Keypointsheading1">
    <w:name w:val="Key points heading 1"/>
    <w:basedOn w:val="Non-numberedheading1"/>
    <w:qFormat/>
    <w:rsid w:val="00A75163"/>
  </w:style>
  <w:style w:type="paragraph" w:customStyle="1" w:styleId="Non-numberedheading3">
    <w:name w:val="Non-numbered heading 3"/>
    <w:autoRedefine/>
    <w:qFormat/>
    <w:rsid w:val="00114E05"/>
    <w:pPr>
      <w:ind w:left="851" w:hanging="851"/>
      <w:outlineLvl w:val="3"/>
    </w:pPr>
    <w:rPr>
      <w:rFonts w:ascii="Arial" w:eastAsiaTheme="majorEastAsia" w:hAnsi="Arial" w:cstheme="majorBidi"/>
      <w:b/>
      <w:bCs/>
      <w:color w:val="000000" w:themeColor="text1"/>
      <w:sz w:val="24"/>
      <w:szCs w:val="28"/>
    </w:rPr>
  </w:style>
  <w:style w:type="paragraph" w:customStyle="1" w:styleId="Non-numberedheading4">
    <w:name w:val="Non-numbered heading 4"/>
    <w:basedOn w:val="Non-numberedheading3"/>
    <w:autoRedefine/>
    <w:qFormat/>
    <w:rsid w:val="00A75163"/>
    <w:pPr>
      <w:keepNext/>
      <w:outlineLvl w:val="4"/>
    </w:pPr>
    <w:rPr>
      <w:i/>
      <w:color w:val="51626F"/>
    </w:rPr>
  </w:style>
  <w:style w:type="paragraph" w:customStyle="1" w:styleId="Keypointsheading3">
    <w:name w:val="Key points heading 3"/>
    <w:basedOn w:val="Non-numberedheading3"/>
    <w:qFormat/>
    <w:rsid w:val="00265B18"/>
    <w:rPr>
      <w:sz w:val="20"/>
    </w:rPr>
  </w:style>
  <w:style w:type="paragraph" w:customStyle="1" w:styleId="Keypointsheading4">
    <w:name w:val="Key points heading 4"/>
    <w:basedOn w:val="Non-numberedheading4"/>
    <w:qFormat/>
    <w:rsid w:val="00A75163"/>
  </w:style>
  <w:style w:type="paragraph" w:customStyle="1" w:styleId="Summaryheading">
    <w:name w:val="Summary heading"/>
    <w:basedOn w:val="Non-numberedheading1"/>
    <w:qFormat/>
    <w:rsid w:val="00001326"/>
  </w:style>
  <w:style w:type="paragraph" w:customStyle="1" w:styleId="Numberedheading2">
    <w:name w:val="Numbered heading 2"/>
    <w:basedOn w:val="Non-numberedheading2"/>
    <w:autoRedefine/>
    <w:qFormat/>
    <w:rsid w:val="009543DB"/>
    <w:pPr>
      <w:keepNext/>
      <w:numPr>
        <w:ilvl w:val="1"/>
        <w:numId w:val="1"/>
      </w:numPr>
      <w:tabs>
        <w:tab w:val="clear" w:pos="958"/>
        <w:tab w:val="num" w:pos="1560"/>
      </w:tabs>
      <w:ind w:left="993"/>
    </w:pPr>
  </w:style>
  <w:style w:type="paragraph" w:customStyle="1" w:styleId="Numberedheading30">
    <w:name w:val="Numbered heading 3"/>
    <w:autoRedefine/>
    <w:qFormat/>
    <w:rsid w:val="00265B18"/>
    <w:pPr>
      <w:keepNext/>
      <w:tabs>
        <w:tab w:val="num" w:pos="1384"/>
      </w:tabs>
      <w:ind w:left="958" w:hanging="958"/>
      <w:outlineLvl w:val="3"/>
    </w:pPr>
    <w:rPr>
      <w:rFonts w:ascii="Arial" w:eastAsiaTheme="majorEastAsia" w:hAnsi="Arial" w:cstheme="majorBidi"/>
      <w:b/>
      <w:bCs/>
      <w:color w:val="000000" w:themeColor="text1"/>
      <w:sz w:val="24"/>
      <w:szCs w:val="28"/>
    </w:rPr>
  </w:style>
  <w:style w:type="paragraph" w:customStyle="1" w:styleId="Numberedheading4">
    <w:name w:val="Numbered heading 4"/>
    <w:qFormat/>
    <w:rsid w:val="00B027E1"/>
    <w:rPr>
      <w:rFonts w:ascii="Arial" w:eastAsiaTheme="majorEastAsia" w:hAnsi="Arial" w:cstheme="majorBidi"/>
      <w:b/>
      <w:bCs/>
      <w:i/>
      <w:color w:val="51626F"/>
      <w:sz w:val="24"/>
      <w:szCs w:val="28"/>
    </w:rPr>
  </w:style>
  <w:style w:type="paragraph" w:customStyle="1" w:styleId="Appendixheading1">
    <w:name w:val="Appendix heading 1"/>
    <w:basedOn w:val="Non-numberedheading1"/>
    <w:qFormat/>
    <w:rsid w:val="00A75163"/>
    <w:pPr>
      <w:numPr>
        <w:numId w:val="3"/>
      </w:numPr>
      <w:outlineLvl w:val="0"/>
    </w:pPr>
    <w:rPr>
      <w:bCs w:val="0"/>
    </w:rPr>
  </w:style>
  <w:style w:type="paragraph" w:customStyle="1" w:styleId="Appendixheading2">
    <w:name w:val="Appendix heading 2"/>
    <w:basedOn w:val="Non-numberedheading2"/>
    <w:qFormat/>
    <w:rsid w:val="00A75163"/>
    <w:pPr>
      <w:numPr>
        <w:ilvl w:val="1"/>
        <w:numId w:val="3"/>
      </w:numPr>
      <w:spacing w:after="480"/>
      <w:outlineLvl w:val="1"/>
    </w:pPr>
    <w:rPr>
      <w:rFonts w:ascii="Arial" w:hAnsi="Arial"/>
      <w:bCs w:val="0"/>
    </w:rPr>
  </w:style>
  <w:style w:type="paragraph" w:customStyle="1" w:styleId="Appendixheading3">
    <w:name w:val="Appendix heading 3"/>
    <w:basedOn w:val="Keypointsheading3"/>
    <w:qFormat/>
    <w:rsid w:val="00A75163"/>
    <w:pPr>
      <w:numPr>
        <w:ilvl w:val="2"/>
        <w:numId w:val="3"/>
      </w:numPr>
      <w:spacing w:after="480" w:line="240" w:lineRule="auto"/>
    </w:pPr>
    <w:rPr>
      <w:bCs w:val="0"/>
      <w:color w:val="auto"/>
    </w:rPr>
  </w:style>
  <w:style w:type="paragraph" w:customStyle="1" w:styleId="Appendixheading4">
    <w:name w:val="Appendix heading 4"/>
    <w:basedOn w:val="Non-numberedheading4"/>
    <w:qFormat/>
    <w:rsid w:val="00A75163"/>
    <w:pPr>
      <w:numPr>
        <w:ilvl w:val="3"/>
        <w:numId w:val="3"/>
      </w:numPr>
      <w:spacing w:after="480" w:line="240" w:lineRule="auto"/>
    </w:pPr>
    <w:rPr>
      <w:bCs w:val="0"/>
    </w:rPr>
  </w:style>
  <w:style w:type="numbering" w:customStyle="1" w:styleId="Numberedlist">
    <w:name w:val="Numbered list"/>
    <w:uiPriority w:val="99"/>
    <w:rsid w:val="00881B28"/>
    <w:pPr>
      <w:numPr>
        <w:numId w:val="2"/>
      </w:numPr>
    </w:pPr>
  </w:style>
  <w:style w:type="paragraph" w:styleId="Title">
    <w:name w:val="Title"/>
    <w:basedOn w:val="Normal"/>
    <w:next w:val="Normal"/>
    <w:link w:val="TitleChar"/>
    <w:uiPriority w:val="10"/>
    <w:qFormat/>
    <w:rsid w:val="007715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154F"/>
    <w:rPr>
      <w:rFonts w:asciiTheme="majorHAnsi" w:eastAsiaTheme="majorEastAsia" w:hAnsiTheme="majorHAnsi" w:cstheme="majorBidi"/>
      <w:color w:val="17365D" w:themeColor="text2" w:themeShade="BF"/>
      <w:spacing w:val="5"/>
      <w:kern w:val="28"/>
      <w:sz w:val="52"/>
      <w:szCs w:val="52"/>
    </w:rPr>
  </w:style>
  <w:style w:type="paragraph" w:customStyle="1" w:styleId="Non-numberedtabletitle">
    <w:name w:val="Non-numbered table title"/>
    <w:basedOn w:val="Normal"/>
    <w:qFormat/>
    <w:rsid w:val="005463EF"/>
    <w:rPr>
      <w:b/>
      <w:color w:val="000064"/>
    </w:rPr>
  </w:style>
  <w:style w:type="paragraph" w:customStyle="1" w:styleId="Non-numberedcharttitle">
    <w:name w:val="Non-numbered chart title"/>
    <w:basedOn w:val="Normal"/>
    <w:qFormat/>
    <w:rsid w:val="008553C5"/>
    <w:rPr>
      <w:b/>
      <w:color w:val="51626F"/>
    </w:rPr>
  </w:style>
  <w:style w:type="paragraph" w:customStyle="1" w:styleId="Numberedtabletitle">
    <w:name w:val="Numbered table title"/>
    <w:autoRedefine/>
    <w:qFormat/>
    <w:rsid w:val="00C0693D"/>
    <w:rPr>
      <w:rFonts w:ascii="Arial" w:hAnsi="Arial"/>
      <w:b/>
      <w:color w:val="000064"/>
      <w:sz w:val="20"/>
    </w:rPr>
  </w:style>
  <w:style w:type="paragraph" w:customStyle="1" w:styleId="Numberedcharttitle">
    <w:name w:val="Numbered chart title"/>
    <w:autoRedefine/>
    <w:qFormat/>
    <w:rsid w:val="00EE020B"/>
    <w:pPr>
      <w:keepNext/>
      <w:spacing w:before="240"/>
      <w:ind w:left="1440" w:hanging="1440"/>
      <w:outlineLvl w:val="3"/>
    </w:pPr>
    <w:rPr>
      <w:rFonts w:ascii="Arial" w:hAnsi="Arial"/>
      <w:b/>
      <w:color w:val="51626F"/>
      <w:sz w:val="20"/>
    </w:rPr>
  </w:style>
  <w:style w:type="paragraph" w:customStyle="1" w:styleId="Listbullet1">
    <w:name w:val="List bullet 1"/>
    <w:basedOn w:val="Normal"/>
    <w:autoRedefine/>
    <w:qFormat/>
    <w:rsid w:val="00DB12F3"/>
    <w:pPr>
      <w:numPr>
        <w:numId w:val="6"/>
      </w:numPr>
      <w:spacing w:before="120" w:after="120"/>
    </w:pPr>
  </w:style>
  <w:style w:type="paragraph" w:customStyle="1" w:styleId="ListBullet21">
    <w:name w:val="List Bullet 21"/>
    <w:basedOn w:val="Listbullet1"/>
    <w:autoRedefine/>
    <w:qFormat/>
    <w:rsid w:val="00C6000C"/>
    <w:pPr>
      <w:numPr>
        <w:numId w:val="7"/>
      </w:numPr>
      <w:spacing w:before="0" w:after="0"/>
      <w:ind w:left="714" w:hanging="357"/>
    </w:pPr>
  </w:style>
  <w:style w:type="table" w:styleId="TableGrid">
    <w:name w:val="Table Grid"/>
    <w:aliases w:val="ACCC Table"/>
    <w:basedOn w:val="TableNormal"/>
    <w:rsid w:val="000A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82229"/>
    <w:rPr>
      <w:i/>
      <w:iCs/>
    </w:rPr>
  </w:style>
  <w:style w:type="paragraph" w:customStyle="1" w:styleId="Tabletextheadingcentre">
    <w:name w:val="Table text heading centre"/>
    <w:basedOn w:val="Tabletextheading"/>
    <w:autoRedefine/>
    <w:qFormat/>
    <w:rsid w:val="00BF04B9"/>
    <w:pPr>
      <w:keepNext/>
      <w:jc w:val="center"/>
    </w:pPr>
  </w:style>
  <w:style w:type="character" w:styleId="IntenseEmphasis">
    <w:name w:val="Intense Emphasis"/>
    <w:basedOn w:val="DefaultParagraphFont"/>
    <w:uiPriority w:val="21"/>
    <w:qFormat/>
    <w:rsid w:val="00C82229"/>
    <w:rPr>
      <w:b/>
      <w:bCs/>
      <w:i/>
      <w:iCs/>
      <w:color w:val="4F81BD" w:themeColor="accent1"/>
    </w:rPr>
  </w:style>
  <w:style w:type="paragraph" w:customStyle="1" w:styleId="Tabletextcentre">
    <w:name w:val="Table text centre"/>
    <w:basedOn w:val="Normal"/>
    <w:autoRedefine/>
    <w:qFormat/>
    <w:rsid w:val="00C91CA0"/>
    <w:pPr>
      <w:jc w:val="center"/>
    </w:pPr>
    <w:rPr>
      <w:sz w:val="18"/>
    </w:rPr>
  </w:style>
  <w:style w:type="paragraph" w:customStyle="1" w:styleId="Tabletextright">
    <w:name w:val="Table text right"/>
    <w:basedOn w:val="Normal"/>
    <w:link w:val="TabletextrightChar"/>
    <w:autoRedefine/>
    <w:qFormat/>
    <w:rsid w:val="00C91CA0"/>
    <w:pPr>
      <w:spacing w:before="40" w:after="40"/>
      <w:jc w:val="right"/>
    </w:pPr>
    <w:rPr>
      <w:sz w:val="18"/>
    </w:rPr>
  </w:style>
  <w:style w:type="paragraph" w:customStyle="1" w:styleId="Tabletextlistbulletleft">
    <w:name w:val="Table text list bullet left"/>
    <w:basedOn w:val="Normal"/>
    <w:qFormat/>
    <w:rsid w:val="00B543D1"/>
    <w:pPr>
      <w:numPr>
        <w:numId w:val="4"/>
      </w:numPr>
      <w:ind w:left="357" w:hanging="357"/>
    </w:pPr>
  </w:style>
  <w:style w:type="paragraph" w:styleId="Header">
    <w:name w:val="header"/>
    <w:basedOn w:val="Normal"/>
    <w:link w:val="HeaderChar"/>
    <w:uiPriority w:val="99"/>
    <w:unhideWhenUsed/>
    <w:rsid w:val="00EE001A"/>
    <w:pPr>
      <w:tabs>
        <w:tab w:val="center" w:pos="4513"/>
        <w:tab w:val="right" w:pos="9026"/>
      </w:tabs>
      <w:spacing w:after="0"/>
    </w:pPr>
  </w:style>
  <w:style w:type="character" w:customStyle="1" w:styleId="HeaderChar">
    <w:name w:val="Header Char"/>
    <w:basedOn w:val="DefaultParagraphFont"/>
    <w:link w:val="Header"/>
    <w:uiPriority w:val="99"/>
    <w:rsid w:val="00EE001A"/>
    <w:rPr>
      <w:rFonts w:ascii="Arial" w:hAnsi="Arial"/>
      <w:sz w:val="20"/>
    </w:rPr>
  </w:style>
  <w:style w:type="paragraph" w:styleId="Footer">
    <w:name w:val="footer"/>
    <w:basedOn w:val="Normal"/>
    <w:link w:val="FooterChar"/>
    <w:uiPriority w:val="99"/>
    <w:unhideWhenUsed/>
    <w:rsid w:val="00EE001A"/>
    <w:pPr>
      <w:tabs>
        <w:tab w:val="center" w:pos="4513"/>
        <w:tab w:val="right" w:pos="9026"/>
      </w:tabs>
      <w:spacing w:after="0"/>
    </w:pPr>
  </w:style>
  <w:style w:type="character" w:customStyle="1" w:styleId="FooterChar">
    <w:name w:val="Footer Char"/>
    <w:basedOn w:val="DefaultParagraphFont"/>
    <w:link w:val="Footer"/>
    <w:uiPriority w:val="99"/>
    <w:rsid w:val="00EE001A"/>
    <w:rPr>
      <w:rFonts w:ascii="Arial" w:hAnsi="Arial"/>
      <w:sz w:val="20"/>
    </w:rPr>
  </w:style>
  <w:style w:type="paragraph" w:styleId="ListParagraph">
    <w:name w:val="List Paragraph"/>
    <w:basedOn w:val="Normal"/>
    <w:uiPriority w:val="34"/>
    <w:qFormat/>
    <w:rsid w:val="00F547D7"/>
    <w:pPr>
      <w:ind w:left="720"/>
      <w:contextualSpacing/>
    </w:pPr>
  </w:style>
  <w:style w:type="paragraph" w:styleId="Subtitle">
    <w:name w:val="Subtitle"/>
    <w:basedOn w:val="Normal"/>
    <w:next w:val="Normal"/>
    <w:link w:val="SubtitleChar"/>
    <w:uiPriority w:val="11"/>
    <w:qFormat/>
    <w:rsid w:val="009932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327A"/>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A14BB3"/>
    <w:rPr>
      <w:sz w:val="16"/>
      <w:szCs w:val="16"/>
    </w:rPr>
  </w:style>
  <w:style w:type="paragraph" w:styleId="CommentText">
    <w:name w:val="annotation text"/>
    <w:basedOn w:val="Normal"/>
    <w:link w:val="CommentTextChar"/>
    <w:uiPriority w:val="99"/>
    <w:semiHidden/>
    <w:unhideWhenUsed/>
    <w:rsid w:val="00A14BB3"/>
    <w:rPr>
      <w:szCs w:val="20"/>
    </w:rPr>
  </w:style>
  <w:style w:type="character" w:customStyle="1" w:styleId="CommentTextChar">
    <w:name w:val="Comment Text Char"/>
    <w:basedOn w:val="DefaultParagraphFont"/>
    <w:link w:val="CommentText"/>
    <w:uiPriority w:val="99"/>
    <w:semiHidden/>
    <w:rsid w:val="00A14BB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4BB3"/>
    <w:rPr>
      <w:b/>
      <w:bCs/>
    </w:rPr>
  </w:style>
  <w:style w:type="character" w:customStyle="1" w:styleId="CommentSubjectChar">
    <w:name w:val="Comment Subject Char"/>
    <w:basedOn w:val="CommentTextChar"/>
    <w:link w:val="CommentSubject"/>
    <w:uiPriority w:val="99"/>
    <w:semiHidden/>
    <w:rsid w:val="00A14BB3"/>
    <w:rPr>
      <w:rFonts w:ascii="Arial" w:hAnsi="Arial"/>
      <w:b/>
      <w:bCs/>
      <w:sz w:val="20"/>
      <w:szCs w:val="20"/>
    </w:rPr>
  </w:style>
  <w:style w:type="paragraph" w:styleId="FootnoteText">
    <w:name w:val="footnote text"/>
    <w:basedOn w:val="Normal"/>
    <w:link w:val="FootnoteTextChar"/>
    <w:autoRedefine/>
    <w:uiPriority w:val="99"/>
    <w:unhideWhenUsed/>
    <w:rsid w:val="00566D59"/>
    <w:pPr>
      <w:spacing w:after="120"/>
    </w:pPr>
    <w:rPr>
      <w:sz w:val="16"/>
      <w:szCs w:val="20"/>
    </w:rPr>
  </w:style>
  <w:style w:type="character" w:customStyle="1" w:styleId="FootnoteTextChar">
    <w:name w:val="Footnote Text Char"/>
    <w:basedOn w:val="DefaultParagraphFont"/>
    <w:link w:val="FootnoteText"/>
    <w:uiPriority w:val="99"/>
    <w:rsid w:val="00566D59"/>
    <w:rPr>
      <w:rFonts w:ascii="Arial" w:hAnsi="Arial"/>
      <w:sz w:val="16"/>
      <w:szCs w:val="20"/>
    </w:rPr>
  </w:style>
  <w:style w:type="character" w:styleId="FootnoteReference">
    <w:name w:val="footnote reference"/>
    <w:basedOn w:val="DefaultParagraphFont"/>
    <w:uiPriority w:val="99"/>
    <w:unhideWhenUsed/>
    <w:rsid w:val="00DF6259"/>
    <w:rPr>
      <w:vertAlign w:val="superscript"/>
    </w:rPr>
  </w:style>
  <w:style w:type="paragraph" w:customStyle="1" w:styleId="tabletextindentbullet">
    <w:name w:val="table text indent bullet"/>
    <w:basedOn w:val="Normal"/>
    <w:qFormat/>
    <w:rsid w:val="009557AE"/>
    <w:pPr>
      <w:numPr>
        <w:numId w:val="5"/>
      </w:numPr>
      <w:tabs>
        <w:tab w:val="left" w:pos="454"/>
      </w:tabs>
      <w:spacing w:before="60" w:after="60"/>
    </w:pPr>
    <w:rPr>
      <w:rFonts w:ascii="Times New Roman" w:eastAsia="Times New Roman" w:hAnsi="Times New Roman" w:cs="Times New Roman"/>
      <w:sz w:val="22"/>
      <w:szCs w:val="20"/>
      <w:lang w:eastAsia="en-AU"/>
    </w:rPr>
  </w:style>
  <w:style w:type="character" w:customStyle="1" w:styleId="Heading5Char">
    <w:name w:val="Heading 5 Char"/>
    <w:basedOn w:val="DefaultParagraphFont"/>
    <w:link w:val="Heading5"/>
    <w:uiPriority w:val="9"/>
    <w:semiHidden/>
    <w:rsid w:val="00DC13C2"/>
    <w:rPr>
      <w:rFonts w:asciiTheme="majorHAnsi" w:eastAsiaTheme="majorEastAsia" w:hAnsiTheme="majorHAnsi" w:cstheme="majorBidi"/>
      <w:color w:val="243F60" w:themeColor="accent1" w:themeShade="7F"/>
      <w:sz w:val="20"/>
    </w:rPr>
  </w:style>
  <w:style w:type="paragraph" w:customStyle="1" w:styleId="Tabletextheading">
    <w:name w:val="Table text heading"/>
    <w:basedOn w:val="Normal"/>
    <w:link w:val="TabletextheadingChar"/>
    <w:autoRedefine/>
    <w:qFormat/>
    <w:rsid w:val="00FB505E"/>
    <w:pPr>
      <w:spacing w:before="40" w:after="40"/>
    </w:pPr>
    <w:rPr>
      <w:b/>
      <w:color w:val="000000" w:themeColor="text1"/>
      <w:sz w:val="18"/>
    </w:rPr>
  </w:style>
  <w:style w:type="paragraph" w:customStyle="1" w:styleId="Tabletitle">
    <w:name w:val="Table title"/>
    <w:basedOn w:val="Normal"/>
    <w:next w:val="Normal"/>
    <w:link w:val="TabletitleChar"/>
    <w:qFormat/>
    <w:rsid w:val="00DC13C2"/>
    <w:pPr>
      <w:keepNext/>
      <w:tabs>
        <w:tab w:val="left" w:pos="1320"/>
      </w:tabs>
      <w:spacing w:before="120" w:after="60"/>
      <w:ind w:left="1321" w:hanging="1321"/>
    </w:pPr>
    <w:rPr>
      <w:rFonts w:eastAsia="Times New Roman" w:cs="Times New Roman"/>
      <w:b/>
      <w:color w:val="000064"/>
      <w:szCs w:val="20"/>
      <w:lang w:eastAsia="en-AU"/>
    </w:rPr>
  </w:style>
  <w:style w:type="paragraph" w:customStyle="1" w:styleId="Tabletextrightcolumn">
    <w:name w:val="Table text right column"/>
    <w:basedOn w:val="Normal"/>
    <w:qFormat/>
    <w:rsid w:val="00DC13C2"/>
    <w:pPr>
      <w:spacing w:before="60" w:after="60"/>
      <w:ind w:left="454" w:hanging="454"/>
      <w:jc w:val="right"/>
    </w:pPr>
    <w:rPr>
      <w:rFonts w:eastAsia="Times New Roman" w:cs="Times New Roman"/>
      <w:szCs w:val="20"/>
      <w:lang w:eastAsia="en-AU"/>
    </w:rPr>
  </w:style>
  <w:style w:type="paragraph" w:styleId="Revision">
    <w:name w:val="Revision"/>
    <w:hidden/>
    <w:uiPriority w:val="99"/>
    <w:semiHidden/>
    <w:rsid w:val="008303BF"/>
    <w:pPr>
      <w:spacing w:after="0" w:line="240" w:lineRule="auto"/>
    </w:pPr>
    <w:rPr>
      <w:rFonts w:ascii="Arial" w:hAnsi="Arial"/>
      <w:sz w:val="20"/>
    </w:rPr>
  </w:style>
  <w:style w:type="paragraph" w:customStyle="1" w:styleId="Keypointsheading2">
    <w:name w:val="Key points heading 2"/>
    <w:basedOn w:val="Non-numberedheading2"/>
    <w:qFormat/>
    <w:rsid w:val="00A75163"/>
    <w:pPr>
      <w:spacing w:after="120"/>
    </w:pPr>
  </w:style>
  <w:style w:type="table" w:styleId="ColorfulList-Accent6">
    <w:name w:val="Colorful List Accent 6"/>
    <w:basedOn w:val="TableNormal"/>
    <w:uiPriority w:val="72"/>
    <w:rsid w:val="00081477"/>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List-Accent1">
    <w:name w:val="Light List Accent 1"/>
    <w:basedOn w:val="TableNormal"/>
    <w:uiPriority w:val="61"/>
    <w:rsid w:val="007C2E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C82229"/>
    <w:rPr>
      <w:b/>
      <w:bCs/>
    </w:rPr>
  </w:style>
  <w:style w:type="paragraph" w:customStyle="1" w:styleId="Tabletextleft">
    <w:name w:val="Table text left"/>
    <w:basedOn w:val="Tabletextright"/>
    <w:link w:val="TabletextleftChar"/>
    <w:autoRedefine/>
    <w:qFormat/>
    <w:rsid w:val="00C91CA0"/>
    <w:pPr>
      <w:jc w:val="left"/>
    </w:pPr>
  </w:style>
  <w:style w:type="paragraph" w:customStyle="1" w:styleId="Tabletextheadingright">
    <w:name w:val="Table text heading right"/>
    <w:basedOn w:val="Tabletextheading"/>
    <w:link w:val="TabletextheadingrightChar"/>
    <w:qFormat/>
    <w:rsid w:val="00802A3B"/>
    <w:pPr>
      <w:jc w:val="right"/>
    </w:pPr>
  </w:style>
  <w:style w:type="character" w:customStyle="1" w:styleId="TabletextrightChar">
    <w:name w:val="Table text right Char"/>
    <w:basedOn w:val="DefaultParagraphFont"/>
    <w:link w:val="Tabletextright"/>
    <w:rsid w:val="00C91CA0"/>
    <w:rPr>
      <w:rFonts w:ascii="Arial" w:hAnsi="Arial"/>
      <w:sz w:val="18"/>
    </w:rPr>
  </w:style>
  <w:style w:type="character" w:customStyle="1" w:styleId="TabletextleftChar">
    <w:name w:val="Table text left Char"/>
    <w:basedOn w:val="TabletextrightChar"/>
    <w:link w:val="Tabletextleft"/>
    <w:rsid w:val="00C91CA0"/>
    <w:rPr>
      <w:rFonts w:ascii="Arial" w:hAnsi="Arial"/>
      <w:sz w:val="18"/>
    </w:rPr>
  </w:style>
  <w:style w:type="character" w:customStyle="1" w:styleId="TabletextheadingChar">
    <w:name w:val="Table text heading Char"/>
    <w:basedOn w:val="DefaultParagraphFont"/>
    <w:link w:val="Tabletextheading"/>
    <w:rsid w:val="00FB505E"/>
    <w:rPr>
      <w:rFonts w:ascii="Arial" w:hAnsi="Arial"/>
      <w:b/>
      <w:color w:val="000000" w:themeColor="text1"/>
      <w:sz w:val="18"/>
    </w:rPr>
  </w:style>
  <w:style w:type="character" w:customStyle="1" w:styleId="TabletextheadingrightChar">
    <w:name w:val="Table text heading right Char"/>
    <w:basedOn w:val="TabletextheadingChar"/>
    <w:link w:val="Tabletextheadingright"/>
    <w:rsid w:val="00802A3B"/>
    <w:rPr>
      <w:rFonts w:ascii="Arial" w:eastAsia="Times New Roman" w:hAnsi="Arial" w:cs="Times New Roman"/>
      <w:b/>
      <w:color w:val="000000" w:themeColor="text1"/>
      <w:sz w:val="18"/>
      <w:szCs w:val="20"/>
      <w:lang w:eastAsia="en-AU"/>
    </w:rPr>
  </w:style>
  <w:style w:type="paragraph" w:customStyle="1" w:styleId="Sourceandnotes">
    <w:name w:val="Source and notes"/>
    <w:basedOn w:val="Normal"/>
    <w:autoRedefine/>
    <w:qFormat/>
    <w:rsid w:val="00861426"/>
    <w:pPr>
      <w:keepNext/>
      <w:spacing w:before="120"/>
      <w:contextualSpacing/>
    </w:pPr>
    <w:rPr>
      <w:sz w:val="16"/>
      <w:szCs w:val="16"/>
    </w:rPr>
  </w:style>
  <w:style w:type="paragraph" w:customStyle="1" w:styleId="Standardheading">
    <w:name w:val="Standard heading"/>
    <w:basedOn w:val="Normal"/>
    <w:next w:val="Normal"/>
    <w:qFormat/>
    <w:rsid w:val="008553C5"/>
    <w:pPr>
      <w:keepNext/>
      <w:spacing w:before="120" w:after="120"/>
      <w:ind w:left="357" w:hanging="357"/>
    </w:pPr>
    <w:rPr>
      <w:b/>
      <w:i/>
      <w:sz w:val="22"/>
    </w:rPr>
  </w:style>
  <w:style w:type="paragraph" w:customStyle="1" w:styleId="Terminalheading">
    <w:name w:val="Terminal heading"/>
    <w:basedOn w:val="Numberedcharttitle"/>
    <w:qFormat/>
    <w:rsid w:val="00D86837"/>
    <w:pPr>
      <w:spacing w:before="0"/>
    </w:pPr>
  </w:style>
  <w:style w:type="paragraph" w:customStyle="1" w:styleId="TableTextWhitecentre">
    <w:name w:val="Table Text White centre"/>
    <w:basedOn w:val="Tabletextheadingcentre"/>
    <w:qFormat/>
    <w:rsid w:val="00DB12F3"/>
    <w:rPr>
      <w:color w:val="FFFFFF" w:themeColor="background1"/>
    </w:rPr>
  </w:style>
  <w:style w:type="paragraph" w:customStyle="1" w:styleId="Paragraphnumbering">
    <w:name w:val="Paragraph numbering"/>
    <w:basedOn w:val="Normal"/>
    <w:qFormat/>
    <w:rsid w:val="0080004D"/>
    <w:pPr>
      <w:numPr>
        <w:numId w:val="8"/>
      </w:numPr>
    </w:pPr>
  </w:style>
  <w:style w:type="paragraph" w:customStyle="1" w:styleId="numberedparagraph">
    <w:name w:val="numbered paragraph"/>
    <w:basedOn w:val="Normal"/>
    <w:qFormat/>
    <w:rsid w:val="00FB323C"/>
    <w:pPr>
      <w:numPr>
        <w:numId w:val="9"/>
      </w:numPr>
      <w:ind w:left="360"/>
    </w:pPr>
  </w:style>
  <w:style w:type="table" w:customStyle="1" w:styleId="TableGrid1">
    <w:name w:val="Table Grid1"/>
    <w:basedOn w:val="TableNormal"/>
    <w:next w:val="TableGrid"/>
    <w:rsid w:val="00E4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4DAF"/>
    <w:rPr>
      <w:color w:val="800080" w:themeColor="followedHyperlink"/>
      <w:u w:val="single"/>
    </w:rPr>
  </w:style>
  <w:style w:type="paragraph" w:styleId="EndnoteText">
    <w:name w:val="endnote text"/>
    <w:basedOn w:val="Normal"/>
    <w:link w:val="EndnoteTextChar"/>
    <w:uiPriority w:val="99"/>
    <w:unhideWhenUsed/>
    <w:rsid w:val="008B0230"/>
    <w:pPr>
      <w:spacing w:after="0"/>
    </w:pPr>
    <w:rPr>
      <w:szCs w:val="20"/>
    </w:rPr>
  </w:style>
  <w:style w:type="character" w:customStyle="1" w:styleId="EndnoteTextChar">
    <w:name w:val="Endnote Text Char"/>
    <w:basedOn w:val="DefaultParagraphFont"/>
    <w:link w:val="EndnoteText"/>
    <w:uiPriority w:val="99"/>
    <w:rsid w:val="008B0230"/>
    <w:rPr>
      <w:rFonts w:ascii="Arial" w:hAnsi="Arial"/>
      <w:sz w:val="20"/>
      <w:szCs w:val="20"/>
    </w:rPr>
  </w:style>
  <w:style w:type="character" w:styleId="EndnoteReference">
    <w:name w:val="endnote reference"/>
    <w:basedOn w:val="DefaultParagraphFont"/>
    <w:uiPriority w:val="99"/>
    <w:semiHidden/>
    <w:unhideWhenUsed/>
    <w:rsid w:val="008B0230"/>
    <w:rPr>
      <w:vertAlign w:val="superscript"/>
    </w:rPr>
  </w:style>
  <w:style w:type="paragraph" w:customStyle="1" w:styleId="Tabletextheadingleft">
    <w:name w:val="Table text heading left"/>
    <w:rsid w:val="003B184C"/>
    <w:pPr>
      <w:spacing w:before="120" w:after="120"/>
    </w:pPr>
    <w:rPr>
      <w:rFonts w:ascii="Arial" w:eastAsia="Calibri" w:hAnsi="Arial" w:cs="Times New Roman"/>
      <w:b/>
      <w:sz w:val="18"/>
    </w:rPr>
  </w:style>
  <w:style w:type="paragraph" w:customStyle="1" w:styleId="Chartandtablenotes">
    <w:name w:val="Chart and table notes"/>
    <w:basedOn w:val="Normal"/>
    <w:rsid w:val="003B184C"/>
    <w:rPr>
      <w:rFonts w:eastAsia="Calibri" w:cs="Times New Roman"/>
      <w:sz w:val="16"/>
      <w:lang w:eastAsia="en-AU"/>
    </w:rPr>
  </w:style>
  <w:style w:type="paragraph" w:customStyle="1" w:styleId="Footnotes">
    <w:name w:val="Footnotes"/>
    <w:basedOn w:val="Normal"/>
    <w:rsid w:val="003B184C"/>
    <w:pPr>
      <w:spacing w:after="120"/>
    </w:pPr>
    <w:rPr>
      <w:rFonts w:eastAsia="Calibri" w:cs="Times New Roman"/>
      <w:sz w:val="16"/>
      <w:lang w:eastAsia="en-AU"/>
    </w:rPr>
  </w:style>
  <w:style w:type="numbering" w:customStyle="1" w:styleId="Numberedlist1">
    <w:name w:val="Numbered list1"/>
    <w:uiPriority w:val="99"/>
    <w:rsid w:val="003B184C"/>
  </w:style>
  <w:style w:type="paragraph" w:styleId="ListBullet">
    <w:name w:val="List Bullet"/>
    <w:basedOn w:val="Normal"/>
    <w:uiPriority w:val="99"/>
    <w:unhideWhenUsed/>
    <w:rsid w:val="003B184C"/>
    <w:pPr>
      <w:numPr>
        <w:numId w:val="10"/>
      </w:numPr>
      <w:spacing w:before="120" w:after="160"/>
      <w:contextualSpacing/>
    </w:pPr>
    <w:rPr>
      <w:rFonts w:eastAsia="Calibri" w:cs="Times New Roman"/>
    </w:rPr>
  </w:style>
  <w:style w:type="paragraph" w:customStyle="1" w:styleId="Tabletext-centred">
    <w:name w:val="Table text - centred"/>
    <w:basedOn w:val="Tabletextleft"/>
    <w:autoRedefine/>
    <w:qFormat/>
    <w:rsid w:val="00265B18"/>
    <w:pPr>
      <w:keepNext/>
    </w:pPr>
  </w:style>
  <w:style w:type="paragraph" w:customStyle="1" w:styleId="Tabletextleft-centred">
    <w:name w:val="Table text left - centred"/>
    <w:basedOn w:val="Tabletextheading"/>
    <w:qFormat/>
    <w:rsid w:val="00265B18"/>
  </w:style>
  <w:style w:type="paragraph" w:customStyle="1" w:styleId="Tabletextright-centred">
    <w:name w:val="Table text right - centred"/>
    <w:basedOn w:val="Tabletextright"/>
    <w:qFormat/>
    <w:rsid w:val="00265B18"/>
    <w:pPr>
      <w:keepNext/>
    </w:pPr>
    <w:rPr>
      <w:b/>
    </w:rPr>
  </w:style>
  <w:style w:type="paragraph" w:customStyle="1" w:styleId="QOStabletextleft">
    <w:name w:val="QOS table text left"/>
    <w:basedOn w:val="Tabletextleft"/>
    <w:qFormat/>
    <w:rsid w:val="00265B18"/>
    <w:pPr>
      <w:keepNext/>
    </w:pPr>
    <w:rPr>
      <w:sz w:val="16"/>
    </w:rPr>
  </w:style>
  <w:style w:type="paragraph" w:customStyle="1" w:styleId="QOStabletextleftbold">
    <w:name w:val="QOS table text left bold"/>
    <w:basedOn w:val="QOStabletextleft"/>
    <w:qFormat/>
    <w:rsid w:val="00265B18"/>
    <w:rPr>
      <w:b/>
    </w:rPr>
  </w:style>
  <w:style w:type="paragraph" w:customStyle="1" w:styleId="KeyPointbullets">
    <w:name w:val="Key Point bullets"/>
    <w:basedOn w:val="Listbullet1"/>
    <w:autoRedefine/>
    <w:qFormat/>
    <w:rsid w:val="00265B18"/>
    <w:pPr>
      <w:keepNext/>
      <w:shd w:val="clear" w:color="auto" w:fill="DFE0DC"/>
      <w:ind w:left="357" w:hanging="357"/>
    </w:pPr>
  </w:style>
  <w:style w:type="paragraph" w:customStyle="1" w:styleId="keypointheading5">
    <w:name w:val="key point heading 5"/>
    <w:basedOn w:val="Keypointsheading3"/>
    <w:qFormat/>
    <w:rsid w:val="00265B18"/>
    <w:pPr>
      <w:shd w:val="clear" w:color="auto" w:fill="DFE0DC"/>
    </w:pPr>
    <w:rPr>
      <w:i/>
    </w:rPr>
  </w:style>
  <w:style w:type="paragraph" w:customStyle="1" w:styleId="Numberedheading3">
    <w:name w:val="Numbered heading 3"/>
    <w:next w:val="Numberedheading30"/>
    <w:autoRedefine/>
    <w:qFormat/>
    <w:rsid w:val="00DA3E3D"/>
    <w:pPr>
      <w:keepNext/>
      <w:numPr>
        <w:ilvl w:val="2"/>
        <w:numId w:val="1"/>
      </w:numPr>
      <w:ind w:left="958"/>
      <w:outlineLvl w:val="3"/>
    </w:pPr>
    <w:rPr>
      <w:rFonts w:ascii="Arial" w:eastAsiaTheme="majorEastAsia" w:hAnsi="Arial" w:cstheme="majorBidi"/>
      <w:b/>
      <w:bCs/>
      <w:color w:val="000000" w:themeColor="text1"/>
      <w:sz w:val="24"/>
      <w:szCs w:val="28"/>
    </w:rPr>
  </w:style>
  <w:style w:type="paragraph" w:customStyle="1" w:styleId="tabletextcentred-right">
    <w:name w:val="table text centred - right"/>
    <w:basedOn w:val="Tabletext-centred"/>
    <w:qFormat/>
    <w:rsid w:val="00265B18"/>
    <w:pPr>
      <w:keepNext w:val="0"/>
      <w:ind w:left="284"/>
      <w:jc w:val="right"/>
    </w:pPr>
  </w:style>
  <w:style w:type="paragraph" w:customStyle="1" w:styleId="QOStabletextheading">
    <w:name w:val="QOS table text heading"/>
    <w:basedOn w:val="Normal"/>
    <w:qFormat/>
    <w:rsid w:val="00915742"/>
    <w:pPr>
      <w:spacing w:before="40" w:after="40"/>
    </w:pPr>
    <w:rPr>
      <w:rFonts w:eastAsiaTheme="minorEastAsia"/>
      <w:b/>
      <w:bCs/>
      <w:color w:val="000000" w:themeColor="text1"/>
      <w:sz w:val="16"/>
      <w:szCs w:val="16"/>
    </w:rPr>
  </w:style>
  <w:style w:type="numbering" w:customStyle="1" w:styleId="NoList1">
    <w:name w:val="No List1"/>
    <w:next w:val="NoList"/>
    <w:uiPriority w:val="99"/>
    <w:semiHidden/>
    <w:unhideWhenUsed/>
    <w:rsid w:val="003E51D9"/>
  </w:style>
  <w:style w:type="table" w:customStyle="1" w:styleId="TableGrid2">
    <w:name w:val="Table Grid2"/>
    <w:basedOn w:val="TableNormal"/>
    <w:next w:val="TableGrid"/>
    <w:rsid w:val="003E5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72"/>
    <w:rsid w:val="003E51D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next w:val="LightList-Accent1"/>
    <w:uiPriority w:val="61"/>
    <w:rsid w:val="003E51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leftcolumn">
    <w:name w:val="Table text left column"/>
    <w:basedOn w:val="Tabletextrightcolumn"/>
    <w:qFormat/>
    <w:rsid w:val="003E51D9"/>
    <w:pPr>
      <w:jc w:val="left"/>
    </w:pPr>
  </w:style>
  <w:style w:type="paragraph" w:customStyle="1" w:styleId="Footnote">
    <w:name w:val="Footnote"/>
    <w:basedOn w:val="FootnoteText"/>
    <w:qFormat/>
    <w:rsid w:val="00E93068"/>
    <w:pPr>
      <w:spacing w:before="240"/>
    </w:pPr>
    <w:rPr>
      <w:rFonts w:eastAsia="Times New Roman" w:cs="Times New Roman"/>
      <w:szCs w:val="16"/>
      <w:lang w:eastAsia="en-AU"/>
    </w:rPr>
  </w:style>
  <w:style w:type="character" w:styleId="PlaceholderText">
    <w:name w:val="Placeholder Text"/>
    <w:basedOn w:val="DefaultParagraphFont"/>
    <w:uiPriority w:val="99"/>
    <w:semiHidden/>
    <w:rsid w:val="008D7B51"/>
    <w:rPr>
      <w:color w:val="808080"/>
    </w:rPr>
  </w:style>
  <w:style w:type="character" w:customStyle="1" w:styleId="TabletitleChar">
    <w:name w:val="Table title Char"/>
    <w:basedOn w:val="DefaultParagraphFont"/>
    <w:link w:val="Tabletitle"/>
    <w:rsid w:val="00DC084A"/>
    <w:rPr>
      <w:rFonts w:ascii="Arial" w:eastAsia="Times New Roman" w:hAnsi="Arial" w:cs="Times New Roman"/>
      <w:b/>
      <w:color w:val="000064"/>
      <w:sz w:val="20"/>
      <w:szCs w:val="20"/>
      <w:lang w:eastAsia="en-AU"/>
    </w:rPr>
  </w:style>
  <w:style w:type="paragraph" w:styleId="ListBullet2">
    <w:name w:val="List Bullet 2"/>
    <w:basedOn w:val="Normal"/>
    <w:uiPriority w:val="99"/>
    <w:unhideWhenUsed/>
    <w:rsid w:val="00DC084A"/>
    <w:pPr>
      <w:numPr>
        <w:numId w:val="13"/>
      </w:numPr>
      <w:tabs>
        <w:tab w:val="clear" w:pos="643"/>
        <w:tab w:val="num" w:pos="680"/>
      </w:tabs>
      <w:spacing w:before="120" w:after="0" w:line="276" w:lineRule="auto"/>
      <w:ind w:left="680" w:hanging="340"/>
    </w:pPr>
    <w:rPr>
      <w:sz w:val="22"/>
    </w:rPr>
  </w:style>
  <w:style w:type="paragraph" w:customStyle="1" w:styleId="Bulletpoint">
    <w:name w:val="Bullet point"/>
    <w:basedOn w:val="ListBullet"/>
    <w:qFormat/>
    <w:rsid w:val="00DC084A"/>
    <w:pPr>
      <w:numPr>
        <w:numId w:val="0"/>
      </w:numPr>
      <w:tabs>
        <w:tab w:val="left" w:pos="340"/>
        <w:tab w:val="num" w:pos="958"/>
      </w:tabs>
      <w:spacing w:after="0" w:line="276" w:lineRule="auto"/>
      <w:ind w:left="357" w:hanging="357"/>
      <w:contextualSpacing w:val="0"/>
    </w:pPr>
    <w:rPr>
      <w:rFonts w:eastAsiaTheme="minorHAnsi"/>
      <w:sz w:val="22"/>
    </w:rPr>
  </w:style>
  <w:style w:type="table" w:customStyle="1" w:styleId="ACCCTable1">
    <w:name w:val="ACCC Table1"/>
    <w:basedOn w:val="TableNormal"/>
    <w:next w:val="TableGrid"/>
    <w:rsid w:val="00DC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2">
    <w:name w:val="Bullet point 2"/>
    <w:basedOn w:val="ListBullet2"/>
    <w:uiPriority w:val="1"/>
    <w:qFormat/>
    <w:rsid w:val="00DC084A"/>
    <w:pPr>
      <w:numPr>
        <w:numId w:val="16"/>
      </w:numPr>
      <w:tabs>
        <w:tab w:val="left" w:pos="680"/>
      </w:tabs>
      <w:spacing w:after="240" w:line="240" w:lineRule="auto"/>
      <w:ind w:left="680" w:hanging="340"/>
    </w:pPr>
    <w:rPr>
      <w:sz w:val="20"/>
    </w:rPr>
  </w:style>
  <w:style w:type="paragraph" w:customStyle="1" w:styleId="Tabletextrightitalic">
    <w:name w:val="Table text right italic"/>
    <w:basedOn w:val="Tabletextright"/>
    <w:qFormat/>
    <w:rsid w:val="009F0A92"/>
    <w:rPr>
      <w:i/>
      <w:color w:val="51626F"/>
    </w:rPr>
  </w:style>
  <w:style w:type="table" w:customStyle="1" w:styleId="TableGrid3">
    <w:name w:val="Table Grid3"/>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right2">
    <w:name w:val="Table text right 2"/>
    <w:basedOn w:val="Normal"/>
    <w:qFormat/>
    <w:rsid w:val="009543DB"/>
    <w:pPr>
      <w:spacing w:before="40" w:after="40"/>
      <w:jc w:val="right"/>
    </w:pPr>
    <w:rPr>
      <w:i/>
      <w:color w:val="808080" w:themeColor="background1" w:themeShade="80"/>
      <w:sz w:val="18"/>
    </w:rPr>
  </w:style>
  <w:style w:type="table" w:customStyle="1" w:styleId="TableGrid8">
    <w:name w:val="Table Grid8"/>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AD8"/>
    <w:pPr>
      <w:spacing w:after="240" w:line="240" w:lineRule="auto"/>
    </w:pPr>
    <w:rPr>
      <w:rFonts w:ascii="Arial" w:hAnsi="Arial"/>
      <w:sz w:val="20"/>
    </w:rPr>
  </w:style>
  <w:style w:type="paragraph" w:styleId="Heading1">
    <w:name w:val="heading 1"/>
    <w:basedOn w:val="Normal"/>
    <w:next w:val="Normal"/>
    <w:link w:val="Heading1Char"/>
    <w:uiPriority w:val="9"/>
    <w:qFormat/>
    <w:rsid w:val="00BE7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DC13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A8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7A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8E"/>
    <w:rPr>
      <w:rFonts w:ascii="Tahoma" w:hAnsi="Tahoma" w:cs="Tahoma"/>
      <w:sz w:val="16"/>
      <w:szCs w:val="16"/>
    </w:rPr>
  </w:style>
  <w:style w:type="paragraph" w:customStyle="1" w:styleId="ACCCreporttitle1">
    <w:name w:val="ACCC report title 1"/>
    <w:rsid w:val="00A75163"/>
    <w:pPr>
      <w:spacing w:before="4200" w:after="240" w:line="240" w:lineRule="auto"/>
      <w:ind w:left="454" w:hanging="454"/>
      <w:contextualSpacing/>
      <w:outlineLvl w:val="0"/>
    </w:pPr>
    <w:rPr>
      <w:rFonts w:ascii="Lucida Fax" w:eastAsia="Times New Roman" w:hAnsi="Lucida Fax" w:cs="Times New Roman"/>
      <w:bCs/>
      <w:color w:val="4F2D7F"/>
      <w:sz w:val="96"/>
      <w:szCs w:val="20"/>
      <w:lang w:eastAsia="en-AU"/>
    </w:rPr>
  </w:style>
  <w:style w:type="paragraph" w:customStyle="1" w:styleId="ACCCreportdate">
    <w:name w:val="ACCC report date"/>
    <w:qFormat/>
    <w:rsid w:val="00A75163"/>
    <w:rPr>
      <w:rFonts w:ascii="Arial" w:eastAsia="Times New Roman" w:hAnsi="Arial" w:cs="Times New Roman"/>
      <w:b/>
      <w:bCs/>
      <w:color w:val="51626F"/>
      <w:sz w:val="24"/>
      <w:szCs w:val="20"/>
      <w:lang w:eastAsia="en-AU"/>
    </w:rPr>
  </w:style>
  <w:style w:type="paragraph" w:customStyle="1" w:styleId="ACCCreporttitle2">
    <w:name w:val="ACCC report title 2"/>
    <w:qFormat/>
    <w:rsid w:val="00A75163"/>
    <w:pPr>
      <w:spacing w:before="40"/>
    </w:pPr>
    <w:rPr>
      <w:rFonts w:ascii="Lucida Fax" w:eastAsia="Times New Roman" w:hAnsi="Lucida Fax" w:cs="Times New Roman"/>
      <w:bCs/>
      <w:color w:val="4F2D7F"/>
      <w:sz w:val="52"/>
      <w:szCs w:val="20"/>
      <w:lang w:eastAsia="en-AU"/>
    </w:rPr>
  </w:style>
  <w:style w:type="paragraph" w:customStyle="1" w:styleId="ACCCcopyrighttext">
    <w:name w:val="ACCC copyright text"/>
    <w:basedOn w:val="Normal"/>
    <w:qFormat/>
    <w:rsid w:val="00BF48F0"/>
    <w:pPr>
      <w:spacing w:after="0"/>
    </w:pPr>
  </w:style>
  <w:style w:type="character" w:styleId="Hyperlink">
    <w:name w:val="Hyperlink"/>
    <w:basedOn w:val="DefaultParagraphFont"/>
    <w:uiPriority w:val="99"/>
    <w:unhideWhenUsed/>
    <w:rsid w:val="006D16DD"/>
    <w:rPr>
      <w:color w:val="0000FF" w:themeColor="hyperlink"/>
      <w:u w:val="single"/>
    </w:rPr>
  </w:style>
  <w:style w:type="paragraph" w:customStyle="1" w:styleId="Non-numberedheading1">
    <w:name w:val="Non-numbered heading 1"/>
    <w:qFormat/>
    <w:rsid w:val="00A75163"/>
    <w:pPr>
      <w:pageBreakBefore/>
      <w:spacing w:after="480" w:line="240" w:lineRule="auto"/>
      <w:outlineLvl w:val="1"/>
    </w:pPr>
    <w:rPr>
      <w:rFonts w:ascii="Lucida Fax" w:eastAsiaTheme="majorEastAsia" w:hAnsi="Lucida Fax" w:cstheme="majorBidi"/>
      <w:bCs/>
      <w:color w:val="4F2D7F"/>
      <w:sz w:val="52"/>
      <w:szCs w:val="28"/>
    </w:rPr>
  </w:style>
  <w:style w:type="paragraph" w:customStyle="1" w:styleId="Numberedheading1">
    <w:name w:val="Numbered heading 1"/>
    <w:basedOn w:val="Non-numberedheading1"/>
    <w:autoRedefine/>
    <w:qFormat/>
    <w:rsid w:val="00265B18"/>
    <w:pPr>
      <w:numPr>
        <w:numId w:val="1"/>
      </w:numPr>
    </w:pPr>
    <w:rPr>
      <w:rFonts w:ascii="Lucida Bright" w:hAnsi="Lucida Bright"/>
    </w:rPr>
  </w:style>
  <w:style w:type="paragraph" w:customStyle="1" w:styleId="Non-numberedheading2">
    <w:name w:val="Non-numbered heading 2"/>
    <w:basedOn w:val="Non-numberedheading1"/>
    <w:autoRedefine/>
    <w:qFormat/>
    <w:rsid w:val="00114E05"/>
    <w:pPr>
      <w:pageBreakBefore w:val="0"/>
      <w:spacing w:before="480" w:after="240"/>
      <w:ind w:left="851" w:hanging="851"/>
      <w:outlineLvl w:val="2"/>
    </w:pPr>
    <w:rPr>
      <w:color w:val="51626F"/>
      <w:sz w:val="28"/>
    </w:rPr>
  </w:style>
  <w:style w:type="paragraph" w:customStyle="1" w:styleId="Keypointsheading1">
    <w:name w:val="Key points heading 1"/>
    <w:basedOn w:val="Non-numberedheading1"/>
    <w:qFormat/>
    <w:rsid w:val="00A75163"/>
  </w:style>
  <w:style w:type="paragraph" w:customStyle="1" w:styleId="Non-numberedheading3">
    <w:name w:val="Non-numbered heading 3"/>
    <w:autoRedefine/>
    <w:qFormat/>
    <w:rsid w:val="00114E05"/>
    <w:pPr>
      <w:ind w:left="851" w:hanging="851"/>
      <w:outlineLvl w:val="3"/>
    </w:pPr>
    <w:rPr>
      <w:rFonts w:ascii="Arial" w:eastAsiaTheme="majorEastAsia" w:hAnsi="Arial" w:cstheme="majorBidi"/>
      <w:b/>
      <w:bCs/>
      <w:color w:val="000000" w:themeColor="text1"/>
      <w:sz w:val="24"/>
      <w:szCs w:val="28"/>
    </w:rPr>
  </w:style>
  <w:style w:type="paragraph" w:customStyle="1" w:styleId="Non-numberedheading4">
    <w:name w:val="Non-numbered heading 4"/>
    <w:basedOn w:val="Non-numberedheading3"/>
    <w:autoRedefine/>
    <w:qFormat/>
    <w:rsid w:val="00A75163"/>
    <w:pPr>
      <w:keepNext/>
      <w:outlineLvl w:val="4"/>
    </w:pPr>
    <w:rPr>
      <w:i/>
      <w:color w:val="51626F"/>
    </w:rPr>
  </w:style>
  <w:style w:type="paragraph" w:customStyle="1" w:styleId="Keypointsheading3">
    <w:name w:val="Key points heading 3"/>
    <w:basedOn w:val="Non-numberedheading3"/>
    <w:qFormat/>
    <w:rsid w:val="00265B18"/>
    <w:rPr>
      <w:sz w:val="20"/>
    </w:rPr>
  </w:style>
  <w:style w:type="paragraph" w:customStyle="1" w:styleId="Keypointsheading4">
    <w:name w:val="Key points heading 4"/>
    <w:basedOn w:val="Non-numberedheading4"/>
    <w:qFormat/>
    <w:rsid w:val="00A75163"/>
  </w:style>
  <w:style w:type="paragraph" w:customStyle="1" w:styleId="Summaryheading">
    <w:name w:val="Summary heading"/>
    <w:basedOn w:val="Non-numberedheading1"/>
    <w:qFormat/>
    <w:rsid w:val="00001326"/>
  </w:style>
  <w:style w:type="paragraph" w:customStyle="1" w:styleId="Numberedheading2">
    <w:name w:val="Numbered heading 2"/>
    <w:basedOn w:val="Non-numberedheading2"/>
    <w:autoRedefine/>
    <w:qFormat/>
    <w:rsid w:val="009543DB"/>
    <w:pPr>
      <w:keepNext/>
      <w:numPr>
        <w:ilvl w:val="1"/>
        <w:numId w:val="1"/>
      </w:numPr>
      <w:tabs>
        <w:tab w:val="clear" w:pos="958"/>
        <w:tab w:val="num" w:pos="1560"/>
      </w:tabs>
      <w:ind w:left="993"/>
    </w:pPr>
  </w:style>
  <w:style w:type="paragraph" w:customStyle="1" w:styleId="Numberedheading30">
    <w:name w:val="Numbered heading 3"/>
    <w:autoRedefine/>
    <w:qFormat/>
    <w:rsid w:val="00265B18"/>
    <w:pPr>
      <w:keepNext/>
      <w:tabs>
        <w:tab w:val="num" w:pos="1384"/>
      </w:tabs>
      <w:ind w:left="958" w:hanging="958"/>
      <w:outlineLvl w:val="3"/>
    </w:pPr>
    <w:rPr>
      <w:rFonts w:ascii="Arial" w:eastAsiaTheme="majorEastAsia" w:hAnsi="Arial" w:cstheme="majorBidi"/>
      <w:b/>
      <w:bCs/>
      <w:color w:val="000000" w:themeColor="text1"/>
      <w:sz w:val="24"/>
      <w:szCs w:val="28"/>
    </w:rPr>
  </w:style>
  <w:style w:type="paragraph" w:customStyle="1" w:styleId="Numberedheading4">
    <w:name w:val="Numbered heading 4"/>
    <w:qFormat/>
    <w:rsid w:val="00B027E1"/>
    <w:rPr>
      <w:rFonts w:ascii="Arial" w:eastAsiaTheme="majorEastAsia" w:hAnsi="Arial" w:cstheme="majorBidi"/>
      <w:b/>
      <w:bCs/>
      <w:i/>
      <w:color w:val="51626F"/>
      <w:sz w:val="24"/>
      <w:szCs w:val="28"/>
    </w:rPr>
  </w:style>
  <w:style w:type="paragraph" w:customStyle="1" w:styleId="Appendixheading1">
    <w:name w:val="Appendix heading 1"/>
    <w:basedOn w:val="Non-numberedheading1"/>
    <w:qFormat/>
    <w:rsid w:val="00A75163"/>
    <w:pPr>
      <w:numPr>
        <w:numId w:val="3"/>
      </w:numPr>
      <w:outlineLvl w:val="0"/>
    </w:pPr>
    <w:rPr>
      <w:bCs w:val="0"/>
    </w:rPr>
  </w:style>
  <w:style w:type="paragraph" w:customStyle="1" w:styleId="Appendixheading2">
    <w:name w:val="Appendix heading 2"/>
    <w:basedOn w:val="Non-numberedheading2"/>
    <w:qFormat/>
    <w:rsid w:val="00A75163"/>
    <w:pPr>
      <w:numPr>
        <w:ilvl w:val="1"/>
        <w:numId w:val="3"/>
      </w:numPr>
      <w:spacing w:after="480"/>
      <w:outlineLvl w:val="1"/>
    </w:pPr>
    <w:rPr>
      <w:rFonts w:ascii="Arial" w:hAnsi="Arial"/>
      <w:bCs w:val="0"/>
    </w:rPr>
  </w:style>
  <w:style w:type="paragraph" w:customStyle="1" w:styleId="Appendixheading3">
    <w:name w:val="Appendix heading 3"/>
    <w:basedOn w:val="Keypointsheading3"/>
    <w:qFormat/>
    <w:rsid w:val="00A75163"/>
    <w:pPr>
      <w:numPr>
        <w:ilvl w:val="2"/>
        <w:numId w:val="3"/>
      </w:numPr>
      <w:spacing w:after="480" w:line="240" w:lineRule="auto"/>
    </w:pPr>
    <w:rPr>
      <w:bCs w:val="0"/>
      <w:color w:val="auto"/>
    </w:rPr>
  </w:style>
  <w:style w:type="paragraph" w:customStyle="1" w:styleId="Appendixheading4">
    <w:name w:val="Appendix heading 4"/>
    <w:basedOn w:val="Non-numberedheading4"/>
    <w:qFormat/>
    <w:rsid w:val="00A75163"/>
    <w:pPr>
      <w:numPr>
        <w:ilvl w:val="3"/>
        <w:numId w:val="3"/>
      </w:numPr>
      <w:spacing w:after="480" w:line="240" w:lineRule="auto"/>
    </w:pPr>
    <w:rPr>
      <w:bCs w:val="0"/>
    </w:rPr>
  </w:style>
  <w:style w:type="numbering" w:customStyle="1" w:styleId="Numberedlist">
    <w:name w:val="Numbered list"/>
    <w:uiPriority w:val="99"/>
    <w:rsid w:val="00881B28"/>
    <w:pPr>
      <w:numPr>
        <w:numId w:val="2"/>
      </w:numPr>
    </w:pPr>
  </w:style>
  <w:style w:type="paragraph" w:styleId="Title">
    <w:name w:val="Title"/>
    <w:basedOn w:val="Normal"/>
    <w:next w:val="Normal"/>
    <w:link w:val="TitleChar"/>
    <w:uiPriority w:val="10"/>
    <w:qFormat/>
    <w:rsid w:val="007715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154F"/>
    <w:rPr>
      <w:rFonts w:asciiTheme="majorHAnsi" w:eastAsiaTheme="majorEastAsia" w:hAnsiTheme="majorHAnsi" w:cstheme="majorBidi"/>
      <w:color w:val="17365D" w:themeColor="text2" w:themeShade="BF"/>
      <w:spacing w:val="5"/>
      <w:kern w:val="28"/>
      <w:sz w:val="52"/>
      <w:szCs w:val="52"/>
    </w:rPr>
  </w:style>
  <w:style w:type="paragraph" w:customStyle="1" w:styleId="Non-numberedtabletitle">
    <w:name w:val="Non-numbered table title"/>
    <w:basedOn w:val="Normal"/>
    <w:qFormat/>
    <w:rsid w:val="005463EF"/>
    <w:rPr>
      <w:b/>
      <w:color w:val="000064"/>
    </w:rPr>
  </w:style>
  <w:style w:type="paragraph" w:customStyle="1" w:styleId="Non-numberedcharttitle">
    <w:name w:val="Non-numbered chart title"/>
    <w:basedOn w:val="Normal"/>
    <w:qFormat/>
    <w:rsid w:val="008553C5"/>
    <w:rPr>
      <w:b/>
      <w:color w:val="51626F"/>
    </w:rPr>
  </w:style>
  <w:style w:type="paragraph" w:customStyle="1" w:styleId="Numberedtabletitle">
    <w:name w:val="Numbered table title"/>
    <w:autoRedefine/>
    <w:qFormat/>
    <w:rsid w:val="00C0693D"/>
    <w:rPr>
      <w:rFonts w:ascii="Arial" w:hAnsi="Arial"/>
      <w:b/>
      <w:color w:val="000064"/>
      <w:sz w:val="20"/>
    </w:rPr>
  </w:style>
  <w:style w:type="paragraph" w:customStyle="1" w:styleId="Numberedcharttitle">
    <w:name w:val="Numbered chart title"/>
    <w:autoRedefine/>
    <w:qFormat/>
    <w:rsid w:val="00EE020B"/>
    <w:pPr>
      <w:keepNext/>
      <w:spacing w:before="240"/>
      <w:ind w:left="1440" w:hanging="1440"/>
      <w:outlineLvl w:val="3"/>
    </w:pPr>
    <w:rPr>
      <w:rFonts w:ascii="Arial" w:hAnsi="Arial"/>
      <w:b/>
      <w:color w:val="51626F"/>
      <w:sz w:val="20"/>
    </w:rPr>
  </w:style>
  <w:style w:type="paragraph" w:customStyle="1" w:styleId="Listbullet1">
    <w:name w:val="List bullet 1"/>
    <w:basedOn w:val="Normal"/>
    <w:autoRedefine/>
    <w:qFormat/>
    <w:rsid w:val="00DB12F3"/>
    <w:pPr>
      <w:numPr>
        <w:numId w:val="6"/>
      </w:numPr>
      <w:spacing w:before="120" w:after="120"/>
    </w:pPr>
  </w:style>
  <w:style w:type="paragraph" w:customStyle="1" w:styleId="ListBullet21">
    <w:name w:val="List Bullet 21"/>
    <w:basedOn w:val="Listbullet1"/>
    <w:autoRedefine/>
    <w:qFormat/>
    <w:rsid w:val="00C6000C"/>
    <w:pPr>
      <w:numPr>
        <w:numId w:val="7"/>
      </w:numPr>
      <w:spacing w:before="0" w:after="0"/>
      <w:ind w:left="714" w:hanging="357"/>
    </w:pPr>
  </w:style>
  <w:style w:type="table" w:styleId="TableGrid">
    <w:name w:val="Table Grid"/>
    <w:aliases w:val="ACCC Table"/>
    <w:basedOn w:val="TableNormal"/>
    <w:rsid w:val="000A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82229"/>
    <w:rPr>
      <w:i/>
      <w:iCs/>
    </w:rPr>
  </w:style>
  <w:style w:type="paragraph" w:customStyle="1" w:styleId="Tabletextheadingcentre">
    <w:name w:val="Table text heading centre"/>
    <w:basedOn w:val="Tabletextheading"/>
    <w:autoRedefine/>
    <w:qFormat/>
    <w:rsid w:val="00BF04B9"/>
    <w:pPr>
      <w:keepNext/>
      <w:jc w:val="center"/>
    </w:pPr>
  </w:style>
  <w:style w:type="character" w:styleId="IntenseEmphasis">
    <w:name w:val="Intense Emphasis"/>
    <w:basedOn w:val="DefaultParagraphFont"/>
    <w:uiPriority w:val="21"/>
    <w:qFormat/>
    <w:rsid w:val="00C82229"/>
    <w:rPr>
      <w:b/>
      <w:bCs/>
      <w:i/>
      <w:iCs/>
      <w:color w:val="4F81BD" w:themeColor="accent1"/>
    </w:rPr>
  </w:style>
  <w:style w:type="paragraph" w:customStyle="1" w:styleId="Tabletextcentre">
    <w:name w:val="Table text centre"/>
    <w:basedOn w:val="Normal"/>
    <w:autoRedefine/>
    <w:qFormat/>
    <w:rsid w:val="00C91CA0"/>
    <w:pPr>
      <w:jc w:val="center"/>
    </w:pPr>
    <w:rPr>
      <w:sz w:val="18"/>
    </w:rPr>
  </w:style>
  <w:style w:type="paragraph" w:customStyle="1" w:styleId="Tabletextright">
    <w:name w:val="Table text right"/>
    <w:basedOn w:val="Normal"/>
    <w:link w:val="TabletextrightChar"/>
    <w:autoRedefine/>
    <w:qFormat/>
    <w:rsid w:val="00C91CA0"/>
    <w:pPr>
      <w:spacing w:before="40" w:after="40"/>
      <w:jc w:val="right"/>
    </w:pPr>
    <w:rPr>
      <w:sz w:val="18"/>
    </w:rPr>
  </w:style>
  <w:style w:type="paragraph" w:customStyle="1" w:styleId="Tabletextlistbulletleft">
    <w:name w:val="Table text list bullet left"/>
    <w:basedOn w:val="Normal"/>
    <w:qFormat/>
    <w:rsid w:val="00B543D1"/>
    <w:pPr>
      <w:numPr>
        <w:numId w:val="4"/>
      </w:numPr>
      <w:ind w:left="357" w:hanging="357"/>
    </w:pPr>
  </w:style>
  <w:style w:type="paragraph" w:styleId="Header">
    <w:name w:val="header"/>
    <w:basedOn w:val="Normal"/>
    <w:link w:val="HeaderChar"/>
    <w:uiPriority w:val="99"/>
    <w:unhideWhenUsed/>
    <w:rsid w:val="00EE001A"/>
    <w:pPr>
      <w:tabs>
        <w:tab w:val="center" w:pos="4513"/>
        <w:tab w:val="right" w:pos="9026"/>
      </w:tabs>
      <w:spacing w:after="0"/>
    </w:pPr>
  </w:style>
  <w:style w:type="character" w:customStyle="1" w:styleId="HeaderChar">
    <w:name w:val="Header Char"/>
    <w:basedOn w:val="DefaultParagraphFont"/>
    <w:link w:val="Header"/>
    <w:uiPriority w:val="99"/>
    <w:rsid w:val="00EE001A"/>
    <w:rPr>
      <w:rFonts w:ascii="Arial" w:hAnsi="Arial"/>
      <w:sz w:val="20"/>
    </w:rPr>
  </w:style>
  <w:style w:type="paragraph" w:styleId="Footer">
    <w:name w:val="footer"/>
    <w:basedOn w:val="Normal"/>
    <w:link w:val="FooterChar"/>
    <w:uiPriority w:val="99"/>
    <w:unhideWhenUsed/>
    <w:rsid w:val="00EE001A"/>
    <w:pPr>
      <w:tabs>
        <w:tab w:val="center" w:pos="4513"/>
        <w:tab w:val="right" w:pos="9026"/>
      </w:tabs>
      <w:spacing w:after="0"/>
    </w:pPr>
  </w:style>
  <w:style w:type="character" w:customStyle="1" w:styleId="FooterChar">
    <w:name w:val="Footer Char"/>
    <w:basedOn w:val="DefaultParagraphFont"/>
    <w:link w:val="Footer"/>
    <w:uiPriority w:val="99"/>
    <w:rsid w:val="00EE001A"/>
    <w:rPr>
      <w:rFonts w:ascii="Arial" w:hAnsi="Arial"/>
      <w:sz w:val="20"/>
    </w:rPr>
  </w:style>
  <w:style w:type="paragraph" w:styleId="ListParagraph">
    <w:name w:val="List Paragraph"/>
    <w:basedOn w:val="Normal"/>
    <w:uiPriority w:val="34"/>
    <w:qFormat/>
    <w:rsid w:val="00F547D7"/>
    <w:pPr>
      <w:ind w:left="720"/>
      <w:contextualSpacing/>
    </w:pPr>
  </w:style>
  <w:style w:type="paragraph" w:styleId="Subtitle">
    <w:name w:val="Subtitle"/>
    <w:basedOn w:val="Normal"/>
    <w:next w:val="Normal"/>
    <w:link w:val="SubtitleChar"/>
    <w:uiPriority w:val="11"/>
    <w:qFormat/>
    <w:rsid w:val="009932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327A"/>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A14BB3"/>
    <w:rPr>
      <w:sz w:val="16"/>
      <w:szCs w:val="16"/>
    </w:rPr>
  </w:style>
  <w:style w:type="paragraph" w:styleId="CommentText">
    <w:name w:val="annotation text"/>
    <w:basedOn w:val="Normal"/>
    <w:link w:val="CommentTextChar"/>
    <w:uiPriority w:val="99"/>
    <w:semiHidden/>
    <w:unhideWhenUsed/>
    <w:rsid w:val="00A14BB3"/>
    <w:rPr>
      <w:szCs w:val="20"/>
    </w:rPr>
  </w:style>
  <w:style w:type="character" w:customStyle="1" w:styleId="CommentTextChar">
    <w:name w:val="Comment Text Char"/>
    <w:basedOn w:val="DefaultParagraphFont"/>
    <w:link w:val="CommentText"/>
    <w:uiPriority w:val="99"/>
    <w:semiHidden/>
    <w:rsid w:val="00A14BB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4BB3"/>
    <w:rPr>
      <w:b/>
      <w:bCs/>
    </w:rPr>
  </w:style>
  <w:style w:type="character" w:customStyle="1" w:styleId="CommentSubjectChar">
    <w:name w:val="Comment Subject Char"/>
    <w:basedOn w:val="CommentTextChar"/>
    <w:link w:val="CommentSubject"/>
    <w:uiPriority w:val="99"/>
    <w:semiHidden/>
    <w:rsid w:val="00A14BB3"/>
    <w:rPr>
      <w:rFonts w:ascii="Arial" w:hAnsi="Arial"/>
      <w:b/>
      <w:bCs/>
      <w:sz w:val="20"/>
      <w:szCs w:val="20"/>
    </w:rPr>
  </w:style>
  <w:style w:type="paragraph" w:styleId="FootnoteText">
    <w:name w:val="footnote text"/>
    <w:basedOn w:val="Normal"/>
    <w:link w:val="FootnoteTextChar"/>
    <w:autoRedefine/>
    <w:uiPriority w:val="99"/>
    <w:unhideWhenUsed/>
    <w:rsid w:val="00566D59"/>
    <w:pPr>
      <w:spacing w:after="120"/>
    </w:pPr>
    <w:rPr>
      <w:sz w:val="16"/>
      <w:szCs w:val="20"/>
    </w:rPr>
  </w:style>
  <w:style w:type="character" w:customStyle="1" w:styleId="FootnoteTextChar">
    <w:name w:val="Footnote Text Char"/>
    <w:basedOn w:val="DefaultParagraphFont"/>
    <w:link w:val="FootnoteText"/>
    <w:uiPriority w:val="99"/>
    <w:rsid w:val="00566D59"/>
    <w:rPr>
      <w:rFonts w:ascii="Arial" w:hAnsi="Arial"/>
      <w:sz w:val="16"/>
      <w:szCs w:val="20"/>
    </w:rPr>
  </w:style>
  <w:style w:type="character" w:styleId="FootnoteReference">
    <w:name w:val="footnote reference"/>
    <w:basedOn w:val="DefaultParagraphFont"/>
    <w:uiPriority w:val="99"/>
    <w:unhideWhenUsed/>
    <w:rsid w:val="00DF6259"/>
    <w:rPr>
      <w:vertAlign w:val="superscript"/>
    </w:rPr>
  </w:style>
  <w:style w:type="paragraph" w:customStyle="1" w:styleId="tabletextindentbullet">
    <w:name w:val="table text indent bullet"/>
    <w:basedOn w:val="Normal"/>
    <w:qFormat/>
    <w:rsid w:val="009557AE"/>
    <w:pPr>
      <w:numPr>
        <w:numId w:val="5"/>
      </w:numPr>
      <w:tabs>
        <w:tab w:val="left" w:pos="454"/>
      </w:tabs>
      <w:spacing w:before="60" w:after="60"/>
    </w:pPr>
    <w:rPr>
      <w:rFonts w:ascii="Times New Roman" w:eastAsia="Times New Roman" w:hAnsi="Times New Roman" w:cs="Times New Roman"/>
      <w:sz w:val="22"/>
      <w:szCs w:val="20"/>
      <w:lang w:eastAsia="en-AU"/>
    </w:rPr>
  </w:style>
  <w:style w:type="character" w:customStyle="1" w:styleId="Heading5Char">
    <w:name w:val="Heading 5 Char"/>
    <w:basedOn w:val="DefaultParagraphFont"/>
    <w:link w:val="Heading5"/>
    <w:uiPriority w:val="9"/>
    <w:semiHidden/>
    <w:rsid w:val="00DC13C2"/>
    <w:rPr>
      <w:rFonts w:asciiTheme="majorHAnsi" w:eastAsiaTheme="majorEastAsia" w:hAnsiTheme="majorHAnsi" w:cstheme="majorBidi"/>
      <w:color w:val="243F60" w:themeColor="accent1" w:themeShade="7F"/>
      <w:sz w:val="20"/>
    </w:rPr>
  </w:style>
  <w:style w:type="paragraph" w:customStyle="1" w:styleId="Tabletextheading">
    <w:name w:val="Table text heading"/>
    <w:basedOn w:val="Normal"/>
    <w:link w:val="TabletextheadingChar"/>
    <w:autoRedefine/>
    <w:qFormat/>
    <w:rsid w:val="00FB505E"/>
    <w:pPr>
      <w:spacing w:before="40" w:after="40"/>
    </w:pPr>
    <w:rPr>
      <w:b/>
      <w:color w:val="000000" w:themeColor="text1"/>
      <w:sz w:val="18"/>
    </w:rPr>
  </w:style>
  <w:style w:type="paragraph" w:customStyle="1" w:styleId="Tabletitle">
    <w:name w:val="Table title"/>
    <w:basedOn w:val="Normal"/>
    <w:next w:val="Normal"/>
    <w:link w:val="TabletitleChar"/>
    <w:qFormat/>
    <w:rsid w:val="00DC13C2"/>
    <w:pPr>
      <w:keepNext/>
      <w:tabs>
        <w:tab w:val="left" w:pos="1320"/>
      </w:tabs>
      <w:spacing w:before="120" w:after="60"/>
      <w:ind w:left="1321" w:hanging="1321"/>
    </w:pPr>
    <w:rPr>
      <w:rFonts w:eastAsia="Times New Roman" w:cs="Times New Roman"/>
      <w:b/>
      <w:color w:val="000064"/>
      <w:szCs w:val="20"/>
      <w:lang w:eastAsia="en-AU"/>
    </w:rPr>
  </w:style>
  <w:style w:type="paragraph" w:customStyle="1" w:styleId="Tabletextrightcolumn">
    <w:name w:val="Table text right column"/>
    <w:basedOn w:val="Normal"/>
    <w:qFormat/>
    <w:rsid w:val="00DC13C2"/>
    <w:pPr>
      <w:spacing w:before="60" w:after="60"/>
      <w:ind w:left="454" w:hanging="454"/>
      <w:jc w:val="right"/>
    </w:pPr>
    <w:rPr>
      <w:rFonts w:eastAsia="Times New Roman" w:cs="Times New Roman"/>
      <w:szCs w:val="20"/>
      <w:lang w:eastAsia="en-AU"/>
    </w:rPr>
  </w:style>
  <w:style w:type="paragraph" w:styleId="Revision">
    <w:name w:val="Revision"/>
    <w:hidden/>
    <w:uiPriority w:val="99"/>
    <w:semiHidden/>
    <w:rsid w:val="008303BF"/>
    <w:pPr>
      <w:spacing w:after="0" w:line="240" w:lineRule="auto"/>
    </w:pPr>
    <w:rPr>
      <w:rFonts w:ascii="Arial" w:hAnsi="Arial"/>
      <w:sz w:val="20"/>
    </w:rPr>
  </w:style>
  <w:style w:type="paragraph" w:customStyle="1" w:styleId="Keypointsheading2">
    <w:name w:val="Key points heading 2"/>
    <w:basedOn w:val="Non-numberedheading2"/>
    <w:qFormat/>
    <w:rsid w:val="00A75163"/>
    <w:pPr>
      <w:spacing w:after="120"/>
    </w:pPr>
  </w:style>
  <w:style w:type="table" w:styleId="ColorfulList-Accent6">
    <w:name w:val="Colorful List Accent 6"/>
    <w:basedOn w:val="TableNormal"/>
    <w:uiPriority w:val="72"/>
    <w:rsid w:val="00081477"/>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List-Accent1">
    <w:name w:val="Light List Accent 1"/>
    <w:basedOn w:val="TableNormal"/>
    <w:uiPriority w:val="61"/>
    <w:rsid w:val="007C2E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C82229"/>
    <w:rPr>
      <w:b/>
      <w:bCs/>
    </w:rPr>
  </w:style>
  <w:style w:type="paragraph" w:customStyle="1" w:styleId="Tabletextleft">
    <w:name w:val="Table text left"/>
    <w:basedOn w:val="Tabletextright"/>
    <w:link w:val="TabletextleftChar"/>
    <w:autoRedefine/>
    <w:qFormat/>
    <w:rsid w:val="00C91CA0"/>
    <w:pPr>
      <w:jc w:val="left"/>
    </w:pPr>
  </w:style>
  <w:style w:type="paragraph" w:customStyle="1" w:styleId="Tabletextheadingright">
    <w:name w:val="Table text heading right"/>
    <w:basedOn w:val="Tabletextheading"/>
    <w:link w:val="TabletextheadingrightChar"/>
    <w:qFormat/>
    <w:rsid w:val="00802A3B"/>
    <w:pPr>
      <w:jc w:val="right"/>
    </w:pPr>
  </w:style>
  <w:style w:type="character" w:customStyle="1" w:styleId="TabletextrightChar">
    <w:name w:val="Table text right Char"/>
    <w:basedOn w:val="DefaultParagraphFont"/>
    <w:link w:val="Tabletextright"/>
    <w:rsid w:val="00C91CA0"/>
    <w:rPr>
      <w:rFonts w:ascii="Arial" w:hAnsi="Arial"/>
      <w:sz w:val="18"/>
    </w:rPr>
  </w:style>
  <w:style w:type="character" w:customStyle="1" w:styleId="TabletextleftChar">
    <w:name w:val="Table text left Char"/>
    <w:basedOn w:val="TabletextrightChar"/>
    <w:link w:val="Tabletextleft"/>
    <w:rsid w:val="00C91CA0"/>
    <w:rPr>
      <w:rFonts w:ascii="Arial" w:hAnsi="Arial"/>
      <w:sz w:val="18"/>
    </w:rPr>
  </w:style>
  <w:style w:type="character" w:customStyle="1" w:styleId="TabletextheadingChar">
    <w:name w:val="Table text heading Char"/>
    <w:basedOn w:val="DefaultParagraphFont"/>
    <w:link w:val="Tabletextheading"/>
    <w:rsid w:val="00FB505E"/>
    <w:rPr>
      <w:rFonts w:ascii="Arial" w:hAnsi="Arial"/>
      <w:b/>
      <w:color w:val="000000" w:themeColor="text1"/>
      <w:sz w:val="18"/>
    </w:rPr>
  </w:style>
  <w:style w:type="character" w:customStyle="1" w:styleId="TabletextheadingrightChar">
    <w:name w:val="Table text heading right Char"/>
    <w:basedOn w:val="TabletextheadingChar"/>
    <w:link w:val="Tabletextheadingright"/>
    <w:rsid w:val="00802A3B"/>
    <w:rPr>
      <w:rFonts w:ascii="Arial" w:eastAsia="Times New Roman" w:hAnsi="Arial" w:cs="Times New Roman"/>
      <w:b/>
      <w:color w:val="000000" w:themeColor="text1"/>
      <w:sz w:val="18"/>
      <w:szCs w:val="20"/>
      <w:lang w:eastAsia="en-AU"/>
    </w:rPr>
  </w:style>
  <w:style w:type="paragraph" w:customStyle="1" w:styleId="Sourceandnotes">
    <w:name w:val="Source and notes"/>
    <w:basedOn w:val="Normal"/>
    <w:autoRedefine/>
    <w:qFormat/>
    <w:rsid w:val="00861426"/>
    <w:pPr>
      <w:keepNext/>
      <w:spacing w:before="120"/>
      <w:contextualSpacing/>
    </w:pPr>
    <w:rPr>
      <w:sz w:val="16"/>
      <w:szCs w:val="16"/>
    </w:rPr>
  </w:style>
  <w:style w:type="paragraph" w:customStyle="1" w:styleId="Standardheading">
    <w:name w:val="Standard heading"/>
    <w:basedOn w:val="Normal"/>
    <w:next w:val="Normal"/>
    <w:qFormat/>
    <w:rsid w:val="008553C5"/>
    <w:pPr>
      <w:keepNext/>
      <w:spacing w:before="120" w:after="120"/>
      <w:ind w:left="357" w:hanging="357"/>
    </w:pPr>
    <w:rPr>
      <w:b/>
      <w:i/>
      <w:sz w:val="22"/>
    </w:rPr>
  </w:style>
  <w:style w:type="paragraph" w:customStyle="1" w:styleId="Terminalheading">
    <w:name w:val="Terminal heading"/>
    <w:basedOn w:val="Numberedcharttitle"/>
    <w:qFormat/>
    <w:rsid w:val="00D86837"/>
    <w:pPr>
      <w:spacing w:before="0"/>
    </w:pPr>
  </w:style>
  <w:style w:type="paragraph" w:customStyle="1" w:styleId="TableTextWhitecentre">
    <w:name w:val="Table Text White centre"/>
    <w:basedOn w:val="Tabletextheadingcentre"/>
    <w:qFormat/>
    <w:rsid w:val="00DB12F3"/>
    <w:rPr>
      <w:color w:val="FFFFFF" w:themeColor="background1"/>
    </w:rPr>
  </w:style>
  <w:style w:type="paragraph" w:customStyle="1" w:styleId="Paragraphnumbering">
    <w:name w:val="Paragraph numbering"/>
    <w:basedOn w:val="Normal"/>
    <w:qFormat/>
    <w:rsid w:val="0080004D"/>
    <w:pPr>
      <w:numPr>
        <w:numId w:val="8"/>
      </w:numPr>
    </w:pPr>
  </w:style>
  <w:style w:type="paragraph" w:customStyle="1" w:styleId="numberedparagraph">
    <w:name w:val="numbered paragraph"/>
    <w:basedOn w:val="Normal"/>
    <w:qFormat/>
    <w:rsid w:val="00FB323C"/>
    <w:pPr>
      <w:numPr>
        <w:numId w:val="9"/>
      </w:numPr>
      <w:ind w:left="360"/>
    </w:pPr>
  </w:style>
  <w:style w:type="table" w:customStyle="1" w:styleId="TableGrid1">
    <w:name w:val="Table Grid1"/>
    <w:basedOn w:val="TableNormal"/>
    <w:next w:val="TableGrid"/>
    <w:rsid w:val="00E4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4DAF"/>
    <w:rPr>
      <w:color w:val="800080" w:themeColor="followedHyperlink"/>
      <w:u w:val="single"/>
    </w:rPr>
  </w:style>
  <w:style w:type="paragraph" w:styleId="EndnoteText">
    <w:name w:val="endnote text"/>
    <w:basedOn w:val="Normal"/>
    <w:link w:val="EndnoteTextChar"/>
    <w:uiPriority w:val="99"/>
    <w:unhideWhenUsed/>
    <w:rsid w:val="008B0230"/>
    <w:pPr>
      <w:spacing w:after="0"/>
    </w:pPr>
    <w:rPr>
      <w:szCs w:val="20"/>
    </w:rPr>
  </w:style>
  <w:style w:type="character" w:customStyle="1" w:styleId="EndnoteTextChar">
    <w:name w:val="Endnote Text Char"/>
    <w:basedOn w:val="DefaultParagraphFont"/>
    <w:link w:val="EndnoteText"/>
    <w:uiPriority w:val="99"/>
    <w:rsid w:val="008B0230"/>
    <w:rPr>
      <w:rFonts w:ascii="Arial" w:hAnsi="Arial"/>
      <w:sz w:val="20"/>
      <w:szCs w:val="20"/>
    </w:rPr>
  </w:style>
  <w:style w:type="character" w:styleId="EndnoteReference">
    <w:name w:val="endnote reference"/>
    <w:basedOn w:val="DefaultParagraphFont"/>
    <w:uiPriority w:val="99"/>
    <w:semiHidden/>
    <w:unhideWhenUsed/>
    <w:rsid w:val="008B0230"/>
    <w:rPr>
      <w:vertAlign w:val="superscript"/>
    </w:rPr>
  </w:style>
  <w:style w:type="paragraph" w:customStyle="1" w:styleId="Tabletextheadingleft">
    <w:name w:val="Table text heading left"/>
    <w:rsid w:val="003B184C"/>
    <w:pPr>
      <w:spacing w:before="120" w:after="120"/>
    </w:pPr>
    <w:rPr>
      <w:rFonts w:ascii="Arial" w:eastAsia="Calibri" w:hAnsi="Arial" w:cs="Times New Roman"/>
      <w:b/>
      <w:sz w:val="18"/>
    </w:rPr>
  </w:style>
  <w:style w:type="paragraph" w:customStyle="1" w:styleId="Chartandtablenotes">
    <w:name w:val="Chart and table notes"/>
    <w:basedOn w:val="Normal"/>
    <w:rsid w:val="003B184C"/>
    <w:rPr>
      <w:rFonts w:eastAsia="Calibri" w:cs="Times New Roman"/>
      <w:sz w:val="16"/>
      <w:lang w:eastAsia="en-AU"/>
    </w:rPr>
  </w:style>
  <w:style w:type="paragraph" w:customStyle="1" w:styleId="Footnotes">
    <w:name w:val="Footnotes"/>
    <w:basedOn w:val="Normal"/>
    <w:rsid w:val="003B184C"/>
    <w:pPr>
      <w:spacing w:after="120"/>
    </w:pPr>
    <w:rPr>
      <w:rFonts w:eastAsia="Calibri" w:cs="Times New Roman"/>
      <w:sz w:val="16"/>
      <w:lang w:eastAsia="en-AU"/>
    </w:rPr>
  </w:style>
  <w:style w:type="numbering" w:customStyle="1" w:styleId="Numberedlist1">
    <w:name w:val="Numbered list1"/>
    <w:uiPriority w:val="99"/>
    <w:rsid w:val="003B184C"/>
  </w:style>
  <w:style w:type="paragraph" w:styleId="ListBullet">
    <w:name w:val="List Bullet"/>
    <w:basedOn w:val="Normal"/>
    <w:uiPriority w:val="99"/>
    <w:unhideWhenUsed/>
    <w:rsid w:val="003B184C"/>
    <w:pPr>
      <w:numPr>
        <w:numId w:val="10"/>
      </w:numPr>
      <w:spacing w:before="120" w:after="160"/>
      <w:contextualSpacing/>
    </w:pPr>
    <w:rPr>
      <w:rFonts w:eastAsia="Calibri" w:cs="Times New Roman"/>
    </w:rPr>
  </w:style>
  <w:style w:type="paragraph" w:customStyle="1" w:styleId="Tabletext-centred">
    <w:name w:val="Table text - centred"/>
    <w:basedOn w:val="Tabletextleft"/>
    <w:autoRedefine/>
    <w:qFormat/>
    <w:rsid w:val="00265B18"/>
    <w:pPr>
      <w:keepNext/>
    </w:pPr>
  </w:style>
  <w:style w:type="paragraph" w:customStyle="1" w:styleId="Tabletextleft-centred">
    <w:name w:val="Table text left - centred"/>
    <w:basedOn w:val="Tabletextheading"/>
    <w:qFormat/>
    <w:rsid w:val="00265B18"/>
  </w:style>
  <w:style w:type="paragraph" w:customStyle="1" w:styleId="Tabletextright-centred">
    <w:name w:val="Table text right - centred"/>
    <w:basedOn w:val="Tabletextright"/>
    <w:qFormat/>
    <w:rsid w:val="00265B18"/>
    <w:pPr>
      <w:keepNext/>
    </w:pPr>
    <w:rPr>
      <w:b/>
    </w:rPr>
  </w:style>
  <w:style w:type="paragraph" w:customStyle="1" w:styleId="QOStabletextleft">
    <w:name w:val="QOS table text left"/>
    <w:basedOn w:val="Tabletextleft"/>
    <w:qFormat/>
    <w:rsid w:val="00265B18"/>
    <w:pPr>
      <w:keepNext/>
    </w:pPr>
    <w:rPr>
      <w:sz w:val="16"/>
    </w:rPr>
  </w:style>
  <w:style w:type="paragraph" w:customStyle="1" w:styleId="QOStabletextleftbold">
    <w:name w:val="QOS table text left bold"/>
    <w:basedOn w:val="QOStabletextleft"/>
    <w:qFormat/>
    <w:rsid w:val="00265B18"/>
    <w:rPr>
      <w:b/>
    </w:rPr>
  </w:style>
  <w:style w:type="paragraph" w:customStyle="1" w:styleId="KeyPointbullets">
    <w:name w:val="Key Point bullets"/>
    <w:basedOn w:val="Listbullet1"/>
    <w:autoRedefine/>
    <w:qFormat/>
    <w:rsid w:val="00265B18"/>
    <w:pPr>
      <w:keepNext/>
      <w:shd w:val="clear" w:color="auto" w:fill="DFE0DC"/>
      <w:ind w:left="357" w:hanging="357"/>
    </w:pPr>
  </w:style>
  <w:style w:type="paragraph" w:customStyle="1" w:styleId="keypointheading5">
    <w:name w:val="key point heading 5"/>
    <w:basedOn w:val="Keypointsheading3"/>
    <w:qFormat/>
    <w:rsid w:val="00265B18"/>
    <w:pPr>
      <w:shd w:val="clear" w:color="auto" w:fill="DFE0DC"/>
    </w:pPr>
    <w:rPr>
      <w:i/>
    </w:rPr>
  </w:style>
  <w:style w:type="paragraph" w:customStyle="1" w:styleId="Numberedheading3">
    <w:name w:val="Numbered heading 3"/>
    <w:next w:val="Numberedheading30"/>
    <w:autoRedefine/>
    <w:qFormat/>
    <w:rsid w:val="00DA3E3D"/>
    <w:pPr>
      <w:keepNext/>
      <w:numPr>
        <w:ilvl w:val="2"/>
        <w:numId w:val="1"/>
      </w:numPr>
      <w:ind w:left="958"/>
      <w:outlineLvl w:val="3"/>
    </w:pPr>
    <w:rPr>
      <w:rFonts w:ascii="Arial" w:eastAsiaTheme="majorEastAsia" w:hAnsi="Arial" w:cstheme="majorBidi"/>
      <w:b/>
      <w:bCs/>
      <w:color w:val="000000" w:themeColor="text1"/>
      <w:sz w:val="24"/>
      <w:szCs w:val="28"/>
    </w:rPr>
  </w:style>
  <w:style w:type="paragraph" w:customStyle="1" w:styleId="tabletextcentred-right">
    <w:name w:val="table text centred - right"/>
    <w:basedOn w:val="Tabletext-centred"/>
    <w:qFormat/>
    <w:rsid w:val="00265B18"/>
    <w:pPr>
      <w:keepNext w:val="0"/>
      <w:ind w:left="284"/>
      <w:jc w:val="right"/>
    </w:pPr>
  </w:style>
  <w:style w:type="paragraph" w:customStyle="1" w:styleId="QOStabletextheading">
    <w:name w:val="QOS table text heading"/>
    <w:basedOn w:val="Normal"/>
    <w:qFormat/>
    <w:rsid w:val="00915742"/>
    <w:pPr>
      <w:spacing w:before="40" w:after="40"/>
    </w:pPr>
    <w:rPr>
      <w:rFonts w:eastAsiaTheme="minorEastAsia"/>
      <w:b/>
      <w:bCs/>
      <w:color w:val="000000" w:themeColor="text1"/>
      <w:sz w:val="16"/>
      <w:szCs w:val="16"/>
    </w:rPr>
  </w:style>
  <w:style w:type="numbering" w:customStyle="1" w:styleId="NoList1">
    <w:name w:val="No List1"/>
    <w:next w:val="NoList"/>
    <w:uiPriority w:val="99"/>
    <w:semiHidden/>
    <w:unhideWhenUsed/>
    <w:rsid w:val="003E51D9"/>
  </w:style>
  <w:style w:type="table" w:customStyle="1" w:styleId="TableGrid2">
    <w:name w:val="Table Grid2"/>
    <w:basedOn w:val="TableNormal"/>
    <w:next w:val="TableGrid"/>
    <w:rsid w:val="003E5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72"/>
    <w:rsid w:val="003E51D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next w:val="LightList-Accent1"/>
    <w:uiPriority w:val="61"/>
    <w:rsid w:val="003E51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leftcolumn">
    <w:name w:val="Table text left column"/>
    <w:basedOn w:val="Tabletextrightcolumn"/>
    <w:qFormat/>
    <w:rsid w:val="003E51D9"/>
    <w:pPr>
      <w:jc w:val="left"/>
    </w:pPr>
  </w:style>
  <w:style w:type="paragraph" w:customStyle="1" w:styleId="Footnote">
    <w:name w:val="Footnote"/>
    <w:basedOn w:val="FootnoteText"/>
    <w:qFormat/>
    <w:rsid w:val="00E93068"/>
    <w:pPr>
      <w:spacing w:before="240"/>
    </w:pPr>
    <w:rPr>
      <w:rFonts w:eastAsia="Times New Roman" w:cs="Times New Roman"/>
      <w:szCs w:val="16"/>
      <w:lang w:eastAsia="en-AU"/>
    </w:rPr>
  </w:style>
  <w:style w:type="character" w:styleId="PlaceholderText">
    <w:name w:val="Placeholder Text"/>
    <w:basedOn w:val="DefaultParagraphFont"/>
    <w:uiPriority w:val="99"/>
    <w:semiHidden/>
    <w:rsid w:val="008D7B51"/>
    <w:rPr>
      <w:color w:val="808080"/>
    </w:rPr>
  </w:style>
  <w:style w:type="character" w:customStyle="1" w:styleId="TabletitleChar">
    <w:name w:val="Table title Char"/>
    <w:basedOn w:val="DefaultParagraphFont"/>
    <w:link w:val="Tabletitle"/>
    <w:rsid w:val="00DC084A"/>
    <w:rPr>
      <w:rFonts w:ascii="Arial" w:eastAsia="Times New Roman" w:hAnsi="Arial" w:cs="Times New Roman"/>
      <w:b/>
      <w:color w:val="000064"/>
      <w:sz w:val="20"/>
      <w:szCs w:val="20"/>
      <w:lang w:eastAsia="en-AU"/>
    </w:rPr>
  </w:style>
  <w:style w:type="paragraph" w:styleId="ListBullet2">
    <w:name w:val="List Bullet 2"/>
    <w:basedOn w:val="Normal"/>
    <w:uiPriority w:val="99"/>
    <w:unhideWhenUsed/>
    <w:rsid w:val="00DC084A"/>
    <w:pPr>
      <w:numPr>
        <w:numId w:val="13"/>
      </w:numPr>
      <w:tabs>
        <w:tab w:val="clear" w:pos="643"/>
        <w:tab w:val="num" w:pos="680"/>
      </w:tabs>
      <w:spacing w:before="120" w:after="0" w:line="276" w:lineRule="auto"/>
      <w:ind w:left="680" w:hanging="340"/>
    </w:pPr>
    <w:rPr>
      <w:sz w:val="22"/>
    </w:rPr>
  </w:style>
  <w:style w:type="paragraph" w:customStyle="1" w:styleId="Bulletpoint">
    <w:name w:val="Bullet point"/>
    <w:basedOn w:val="ListBullet"/>
    <w:qFormat/>
    <w:rsid w:val="00DC084A"/>
    <w:pPr>
      <w:numPr>
        <w:numId w:val="0"/>
      </w:numPr>
      <w:tabs>
        <w:tab w:val="left" w:pos="340"/>
        <w:tab w:val="num" w:pos="958"/>
      </w:tabs>
      <w:spacing w:after="0" w:line="276" w:lineRule="auto"/>
      <w:ind w:left="357" w:hanging="357"/>
      <w:contextualSpacing w:val="0"/>
    </w:pPr>
    <w:rPr>
      <w:rFonts w:eastAsiaTheme="minorHAnsi"/>
      <w:sz w:val="22"/>
    </w:rPr>
  </w:style>
  <w:style w:type="table" w:customStyle="1" w:styleId="ACCCTable1">
    <w:name w:val="ACCC Table1"/>
    <w:basedOn w:val="TableNormal"/>
    <w:next w:val="TableGrid"/>
    <w:rsid w:val="00DC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2">
    <w:name w:val="Bullet point 2"/>
    <w:basedOn w:val="ListBullet2"/>
    <w:uiPriority w:val="1"/>
    <w:qFormat/>
    <w:rsid w:val="00DC084A"/>
    <w:pPr>
      <w:numPr>
        <w:numId w:val="16"/>
      </w:numPr>
      <w:tabs>
        <w:tab w:val="left" w:pos="680"/>
      </w:tabs>
      <w:spacing w:after="240" w:line="240" w:lineRule="auto"/>
      <w:ind w:left="680" w:hanging="340"/>
    </w:pPr>
    <w:rPr>
      <w:sz w:val="20"/>
    </w:rPr>
  </w:style>
  <w:style w:type="paragraph" w:customStyle="1" w:styleId="Tabletextrightitalic">
    <w:name w:val="Table text right italic"/>
    <w:basedOn w:val="Tabletextright"/>
    <w:qFormat/>
    <w:rsid w:val="009F0A92"/>
    <w:rPr>
      <w:i/>
      <w:color w:val="51626F"/>
    </w:rPr>
  </w:style>
  <w:style w:type="table" w:customStyle="1" w:styleId="TableGrid3">
    <w:name w:val="Table Grid3"/>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95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right2">
    <w:name w:val="Table text right 2"/>
    <w:basedOn w:val="Normal"/>
    <w:qFormat/>
    <w:rsid w:val="009543DB"/>
    <w:pPr>
      <w:spacing w:before="40" w:after="40"/>
      <w:jc w:val="right"/>
    </w:pPr>
    <w:rPr>
      <w:i/>
      <w:color w:val="808080" w:themeColor="background1" w:themeShade="80"/>
      <w:sz w:val="18"/>
    </w:rPr>
  </w:style>
  <w:style w:type="table" w:customStyle="1" w:styleId="TableGrid8">
    <w:name w:val="Table Grid8"/>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2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2876">
      <w:bodyDiv w:val="1"/>
      <w:marLeft w:val="0"/>
      <w:marRight w:val="0"/>
      <w:marTop w:val="0"/>
      <w:marBottom w:val="0"/>
      <w:divBdr>
        <w:top w:val="none" w:sz="0" w:space="0" w:color="auto"/>
        <w:left w:val="none" w:sz="0" w:space="0" w:color="auto"/>
        <w:bottom w:val="none" w:sz="0" w:space="0" w:color="auto"/>
        <w:right w:val="none" w:sz="0" w:space="0" w:color="auto"/>
      </w:divBdr>
    </w:div>
    <w:div w:id="672029967">
      <w:bodyDiv w:val="1"/>
      <w:marLeft w:val="0"/>
      <w:marRight w:val="0"/>
      <w:marTop w:val="0"/>
      <w:marBottom w:val="0"/>
      <w:divBdr>
        <w:top w:val="none" w:sz="0" w:space="0" w:color="auto"/>
        <w:left w:val="none" w:sz="0" w:space="0" w:color="auto"/>
        <w:bottom w:val="none" w:sz="0" w:space="0" w:color="auto"/>
        <w:right w:val="none" w:sz="0" w:space="0" w:color="auto"/>
      </w:divBdr>
    </w:div>
    <w:div w:id="1192764521">
      <w:bodyDiv w:val="1"/>
      <w:marLeft w:val="0"/>
      <w:marRight w:val="0"/>
      <w:marTop w:val="0"/>
      <w:marBottom w:val="0"/>
      <w:divBdr>
        <w:top w:val="none" w:sz="0" w:space="0" w:color="auto"/>
        <w:left w:val="none" w:sz="0" w:space="0" w:color="auto"/>
        <w:bottom w:val="none" w:sz="0" w:space="0" w:color="auto"/>
        <w:right w:val="none" w:sz="0" w:space="0" w:color="auto"/>
      </w:divBdr>
    </w:div>
    <w:div w:id="190529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image" Target="media/image4.emf"/><Relationship Id="rId42" Type="http://schemas.openxmlformats.org/officeDocument/2006/relationships/image" Target="media/image16.emf"/><Relationship Id="rId63" Type="http://schemas.openxmlformats.org/officeDocument/2006/relationships/image" Target="media/image24.emf"/><Relationship Id="rId84" Type="http://schemas.openxmlformats.org/officeDocument/2006/relationships/image" Target="media/image34.emf"/><Relationship Id="rId138" Type="http://schemas.openxmlformats.org/officeDocument/2006/relationships/header" Target="header67.xml"/><Relationship Id="rId159" Type="http://schemas.openxmlformats.org/officeDocument/2006/relationships/image" Target="media/image56.emf"/><Relationship Id="rId170" Type="http://schemas.openxmlformats.org/officeDocument/2006/relationships/header" Target="header88.xml"/><Relationship Id="rId191" Type="http://schemas.openxmlformats.org/officeDocument/2006/relationships/header" Target="header102.xml"/><Relationship Id="rId196" Type="http://schemas.openxmlformats.org/officeDocument/2006/relationships/hyperlink" Target="http://www.accc.gov.au/regulated-infrastructure/airports-aviation/airports-monitoring" TargetMode="External"/><Relationship Id="rId16" Type="http://schemas.openxmlformats.org/officeDocument/2006/relationships/header" Target="header3.xml"/><Relationship Id="rId107" Type="http://schemas.openxmlformats.org/officeDocument/2006/relationships/header" Target="header48.xml"/><Relationship Id="rId11" Type="http://schemas.microsoft.com/office/2007/relationships/hdphoto" Target="media/hdphoto1.wdp"/><Relationship Id="rId32" Type="http://schemas.openxmlformats.org/officeDocument/2006/relationships/image" Target="media/image6.emf"/><Relationship Id="rId37" Type="http://schemas.openxmlformats.org/officeDocument/2006/relationships/image" Target="media/image11.emf"/><Relationship Id="rId53" Type="http://schemas.openxmlformats.org/officeDocument/2006/relationships/header" Target="header14.xml"/><Relationship Id="rId58" Type="http://schemas.openxmlformats.org/officeDocument/2006/relationships/header" Target="header17.xml"/><Relationship Id="rId74" Type="http://schemas.openxmlformats.org/officeDocument/2006/relationships/image" Target="media/image28.emf"/><Relationship Id="rId79" Type="http://schemas.openxmlformats.org/officeDocument/2006/relationships/header" Target="header29.xml"/><Relationship Id="rId102" Type="http://schemas.openxmlformats.org/officeDocument/2006/relationships/header" Target="header43.xml"/><Relationship Id="rId123" Type="http://schemas.openxmlformats.org/officeDocument/2006/relationships/footer" Target="footer12.xml"/><Relationship Id="rId128" Type="http://schemas.openxmlformats.org/officeDocument/2006/relationships/header" Target="header60.xml"/><Relationship Id="rId144" Type="http://schemas.openxmlformats.org/officeDocument/2006/relationships/header" Target="header71.xml"/><Relationship Id="rId149" Type="http://schemas.openxmlformats.org/officeDocument/2006/relationships/header" Target="header73.xml"/><Relationship Id="rId5" Type="http://schemas.openxmlformats.org/officeDocument/2006/relationships/settings" Target="settings.xml"/><Relationship Id="rId90" Type="http://schemas.openxmlformats.org/officeDocument/2006/relationships/header" Target="header35.xml"/><Relationship Id="rId95" Type="http://schemas.openxmlformats.org/officeDocument/2006/relationships/image" Target="media/image37.emf"/><Relationship Id="rId160" Type="http://schemas.openxmlformats.org/officeDocument/2006/relationships/image" Target="media/image57.emf"/><Relationship Id="rId165" Type="http://schemas.openxmlformats.org/officeDocument/2006/relationships/header" Target="header83.xml"/><Relationship Id="rId181" Type="http://schemas.openxmlformats.org/officeDocument/2006/relationships/image" Target="media/image62.emf"/><Relationship Id="rId186" Type="http://schemas.openxmlformats.org/officeDocument/2006/relationships/header" Target="header97.xml"/><Relationship Id="rId22" Type="http://schemas.openxmlformats.org/officeDocument/2006/relationships/header" Target="header7.xml"/><Relationship Id="rId27" Type="http://schemas.openxmlformats.org/officeDocument/2006/relationships/footer" Target="footer3.xml"/><Relationship Id="rId43" Type="http://schemas.openxmlformats.org/officeDocument/2006/relationships/image" Target="media/image17.emf"/><Relationship Id="rId48" Type="http://schemas.openxmlformats.org/officeDocument/2006/relationships/header" Target="header12.xml"/><Relationship Id="rId64" Type="http://schemas.openxmlformats.org/officeDocument/2006/relationships/image" Target="media/image25.emf"/><Relationship Id="rId69" Type="http://schemas.openxmlformats.org/officeDocument/2006/relationships/header" Target="header23.xml"/><Relationship Id="rId113" Type="http://schemas.openxmlformats.org/officeDocument/2006/relationships/image" Target="media/image41.emf"/><Relationship Id="rId118" Type="http://schemas.openxmlformats.org/officeDocument/2006/relationships/header" Target="header55.xml"/><Relationship Id="rId134" Type="http://schemas.openxmlformats.org/officeDocument/2006/relationships/header" Target="header63.xml"/><Relationship Id="rId139" Type="http://schemas.openxmlformats.org/officeDocument/2006/relationships/header" Target="header68.xml"/><Relationship Id="rId80" Type="http://schemas.openxmlformats.org/officeDocument/2006/relationships/header" Target="header30.xml"/><Relationship Id="rId85" Type="http://schemas.openxmlformats.org/officeDocument/2006/relationships/header" Target="header32.xml"/><Relationship Id="rId150" Type="http://schemas.openxmlformats.org/officeDocument/2006/relationships/header" Target="header74.xml"/><Relationship Id="rId155" Type="http://schemas.openxmlformats.org/officeDocument/2006/relationships/header" Target="header77.xml"/><Relationship Id="rId171" Type="http://schemas.openxmlformats.org/officeDocument/2006/relationships/header" Target="header89.xml"/><Relationship Id="rId176" Type="http://schemas.openxmlformats.org/officeDocument/2006/relationships/header" Target="header91.xml"/><Relationship Id="rId192" Type="http://schemas.openxmlformats.org/officeDocument/2006/relationships/footer" Target="footer18.xml"/><Relationship Id="rId197" Type="http://schemas.openxmlformats.org/officeDocument/2006/relationships/hyperlink" Target="http://www.accc.gov.au/regulated-infrastructure/airports-aviation/airports-monitoring"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7.emf"/><Relationship Id="rId38" Type="http://schemas.openxmlformats.org/officeDocument/2006/relationships/image" Target="media/image12.emf"/><Relationship Id="rId59" Type="http://schemas.openxmlformats.org/officeDocument/2006/relationships/header" Target="header18.xml"/><Relationship Id="rId103" Type="http://schemas.openxmlformats.org/officeDocument/2006/relationships/header" Target="header44.xml"/><Relationship Id="rId108" Type="http://schemas.openxmlformats.org/officeDocument/2006/relationships/header" Target="header49.xml"/><Relationship Id="rId124" Type="http://schemas.openxmlformats.org/officeDocument/2006/relationships/footer" Target="footer13.xml"/><Relationship Id="rId129" Type="http://schemas.openxmlformats.org/officeDocument/2006/relationships/header" Target="header61.xml"/><Relationship Id="rId54" Type="http://schemas.openxmlformats.org/officeDocument/2006/relationships/header" Target="header15.xml"/><Relationship Id="rId70" Type="http://schemas.openxmlformats.org/officeDocument/2006/relationships/header" Target="header24.xml"/><Relationship Id="rId75" Type="http://schemas.openxmlformats.org/officeDocument/2006/relationships/image" Target="media/image29.emf"/><Relationship Id="rId91" Type="http://schemas.openxmlformats.org/officeDocument/2006/relationships/header" Target="header36.xml"/><Relationship Id="rId96" Type="http://schemas.openxmlformats.org/officeDocument/2006/relationships/image" Target="media/image38.emf"/><Relationship Id="rId140" Type="http://schemas.openxmlformats.org/officeDocument/2006/relationships/header" Target="header69.xml"/><Relationship Id="rId145" Type="http://schemas.openxmlformats.org/officeDocument/2006/relationships/header" Target="header72.xml"/><Relationship Id="rId161" Type="http://schemas.openxmlformats.org/officeDocument/2006/relationships/header" Target="header79.xml"/><Relationship Id="rId166" Type="http://schemas.openxmlformats.org/officeDocument/2006/relationships/header" Target="header84.xml"/><Relationship Id="rId182" Type="http://schemas.openxmlformats.org/officeDocument/2006/relationships/header" Target="header95.xml"/><Relationship Id="rId18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footer" Target="footer4.xml"/><Relationship Id="rId49" Type="http://schemas.openxmlformats.org/officeDocument/2006/relationships/header" Target="header13.xml"/><Relationship Id="rId114" Type="http://schemas.openxmlformats.org/officeDocument/2006/relationships/image" Target="media/image42.emf"/><Relationship Id="rId119" Type="http://schemas.openxmlformats.org/officeDocument/2006/relationships/image" Target="media/image43.emf"/><Relationship Id="rId44" Type="http://schemas.openxmlformats.org/officeDocument/2006/relationships/image" Target="media/image18.emf"/><Relationship Id="rId60" Type="http://schemas.openxmlformats.org/officeDocument/2006/relationships/header" Target="header19.xml"/><Relationship Id="rId65" Type="http://schemas.openxmlformats.org/officeDocument/2006/relationships/image" Target="media/image26.emf"/><Relationship Id="rId81" Type="http://schemas.openxmlformats.org/officeDocument/2006/relationships/header" Target="header31.xml"/><Relationship Id="rId86" Type="http://schemas.openxmlformats.org/officeDocument/2006/relationships/header" Target="header33.xml"/><Relationship Id="rId130" Type="http://schemas.openxmlformats.org/officeDocument/2006/relationships/header" Target="header62.xml"/><Relationship Id="rId135" Type="http://schemas.openxmlformats.org/officeDocument/2006/relationships/header" Target="header64.xml"/><Relationship Id="rId151" Type="http://schemas.openxmlformats.org/officeDocument/2006/relationships/footer" Target="footer14.xml"/><Relationship Id="rId156" Type="http://schemas.openxmlformats.org/officeDocument/2006/relationships/header" Target="header78.xml"/><Relationship Id="rId177" Type="http://schemas.openxmlformats.org/officeDocument/2006/relationships/header" Target="header92.xml"/><Relationship Id="rId198" Type="http://schemas.openxmlformats.org/officeDocument/2006/relationships/fontTable" Target="fontTable.xml"/><Relationship Id="rId172" Type="http://schemas.openxmlformats.org/officeDocument/2006/relationships/header" Target="header90.xml"/><Relationship Id="rId193" Type="http://schemas.openxmlformats.org/officeDocument/2006/relationships/footer" Target="footer19.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3.emf"/><Relationship Id="rId109" Type="http://schemas.openxmlformats.org/officeDocument/2006/relationships/header" Target="header50.xml"/><Relationship Id="rId34" Type="http://schemas.openxmlformats.org/officeDocument/2006/relationships/image" Target="media/image8.emf"/><Relationship Id="rId50" Type="http://schemas.openxmlformats.org/officeDocument/2006/relationships/footer" Target="footer6.xml"/><Relationship Id="rId55" Type="http://schemas.openxmlformats.org/officeDocument/2006/relationships/footer" Target="footer8.xml"/><Relationship Id="rId76" Type="http://schemas.openxmlformats.org/officeDocument/2006/relationships/image" Target="media/image30.emf"/><Relationship Id="rId97" Type="http://schemas.openxmlformats.org/officeDocument/2006/relationships/header" Target="header38.xml"/><Relationship Id="rId104" Type="http://schemas.openxmlformats.org/officeDocument/2006/relationships/header" Target="header45.xml"/><Relationship Id="rId120" Type="http://schemas.openxmlformats.org/officeDocument/2006/relationships/image" Target="media/image44.emf"/><Relationship Id="rId125" Type="http://schemas.openxmlformats.org/officeDocument/2006/relationships/header" Target="header58.xml"/><Relationship Id="rId141" Type="http://schemas.openxmlformats.org/officeDocument/2006/relationships/image" Target="media/image49.emf"/><Relationship Id="rId146" Type="http://schemas.openxmlformats.org/officeDocument/2006/relationships/image" Target="media/image51.emf"/><Relationship Id="rId167" Type="http://schemas.openxmlformats.org/officeDocument/2006/relationships/header" Target="header85.xml"/><Relationship Id="rId188" Type="http://schemas.openxmlformats.org/officeDocument/2006/relationships/header" Target="header99.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7.xml"/><Relationship Id="rId162" Type="http://schemas.openxmlformats.org/officeDocument/2006/relationships/header" Target="header80.xml"/><Relationship Id="rId183" Type="http://schemas.openxmlformats.org/officeDocument/2006/relationships/header" Target="header96.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yperlink" Target="http://www.accc.gov.au/regulated-infrastructure/airports-aviation/airports-monitoring" TargetMode="Externa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27.emf"/><Relationship Id="rId87" Type="http://schemas.openxmlformats.org/officeDocument/2006/relationships/footer" Target="footer10.xml"/><Relationship Id="rId110" Type="http://schemas.openxmlformats.org/officeDocument/2006/relationships/header" Target="header51.xml"/><Relationship Id="rId115" Type="http://schemas.openxmlformats.org/officeDocument/2006/relationships/header" Target="header52.xml"/><Relationship Id="rId131" Type="http://schemas.openxmlformats.org/officeDocument/2006/relationships/image" Target="media/image46.emf"/><Relationship Id="rId136" Type="http://schemas.openxmlformats.org/officeDocument/2006/relationships/header" Target="header65.xml"/><Relationship Id="rId157" Type="http://schemas.openxmlformats.org/officeDocument/2006/relationships/image" Target="media/image54.emf"/><Relationship Id="rId178" Type="http://schemas.openxmlformats.org/officeDocument/2006/relationships/header" Target="header93.xml"/><Relationship Id="rId61" Type="http://schemas.openxmlformats.org/officeDocument/2006/relationships/header" Target="header20.xml"/><Relationship Id="rId82" Type="http://schemas.openxmlformats.org/officeDocument/2006/relationships/image" Target="media/image32.emf"/><Relationship Id="rId152" Type="http://schemas.openxmlformats.org/officeDocument/2006/relationships/footer" Target="footer15.xml"/><Relationship Id="rId173" Type="http://schemas.openxmlformats.org/officeDocument/2006/relationships/image" Target="media/image58.emf"/><Relationship Id="rId194" Type="http://schemas.openxmlformats.org/officeDocument/2006/relationships/header" Target="header103.xml"/><Relationship Id="rId199"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image" Target="media/image9.emf"/><Relationship Id="rId56" Type="http://schemas.openxmlformats.org/officeDocument/2006/relationships/footer" Target="footer9.xml"/><Relationship Id="rId77" Type="http://schemas.openxmlformats.org/officeDocument/2006/relationships/image" Target="media/image31.emf"/><Relationship Id="rId100" Type="http://schemas.openxmlformats.org/officeDocument/2006/relationships/header" Target="header41.xml"/><Relationship Id="rId105" Type="http://schemas.openxmlformats.org/officeDocument/2006/relationships/header" Target="header46.xml"/><Relationship Id="rId126" Type="http://schemas.openxmlformats.org/officeDocument/2006/relationships/header" Target="header59.xml"/><Relationship Id="rId147" Type="http://schemas.openxmlformats.org/officeDocument/2006/relationships/image" Target="media/image52.emf"/><Relationship Id="rId168" Type="http://schemas.openxmlformats.org/officeDocument/2006/relationships/header" Target="header86.xm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header" Target="header26.xml"/><Relationship Id="rId93" Type="http://schemas.openxmlformats.org/officeDocument/2006/relationships/image" Target="media/image35.emf"/><Relationship Id="rId98" Type="http://schemas.openxmlformats.org/officeDocument/2006/relationships/header" Target="header39.xml"/><Relationship Id="rId121" Type="http://schemas.openxmlformats.org/officeDocument/2006/relationships/header" Target="header56.xml"/><Relationship Id="rId142" Type="http://schemas.openxmlformats.org/officeDocument/2006/relationships/image" Target="media/image50.emf"/><Relationship Id="rId163" Type="http://schemas.openxmlformats.org/officeDocument/2006/relationships/header" Target="header81.xml"/><Relationship Id="rId184" Type="http://schemas.openxmlformats.org/officeDocument/2006/relationships/footer" Target="footer16.xml"/><Relationship Id="rId189" Type="http://schemas.openxmlformats.org/officeDocument/2006/relationships/header" Target="header100.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20.emf"/><Relationship Id="rId67" Type="http://schemas.openxmlformats.org/officeDocument/2006/relationships/header" Target="header21.xml"/><Relationship Id="rId116" Type="http://schemas.openxmlformats.org/officeDocument/2006/relationships/header" Target="header53.xml"/><Relationship Id="rId137" Type="http://schemas.openxmlformats.org/officeDocument/2006/relationships/header" Target="header66.xml"/><Relationship Id="rId158" Type="http://schemas.openxmlformats.org/officeDocument/2006/relationships/image" Target="media/image55.emf"/><Relationship Id="rId20" Type="http://schemas.openxmlformats.org/officeDocument/2006/relationships/header" Target="header6.xml"/><Relationship Id="rId41" Type="http://schemas.openxmlformats.org/officeDocument/2006/relationships/image" Target="media/image15.emf"/><Relationship Id="rId62" Type="http://schemas.openxmlformats.org/officeDocument/2006/relationships/image" Target="media/image23.emf"/><Relationship Id="rId83" Type="http://schemas.openxmlformats.org/officeDocument/2006/relationships/image" Target="media/image33.emf"/><Relationship Id="rId88" Type="http://schemas.openxmlformats.org/officeDocument/2006/relationships/footer" Target="footer11.xml"/><Relationship Id="rId111" Type="http://schemas.openxmlformats.org/officeDocument/2006/relationships/image" Target="media/image39.emf"/><Relationship Id="rId132" Type="http://schemas.openxmlformats.org/officeDocument/2006/relationships/image" Target="media/image47.emf"/><Relationship Id="rId153" Type="http://schemas.openxmlformats.org/officeDocument/2006/relationships/header" Target="header75.xml"/><Relationship Id="rId174" Type="http://schemas.openxmlformats.org/officeDocument/2006/relationships/image" Target="media/image59.emf"/><Relationship Id="rId179" Type="http://schemas.openxmlformats.org/officeDocument/2006/relationships/header" Target="header94.xml"/><Relationship Id="rId195" Type="http://schemas.openxmlformats.org/officeDocument/2006/relationships/footer" Target="footer20.xml"/><Relationship Id="rId190" Type="http://schemas.openxmlformats.org/officeDocument/2006/relationships/header" Target="header101.xml"/><Relationship Id="rId15" Type="http://schemas.openxmlformats.org/officeDocument/2006/relationships/footer" Target="footer2.xml"/><Relationship Id="rId36" Type="http://schemas.openxmlformats.org/officeDocument/2006/relationships/image" Target="media/image10.emf"/><Relationship Id="rId57" Type="http://schemas.openxmlformats.org/officeDocument/2006/relationships/header" Target="header16.xml"/><Relationship Id="rId106" Type="http://schemas.openxmlformats.org/officeDocument/2006/relationships/header" Target="header47.xml"/><Relationship Id="rId127" Type="http://schemas.openxmlformats.org/officeDocument/2006/relationships/image" Target="media/image45.emf"/><Relationship Id="rId10" Type="http://schemas.openxmlformats.org/officeDocument/2006/relationships/image" Target="media/image2.jpeg"/><Relationship Id="rId31" Type="http://schemas.openxmlformats.org/officeDocument/2006/relationships/image" Target="media/image5.emf"/><Relationship Id="rId52" Type="http://schemas.openxmlformats.org/officeDocument/2006/relationships/image" Target="media/image22.emf"/><Relationship Id="rId73" Type="http://schemas.openxmlformats.org/officeDocument/2006/relationships/header" Target="header27.xml"/><Relationship Id="rId78" Type="http://schemas.openxmlformats.org/officeDocument/2006/relationships/header" Target="header28.xml"/><Relationship Id="rId94" Type="http://schemas.openxmlformats.org/officeDocument/2006/relationships/image" Target="media/image36.emf"/><Relationship Id="rId99" Type="http://schemas.openxmlformats.org/officeDocument/2006/relationships/header" Target="header40.xml"/><Relationship Id="rId101" Type="http://schemas.openxmlformats.org/officeDocument/2006/relationships/header" Target="header42.xml"/><Relationship Id="rId122" Type="http://schemas.openxmlformats.org/officeDocument/2006/relationships/header" Target="header57.xml"/><Relationship Id="rId143" Type="http://schemas.openxmlformats.org/officeDocument/2006/relationships/header" Target="header70.xml"/><Relationship Id="rId148" Type="http://schemas.openxmlformats.org/officeDocument/2006/relationships/image" Target="media/image53.emf"/><Relationship Id="rId164" Type="http://schemas.openxmlformats.org/officeDocument/2006/relationships/header" Target="header82.xml"/><Relationship Id="rId169" Type="http://schemas.openxmlformats.org/officeDocument/2006/relationships/header" Target="header87.xml"/><Relationship Id="rId185"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61.emf"/><Relationship Id="rId26" Type="http://schemas.openxmlformats.org/officeDocument/2006/relationships/header" Target="header10.xml"/><Relationship Id="rId47" Type="http://schemas.openxmlformats.org/officeDocument/2006/relationships/image" Target="media/image21.emf"/><Relationship Id="rId68" Type="http://schemas.openxmlformats.org/officeDocument/2006/relationships/header" Target="header22.xml"/><Relationship Id="rId89" Type="http://schemas.openxmlformats.org/officeDocument/2006/relationships/header" Target="header34.xml"/><Relationship Id="rId112" Type="http://schemas.openxmlformats.org/officeDocument/2006/relationships/image" Target="media/image40.emf"/><Relationship Id="rId133" Type="http://schemas.openxmlformats.org/officeDocument/2006/relationships/image" Target="media/image48.emf"/><Relationship Id="rId154" Type="http://schemas.openxmlformats.org/officeDocument/2006/relationships/header" Target="header76.xml"/><Relationship Id="rId175" Type="http://schemas.openxmlformats.org/officeDocument/2006/relationships/image" Target="media/image60.emf"/></Relationships>
</file>

<file path=word/_rels/footnotes.xml.rels><?xml version="1.0" encoding="UTF-8" standalone="yes"?>
<Relationships xmlns="http://schemas.openxmlformats.org/package/2006/relationships"><Relationship Id="rId13" Type="http://schemas.openxmlformats.org/officeDocument/2006/relationships/hyperlink" Target="https://bitre.gov.au/publications/ongoing/airline_on_time_monthly.aspx" TargetMode="External"/><Relationship Id="rId18" Type="http://schemas.openxmlformats.org/officeDocument/2006/relationships/hyperlink" Target="http://www.accc.gov.au/regulated-infrastructure/airports-aviation/airports-monitoring" TargetMode="External"/><Relationship Id="rId26" Type="http://schemas.openxmlformats.org/officeDocument/2006/relationships/hyperlink" Target="http://www.forrestfieldairportlink.wa.gov.au/about/planning/ProjectDeliveryandGovernance/tabid/1043/Default.aspx" TargetMode="External"/><Relationship Id="rId39" Type="http://schemas.openxmlformats.org/officeDocument/2006/relationships/hyperlink" Target="https://airtrain.com.au/brisbane-connect" TargetMode="External"/><Relationship Id="rId21" Type="http://schemas.openxmlformats.org/officeDocument/2006/relationships/hyperlink" Target="http://www.parliament.nsw.gov.au/prod/parlment/committee.nsf/0/08CF3EF25C31F173CA257C8D000046CE?open&amp;refnavid=CO4_1" TargetMode="External"/><Relationship Id="rId34" Type="http://schemas.openxmlformats.org/officeDocument/2006/relationships/hyperlink" Target="http://minister.infrastructure.gov.au/jb/releases/2014/April/jb029_2014.aspx" TargetMode="External"/><Relationship Id="rId42" Type="http://schemas.openxmlformats.org/officeDocument/2006/relationships/hyperlink" Target="http://www.ttf.org.au/Content/airportrail.aspx" TargetMode="External"/><Relationship Id="rId47" Type="http://schemas.openxmlformats.org/officeDocument/2006/relationships/hyperlink" Target="http://www.researchgate.net/profile/Matthew_Coogan/publication/228588024_Use_of_public_transportation_by_airport_passengers/links/5488428e0cf2ef3447906d1d.pdf" TargetMode="External"/><Relationship Id="rId50" Type="http://schemas.openxmlformats.org/officeDocument/2006/relationships/hyperlink" Target="http://gatewaywa.com.au/about-us/funding-and-delivery/" TargetMode="External"/><Relationship Id="rId55" Type="http://schemas.openxmlformats.org/officeDocument/2006/relationships/hyperlink" Target="http://www.andrewsairportpark.com.au/brisbane/rates.aspx" TargetMode="External"/><Relationship Id="rId63" Type="http://schemas.openxmlformats.org/officeDocument/2006/relationships/hyperlink" Target="http://www.andrewsairportpark.com.au/melbourne/rates.aspx" TargetMode="External"/><Relationship Id="rId68" Type="http://schemas.openxmlformats.org/officeDocument/2006/relationships/hyperlink" Target="http://skypark.com.au/long-term-parking/" TargetMode="External"/><Relationship Id="rId76" Type="http://schemas.openxmlformats.org/officeDocument/2006/relationships/hyperlink" Target="https://www.parknfly.com.au/booknow.aspx" TargetMode="External"/><Relationship Id="rId7" Type="http://schemas.openxmlformats.org/officeDocument/2006/relationships/hyperlink" Target="http://competitionpolicyreview.gov.au/files/2015/03/Competition-policy-review-report_online.pdf" TargetMode="External"/><Relationship Id="rId71" Type="http://schemas.openxmlformats.org/officeDocument/2006/relationships/hyperlink" Target="http://www.smh.com.au/business/aviation/sydney-airport-buys-qantas-terminal-lease-for-535m-20150817-gj0qz0.html" TargetMode="External"/><Relationship Id="rId2" Type="http://schemas.openxmlformats.org/officeDocument/2006/relationships/hyperlink" Target="http://competitionpolicyreview.gov.au/files/2015/03/Competition-policy-review-report_online.pdf" TargetMode="External"/><Relationship Id="rId16" Type="http://schemas.openxmlformats.org/officeDocument/2006/relationships/hyperlink" Target="http://www.pc.gov.au/__data/assets/pdf_file/0019/20638/airportservices.pdf" TargetMode="External"/><Relationship Id="rId29" Type="http://schemas.openxmlformats.org/officeDocument/2006/relationships/hyperlink" Target="http://www.theage.com.au/victoria/melbourne-airport-50th-busiest-in-the-world-but-among-only-six-without-rail-20151028-gkkndo.html" TargetMode="External"/><Relationship Id="rId11" Type="http://schemas.openxmlformats.org/officeDocument/2006/relationships/hyperlink" Target="http://www.treasury.gov.au/~/media/Treasury/Publications%20and%20Media/Publications/2015/Government%20response%20to%20the%20Competition%20Policy%20Review/Downloads/PDF/Govt_response_CPR.ashx" TargetMode="External"/><Relationship Id="rId24" Type="http://schemas.openxmlformats.org/officeDocument/2006/relationships/hyperlink" Target="https://www.mediastatements.wa.gov.au/Pages/Barnett/2014/08/8km-Forrestfield-Airport-Link-tunnel-revealed.aspx" TargetMode="External"/><Relationship Id="rId32" Type="http://schemas.openxmlformats.org/officeDocument/2006/relationships/hyperlink" Target="http://pandora.nla.gov.au/pan/146229/20140508-1455/Melbourne-Airport-Rail-Link-Study-Technical-Report.pdf" TargetMode="External"/><Relationship Id="rId37" Type="http://schemas.openxmlformats.org/officeDocument/2006/relationships/hyperlink" Target="http://www.smh.com.au/nsw/train-passengers-to-sydney-airport-line-governments-coffers-to-tune-of-100m-20160301-gn7c3y.html" TargetMode="External"/><Relationship Id="rId40" Type="http://schemas.openxmlformats.org/officeDocument/2006/relationships/hyperlink" Target="http://www.airportlink.com.au/trip-information/trip-times/" TargetMode="External"/><Relationship Id="rId45" Type="http://schemas.openxmlformats.org/officeDocument/2006/relationships/hyperlink" Target="http://www.atrf.info/papers/2005/2005_Bradley.pdf" TargetMode="External"/><Relationship Id="rId53" Type="http://schemas.openxmlformats.org/officeDocument/2006/relationships/hyperlink" Target="http://www.gatewayairportparking.com.au/parking-rates/rates.aspx" TargetMode="External"/><Relationship Id="rId58" Type="http://schemas.openxmlformats.org/officeDocument/2006/relationships/hyperlink" Target="http://melbourneairport.com.au/about-melbourne-airport/media/media-releases/melbourne-airport-opens-the-doors-to-its-new-terminal-4-1758.html" TargetMode="External"/><Relationship Id="rId66" Type="http://schemas.openxmlformats.org/officeDocument/2006/relationships/hyperlink" Target="http://www.transperth.wa.gov.au/tickets-fares/fares" TargetMode="External"/><Relationship Id="rId74" Type="http://schemas.openxmlformats.org/officeDocument/2006/relationships/hyperlink" Target="http://www.sydneybuses.info/" TargetMode="External"/><Relationship Id="rId79" Type="http://schemas.openxmlformats.org/officeDocument/2006/relationships/hyperlink" Target="http://www.sydneytrains.info/tickets/fare_calculator.htm" TargetMode="External"/><Relationship Id="rId5" Type="http://schemas.openxmlformats.org/officeDocument/2006/relationships/hyperlink" Target="http://www.minister.border.gov.au/peterdutton/2015/Pages/new-security-measures-at-international-airports.aspx" TargetMode="External"/><Relationship Id="rId61" Type="http://schemas.openxmlformats.org/officeDocument/2006/relationships/hyperlink" Target="http://www.busybeaverairportparking.com.au/parking-rates/rates.aspx" TargetMode="External"/><Relationship Id="rId10" Type="http://schemas.openxmlformats.org/officeDocument/2006/relationships/hyperlink" Target="http://www.treasury.gov.au/~/media/Treasury/Consultations%20and%20Reviews/Consultations/2015/Competition%20Policy%20Review%20Final%20Report/Submissions/PDF/Sydney_Airport.ashx" TargetMode="External"/><Relationship Id="rId19" Type="http://schemas.openxmlformats.org/officeDocument/2006/relationships/hyperlink" Target="http://www.pc.gov.au/inquiries/completed/airport-regulation/submissions/sub015.pdf" TargetMode="External"/><Relationship Id="rId31" Type="http://schemas.openxmlformats.org/officeDocument/2006/relationships/hyperlink" Target="http://www.ttf.org.au/Content/RRR.aspx" TargetMode="External"/><Relationship Id="rId44" Type="http://schemas.openxmlformats.org/officeDocument/2006/relationships/hyperlink" Target="http://www.atrf.info/papers/2006/2006_Ashley.pdf" TargetMode="External"/><Relationship Id="rId52" Type="http://schemas.openxmlformats.org/officeDocument/2006/relationships/hyperlink" Target="http://translink.com.au/travel-information/visiting-queensland/airport-services" TargetMode="External"/><Relationship Id="rId60" Type="http://schemas.openxmlformats.org/officeDocument/2006/relationships/hyperlink" Target="https://www.skybus.com.au/fares/" TargetMode="External"/><Relationship Id="rId65" Type="http://schemas.openxmlformats.org/officeDocument/2006/relationships/hyperlink" Target="http://www.transperth.wa.gov.au/Portals/0/Asset/Documents/Tickets%20&amp;%20Fares/Transperth_zone_map.pdf" TargetMode="External"/><Relationship Id="rId73" Type="http://schemas.openxmlformats.org/officeDocument/2006/relationships/hyperlink" Target="http://www.smh.com.au/business/aviation/sydney-airport-reaches-fee-deal-with-international-airlines-20150629-gi13rl.html" TargetMode="External"/><Relationship Id="rId78" Type="http://schemas.openxmlformats.org/officeDocument/2006/relationships/hyperlink" Target="http://www.sydneyairpark.com.au/Sydney-Airport-Parking-Prices.php" TargetMode="External"/><Relationship Id="rId81" Type="http://schemas.openxmlformats.org/officeDocument/2006/relationships/hyperlink" Target="https://www.accc.gov.au/regulated-infrastructure/airports-aviation/airports-monitoring" TargetMode="External"/><Relationship Id="rId4" Type="http://schemas.openxmlformats.org/officeDocument/2006/relationships/hyperlink" Target="http://westernsydneyairport.gov.au/resources/index.aspx" TargetMode="External"/><Relationship Id="rId9" Type="http://schemas.openxmlformats.org/officeDocument/2006/relationships/hyperlink" Target="http://www.treasury.gov.au/~/media/Treasury/Consultations%20and%20Reviews/Consultations/2015/Competition%20Policy%20Review%20Final%20Report/Submissions/PDF/Virgin_Australia.ashx" TargetMode="External"/><Relationship Id="rId14" Type="http://schemas.openxmlformats.org/officeDocument/2006/relationships/hyperlink" Target="https://au.news.yahoo.com/thewest/a/15018991/miners-to-be-slugged-more-for-fifo-flights/" TargetMode="External"/><Relationship Id="rId22" Type="http://schemas.openxmlformats.org/officeDocument/2006/relationships/hyperlink" Target="http://www.airtrain.com.au/aboutus" TargetMode="External"/><Relationship Id="rId27" Type="http://schemas.openxmlformats.org/officeDocument/2006/relationships/hyperlink" Target="https://au.news.yahoo.com/thewest/wa/a/24798025/airport-no-to-rail-link-payment/" TargetMode="External"/><Relationship Id="rId30" Type="http://schemas.openxmlformats.org/officeDocument/2006/relationships/hyperlink" Target="http://www.heraldsun.com.au/leader/north-west/opposition-leader-matthew-guy-backs-melbourne-airport-rail-link/story-fnrvvn43-1227464656061?nk=666658156c408d270a58baafd1e82e27-1439255105" TargetMode="External"/><Relationship Id="rId35" Type="http://schemas.openxmlformats.org/officeDocument/2006/relationships/hyperlink" Target="http://www.smh.com.au/business/aviation/sydneys-badgerys-creek-airport-will-not-have-a-rail-connection-20150803-giqff3.html" TargetMode="External"/><Relationship Id="rId43" Type="http://schemas.openxmlformats.org/officeDocument/2006/relationships/hyperlink" Target="https://www.sydneyairport.com.au/corporate/media-centre/media-releases/~/media/163a1aa3ff12478fa9ef7c63e02fdfb3.pdf" TargetMode="External"/><Relationship Id="rId48" Type="http://schemas.openxmlformats.org/officeDocument/2006/relationships/hyperlink" Target="http://www.skybus.com.au/fares/" TargetMode="External"/><Relationship Id="rId56" Type="http://schemas.openxmlformats.org/officeDocument/2006/relationships/hyperlink" Target="https://airtrain.com.au/ticket-information" TargetMode="External"/><Relationship Id="rId64" Type="http://schemas.openxmlformats.org/officeDocument/2006/relationships/hyperlink" Target="http://www.perthairport.com.au/Libraries/Master_Plan_2014_Documents/WAC1333_PAMP_2014-04_Aviation_Development_SECURED_3.sflb.ashx" TargetMode="External"/><Relationship Id="rId69" Type="http://schemas.openxmlformats.org/officeDocument/2006/relationships/hyperlink" Target="http://www.airport.com.au/" TargetMode="External"/><Relationship Id="rId77" Type="http://schemas.openxmlformats.org/officeDocument/2006/relationships/hyperlink" Target="http://parkandjet.com.au/home/" TargetMode="External"/><Relationship Id="rId8" Type="http://schemas.openxmlformats.org/officeDocument/2006/relationships/hyperlink" Target="http://www.treasury.gov.au/~/media/Treasury/Consultations%20and%20Reviews/Consultations/2015/Competition%20Policy%20Review%20Final%20Report/Submissions/PDF/Qantas%20Group%20Submission.ashx" TargetMode="External"/><Relationship Id="rId51" Type="http://schemas.openxmlformats.org/officeDocument/2006/relationships/hyperlink" Target="http://minister.infrastructure.gov.au/wt/releases/2015/February/wt027_2015.aspx" TargetMode="External"/><Relationship Id="rId72" Type="http://schemas.openxmlformats.org/officeDocument/2006/relationships/hyperlink" Target="https://www.sydneyairport.com.au/investors/~/media/files/investors/news%20and%20events/syd%20asx%20releases/2015/240630_international%20aero%20agreement%20final.pdf" TargetMode="External"/><Relationship Id="rId80" Type="http://schemas.openxmlformats.org/officeDocument/2006/relationships/hyperlink" Target="http://www.aph.gov.au/binaries/library/pubs/rp/2002-03/03rp10.pdf" TargetMode="External"/><Relationship Id="rId3" Type="http://schemas.openxmlformats.org/officeDocument/2006/relationships/hyperlink" Target="http://www.treasury.gov.au/~/media/Treasury/Consultations%20and%20Reviews/Consultations/2015/Competition%20Policy%20Review%20Final%20Report/Submissions/PDF/Sydney_Airport.ashx" TargetMode="External"/><Relationship Id="rId12" Type="http://schemas.openxmlformats.org/officeDocument/2006/relationships/hyperlink" Target="http://www.afr.com/business/infrastructure/airports/sydney-airport-needs-fees-deal-or-face-carriers-reaction-20140410-ix6kv" TargetMode="External"/><Relationship Id="rId17" Type="http://schemas.openxmlformats.org/officeDocument/2006/relationships/hyperlink" Target="http://www.pc.gov.au/inquiries/completed/airport-regulation/submissions/sub052.pdf" TargetMode="External"/><Relationship Id="rId25" Type="http://schemas.openxmlformats.org/officeDocument/2006/relationships/hyperlink" Target="http://getthebiggerpicture.wa.gov.au/forrestfield-airport-link/" TargetMode="External"/><Relationship Id="rId33" Type="http://schemas.openxmlformats.org/officeDocument/2006/relationships/hyperlink" Target="https://bitre.gov.au/publications/2012/files/report_133.pdf" TargetMode="External"/><Relationship Id="rId38" Type="http://schemas.openxmlformats.org/officeDocument/2006/relationships/hyperlink" Target="http://www.ttf.org.au/Content/airportaccess0211.aspx" TargetMode="External"/><Relationship Id="rId46" Type="http://schemas.openxmlformats.org/officeDocument/2006/relationships/hyperlink" Target="http://onlinepubs.trb.org/onlinepubs/tcrp/tcrp_rpt_62-b.pdf" TargetMode="External"/><Relationship Id="rId59" Type="http://schemas.openxmlformats.org/officeDocument/2006/relationships/hyperlink" Target="http://melbourneairport.com.au/to-from-the-airport/other-bus-services/other-buses.html" TargetMode="External"/><Relationship Id="rId67" Type="http://schemas.openxmlformats.org/officeDocument/2006/relationships/hyperlink" Target="http://www.perthairport.com.au/ToTheAirport/Shuttles.aspx" TargetMode="External"/><Relationship Id="rId20" Type="http://schemas.openxmlformats.org/officeDocument/2006/relationships/hyperlink" Target="http://www.sydneytrains.info/tickets/fare_calculator" TargetMode="External"/><Relationship Id="rId41" Type="http://schemas.openxmlformats.org/officeDocument/2006/relationships/hyperlink" Target="https://www.opal.com.au/en/opal-fares/airport_station_access_fee/" TargetMode="External"/><Relationship Id="rId54" Type="http://schemas.openxmlformats.org/officeDocument/2006/relationships/hyperlink" Target="http://www.portsideparking.com.au/rates.asp" TargetMode="External"/><Relationship Id="rId62" Type="http://schemas.openxmlformats.org/officeDocument/2006/relationships/hyperlink" Target="https://secure.aceairportparking.com.au/bookings/quote" TargetMode="External"/><Relationship Id="rId70" Type="http://schemas.openxmlformats.org/officeDocument/2006/relationships/hyperlink" Target="http://www.gatewayairportparking.com.au/parking-rates/rates.aspx" TargetMode="External"/><Relationship Id="rId75" Type="http://schemas.openxmlformats.org/officeDocument/2006/relationships/hyperlink" Target="http://www.airportconnect.com.au/BookOnline.aspx" TargetMode="External"/><Relationship Id="rId1" Type="http://schemas.openxmlformats.org/officeDocument/2006/relationships/hyperlink" Target="http://www.anao.gov.au/~/media/Uploads/Documents/2002%2003_audit_report_43.pdf" TargetMode="External"/><Relationship Id="rId6" Type="http://schemas.openxmlformats.org/officeDocument/2006/relationships/hyperlink" Target="http://www.accc.gov.au/publications/airport-monitoring-reports/airport-monitoring-report-2013-14" TargetMode="External"/><Relationship Id="rId15" Type="http://schemas.openxmlformats.org/officeDocument/2006/relationships/hyperlink" Target="http://www.airservicesaustralia.com/wp-content/uploads/ACE_Program.pdf" TargetMode="External"/><Relationship Id="rId23" Type="http://schemas.openxmlformats.org/officeDocument/2006/relationships/hyperlink" Target="http://www.airtrain.com.au/fares_page" TargetMode="External"/><Relationship Id="rId28" Type="http://schemas.openxmlformats.org/officeDocument/2006/relationships/hyperlink" Target="http://www.martindixon.org/coalition-government-commits-melbourne-airport-rail-link-state-budget/" TargetMode="External"/><Relationship Id="rId36" Type="http://schemas.openxmlformats.org/officeDocument/2006/relationships/hyperlink" Target="http://minister.infrastructure.gov.au/wt/releases/2015/November/wt364_2015.aspx" TargetMode="External"/><Relationship Id="rId49" Type="http://schemas.openxmlformats.org/officeDocument/2006/relationships/hyperlink" Target="http://parlinfo.aph.gov.au/parlInfo/download/legislation/ems/r4454_ems_c80a9663-90aa-42c1-bea5-021e6a8297d3/upload_pdf/347498.pdf;fileType=application%2Fpdf" TargetMode="External"/><Relationship Id="rId57" Type="http://schemas.openxmlformats.org/officeDocument/2006/relationships/hyperlink" Target="http://minister.infrastructure.gov.au/wt/releases/2013/December/wt050_2013.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F81CF9-FC5C-4E08-A9E5-A5CAF15E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43389F62</Template>
  <TotalTime>0</TotalTime>
  <Pages>196</Pages>
  <Words>61824</Words>
  <Characters>352401</Characters>
  <Application>Microsoft Office Word</Application>
  <DocSecurity>4</DocSecurity>
  <Lines>2936</Lines>
  <Paragraphs>826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2016-03-21T06:12:00Z</dcterms:created>
  <dcterms:modified xsi:type="dcterms:W3CDTF">2016-03-21T06:12:00Z</dcterms:modified>
</cp:coreProperties>
</file>