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34" w:rsidRPr="0070707F" w:rsidRDefault="00BE3034" w:rsidP="00BE3034">
      <w:pPr>
        <w:jc w:val="right"/>
        <w:rPr>
          <w:b/>
          <w:sz w:val="56"/>
          <w:szCs w:val="56"/>
        </w:rPr>
      </w:pPr>
      <w:bookmarkStart w:id="0" w:name="_Toc329070112"/>
      <w:bookmarkStart w:id="1" w:name="_Toc329070774"/>
      <w:bookmarkStart w:id="2" w:name="_Toc329264222"/>
      <w:bookmarkStart w:id="3" w:name="_Toc330462886"/>
      <w:bookmarkStart w:id="4" w:name="_Toc330463132"/>
      <w:bookmarkStart w:id="5" w:name="_Toc393960254"/>
      <w:bookmarkStart w:id="6" w:name="_Toc393965964"/>
      <w:bookmarkStart w:id="7" w:name="_Toc394051555"/>
      <w:bookmarkStart w:id="8" w:name="_Toc398563230"/>
      <w:bookmarkStart w:id="9" w:name="_Toc408492078"/>
      <w:bookmarkStart w:id="10" w:name="_Toc408492094"/>
      <w:bookmarkStart w:id="11" w:name="_Toc408492129"/>
      <w:bookmarkStart w:id="12" w:name="_Toc408492137"/>
      <w:bookmarkStart w:id="13" w:name="_Toc408492193"/>
      <w:bookmarkStart w:id="14" w:name="_Toc408492201"/>
      <w:bookmarkStart w:id="15" w:name="_Toc408492476"/>
      <w:bookmarkStart w:id="16" w:name="_Toc408492543"/>
      <w:r w:rsidRPr="0070707F">
        <w:rPr>
          <w:b/>
          <w:sz w:val="56"/>
          <w:szCs w:val="56"/>
        </w:rPr>
        <w:t xml:space="preserve">ACCC </w:t>
      </w:r>
      <w:r w:rsidR="005462EB">
        <w:rPr>
          <w:b/>
          <w:sz w:val="56"/>
          <w:szCs w:val="56"/>
        </w:rPr>
        <w:t>d</w:t>
      </w:r>
      <w:r>
        <w:rPr>
          <w:b/>
          <w:sz w:val="56"/>
          <w:szCs w:val="56"/>
        </w:rPr>
        <w:t xml:space="preserve">raft </w:t>
      </w:r>
      <w:r w:rsidR="005462EB">
        <w:rPr>
          <w:b/>
          <w:sz w:val="56"/>
          <w:szCs w:val="56"/>
        </w:rPr>
        <w:t>d</w:t>
      </w:r>
      <w:r w:rsidRPr="0070707F">
        <w:rPr>
          <w:b/>
          <w:sz w:val="56"/>
          <w:szCs w:val="56"/>
        </w:rPr>
        <w:t>etermination</w:t>
      </w:r>
      <w:bookmarkEnd w:id="0"/>
      <w:bookmarkEnd w:id="1"/>
      <w:bookmarkEnd w:id="2"/>
      <w:bookmarkEnd w:id="3"/>
      <w:bookmarkEnd w:id="4"/>
      <w:bookmarkEnd w:id="5"/>
      <w:bookmarkEnd w:id="6"/>
      <w:bookmarkEnd w:id="7"/>
      <w:bookmarkEnd w:id="8"/>
      <w:r>
        <w:rPr>
          <w:b/>
          <w:sz w:val="56"/>
          <w:szCs w:val="56"/>
        </w:rPr>
        <w:t>s</w:t>
      </w:r>
    </w:p>
    <w:p w:rsidR="00BE3034" w:rsidRDefault="00BE3034" w:rsidP="00BE3034">
      <w:pPr>
        <w:spacing w:before="0"/>
        <w:jc w:val="right"/>
        <w:rPr>
          <w:rFonts w:eastAsia="Times New Roman" w:cs="Times New Roman"/>
          <w:sz w:val="36"/>
          <w:szCs w:val="24"/>
          <w:lang w:val="en-US"/>
        </w:rPr>
      </w:pPr>
      <w:bookmarkStart w:id="17" w:name="_Toc330462887"/>
      <w:bookmarkStart w:id="18" w:name="_Toc330463133"/>
      <w:bookmarkStart w:id="19" w:name="_Toc329070113"/>
      <w:bookmarkStart w:id="20" w:name="_Toc329070775"/>
      <w:bookmarkStart w:id="21" w:name="_Toc329264223"/>
      <w:r>
        <w:rPr>
          <w:rFonts w:eastAsia="Times New Roman" w:cs="Times New Roman"/>
          <w:sz w:val="36"/>
          <w:szCs w:val="24"/>
          <w:lang w:val="en-US"/>
        </w:rPr>
        <w:t xml:space="preserve">Exemptions </w:t>
      </w:r>
      <w:r w:rsidRPr="003701BF">
        <w:rPr>
          <w:rFonts w:eastAsia="Times New Roman" w:cs="Times New Roman"/>
          <w:sz w:val="36"/>
          <w:szCs w:val="24"/>
          <w:lang w:val="en-US"/>
        </w:rPr>
        <w:t>in respect of</w:t>
      </w:r>
    </w:p>
    <w:p w:rsidR="00BE3034" w:rsidRDefault="00BE3034" w:rsidP="007E33C6">
      <w:pPr>
        <w:spacing w:before="0" w:after="240"/>
        <w:jc w:val="right"/>
        <w:rPr>
          <w:rFonts w:eastAsia="Times New Roman" w:cs="Times New Roman"/>
          <w:sz w:val="36"/>
          <w:szCs w:val="24"/>
          <w:lang w:val="en-US"/>
        </w:rPr>
      </w:pPr>
    </w:p>
    <w:p w:rsidR="00BE3034" w:rsidRPr="003701BF" w:rsidRDefault="00BE3034" w:rsidP="007E33C6">
      <w:pPr>
        <w:spacing w:before="0" w:after="240"/>
        <w:jc w:val="right"/>
        <w:rPr>
          <w:rFonts w:eastAsia="Times New Roman" w:cs="Times New Roman"/>
          <w:sz w:val="36"/>
          <w:szCs w:val="24"/>
          <w:lang w:val="en-US"/>
        </w:rPr>
      </w:pPr>
      <w:r w:rsidRPr="003701BF">
        <w:rPr>
          <w:rFonts w:eastAsia="Times New Roman" w:cs="Times New Roman"/>
          <w:sz w:val="36"/>
          <w:szCs w:val="24"/>
          <w:lang w:val="en-US"/>
        </w:rPr>
        <w:br/>
      </w:r>
      <w:r>
        <w:rPr>
          <w:rFonts w:eastAsia="Times New Roman" w:cs="Times New Roman"/>
          <w:sz w:val="36"/>
          <w:szCs w:val="24"/>
          <w:lang w:val="en-US"/>
        </w:rPr>
        <w:t xml:space="preserve">Newcastle </w:t>
      </w:r>
      <w:proofErr w:type="spellStart"/>
      <w:r>
        <w:rPr>
          <w:rFonts w:eastAsia="Times New Roman" w:cs="Times New Roman"/>
          <w:sz w:val="36"/>
          <w:szCs w:val="24"/>
          <w:lang w:val="en-US"/>
        </w:rPr>
        <w:t>Agri</w:t>
      </w:r>
      <w:proofErr w:type="spellEnd"/>
      <w:r w:rsidR="005462EB">
        <w:rPr>
          <w:rFonts w:eastAsia="Times New Roman" w:cs="Times New Roman"/>
          <w:sz w:val="36"/>
          <w:szCs w:val="24"/>
          <w:lang w:val="en-US"/>
        </w:rPr>
        <w:t xml:space="preserve"> </w:t>
      </w:r>
      <w:r>
        <w:rPr>
          <w:rFonts w:eastAsia="Times New Roman" w:cs="Times New Roman"/>
          <w:sz w:val="36"/>
          <w:szCs w:val="24"/>
          <w:lang w:val="en-US"/>
        </w:rPr>
        <w:t>Terminal</w:t>
      </w:r>
    </w:p>
    <w:p w:rsidR="00BE3034" w:rsidRDefault="00BE3034" w:rsidP="007E33C6">
      <w:pPr>
        <w:spacing w:before="0" w:after="240"/>
        <w:jc w:val="right"/>
        <w:rPr>
          <w:rFonts w:eastAsia="Times New Roman" w:cs="Times New Roman"/>
          <w:sz w:val="36"/>
          <w:szCs w:val="24"/>
          <w:lang w:val="en-US"/>
        </w:rPr>
      </w:pPr>
      <w:proofErr w:type="spellStart"/>
      <w:r>
        <w:rPr>
          <w:rFonts w:eastAsia="Times New Roman" w:cs="Times New Roman"/>
          <w:sz w:val="36"/>
          <w:szCs w:val="24"/>
          <w:lang w:val="en-US"/>
        </w:rPr>
        <w:t>Qube’s</w:t>
      </w:r>
      <w:proofErr w:type="spellEnd"/>
      <w:r>
        <w:rPr>
          <w:rFonts w:eastAsia="Times New Roman" w:cs="Times New Roman"/>
          <w:sz w:val="36"/>
          <w:szCs w:val="24"/>
          <w:lang w:val="en-US"/>
        </w:rPr>
        <w:t xml:space="preserve"> Newcastle Port Terminal Facility</w:t>
      </w:r>
    </w:p>
    <w:p w:rsidR="00BE3034" w:rsidRDefault="00BE3034" w:rsidP="00BE3034">
      <w:pPr>
        <w:spacing w:before="0"/>
        <w:jc w:val="right"/>
        <w:rPr>
          <w:rFonts w:eastAsia="Times New Roman" w:cs="Times New Roman"/>
          <w:sz w:val="24"/>
          <w:szCs w:val="28"/>
          <w:lang w:val="en-US"/>
        </w:rPr>
      </w:pPr>
      <w:r w:rsidRPr="003701BF">
        <w:rPr>
          <w:rFonts w:eastAsia="Times New Roman" w:cs="Times New Roman"/>
          <w:sz w:val="36"/>
          <w:szCs w:val="24"/>
          <w:lang w:val="en-US"/>
        </w:rPr>
        <w:br/>
        <w:t xml:space="preserve">Date: </w:t>
      </w:r>
      <w:r>
        <w:rPr>
          <w:rFonts w:eastAsia="Times New Roman" w:cs="Times New Roman"/>
          <w:sz w:val="36"/>
          <w:szCs w:val="24"/>
          <w:lang w:val="en-US"/>
        </w:rPr>
        <w:t>7 May 2015</w:t>
      </w:r>
      <w:r w:rsidRPr="003701BF">
        <w:rPr>
          <w:rFonts w:eastAsia="Times New Roman" w:cs="Times New Roman"/>
          <w:sz w:val="36"/>
          <w:szCs w:val="24"/>
          <w:lang w:val="en-US"/>
        </w:rPr>
        <w:br/>
      </w:r>
      <w:bookmarkEnd w:id="17"/>
      <w:bookmarkEnd w:id="18"/>
    </w:p>
    <w:p w:rsidR="00BE3034" w:rsidRDefault="00BE3034" w:rsidP="00BE3034"/>
    <w:p w:rsidR="00BE3034" w:rsidRDefault="00BE3034" w:rsidP="00BE3034"/>
    <w:p w:rsidR="00BE3034" w:rsidRDefault="00BE3034" w:rsidP="00BE3034"/>
    <w:p w:rsidR="00BE3034" w:rsidRDefault="00BE3034" w:rsidP="00BE3034"/>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Copyrighttext"/>
        <w:ind w:firstLine="720"/>
      </w:pPr>
    </w:p>
    <w:p w:rsidR="00BE3034" w:rsidRDefault="00BE3034" w:rsidP="00BE3034">
      <w:pPr>
        <w:pStyle w:val="ACCCcopyrighttext"/>
      </w:pPr>
    </w:p>
    <w:p w:rsidR="00BE3034" w:rsidRDefault="00BE3034" w:rsidP="00BE3034">
      <w:pPr>
        <w:pStyle w:val="ACCCcopyrighttext"/>
      </w:pPr>
      <w:r w:rsidRPr="007E33C6">
        <w:rPr>
          <w:rFonts w:cs="Arial"/>
          <w:noProof/>
          <w:color w:val="0000FF"/>
          <w:lang w:eastAsia="en-AU"/>
        </w:rPr>
        <w:drawing>
          <wp:inline distT="0" distB="0" distL="0" distR="0" wp14:anchorId="53ADF3B3" wp14:editId="536B0C71">
            <wp:extent cx="11811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BE3034" w:rsidRPr="0070707F" w:rsidRDefault="00BE3034" w:rsidP="00BE3034">
      <w:pPr>
        <w:pStyle w:val="ACCCcopyrighttext"/>
      </w:pPr>
      <w:r w:rsidRPr="0070707F">
        <w:t>Australian Competition and Consumer Commission</w:t>
      </w:r>
      <w:r>
        <w:br/>
      </w:r>
      <w:r w:rsidRPr="0070707F">
        <w:t>23 Marcus Clarke Street, Canberra, Australian Capital Territory, 2601</w:t>
      </w:r>
    </w:p>
    <w:p w:rsidR="00BE3034" w:rsidRPr="0070707F" w:rsidRDefault="00BE3034" w:rsidP="00BE3034">
      <w:pPr>
        <w:pStyle w:val="ACCCcopyrighttext"/>
      </w:pPr>
      <w:r w:rsidRPr="0070707F">
        <w:t>© Commonwealth of Australia 2014</w:t>
      </w:r>
    </w:p>
    <w:p w:rsidR="00BE3034" w:rsidRPr="00325FD1" w:rsidRDefault="00BE3034" w:rsidP="00BE3034">
      <w:pPr>
        <w:pStyle w:val="ACCCcopyrighttext"/>
      </w:pPr>
      <w:r w:rsidRPr="0070707F">
        <w:t>This work is copyright. Apart from any use permitted by the Copyright Act 1968,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w:t>
      </w:r>
    </w:p>
    <w:bookmarkEnd w:id="19"/>
    <w:bookmarkEnd w:id="20"/>
    <w:bookmarkEnd w:id="21"/>
    <w:p w:rsidR="00BE3034" w:rsidRPr="003701BF" w:rsidRDefault="00BE3034" w:rsidP="00BE3034">
      <w:pPr>
        <w:keepNext/>
        <w:tabs>
          <w:tab w:val="left" w:pos="720"/>
        </w:tabs>
        <w:spacing w:before="0"/>
        <w:ind w:left="720" w:hanging="720"/>
        <w:outlineLvl w:val="0"/>
        <w:rPr>
          <w:rFonts w:eastAsia="Times New Roman" w:cs="Times New Roman"/>
          <w:b/>
          <w:kern w:val="28"/>
          <w:sz w:val="34"/>
          <w:szCs w:val="34"/>
          <w:lang w:val="en-US" w:eastAsia="en-AU"/>
        </w:rPr>
        <w:sectPr w:rsidR="00BE3034" w:rsidRPr="003701BF" w:rsidSect="007E33C6">
          <w:headerReference w:type="even" r:id="rId11"/>
          <w:headerReference w:type="default" r:id="rId12"/>
          <w:footerReference w:type="even" r:id="rId13"/>
          <w:footerReference w:type="default" r:id="rId14"/>
          <w:headerReference w:type="first" r:id="rId15"/>
          <w:footerReference w:type="first" r:id="rId16"/>
          <w:pgSz w:w="11920" w:h="16840"/>
          <w:pgMar w:top="1559" w:right="1678" w:bottom="278" w:left="1678" w:header="720" w:footer="720" w:gutter="0"/>
          <w:cols w:space="1638"/>
          <w:noEndnote/>
          <w:titlePg/>
          <w:docGrid w:linePitch="299"/>
        </w:sectPr>
      </w:pPr>
    </w:p>
    <w:p w:rsidR="00A04168" w:rsidRDefault="00EB65C2" w:rsidP="00BE3034">
      <w:pPr>
        <w:pStyle w:val="Heading1"/>
        <w:pageBreakBefore/>
      </w:pPr>
      <w:bookmarkStart w:id="22" w:name="_Toc408492085"/>
      <w:bookmarkStart w:id="23" w:name="_Toc408492101"/>
      <w:bookmarkStart w:id="24" w:name="_Toc408492136"/>
      <w:bookmarkStart w:id="25" w:name="_Toc408492144"/>
      <w:bookmarkStart w:id="26" w:name="_Toc408492200"/>
      <w:bookmarkStart w:id="27" w:name="_Toc408492208"/>
      <w:bookmarkStart w:id="28" w:name="_Toc408492483"/>
      <w:bookmarkStart w:id="29" w:name="_Toc408492550"/>
      <w:bookmarkEnd w:id="9"/>
      <w:bookmarkEnd w:id="10"/>
      <w:bookmarkEnd w:id="11"/>
      <w:bookmarkEnd w:id="12"/>
      <w:bookmarkEnd w:id="13"/>
      <w:bookmarkEnd w:id="14"/>
      <w:bookmarkEnd w:id="15"/>
      <w:bookmarkEnd w:id="16"/>
      <w:r>
        <w:lastRenderedPageBreak/>
        <w:t>Summary</w:t>
      </w:r>
      <w:bookmarkEnd w:id="22"/>
      <w:bookmarkEnd w:id="23"/>
      <w:bookmarkEnd w:id="24"/>
      <w:bookmarkEnd w:id="25"/>
      <w:bookmarkEnd w:id="26"/>
      <w:bookmarkEnd w:id="27"/>
      <w:bookmarkEnd w:id="28"/>
      <w:bookmarkEnd w:id="29"/>
    </w:p>
    <w:p w:rsidR="00EB65C2" w:rsidRDefault="00EB65C2" w:rsidP="00EB65C2">
      <w:r>
        <w:t>Under the Competition and Consumer (Industry Code – Port Terminal Access (Bulk Wheat)</w:t>
      </w:r>
      <w:r w:rsidR="00B757C4">
        <w:t>)</w:t>
      </w:r>
      <w:r>
        <w:t xml:space="preserve"> Regulation 2014 (the Code), the ACCC has </w:t>
      </w:r>
      <w:r w:rsidR="00C71866">
        <w:t xml:space="preserve">made </w:t>
      </w:r>
      <w:r w:rsidR="005462EB">
        <w:t>d</w:t>
      </w:r>
      <w:r w:rsidR="00C71866">
        <w:t xml:space="preserve">raft </w:t>
      </w:r>
      <w:r w:rsidR="005462EB">
        <w:t>d</w:t>
      </w:r>
      <w:r w:rsidR="00C71866">
        <w:t>etermination</w:t>
      </w:r>
      <w:r w:rsidR="009B19B4">
        <w:t>s</w:t>
      </w:r>
      <w:r>
        <w:t xml:space="preserve"> that Newcastle </w:t>
      </w:r>
      <w:proofErr w:type="spellStart"/>
      <w:r>
        <w:t>Agri</w:t>
      </w:r>
      <w:proofErr w:type="spellEnd"/>
      <w:r>
        <w:t xml:space="preserve"> Terminal (NAT) and </w:t>
      </w:r>
      <w:proofErr w:type="spellStart"/>
      <w:r>
        <w:t>Qube</w:t>
      </w:r>
      <w:proofErr w:type="spellEnd"/>
      <w:r>
        <w:t xml:space="preserve"> Holdings Limited (</w:t>
      </w:r>
      <w:proofErr w:type="spellStart"/>
      <w:r>
        <w:t>Qube</w:t>
      </w:r>
      <w:proofErr w:type="spellEnd"/>
      <w:r>
        <w:t>)</w:t>
      </w:r>
      <w:r w:rsidR="00343750">
        <w:t xml:space="preserve"> </w:t>
      </w:r>
      <w:r w:rsidR="00247A0E">
        <w:t>(together, the Applicants)</w:t>
      </w:r>
      <w:r>
        <w:t xml:space="preserve"> </w:t>
      </w:r>
      <w:r w:rsidR="00121A9C">
        <w:t xml:space="preserve">should be </w:t>
      </w:r>
      <w:r>
        <w:t xml:space="preserve">exempt service providers of port terminal services </w:t>
      </w:r>
      <w:r w:rsidR="00B757C4">
        <w:t xml:space="preserve">provided </w:t>
      </w:r>
      <w:r>
        <w:t xml:space="preserve">at the Port of Newcastle, New South Wales. </w:t>
      </w:r>
    </w:p>
    <w:p w:rsidR="00EB65C2" w:rsidRDefault="005462EB" w:rsidP="00EB65C2">
      <w:r>
        <w:t>In making these draft d</w:t>
      </w:r>
      <w:r w:rsidR="00C60607">
        <w:t>eterminations, t</w:t>
      </w:r>
      <w:r w:rsidR="00EB65C2">
        <w:t>he ACCC has had regard to the matters listed at subclause 5(3) of the Code. Key considerations in support of its draft view to exempt include:</w:t>
      </w:r>
    </w:p>
    <w:p w:rsidR="00B72DCB" w:rsidRDefault="00B72DCB" w:rsidP="00E35BE3">
      <w:pPr>
        <w:pStyle w:val="Bulletpoint"/>
      </w:pPr>
      <w:r>
        <w:t xml:space="preserve">there is effective competition in </w:t>
      </w:r>
      <w:r w:rsidR="001E2B37">
        <w:t xml:space="preserve">the </w:t>
      </w:r>
      <w:r>
        <w:t>market for bulk grain port terminal services at the Port of Newcastle (in particular, between NAT and GrainCorp</w:t>
      </w:r>
      <w:r w:rsidR="001E2B37">
        <w:t xml:space="preserve">, and to a lesser extent from </w:t>
      </w:r>
      <w:proofErr w:type="spellStart"/>
      <w:r w:rsidR="001E2B37">
        <w:t>Qube</w:t>
      </w:r>
      <w:proofErr w:type="spellEnd"/>
      <w:r>
        <w:t>), and a competitive market upstream and downstream from port</w:t>
      </w:r>
    </w:p>
    <w:p w:rsidR="00C26325" w:rsidRDefault="00B72DCB" w:rsidP="00E35BE3">
      <w:pPr>
        <w:pStyle w:val="Bulletpoint"/>
      </w:pPr>
      <w:r>
        <w:t>excess capacity at the port and competitive pressures</w:t>
      </w:r>
      <w:r w:rsidR="00C26325">
        <w:t xml:space="preserve"> between </w:t>
      </w:r>
      <w:r w:rsidR="00724843">
        <w:t>the different providers</w:t>
      </w:r>
      <w:r w:rsidR="001E2B37">
        <w:t xml:space="preserve"> </w:t>
      </w:r>
      <w:r>
        <w:t>p</w:t>
      </w:r>
      <w:r w:rsidR="00C26325">
        <w:t>rovides an incentive for those service providers to provide fair and transparent access</w:t>
      </w:r>
      <w:r w:rsidR="005442E7">
        <w:t xml:space="preserve"> in order to increase throughput through their facilities</w:t>
      </w:r>
    </w:p>
    <w:p w:rsidR="00E35BE3" w:rsidRDefault="00AD70B8">
      <w:pPr>
        <w:pStyle w:val="Bulletpoint"/>
      </w:pPr>
      <w:r>
        <w:t xml:space="preserve">given that, </w:t>
      </w:r>
      <w:r w:rsidR="00C26325">
        <w:t xml:space="preserve">on 1 October 2014 the ACCC determined GrainCorp </w:t>
      </w:r>
      <w:r w:rsidR="00B757C4">
        <w:t xml:space="preserve">to be </w:t>
      </w:r>
      <w:r w:rsidR="00C26325">
        <w:t xml:space="preserve">an exempt service provider of port terminal services at </w:t>
      </w:r>
      <w:r w:rsidR="001E2B37">
        <w:t xml:space="preserve">Newcastle, </w:t>
      </w:r>
      <w:r w:rsidR="00C71866">
        <w:t>a determination that the Applicants are</w:t>
      </w:r>
      <w:r w:rsidR="00EB65C2">
        <w:t xml:space="preserve"> exempt service provides at </w:t>
      </w:r>
      <w:r w:rsidR="005644A2">
        <w:t>the</w:t>
      </w:r>
      <w:r w:rsidR="001E15E6">
        <w:t>ir</w:t>
      </w:r>
      <w:r w:rsidR="005644A2">
        <w:t xml:space="preserve"> </w:t>
      </w:r>
      <w:r w:rsidR="001E2B37">
        <w:t>Newcastle</w:t>
      </w:r>
      <w:r w:rsidR="005644A2">
        <w:t xml:space="preserve"> port </w:t>
      </w:r>
      <w:r w:rsidR="001E15E6">
        <w:t xml:space="preserve">terminal </w:t>
      </w:r>
      <w:r w:rsidR="005644A2">
        <w:t xml:space="preserve">facilities, </w:t>
      </w:r>
      <w:r w:rsidR="00EB65C2">
        <w:t>will place them on a level pla</w:t>
      </w:r>
      <w:r w:rsidR="00E35BE3">
        <w:t>ying field with GrainCorp</w:t>
      </w:r>
      <w:r w:rsidR="00EB65C2">
        <w:t xml:space="preserve">  </w:t>
      </w:r>
    </w:p>
    <w:p w:rsidR="00E35BE3" w:rsidRDefault="00E35BE3" w:rsidP="00E35BE3">
      <w:pPr>
        <w:pStyle w:val="Bulletpoint"/>
        <w:numPr>
          <w:ilvl w:val="0"/>
          <w:numId w:val="0"/>
        </w:numPr>
      </w:pPr>
      <w:r>
        <w:t xml:space="preserve">The ACCC’s complete </w:t>
      </w:r>
      <w:r w:rsidR="00B757C4">
        <w:t xml:space="preserve">consideration </w:t>
      </w:r>
      <w:r>
        <w:t xml:space="preserve">of the matters listed at subclause 5(3) is at section 5 of this document. </w:t>
      </w:r>
    </w:p>
    <w:p w:rsidR="004745D5" w:rsidRDefault="004745D5" w:rsidP="00E35BE3">
      <w:pPr>
        <w:pStyle w:val="Bulletpoint"/>
        <w:numPr>
          <w:ilvl w:val="0"/>
          <w:numId w:val="0"/>
        </w:numPr>
      </w:pPr>
      <w:r>
        <w:t xml:space="preserve">In </w:t>
      </w:r>
      <w:r w:rsidR="009B19B4">
        <w:t>making</w:t>
      </w:r>
      <w:r>
        <w:t xml:space="preserve"> th</w:t>
      </w:r>
      <w:r w:rsidR="009B19B4">
        <w:t>ese</w:t>
      </w:r>
      <w:r>
        <w:t xml:space="preserve"> </w:t>
      </w:r>
      <w:r w:rsidR="005462EB">
        <w:t>d</w:t>
      </w:r>
      <w:r>
        <w:t xml:space="preserve">raft </w:t>
      </w:r>
      <w:r w:rsidR="005462EB">
        <w:t>d</w:t>
      </w:r>
      <w:r>
        <w:t>etermination</w:t>
      </w:r>
      <w:r w:rsidR="009B19B4">
        <w:t>s</w:t>
      </w:r>
      <w:r>
        <w:t>, the ACCC has had regard to its previous assessments of the Newcastle grain port market.</w:t>
      </w:r>
      <w:r w:rsidR="00BE3034">
        <w:rPr>
          <w:rStyle w:val="FootnoteReference"/>
        </w:rPr>
        <w:footnoteReference w:id="1"/>
      </w:r>
    </w:p>
    <w:p w:rsidR="00EB65C2" w:rsidRDefault="00EB65C2" w:rsidP="003A50B6">
      <w:r>
        <w:t>If the ACCC’s final determination is tha</w:t>
      </w:r>
      <w:r w:rsidR="00E35BE3">
        <w:t xml:space="preserve">t the Applicants are </w:t>
      </w:r>
      <w:r>
        <w:t>exempt service providers they will only be subject to Parts 1 and 2 of the Code from 1 October 2015. If the ACCC’s final determination is that the Applicants are not exempt service providers, the Applicants will be subject to all of the Code’s obligations (</w:t>
      </w:r>
      <w:proofErr w:type="spellStart"/>
      <w:r>
        <w:t>ie</w:t>
      </w:r>
      <w:proofErr w:type="spellEnd"/>
      <w:r>
        <w:t xml:space="preserve"> Parts 1 – 6) from 1 October 2015. </w:t>
      </w:r>
    </w:p>
    <w:p w:rsidR="003A50B6" w:rsidRDefault="003A50B6" w:rsidP="003A50B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p>
    <w:p w:rsidR="003A50B6" w:rsidRDefault="003A50B6" w:rsidP="003A50B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 xml:space="preserve">How to provide a submission </w:t>
      </w:r>
      <w:r w:rsidR="009D30AD">
        <w:rPr>
          <w:b/>
        </w:rPr>
        <w:t>on these draft d</w:t>
      </w:r>
      <w:r>
        <w:rPr>
          <w:b/>
        </w:rPr>
        <w:t>etermination</w:t>
      </w:r>
      <w:r w:rsidR="009D30AD">
        <w:rPr>
          <w:b/>
        </w:rPr>
        <w:t>s</w:t>
      </w:r>
      <w:bookmarkStart w:id="30" w:name="_GoBack"/>
      <w:bookmarkEnd w:id="30"/>
    </w:p>
    <w:p w:rsidR="003A50B6" w:rsidRDefault="003A50B6" w:rsidP="0072514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ACCC is seeking </w:t>
      </w:r>
      <w:r w:rsidR="007E33C6">
        <w:t xml:space="preserve">views on </w:t>
      </w:r>
      <w:r w:rsidR="005462EB">
        <w:t>draft d</w:t>
      </w:r>
      <w:r w:rsidR="00C60607">
        <w:t xml:space="preserve">eterminations </w:t>
      </w:r>
      <w:r w:rsidR="005644A2">
        <w:t xml:space="preserve">that </w:t>
      </w:r>
      <w:r w:rsidR="007E33C6">
        <w:t xml:space="preserve">NAT and </w:t>
      </w:r>
      <w:proofErr w:type="spellStart"/>
      <w:r w:rsidR="007E33C6">
        <w:t>Qube</w:t>
      </w:r>
      <w:proofErr w:type="spellEnd"/>
      <w:r w:rsidR="007E33C6">
        <w:t xml:space="preserve"> </w:t>
      </w:r>
      <w:r w:rsidR="005644A2">
        <w:t xml:space="preserve">are exempt service providers of port terminal services provided </w:t>
      </w:r>
      <w:r w:rsidR="007E33C6">
        <w:t xml:space="preserve">at </w:t>
      </w:r>
      <w:r w:rsidR="001E15E6">
        <w:t xml:space="preserve">their </w:t>
      </w:r>
      <w:r w:rsidR="005644A2">
        <w:t xml:space="preserve">Port of </w:t>
      </w:r>
      <w:r w:rsidR="007E33C6">
        <w:t>Newcastle</w:t>
      </w:r>
      <w:r w:rsidR="005644A2">
        <w:t xml:space="preserve"> facilities</w:t>
      </w:r>
      <w:r>
        <w:t xml:space="preserve">. The ACCC welcomes views on all aspects of its </w:t>
      </w:r>
      <w:r w:rsidR="005462EB">
        <w:t>d</w:t>
      </w:r>
      <w:r>
        <w:t xml:space="preserve">raft </w:t>
      </w:r>
      <w:r w:rsidR="005462EB">
        <w:t>d</w:t>
      </w:r>
      <w:r>
        <w:t>etermination</w:t>
      </w:r>
      <w:r w:rsidR="009B19B4">
        <w:t>s</w:t>
      </w:r>
      <w:r w:rsidR="007E33C6">
        <w:t>.</w:t>
      </w:r>
    </w:p>
    <w:p w:rsidR="003A50B6" w:rsidRDefault="003A50B6" w:rsidP="0072514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pPr>
      <w:r>
        <w:t>Information on how to provide views on th</w:t>
      </w:r>
      <w:r w:rsidR="009B19B4">
        <w:t>ese</w:t>
      </w:r>
      <w:r>
        <w:t xml:space="preserve"> </w:t>
      </w:r>
      <w:r w:rsidR="005462EB">
        <w:t>d</w:t>
      </w:r>
      <w:r>
        <w:t xml:space="preserve">raft </w:t>
      </w:r>
      <w:r w:rsidR="005462EB">
        <w:t>d</w:t>
      </w:r>
      <w:r>
        <w:t>etermination</w:t>
      </w:r>
      <w:r w:rsidR="009B19B4">
        <w:t>s</w:t>
      </w:r>
      <w:r>
        <w:t xml:space="preserve"> </w:t>
      </w:r>
      <w:r w:rsidR="00C71866">
        <w:t>is</w:t>
      </w:r>
      <w:r>
        <w:t xml:space="preserve"> available </w:t>
      </w:r>
      <w:r w:rsidR="003E35DA">
        <w:t xml:space="preserve">in </w:t>
      </w:r>
      <w:r>
        <w:rPr>
          <w:b/>
        </w:rPr>
        <w:t>Appendix</w:t>
      </w:r>
      <w:r w:rsidR="007E33C6">
        <w:rPr>
          <w:b/>
        </w:rPr>
        <w:t> A</w:t>
      </w:r>
      <w:r>
        <w:t>.</w:t>
      </w:r>
    </w:p>
    <w:p w:rsidR="003A50B6" w:rsidRPr="003A50B6" w:rsidRDefault="003A50B6" w:rsidP="0072514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Submissions are due by 5.00pm EST on </w:t>
      </w:r>
      <w:r w:rsidR="00BE3034">
        <w:rPr>
          <w:b/>
        </w:rPr>
        <w:t>2</w:t>
      </w:r>
      <w:r w:rsidR="00326EDE">
        <w:rPr>
          <w:b/>
        </w:rPr>
        <w:t>9</w:t>
      </w:r>
      <w:r w:rsidR="00BE3034">
        <w:rPr>
          <w:b/>
        </w:rPr>
        <w:t xml:space="preserve"> May 2015</w:t>
      </w:r>
      <w:r w:rsidR="00B72DCB">
        <w:t>.</w:t>
      </w:r>
    </w:p>
    <w:p w:rsidR="003A50B6" w:rsidRDefault="003A50B6" w:rsidP="003A50B6">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3A50B6" w:rsidRPr="003A50B6" w:rsidRDefault="003A50B6" w:rsidP="003A50B6"/>
    <w:p w:rsidR="003A50B6" w:rsidRDefault="00EF4F50" w:rsidP="003E35DA">
      <w:pPr>
        <w:pStyle w:val="TOCHeading"/>
        <w:pageBreakBefore/>
      </w:pPr>
      <w:r>
        <w:lastRenderedPageBreak/>
        <w:t>Contents</w:t>
      </w:r>
    </w:p>
    <w:p w:rsidR="00664FE2" w:rsidRDefault="00664FE2" w:rsidP="00664FE2">
      <w:pPr>
        <w:pStyle w:val="TOC1"/>
        <w:rPr>
          <w:rFonts w:asciiTheme="minorHAnsi" w:eastAsiaTheme="minorEastAsia" w:hAnsiTheme="minorHAnsi"/>
          <w:lang w:val="en-AU" w:eastAsia="en-AU"/>
        </w:rPr>
      </w:pPr>
      <w:r>
        <w:fldChar w:fldCharType="begin"/>
      </w:r>
      <w:r>
        <w:instrText xml:space="preserve"> TOC \h \z \t "Heading 1,1,Numbered 1,1" </w:instrText>
      </w:r>
      <w:r>
        <w:fldChar w:fldCharType="separate"/>
      </w:r>
      <w:hyperlink w:anchor="_Toc418244853" w:history="1">
        <w:r w:rsidRPr="00D848F7">
          <w:rPr>
            <w:rStyle w:val="Hyperlink"/>
          </w:rPr>
          <w:t>Summary</w:t>
        </w:r>
        <w:r>
          <w:rPr>
            <w:webHidden/>
          </w:rPr>
          <w:tab/>
        </w:r>
        <w:r>
          <w:rPr>
            <w:webHidden/>
          </w:rPr>
          <w:fldChar w:fldCharType="begin"/>
        </w:r>
        <w:r>
          <w:rPr>
            <w:webHidden/>
          </w:rPr>
          <w:instrText xml:space="preserve"> PAGEREF _Toc418244853 \h </w:instrText>
        </w:r>
        <w:r>
          <w:rPr>
            <w:webHidden/>
          </w:rPr>
        </w:r>
        <w:r>
          <w:rPr>
            <w:webHidden/>
          </w:rPr>
          <w:fldChar w:fldCharType="separate"/>
        </w:r>
        <w:r>
          <w:rPr>
            <w:webHidden/>
          </w:rPr>
          <w:t>1</w:t>
        </w:r>
        <w:r>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54" w:history="1">
        <w:r w:rsidR="00664FE2" w:rsidRPr="00D848F7">
          <w:rPr>
            <w:rStyle w:val="Hyperlink"/>
          </w:rPr>
          <w:t>1.</w:t>
        </w:r>
        <w:r w:rsidR="00664FE2">
          <w:rPr>
            <w:rFonts w:asciiTheme="minorHAnsi" w:eastAsiaTheme="minorEastAsia" w:hAnsiTheme="minorHAnsi"/>
            <w:lang w:val="en-AU" w:eastAsia="en-AU"/>
          </w:rPr>
          <w:tab/>
        </w:r>
        <w:r w:rsidR="00664FE2" w:rsidRPr="00D848F7">
          <w:rPr>
            <w:rStyle w:val="Hyperlink"/>
          </w:rPr>
          <w:t>Background</w:t>
        </w:r>
        <w:r w:rsidR="00664FE2">
          <w:rPr>
            <w:webHidden/>
          </w:rPr>
          <w:tab/>
        </w:r>
        <w:r w:rsidR="00664FE2">
          <w:rPr>
            <w:webHidden/>
          </w:rPr>
          <w:fldChar w:fldCharType="begin"/>
        </w:r>
        <w:r w:rsidR="00664FE2">
          <w:rPr>
            <w:webHidden/>
          </w:rPr>
          <w:instrText xml:space="preserve"> PAGEREF _Toc418244854 \h </w:instrText>
        </w:r>
        <w:r w:rsidR="00664FE2">
          <w:rPr>
            <w:webHidden/>
          </w:rPr>
        </w:r>
        <w:r w:rsidR="00664FE2">
          <w:rPr>
            <w:webHidden/>
          </w:rPr>
          <w:fldChar w:fldCharType="separate"/>
        </w:r>
        <w:r w:rsidR="00664FE2">
          <w:rPr>
            <w:webHidden/>
          </w:rPr>
          <w:t>3</w:t>
        </w:r>
        <w:r w:rsidR="00664FE2">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55" w:history="1">
        <w:r w:rsidR="00664FE2" w:rsidRPr="00D848F7">
          <w:rPr>
            <w:rStyle w:val="Hyperlink"/>
          </w:rPr>
          <w:t>2.</w:t>
        </w:r>
        <w:r w:rsidR="00664FE2">
          <w:rPr>
            <w:rFonts w:asciiTheme="minorHAnsi" w:eastAsiaTheme="minorEastAsia" w:hAnsiTheme="minorHAnsi"/>
            <w:lang w:val="en-AU" w:eastAsia="en-AU"/>
          </w:rPr>
          <w:tab/>
        </w:r>
        <w:r w:rsidR="00664FE2" w:rsidRPr="00D848F7">
          <w:rPr>
            <w:rStyle w:val="Hyperlink"/>
          </w:rPr>
          <w:t>Applications by NAT and Qube for exempt service provider status</w:t>
        </w:r>
        <w:r w:rsidR="00664FE2">
          <w:rPr>
            <w:webHidden/>
          </w:rPr>
          <w:tab/>
        </w:r>
        <w:r w:rsidR="00664FE2">
          <w:rPr>
            <w:webHidden/>
          </w:rPr>
          <w:fldChar w:fldCharType="begin"/>
        </w:r>
        <w:r w:rsidR="00664FE2">
          <w:rPr>
            <w:webHidden/>
          </w:rPr>
          <w:instrText xml:space="preserve"> PAGEREF _Toc418244855 \h </w:instrText>
        </w:r>
        <w:r w:rsidR="00664FE2">
          <w:rPr>
            <w:webHidden/>
          </w:rPr>
        </w:r>
        <w:r w:rsidR="00664FE2">
          <w:rPr>
            <w:webHidden/>
          </w:rPr>
          <w:fldChar w:fldCharType="separate"/>
        </w:r>
        <w:r w:rsidR="00664FE2">
          <w:rPr>
            <w:webHidden/>
          </w:rPr>
          <w:t>5</w:t>
        </w:r>
        <w:r w:rsidR="00664FE2">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56" w:history="1">
        <w:r w:rsidR="00664FE2" w:rsidRPr="00D848F7">
          <w:rPr>
            <w:rStyle w:val="Hyperlink"/>
          </w:rPr>
          <w:t>3.</w:t>
        </w:r>
        <w:r w:rsidR="00664FE2">
          <w:rPr>
            <w:rFonts w:asciiTheme="minorHAnsi" w:eastAsiaTheme="minorEastAsia" w:hAnsiTheme="minorHAnsi"/>
            <w:lang w:val="en-AU" w:eastAsia="en-AU"/>
          </w:rPr>
          <w:tab/>
        </w:r>
        <w:r w:rsidR="00664FE2" w:rsidRPr="00D848F7">
          <w:rPr>
            <w:rStyle w:val="Hyperlink"/>
          </w:rPr>
          <w:t>Consultation on these draft determinations</w:t>
        </w:r>
        <w:r w:rsidR="00664FE2">
          <w:rPr>
            <w:webHidden/>
          </w:rPr>
          <w:tab/>
        </w:r>
        <w:r w:rsidR="00664FE2">
          <w:rPr>
            <w:webHidden/>
          </w:rPr>
          <w:fldChar w:fldCharType="begin"/>
        </w:r>
        <w:r w:rsidR="00664FE2">
          <w:rPr>
            <w:webHidden/>
          </w:rPr>
          <w:instrText xml:space="preserve"> PAGEREF _Toc418244856 \h </w:instrText>
        </w:r>
        <w:r w:rsidR="00664FE2">
          <w:rPr>
            <w:webHidden/>
          </w:rPr>
        </w:r>
        <w:r w:rsidR="00664FE2">
          <w:rPr>
            <w:webHidden/>
          </w:rPr>
          <w:fldChar w:fldCharType="separate"/>
        </w:r>
        <w:r w:rsidR="00664FE2">
          <w:rPr>
            <w:webHidden/>
          </w:rPr>
          <w:t>5</w:t>
        </w:r>
        <w:r w:rsidR="00664FE2">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57" w:history="1">
        <w:r w:rsidR="00664FE2" w:rsidRPr="00D848F7">
          <w:rPr>
            <w:rStyle w:val="Hyperlink"/>
          </w:rPr>
          <w:t>4.</w:t>
        </w:r>
        <w:r w:rsidR="00664FE2">
          <w:rPr>
            <w:rFonts w:asciiTheme="minorHAnsi" w:eastAsiaTheme="minorEastAsia" w:hAnsiTheme="minorHAnsi"/>
            <w:lang w:val="en-AU" w:eastAsia="en-AU"/>
          </w:rPr>
          <w:tab/>
        </w:r>
        <w:r w:rsidR="00664FE2" w:rsidRPr="00D848F7">
          <w:rPr>
            <w:rStyle w:val="Hyperlink"/>
          </w:rPr>
          <w:t>Matters that the ACCC must have regard to</w:t>
        </w:r>
        <w:r w:rsidR="00664FE2">
          <w:rPr>
            <w:webHidden/>
          </w:rPr>
          <w:tab/>
        </w:r>
        <w:r w:rsidR="00664FE2">
          <w:rPr>
            <w:webHidden/>
          </w:rPr>
          <w:fldChar w:fldCharType="begin"/>
        </w:r>
        <w:r w:rsidR="00664FE2">
          <w:rPr>
            <w:webHidden/>
          </w:rPr>
          <w:instrText xml:space="preserve"> PAGEREF _Toc418244857 \h </w:instrText>
        </w:r>
        <w:r w:rsidR="00664FE2">
          <w:rPr>
            <w:webHidden/>
          </w:rPr>
        </w:r>
        <w:r w:rsidR="00664FE2">
          <w:rPr>
            <w:webHidden/>
          </w:rPr>
          <w:fldChar w:fldCharType="separate"/>
        </w:r>
        <w:r w:rsidR="00664FE2">
          <w:rPr>
            <w:webHidden/>
          </w:rPr>
          <w:t>6</w:t>
        </w:r>
        <w:r w:rsidR="00664FE2">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58" w:history="1">
        <w:r w:rsidR="00664FE2" w:rsidRPr="00D848F7">
          <w:rPr>
            <w:rStyle w:val="Hyperlink"/>
          </w:rPr>
          <w:t>5.</w:t>
        </w:r>
        <w:r w:rsidR="00664FE2">
          <w:rPr>
            <w:rFonts w:asciiTheme="minorHAnsi" w:eastAsiaTheme="minorEastAsia" w:hAnsiTheme="minorHAnsi"/>
            <w:lang w:val="en-AU" w:eastAsia="en-AU"/>
          </w:rPr>
          <w:tab/>
        </w:r>
        <w:r w:rsidR="00664FE2" w:rsidRPr="00D848F7">
          <w:rPr>
            <w:rStyle w:val="Hyperlink"/>
          </w:rPr>
          <w:t>ACCC’s preliminary views</w:t>
        </w:r>
        <w:r w:rsidR="00664FE2">
          <w:rPr>
            <w:webHidden/>
          </w:rPr>
          <w:tab/>
        </w:r>
        <w:r w:rsidR="00664FE2">
          <w:rPr>
            <w:webHidden/>
          </w:rPr>
          <w:fldChar w:fldCharType="begin"/>
        </w:r>
        <w:r w:rsidR="00664FE2">
          <w:rPr>
            <w:webHidden/>
          </w:rPr>
          <w:instrText xml:space="preserve"> PAGEREF _Toc418244858 \h </w:instrText>
        </w:r>
        <w:r w:rsidR="00664FE2">
          <w:rPr>
            <w:webHidden/>
          </w:rPr>
        </w:r>
        <w:r w:rsidR="00664FE2">
          <w:rPr>
            <w:webHidden/>
          </w:rPr>
          <w:fldChar w:fldCharType="separate"/>
        </w:r>
        <w:r w:rsidR="00664FE2">
          <w:rPr>
            <w:webHidden/>
          </w:rPr>
          <w:t>8</w:t>
        </w:r>
        <w:r w:rsidR="00664FE2">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59" w:history="1">
        <w:r w:rsidR="00664FE2" w:rsidRPr="00D848F7">
          <w:rPr>
            <w:rStyle w:val="Hyperlink"/>
          </w:rPr>
          <w:t>6.</w:t>
        </w:r>
        <w:r w:rsidR="00664FE2">
          <w:rPr>
            <w:rFonts w:asciiTheme="minorHAnsi" w:eastAsiaTheme="minorEastAsia" w:hAnsiTheme="minorHAnsi"/>
            <w:lang w:val="en-AU" w:eastAsia="en-AU"/>
          </w:rPr>
          <w:tab/>
        </w:r>
        <w:r w:rsidR="00664FE2" w:rsidRPr="00D848F7">
          <w:rPr>
            <w:rStyle w:val="Hyperlink"/>
          </w:rPr>
          <w:t>ACCC draft determinations</w:t>
        </w:r>
        <w:r w:rsidR="00664FE2">
          <w:rPr>
            <w:webHidden/>
          </w:rPr>
          <w:tab/>
        </w:r>
        <w:r w:rsidR="00664FE2">
          <w:rPr>
            <w:webHidden/>
          </w:rPr>
          <w:fldChar w:fldCharType="begin"/>
        </w:r>
        <w:r w:rsidR="00664FE2">
          <w:rPr>
            <w:webHidden/>
          </w:rPr>
          <w:instrText xml:space="preserve"> PAGEREF _Toc418244859 \h </w:instrText>
        </w:r>
        <w:r w:rsidR="00664FE2">
          <w:rPr>
            <w:webHidden/>
          </w:rPr>
        </w:r>
        <w:r w:rsidR="00664FE2">
          <w:rPr>
            <w:webHidden/>
          </w:rPr>
          <w:fldChar w:fldCharType="separate"/>
        </w:r>
        <w:r w:rsidR="00664FE2">
          <w:rPr>
            <w:webHidden/>
          </w:rPr>
          <w:t>17</w:t>
        </w:r>
        <w:r w:rsidR="00664FE2">
          <w:rPr>
            <w:webHidden/>
          </w:rPr>
          <w:fldChar w:fldCharType="end"/>
        </w:r>
      </w:hyperlink>
    </w:p>
    <w:p w:rsidR="00664FE2" w:rsidRDefault="002C10CB" w:rsidP="00664FE2">
      <w:pPr>
        <w:pStyle w:val="TOC1"/>
        <w:rPr>
          <w:rFonts w:asciiTheme="minorHAnsi" w:eastAsiaTheme="minorEastAsia" w:hAnsiTheme="minorHAnsi"/>
          <w:lang w:val="en-AU" w:eastAsia="en-AU"/>
        </w:rPr>
      </w:pPr>
      <w:hyperlink w:anchor="_Toc418244860" w:history="1">
        <w:r w:rsidR="00664FE2" w:rsidRPr="00D848F7">
          <w:rPr>
            <w:rStyle w:val="Hyperlink"/>
          </w:rPr>
          <w:t>Appendix A: How to make a submission</w:t>
        </w:r>
        <w:r w:rsidR="00664FE2">
          <w:rPr>
            <w:webHidden/>
          </w:rPr>
          <w:tab/>
        </w:r>
        <w:r w:rsidR="00664FE2">
          <w:rPr>
            <w:webHidden/>
          </w:rPr>
          <w:fldChar w:fldCharType="begin"/>
        </w:r>
        <w:r w:rsidR="00664FE2">
          <w:rPr>
            <w:webHidden/>
          </w:rPr>
          <w:instrText xml:space="preserve"> PAGEREF _Toc418244860 \h </w:instrText>
        </w:r>
        <w:r w:rsidR="00664FE2">
          <w:rPr>
            <w:webHidden/>
          </w:rPr>
        </w:r>
        <w:r w:rsidR="00664FE2">
          <w:rPr>
            <w:webHidden/>
          </w:rPr>
          <w:fldChar w:fldCharType="separate"/>
        </w:r>
        <w:r w:rsidR="00664FE2">
          <w:rPr>
            <w:webHidden/>
          </w:rPr>
          <w:t>18</w:t>
        </w:r>
        <w:r w:rsidR="00664FE2">
          <w:rPr>
            <w:webHidden/>
          </w:rPr>
          <w:fldChar w:fldCharType="end"/>
        </w:r>
      </w:hyperlink>
    </w:p>
    <w:p w:rsidR="00C0411B" w:rsidRDefault="00664FE2" w:rsidP="00664FE2">
      <w:pPr>
        <w:rPr>
          <w:lang w:val="en-US" w:eastAsia="ja-JP"/>
        </w:rPr>
      </w:pPr>
      <w:r>
        <w:rPr>
          <w:lang w:val="en-US" w:eastAsia="ja-JP"/>
        </w:rPr>
        <w:fldChar w:fldCharType="end"/>
      </w:r>
    </w:p>
    <w:p w:rsidR="00C0411B" w:rsidRDefault="00C0411B" w:rsidP="005442E7">
      <w:pPr>
        <w:pStyle w:val="Numbered1"/>
        <w:pageBreakBefore/>
        <w:rPr>
          <w:lang w:val="en-US" w:eastAsia="ja-JP"/>
        </w:rPr>
      </w:pPr>
      <w:r>
        <w:rPr>
          <w:lang w:val="en-US" w:eastAsia="ja-JP"/>
        </w:rPr>
        <w:lastRenderedPageBreak/>
        <w:t>Background</w:t>
      </w:r>
    </w:p>
    <w:p w:rsidR="00121A9C" w:rsidRPr="00121A9C" w:rsidRDefault="00121A9C" w:rsidP="00121A9C">
      <w:pPr>
        <w:rPr>
          <w:lang w:val="en-US" w:eastAsia="ja-JP"/>
        </w:rPr>
      </w:pPr>
    </w:p>
    <w:p w:rsidR="00AC42FF" w:rsidRDefault="00AC42FF" w:rsidP="0006797A">
      <w:pPr>
        <w:pStyle w:val="Numbered11"/>
        <w:rPr>
          <w:lang w:val="en-US" w:eastAsia="ja-JP"/>
        </w:rPr>
      </w:pPr>
      <w:bookmarkStart w:id="31" w:name="_Toc413314105"/>
      <w:bookmarkEnd w:id="31"/>
      <w:r>
        <w:rPr>
          <w:lang w:val="en-US" w:eastAsia="ja-JP"/>
        </w:rPr>
        <w:t>Regulation under the Code</w:t>
      </w:r>
    </w:p>
    <w:p w:rsidR="00AC42FF" w:rsidRDefault="00AC42FF" w:rsidP="000B761F">
      <w:r>
        <w:t xml:space="preserve">The Code commenced on </w:t>
      </w:r>
      <w:r w:rsidR="00E75AE8">
        <w:t>30</w:t>
      </w:r>
      <w:r w:rsidR="006F78B9">
        <w:t xml:space="preserve"> </w:t>
      </w:r>
      <w:r w:rsidR="00E75AE8">
        <w:t>September</w:t>
      </w:r>
      <w:r>
        <w:t xml:space="preserve"> 2014, </w:t>
      </w:r>
      <w:r w:rsidR="00C25140">
        <w:t xml:space="preserve">replacing </w:t>
      </w:r>
      <w:r>
        <w:t xml:space="preserve">the previous undertaking regime. Its purpose </w:t>
      </w:r>
      <w:r w:rsidRPr="0031016C">
        <w:t xml:space="preserve">is to regulate the conduct of port terminal service providers </w:t>
      </w:r>
      <w:r>
        <w:t xml:space="preserve">(PTSPs) </w:t>
      </w:r>
      <w:r w:rsidRPr="0031016C">
        <w:t>to ensure that exporters of bulk wheat have fair and transparent access to port terminal services.</w:t>
      </w:r>
      <w:r>
        <w:rPr>
          <w:rStyle w:val="FootnoteReference"/>
        </w:rPr>
        <w:footnoteReference w:id="2"/>
      </w:r>
    </w:p>
    <w:p w:rsidR="00C02A63" w:rsidRDefault="00C25140" w:rsidP="00C02A63">
      <w:pPr>
        <w:rPr>
          <w:lang w:val="en-US" w:eastAsia="ja-JP"/>
        </w:rPr>
      </w:pPr>
      <w:r>
        <w:rPr>
          <w:lang w:val="en-US" w:eastAsia="ja-JP"/>
        </w:rPr>
        <w:t xml:space="preserve">Obligations in the Code’s </w:t>
      </w:r>
      <w:r w:rsidR="00C02A63">
        <w:rPr>
          <w:lang w:val="en-US" w:eastAsia="ja-JP"/>
        </w:rPr>
        <w:t>six parts</w:t>
      </w:r>
      <w:r>
        <w:rPr>
          <w:lang w:val="en-US" w:eastAsia="ja-JP"/>
        </w:rPr>
        <w:t xml:space="preserve"> include (but are not limited to)</w:t>
      </w:r>
      <w:r w:rsidR="00C02A63">
        <w:rPr>
          <w:lang w:val="en-US" w:eastAsia="ja-JP"/>
        </w:rPr>
        <w:t>:</w:t>
      </w:r>
    </w:p>
    <w:p w:rsidR="00C02A63" w:rsidRDefault="00C02A63" w:rsidP="00C02A63">
      <w:pPr>
        <w:ind w:left="340"/>
        <w:rPr>
          <w:lang w:val="en-US" w:eastAsia="ja-JP"/>
        </w:rPr>
      </w:pPr>
      <w:r w:rsidRPr="006D16D7">
        <w:rPr>
          <w:b/>
          <w:lang w:val="en-US" w:eastAsia="ja-JP"/>
        </w:rPr>
        <w:t>Part 1 – Preliminary</w:t>
      </w:r>
      <w:r w:rsidRPr="006D16D7">
        <w:rPr>
          <w:lang w:val="en-US" w:eastAsia="ja-JP"/>
        </w:rPr>
        <w:t xml:space="preserve"> (i</w:t>
      </w:r>
      <w:r w:rsidR="006F78B9">
        <w:rPr>
          <w:lang w:val="en-US" w:eastAsia="ja-JP"/>
        </w:rPr>
        <w:t>.</w:t>
      </w:r>
      <w:r w:rsidRPr="006D16D7">
        <w:rPr>
          <w:lang w:val="en-US" w:eastAsia="ja-JP"/>
        </w:rPr>
        <w:t>e</w:t>
      </w:r>
      <w:r w:rsidR="006F78B9">
        <w:rPr>
          <w:lang w:val="en-US" w:eastAsia="ja-JP"/>
        </w:rPr>
        <w:t>.</w:t>
      </w:r>
      <w:r w:rsidRPr="006D16D7">
        <w:rPr>
          <w:lang w:val="en-US" w:eastAsia="ja-JP"/>
        </w:rPr>
        <w:t xml:space="preserve"> definitions</w:t>
      </w:r>
      <w:r w:rsidR="00CC3BA7">
        <w:rPr>
          <w:lang w:val="en-US" w:eastAsia="ja-JP"/>
        </w:rPr>
        <w:t xml:space="preserve"> and application of the Code</w:t>
      </w:r>
      <w:r w:rsidRPr="006D16D7">
        <w:rPr>
          <w:lang w:val="en-US" w:eastAsia="ja-JP"/>
        </w:rPr>
        <w:t>)</w:t>
      </w:r>
    </w:p>
    <w:p w:rsidR="00C02A63" w:rsidRDefault="00C02A63" w:rsidP="00C02A63">
      <w:pPr>
        <w:ind w:left="340"/>
        <w:rPr>
          <w:lang w:val="en-US" w:eastAsia="ja-JP"/>
        </w:rPr>
      </w:pPr>
      <w:r w:rsidRPr="006D16D7">
        <w:rPr>
          <w:b/>
          <w:lang w:val="en-US" w:eastAsia="ja-JP"/>
        </w:rPr>
        <w:t>Part 2 – General obligations of port terminal service providers and</w:t>
      </w:r>
      <w:r w:rsidRPr="006D16D7">
        <w:rPr>
          <w:lang w:val="en-US" w:eastAsia="ja-JP"/>
        </w:rPr>
        <w:t xml:space="preserve"> </w:t>
      </w:r>
      <w:r w:rsidRPr="006F78B9">
        <w:rPr>
          <w:b/>
          <w:lang w:val="en-US" w:eastAsia="ja-JP"/>
        </w:rPr>
        <w:t>exporters</w:t>
      </w:r>
      <w:r w:rsidRPr="006D16D7">
        <w:rPr>
          <w:lang w:val="en-US" w:eastAsia="ja-JP"/>
        </w:rPr>
        <w:t xml:space="preserve"> (</w:t>
      </w:r>
      <w:r w:rsidR="00AD70B8">
        <w:rPr>
          <w:lang w:val="en-US" w:eastAsia="ja-JP"/>
        </w:rPr>
        <w:t xml:space="preserve">e.g. </w:t>
      </w:r>
      <w:r w:rsidR="00AD70B8" w:rsidRPr="006D16D7">
        <w:rPr>
          <w:lang w:val="en-US" w:eastAsia="ja-JP"/>
        </w:rPr>
        <w:t xml:space="preserve"> </w:t>
      </w:r>
      <w:r w:rsidRPr="006D16D7">
        <w:rPr>
          <w:lang w:val="en-US" w:eastAsia="ja-JP"/>
        </w:rPr>
        <w:t>deal in good faith</w:t>
      </w:r>
      <w:r>
        <w:rPr>
          <w:lang w:val="en-US" w:eastAsia="ja-JP"/>
        </w:rPr>
        <w:t>;</w:t>
      </w:r>
      <w:r w:rsidRPr="006D16D7">
        <w:rPr>
          <w:lang w:val="en-US" w:eastAsia="ja-JP"/>
        </w:rPr>
        <w:t xml:space="preserve"> publish daily loading statements, standard terms and reference prices)</w:t>
      </w:r>
    </w:p>
    <w:p w:rsidR="00C02A63" w:rsidRDefault="00C02A63" w:rsidP="00C02A63">
      <w:pPr>
        <w:ind w:left="340"/>
        <w:rPr>
          <w:lang w:val="en-US" w:eastAsia="ja-JP"/>
        </w:rPr>
      </w:pPr>
      <w:r w:rsidRPr="006D16D7">
        <w:rPr>
          <w:b/>
          <w:lang w:val="en-US" w:eastAsia="ja-JP"/>
        </w:rPr>
        <w:t>Part 3 – Access to port terminal services provided by a port terminal service provider</w:t>
      </w:r>
      <w:r w:rsidRPr="006D16D7">
        <w:rPr>
          <w:lang w:val="en-US" w:eastAsia="ja-JP"/>
        </w:rPr>
        <w:t xml:space="preserve"> (</w:t>
      </w:r>
      <w:r w:rsidR="00AD70B8">
        <w:rPr>
          <w:lang w:val="en-US" w:eastAsia="ja-JP"/>
        </w:rPr>
        <w:t>e.g.</w:t>
      </w:r>
      <w:r w:rsidR="00AD70B8" w:rsidRPr="006D16D7">
        <w:rPr>
          <w:lang w:val="en-US" w:eastAsia="ja-JP"/>
        </w:rPr>
        <w:t xml:space="preserve"> </w:t>
      </w:r>
      <w:r w:rsidRPr="006D16D7">
        <w:rPr>
          <w:lang w:val="en-US" w:eastAsia="ja-JP"/>
        </w:rPr>
        <w:t>non-discrimination and no hindering obligations, rules around the negotiation of terms</w:t>
      </w:r>
      <w:r w:rsidR="00CC3BA7">
        <w:rPr>
          <w:lang w:val="en-US" w:eastAsia="ja-JP"/>
        </w:rPr>
        <w:t xml:space="preserve"> of access</w:t>
      </w:r>
      <w:r w:rsidRPr="006D16D7">
        <w:rPr>
          <w:lang w:val="en-US" w:eastAsia="ja-JP"/>
        </w:rPr>
        <w:t>, arbitration,</w:t>
      </w:r>
      <w:r w:rsidR="00CC3BA7">
        <w:rPr>
          <w:lang w:val="en-US" w:eastAsia="ja-JP"/>
        </w:rPr>
        <w:t xml:space="preserve"> and</w:t>
      </w:r>
      <w:r w:rsidRPr="006D16D7">
        <w:rPr>
          <w:lang w:val="en-US" w:eastAsia="ja-JP"/>
        </w:rPr>
        <w:t xml:space="preserve"> mediation)</w:t>
      </w:r>
    </w:p>
    <w:p w:rsidR="00C02A63" w:rsidRDefault="00C02A63" w:rsidP="00C02A63">
      <w:pPr>
        <w:ind w:left="340"/>
        <w:rPr>
          <w:lang w:val="en-US" w:eastAsia="ja-JP"/>
        </w:rPr>
      </w:pPr>
      <w:r w:rsidRPr="006D16D7">
        <w:rPr>
          <w:b/>
          <w:lang w:val="en-US" w:eastAsia="ja-JP"/>
        </w:rPr>
        <w:t>Part 4 – Port loading protocols of port terminal service providers</w:t>
      </w:r>
      <w:r w:rsidRPr="006D16D7">
        <w:rPr>
          <w:lang w:val="en-US" w:eastAsia="ja-JP"/>
        </w:rPr>
        <w:t xml:space="preserve"> (</w:t>
      </w:r>
      <w:r w:rsidR="00AD70B8">
        <w:rPr>
          <w:lang w:val="en-US" w:eastAsia="ja-JP"/>
        </w:rPr>
        <w:t>e.g.</w:t>
      </w:r>
      <w:r w:rsidR="00AD70B8" w:rsidRPr="006D16D7">
        <w:rPr>
          <w:lang w:val="en-US" w:eastAsia="ja-JP"/>
        </w:rPr>
        <w:t xml:space="preserve"> </w:t>
      </w:r>
      <w:r w:rsidRPr="006D16D7">
        <w:rPr>
          <w:lang w:val="en-US" w:eastAsia="ja-JP"/>
        </w:rPr>
        <w:t>capacity allocation system requirements, mechanism for varying port loading protocols)</w:t>
      </w:r>
    </w:p>
    <w:p w:rsidR="00C02A63" w:rsidRDefault="00C02A63" w:rsidP="00C02A63">
      <w:pPr>
        <w:ind w:left="340"/>
        <w:rPr>
          <w:lang w:val="en-US" w:eastAsia="ja-JP"/>
        </w:rPr>
      </w:pPr>
      <w:r w:rsidRPr="006D16D7">
        <w:rPr>
          <w:b/>
          <w:lang w:val="en-US" w:eastAsia="ja-JP"/>
        </w:rPr>
        <w:t>Part 5 – Port terminal service provider to publish certain information</w:t>
      </w:r>
      <w:r w:rsidRPr="006D16D7">
        <w:rPr>
          <w:lang w:val="en-US" w:eastAsia="ja-JP"/>
        </w:rPr>
        <w:t xml:space="preserve"> (</w:t>
      </w:r>
      <w:r w:rsidR="00AD70B8">
        <w:rPr>
          <w:lang w:val="en-US" w:eastAsia="ja-JP"/>
        </w:rPr>
        <w:t>e.g.</w:t>
      </w:r>
      <w:r w:rsidR="00AD70B8" w:rsidRPr="006D16D7">
        <w:rPr>
          <w:lang w:val="en-US" w:eastAsia="ja-JP"/>
        </w:rPr>
        <w:t xml:space="preserve"> </w:t>
      </w:r>
      <w:r w:rsidRPr="006D16D7">
        <w:rPr>
          <w:lang w:val="en-US" w:eastAsia="ja-JP"/>
        </w:rPr>
        <w:t>obligations to publish expected capacity, performance indicators, stock information)</w:t>
      </w:r>
    </w:p>
    <w:p w:rsidR="00AC42FF" w:rsidRDefault="00C02A63" w:rsidP="00121A9C">
      <w:pPr>
        <w:ind w:left="340"/>
        <w:rPr>
          <w:lang w:val="en-US" w:eastAsia="ja-JP"/>
        </w:rPr>
      </w:pPr>
      <w:r w:rsidRPr="006D16D7">
        <w:rPr>
          <w:b/>
          <w:lang w:val="en-US" w:eastAsia="ja-JP"/>
        </w:rPr>
        <w:t>Part 6 – Record keeping</w:t>
      </w:r>
      <w:r w:rsidRPr="006D16D7">
        <w:rPr>
          <w:lang w:val="en-US" w:eastAsia="ja-JP"/>
        </w:rPr>
        <w:t xml:space="preserve"> (</w:t>
      </w:r>
      <w:r w:rsidR="00AD70B8">
        <w:rPr>
          <w:lang w:val="en-US" w:eastAsia="ja-JP"/>
        </w:rPr>
        <w:t>e.g.</w:t>
      </w:r>
      <w:r w:rsidR="00AD70B8" w:rsidRPr="006D16D7">
        <w:rPr>
          <w:lang w:val="en-US" w:eastAsia="ja-JP"/>
        </w:rPr>
        <w:t xml:space="preserve"> </w:t>
      </w:r>
      <w:r w:rsidRPr="006D16D7">
        <w:rPr>
          <w:lang w:val="en-US" w:eastAsia="ja-JP"/>
        </w:rPr>
        <w:t>obligations to retain access agreements, records relating to disputes about those agreements, and services required by exporters)</w:t>
      </w:r>
      <w:r>
        <w:rPr>
          <w:lang w:val="en-US" w:eastAsia="ja-JP"/>
        </w:rPr>
        <w:t>.</w:t>
      </w:r>
      <w:r w:rsidRPr="006D16D7">
        <w:rPr>
          <w:lang w:val="en-US" w:eastAsia="ja-JP"/>
        </w:rPr>
        <w:t xml:space="preserve">  </w:t>
      </w:r>
    </w:p>
    <w:p w:rsidR="00121A9C" w:rsidRPr="00AC42FF" w:rsidRDefault="00121A9C" w:rsidP="00121A9C">
      <w:pPr>
        <w:ind w:left="340"/>
        <w:rPr>
          <w:lang w:val="en-US" w:eastAsia="ja-JP"/>
        </w:rPr>
      </w:pPr>
    </w:p>
    <w:p w:rsidR="0006797A" w:rsidRDefault="00C24CF7" w:rsidP="0006797A">
      <w:pPr>
        <w:pStyle w:val="Numbered11"/>
        <w:rPr>
          <w:lang w:val="en-US" w:eastAsia="ja-JP"/>
        </w:rPr>
      </w:pPr>
      <w:r>
        <w:rPr>
          <w:lang w:val="en-US" w:eastAsia="ja-JP"/>
        </w:rPr>
        <w:t xml:space="preserve">NAT and </w:t>
      </w:r>
      <w:proofErr w:type="spellStart"/>
      <w:r>
        <w:rPr>
          <w:lang w:val="en-US" w:eastAsia="ja-JP"/>
        </w:rPr>
        <w:t>Qube’s</w:t>
      </w:r>
      <w:proofErr w:type="spellEnd"/>
      <w:r>
        <w:rPr>
          <w:lang w:val="en-US" w:eastAsia="ja-JP"/>
        </w:rPr>
        <w:t xml:space="preserve"> status as port terminal service providers under the code </w:t>
      </w:r>
    </w:p>
    <w:p w:rsidR="00C771F8" w:rsidRDefault="00C02A63" w:rsidP="0006797A">
      <w:pPr>
        <w:rPr>
          <w:lang w:val="en-US" w:eastAsia="ja-JP"/>
        </w:rPr>
      </w:pPr>
      <w:r>
        <w:t xml:space="preserve">The Code applies to </w:t>
      </w:r>
      <w:r w:rsidR="006F78B9">
        <w:t xml:space="preserve">PTSPs, which it defines </w:t>
      </w:r>
      <w:r w:rsidR="00C771F8">
        <w:rPr>
          <w:lang w:val="en-US" w:eastAsia="ja-JP"/>
        </w:rPr>
        <w:t>as:</w:t>
      </w:r>
    </w:p>
    <w:p w:rsidR="0006797A" w:rsidRPr="0006797A" w:rsidRDefault="00C771F8" w:rsidP="00C771F8">
      <w:pPr>
        <w:ind w:left="340"/>
        <w:rPr>
          <w:lang w:val="en-US" w:eastAsia="ja-JP"/>
        </w:rPr>
      </w:pPr>
      <w:r>
        <w:rPr>
          <w:sz w:val="20"/>
          <w:szCs w:val="20"/>
          <w:lang w:val="en-US" w:eastAsia="ja-JP"/>
        </w:rPr>
        <w:t xml:space="preserve">… </w:t>
      </w:r>
      <w:proofErr w:type="gramStart"/>
      <w:r>
        <w:rPr>
          <w:sz w:val="20"/>
          <w:szCs w:val="20"/>
          <w:lang w:val="en-US" w:eastAsia="ja-JP"/>
        </w:rPr>
        <w:t>the</w:t>
      </w:r>
      <w:proofErr w:type="gramEnd"/>
      <w:r>
        <w:rPr>
          <w:sz w:val="20"/>
          <w:szCs w:val="20"/>
          <w:lang w:val="en-US" w:eastAsia="ja-JP"/>
        </w:rPr>
        <w:t xml:space="preserve"> owner or operator of a port terminal facility that is used, or is to be used, to provide a port terminal service.</w:t>
      </w:r>
      <w:r>
        <w:rPr>
          <w:rStyle w:val="FootnoteReference"/>
          <w:sz w:val="20"/>
          <w:szCs w:val="20"/>
          <w:lang w:val="en-US" w:eastAsia="ja-JP"/>
        </w:rPr>
        <w:footnoteReference w:id="3"/>
      </w:r>
      <w:r>
        <w:rPr>
          <w:lang w:val="en-US" w:eastAsia="ja-JP"/>
        </w:rPr>
        <w:t xml:space="preserve">  </w:t>
      </w:r>
    </w:p>
    <w:p w:rsidR="0006797A" w:rsidRDefault="003C10E1" w:rsidP="0006797A">
      <w:pPr>
        <w:rPr>
          <w:lang w:val="en-US" w:eastAsia="ja-JP"/>
        </w:rPr>
      </w:pPr>
      <w:r>
        <w:rPr>
          <w:lang w:val="en-US" w:eastAsia="ja-JP"/>
        </w:rPr>
        <w:t>A port terminal facility is defined as:</w:t>
      </w:r>
    </w:p>
    <w:p w:rsidR="003C10E1" w:rsidRDefault="003C10E1" w:rsidP="003C10E1">
      <w:pPr>
        <w:ind w:firstLine="340"/>
        <w:rPr>
          <w:sz w:val="20"/>
          <w:szCs w:val="20"/>
          <w:lang w:val="en-US" w:eastAsia="ja-JP"/>
        </w:rPr>
      </w:pPr>
      <w:proofErr w:type="gramStart"/>
      <w:r>
        <w:rPr>
          <w:b/>
          <w:i/>
          <w:sz w:val="20"/>
          <w:szCs w:val="20"/>
          <w:lang w:val="en-US" w:eastAsia="ja-JP"/>
        </w:rPr>
        <w:t>port</w:t>
      </w:r>
      <w:proofErr w:type="gramEnd"/>
      <w:r>
        <w:rPr>
          <w:b/>
          <w:i/>
          <w:sz w:val="20"/>
          <w:szCs w:val="20"/>
          <w:lang w:val="en-US" w:eastAsia="ja-JP"/>
        </w:rPr>
        <w:t xml:space="preserve"> terminal facility </w:t>
      </w:r>
      <w:r>
        <w:rPr>
          <w:sz w:val="20"/>
          <w:szCs w:val="20"/>
          <w:lang w:val="en-US" w:eastAsia="ja-JP"/>
        </w:rPr>
        <w:t xml:space="preserve">means a ship loader that is </w:t>
      </w:r>
    </w:p>
    <w:p w:rsidR="003C10E1" w:rsidRDefault="003C10E1" w:rsidP="00725145">
      <w:pPr>
        <w:pStyle w:val="ListParagraph"/>
        <w:numPr>
          <w:ilvl w:val="0"/>
          <w:numId w:val="26"/>
        </w:numPr>
        <w:rPr>
          <w:sz w:val="20"/>
          <w:szCs w:val="20"/>
          <w:lang w:val="en-US" w:eastAsia="ja-JP"/>
        </w:rPr>
      </w:pPr>
      <w:r>
        <w:rPr>
          <w:sz w:val="20"/>
          <w:szCs w:val="20"/>
          <w:lang w:val="en-US" w:eastAsia="ja-JP"/>
        </w:rPr>
        <w:t>at a port; and</w:t>
      </w:r>
    </w:p>
    <w:p w:rsidR="003C10E1" w:rsidRDefault="003C10E1" w:rsidP="00725145">
      <w:pPr>
        <w:pStyle w:val="ListParagraph"/>
        <w:numPr>
          <w:ilvl w:val="0"/>
          <w:numId w:val="26"/>
        </w:numPr>
        <w:rPr>
          <w:sz w:val="20"/>
          <w:szCs w:val="20"/>
          <w:lang w:val="en-US" w:eastAsia="ja-JP"/>
        </w:rPr>
      </w:pPr>
      <w:r>
        <w:rPr>
          <w:sz w:val="20"/>
          <w:szCs w:val="20"/>
          <w:lang w:val="en-US" w:eastAsia="ja-JP"/>
        </w:rPr>
        <w:t>capable of handling bulk wheat;</w:t>
      </w:r>
    </w:p>
    <w:p w:rsidR="003C10E1" w:rsidRPr="003C10E1" w:rsidRDefault="003C10E1" w:rsidP="003C10E1">
      <w:pPr>
        <w:ind w:left="340"/>
        <w:rPr>
          <w:sz w:val="20"/>
          <w:szCs w:val="20"/>
          <w:lang w:val="en-US" w:eastAsia="ja-JP"/>
        </w:rPr>
      </w:pPr>
      <w:proofErr w:type="gramStart"/>
      <w:r>
        <w:rPr>
          <w:sz w:val="20"/>
          <w:szCs w:val="20"/>
          <w:lang w:val="en-US" w:eastAsia="ja-JP"/>
        </w:rPr>
        <w:t>and</w:t>
      </w:r>
      <w:proofErr w:type="gramEnd"/>
      <w:r>
        <w:rPr>
          <w:sz w:val="20"/>
          <w:szCs w:val="20"/>
          <w:lang w:val="en-US" w:eastAsia="ja-JP"/>
        </w:rPr>
        <w:t xml:space="preserve"> includes any of the following facilities, situated at the port and associated with the ship loader, that are capable of handling bulk wheat:</w:t>
      </w:r>
    </w:p>
    <w:p w:rsidR="003C10E1" w:rsidRDefault="003C10E1" w:rsidP="00725145">
      <w:pPr>
        <w:pStyle w:val="ListParagraph"/>
        <w:numPr>
          <w:ilvl w:val="0"/>
          <w:numId w:val="26"/>
        </w:numPr>
        <w:rPr>
          <w:sz w:val="20"/>
          <w:szCs w:val="20"/>
          <w:lang w:val="en-US" w:eastAsia="ja-JP"/>
        </w:rPr>
      </w:pPr>
      <w:r>
        <w:rPr>
          <w:sz w:val="20"/>
          <w:szCs w:val="20"/>
          <w:lang w:val="en-US" w:eastAsia="ja-JP"/>
        </w:rPr>
        <w:t>an intake/receival facility;</w:t>
      </w:r>
    </w:p>
    <w:p w:rsidR="003C10E1" w:rsidRDefault="003C10E1" w:rsidP="00725145">
      <w:pPr>
        <w:pStyle w:val="ListParagraph"/>
        <w:numPr>
          <w:ilvl w:val="0"/>
          <w:numId w:val="26"/>
        </w:numPr>
        <w:rPr>
          <w:sz w:val="20"/>
          <w:szCs w:val="20"/>
          <w:lang w:val="en-US" w:eastAsia="ja-JP"/>
        </w:rPr>
      </w:pPr>
      <w:r>
        <w:rPr>
          <w:sz w:val="20"/>
          <w:szCs w:val="20"/>
          <w:lang w:val="en-US" w:eastAsia="ja-JP"/>
        </w:rPr>
        <w:t>a grain storage facility;</w:t>
      </w:r>
    </w:p>
    <w:p w:rsidR="003C10E1" w:rsidRDefault="003C10E1" w:rsidP="00725145">
      <w:pPr>
        <w:pStyle w:val="ListParagraph"/>
        <w:numPr>
          <w:ilvl w:val="0"/>
          <w:numId w:val="26"/>
        </w:numPr>
        <w:rPr>
          <w:sz w:val="20"/>
          <w:szCs w:val="20"/>
          <w:lang w:val="en-US" w:eastAsia="ja-JP"/>
        </w:rPr>
      </w:pPr>
      <w:r>
        <w:rPr>
          <w:sz w:val="20"/>
          <w:szCs w:val="20"/>
          <w:lang w:val="en-US" w:eastAsia="ja-JP"/>
        </w:rPr>
        <w:t>a weighing facility;</w:t>
      </w:r>
    </w:p>
    <w:p w:rsidR="003C10E1" w:rsidRPr="003C10E1" w:rsidRDefault="00C24CF7" w:rsidP="00725145">
      <w:pPr>
        <w:pStyle w:val="ListParagraph"/>
        <w:numPr>
          <w:ilvl w:val="0"/>
          <w:numId w:val="26"/>
        </w:numPr>
        <w:rPr>
          <w:sz w:val="20"/>
          <w:szCs w:val="20"/>
          <w:lang w:val="en-US" w:eastAsia="ja-JP"/>
        </w:rPr>
      </w:pPr>
      <w:proofErr w:type="gramStart"/>
      <w:r>
        <w:rPr>
          <w:sz w:val="20"/>
          <w:szCs w:val="20"/>
          <w:lang w:val="en-US" w:eastAsia="ja-JP"/>
        </w:rPr>
        <w:lastRenderedPageBreak/>
        <w:t>a</w:t>
      </w:r>
      <w:proofErr w:type="gramEnd"/>
      <w:r>
        <w:rPr>
          <w:sz w:val="20"/>
          <w:szCs w:val="20"/>
          <w:lang w:val="en-US" w:eastAsia="ja-JP"/>
        </w:rPr>
        <w:t xml:space="preserve"> shipping belt</w:t>
      </w:r>
      <w:r w:rsidR="003C10E1">
        <w:rPr>
          <w:sz w:val="20"/>
          <w:szCs w:val="20"/>
          <w:lang w:val="en-US" w:eastAsia="ja-JP"/>
        </w:rPr>
        <w:t>.</w:t>
      </w:r>
      <w:r w:rsidR="003C10E1">
        <w:rPr>
          <w:rStyle w:val="FootnoteReference"/>
          <w:sz w:val="20"/>
          <w:szCs w:val="20"/>
          <w:lang w:val="en-US" w:eastAsia="ja-JP"/>
        </w:rPr>
        <w:footnoteReference w:id="4"/>
      </w:r>
      <w:r w:rsidR="003C10E1">
        <w:rPr>
          <w:sz w:val="20"/>
          <w:szCs w:val="20"/>
          <w:lang w:val="en-US" w:eastAsia="ja-JP"/>
        </w:rPr>
        <w:t xml:space="preserve"> </w:t>
      </w:r>
    </w:p>
    <w:p w:rsidR="0006797A" w:rsidRDefault="00C24CF7" w:rsidP="0006797A">
      <w:pPr>
        <w:rPr>
          <w:lang w:val="en-US" w:eastAsia="ja-JP"/>
        </w:rPr>
      </w:pPr>
      <w:r>
        <w:rPr>
          <w:lang w:val="en-US" w:eastAsia="ja-JP"/>
        </w:rPr>
        <w:t xml:space="preserve">NAT owns and operates the </w:t>
      </w:r>
      <w:proofErr w:type="spellStart"/>
      <w:r>
        <w:rPr>
          <w:lang w:val="en-US" w:eastAsia="ja-JP"/>
        </w:rPr>
        <w:t>shiploader</w:t>
      </w:r>
      <w:proofErr w:type="spellEnd"/>
      <w:r>
        <w:rPr>
          <w:lang w:val="en-US" w:eastAsia="ja-JP"/>
        </w:rPr>
        <w:t xml:space="preserve"> through which it provides port terminal services at the Port of Newcastle. The ACCC considers NAT to be a PTSP under the Code. </w:t>
      </w:r>
    </w:p>
    <w:p w:rsidR="00C24CF7" w:rsidRDefault="00C24CF7" w:rsidP="0006797A">
      <w:pPr>
        <w:rPr>
          <w:lang w:val="en-US" w:eastAsia="ja-JP"/>
        </w:rPr>
      </w:pPr>
      <w:proofErr w:type="spellStart"/>
      <w:r>
        <w:rPr>
          <w:lang w:val="en-US" w:eastAsia="ja-JP"/>
        </w:rPr>
        <w:t>Qube</w:t>
      </w:r>
      <w:proofErr w:type="spellEnd"/>
      <w:r>
        <w:rPr>
          <w:lang w:val="en-US" w:eastAsia="ja-JP"/>
        </w:rPr>
        <w:t xml:space="preserve"> owns and operates a mobile </w:t>
      </w:r>
      <w:proofErr w:type="spellStart"/>
      <w:r>
        <w:rPr>
          <w:lang w:val="en-US" w:eastAsia="ja-JP"/>
        </w:rPr>
        <w:t>shiploader</w:t>
      </w:r>
      <w:proofErr w:type="spellEnd"/>
      <w:r>
        <w:rPr>
          <w:lang w:val="en-US" w:eastAsia="ja-JP"/>
        </w:rPr>
        <w:t xml:space="preserve"> through which it providers port terminal services at the Port of Newcastle</w:t>
      </w:r>
      <w:r w:rsidR="00C02A63">
        <w:rPr>
          <w:lang w:val="en-US" w:eastAsia="ja-JP"/>
        </w:rPr>
        <w:t xml:space="preserve"> (</w:t>
      </w:r>
      <w:r w:rsidR="00343750">
        <w:rPr>
          <w:lang w:val="en-US" w:eastAsia="ja-JP"/>
        </w:rPr>
        <w:t>to date</w:t>
      </w:r>
      <w:r w:rsidR="00C02A63">
        <w:rPr>
          <w:lang w:val="en-US" w:eastAsia="ja-JP"/>
        </w:rPr>
        <w:t xml:space="preserve">, those services </w:t>
      </w:r>
      <w:r w:rsidR="00343750">
        <w:rPr>
          <w:lang w:val="en-US" w:eastAsia="ja-JP"/>
        </w:rPr>
        <w:t xml:space="preserve">have </w:t>
      </w:r>
      <w:r w:rsidR="00C02A63">
        <w:rPr>
          <w:lang w:val="en-US" w:eastAsia="ja-JP"/>
        </w:rPr>
        <w:t xml:space="preserve">only </w:t>
      </w:r>
      <w:r w:rsidR="00343750">
        <w:rPr>
          <w:lang w:val="en-US" w:eastAsia="ja-JP"/>
        </w:rPr>
        <w:t xml:space="preserve">been </w:t>
      </w:r>
      <w:r w:rsidR="00C02A63">
        <w:rPr>
          <w:lang w:val="en-US" w:eastAsia="ja-JP"/>
        </w:rPr>
        <w:t>provided to Louis Dreyfus</w:t>
      </w:r>
      <w:r w:rsidR="00C02A63" w:rsidRPr="004745D5">
        <w:rPr>
          <w:lang w:val="en-US" w:eastAsia="ja-JP"/>
        </w:rPr>
        <w:t>)</w:t>
      </w:r>
      <w:r w:rsidRPr="004745D5">
        <w:rPr>
          <w:lang w:val="en-US" w:eastAsia="ja-JP"/>
        </w:rPr>
        <w:t xml:space="preserve">. </w:t>
      </w:r>
      <w:r w:rsidRPr="007E33C6">
        <w:rPr>
          <w:lang w:val="en-US" w:eastAsia="ja-JP"/>
        </w:rPr>
        <w:t xml:space="preserve">The ACCC considers </w:t>
      </w:r>
      <w:proofErr w:type="spellStart"/>
      <w:r w:rsidRPr="007E33C6">
        <w:rPr>
          <w:lang w:val="en-US" w:eastAsia="ja-JP"/>
        </w:rPr>
        <w:t>Qube</w:t>
      </w:r>
      <w:proofErr w:type="spellEnd"/>
      <w:r w:rsidRPr="007E33C6">
        <w:rPr>
          <w:lang w:val="en-US" w:eastAsia="ja-JP"/>
        </w:rPr>
        <w:t xml:space="preserve"> to be a PTSP under the Code</w:t>
      </w:r>
      <w:r w:rsidRPr="004745D5">
        <w:rPr>
          <w:lang w:val="en-US" w:eastAsia="ja-JP"/>
        </w:rPr>
        <w:t>.</w:t>
      </w:r>
      <w:r>
        <w:rPr>
          <w:lang w:val="en-US" w:eastAsia="ja-JP"/>
        </w:rPr>
        <w:t xml:space="preserve"> </w:t>
      </w:r>
    </w:p>
    <w:p w:rsidR="00C02A63" w:rsidRDefault="008D6F9F" w:rsidP="0006797A">
      <w:pPr>
        <w:rPr>
          <w:lang w:val="en-US" w:eastAsia="ja-JP"/>
        </w:rPr>
      </w:pPr>
      <w:r>
        <w:rPr>
          <w:lang w:val="en-US" w:eastAsia="ja-JP"/>
        </w:rPr>
        <w:t>Short summaries about each facility, as well as GrainCorp’s facility at the Port of Newcastle, can be found in the ACCC’s October 2014 decision concerning the GrainCorp facility.</w:t>
      </w:r>
      <w:r>
        <w:rPr>
          <w:rStyle w:val="FootnoteReference"/>
          <w:lang w:val="en-US" w:eastAsia="ja-JP"/>
        </w:rPr>
        <w:footnoteReference w:id="5"/>
      </w:r>
    </w:p>
    <w:p w:rsidR="00121A9C" w:rsidRDefault="00121A9C" w:rsidP="0006797A">
      <w:pPr>
        <w:rPr>
          <w:lang w:val="en-US" w:eastAsia="ja-JP"/>
        </w:rPr>
      </w:pPr>
    </w:p>
    <w:p w:rsidR="008F0001" w:rsidRDefault="000B761F" w:rsidP="008F0001">
      <w:pPr>
        <w:pStyle w:val="Numbered11"/>
        <w:rPr>
          <w:lang w:val="en-US" w:eastAsia="ja-JP"/>
        </w:rPr>
      </w:pPr>
      <w:r>
        <w:rPr>
          <w:lang w:val="en-US" w:eastAsia="ja-JP"/>
        </w:rPr>
        <w:t>Exempt</w:t>
      </w:r>
      <w:r w:rsidR="008F0001">
        <w:rPr>
          <w:lang w:val="en-US" w:eastAsia="ja-JP"/>
        </w:rPr>
        <w:t xml:space="preserve"> port terminal service providers </w:t>
      </w:r>
    </w:p>
    <w:p w:rsidR="00C02A63" w:rsidRDefault="00C02A63" w:rsidP="00C02A63">
      <w:pPr>
        <w:pStyle w:val="Normalparagraph"/>
      </w:pPr>
      <w:r>
        <w:t>All port terminal service providers are subject to the entire Code (Parts 1 to 6) unless exempted by either the Minister or the ACCC.</w:t>
      </w:r>
      <w:r>
        <w:rPr>
          <w:rStyle w:val="FootnoteReference"/>
        </w:rPr>
        <w:footnoteReference w:id="6"/>
      </w:r>
      <w:r>
        <w:t xml:space="preserve"> </w:t>
      </w:r>
    </w:p>
    <w:p w:rsidR="00C02A63" w:rsidRDefault="00C02A63" w:rsidP="00C02A63">
      <w:pPr>
        <w:spacing w:after="240"/>
        <w:rPr>
          <w:lang w:val="en-US" w:eastAsia="ja-JP"/>
        </w:rPr>
      </w:pPr>
      <w:r>
        <w:rPr>
          <w:lang w:val="en-US" w:eastAsia="ja-JP"/>
        </w:rPr>
        <w:t xml:space="preserve">If a </w:t>
      </w:r>
      <w:r w:rsidR="000B761F">
        <w:rPr>
          <w:lang w:val="en-US" w:eastAsia="ja-JP"/>
        </w:rPr>
        <w:t>PTSP receives an exemption in relation to one of its port</w:t>
      </w:r>
      <w:r w:rsidR="00A75954">
        <w:rPr>
          <w:lang w:val="en-US" w:eastAsia="ja-JP"/>
        </w:rPr>
        <w:t xml:space="preserve"> terminal </w:t>
      </w:r>
      <w:r w:rsidR="00497452">
        <w:rPr>
          <w:lang w:val="en-US" w:eastAsia="ja-JP"/>
        </w:rPr>
        <w:t>facilities</w:t>
      </w:r>
      <w:r w:rsidR="000B761F">
        <w:rPr>
          <w:lang w:val="en-US" w:eastAsia="ja-JP"/>
        </w:rPr>
        <w:t>, it is subject to Parts 1 and 2 of the Code only</w:t>
      </w:r>
      <w:r w:rsidR="00A75954">
        <w:rPr>
          <w:lang w:val="en-US" w:eastAsia="ja-JP"/>
        </w:rPr>
        <w:t xml:space="preserve"> (when supplying port terminal services at the </w:t>
      </w:r>
      <w:r w:rsidR="001E15E6">
        <w:rPr>
          <w:lang w:val="en-US" w:eastAsia="ja-JP"/>
        </w:rPr>
        <w:t xml:space="preserve">specified </w:t>
      </w:r>
      <w:r w:rsidR="00A75954">
        <w:rPr>
          <w:lang w:val="en-US" w:eastAsia="ja-JP"/>
        </w:rPr>
        <w:t>facility)</w:t>
      </w:r>
      <w:r w:rsidR="000B761F">
        <w:rPr>
          <w:lang w:val="en-US" w:eastAsia="ja-JP"/>
        </w:rPr>
        <w:t>. The regulation of e</w:t>
      </w:r>
      <w:r>
        <w:rPr>
          <w:lang w:val="en-US" w:eastAsia="ja-JP"/>
        </w:rPr>
        <w:t xml:space="preserve">xempt service providers </w:t>
      </w:r>
      <w:r w:rsidR="000B761F">
        <w:rPr>
          <w:lang w:val="en-US" w:eastAsia="ja-JP"/>
        </w:rPr>
        <w:t xml:space="preserve">is </w:t>
      </w:r>
      <w:r>
        <w:rPr>
          <w:lang w:val="en-US" w:eastAsia="ja-JP"/>
        </w:rPr>
        <w:t xml:space="preserve">therefore </w:t>
      </w:r>
      <w:r w:rsidR="00A75954">
        <w:rPr>
          <w:lang w:val="en-US" w:eastAsia="ja-JP"/>
        </w:rPr>
        <w:t xml:space="preserve">more </w:t>
      </w:r>
      <w:r>
        <w:rPr>
          <w:lang w:val="en-US" w:eastAsia="ja-JP"/>
        </w:rPr>
        <w:t>limited</w:t>
      </w:r>
      <w:r w:rsidR="00A75954">
        <w:rPr>
          <w:lang w:val="en-US" w:eastAsia="ja-JP"/>
        </w:rPr>
        <w:t xml:space="preserve">, and includes obligations to deal in </w:t>
      </w:r>
      <w:r w:rsidR="000B761F">
        <w:rPr>
          <w:lang w:val="en-US" w:eastAsia="ja-JP"/>
        </w:rPr>
        <w:t xml:space="preserve">a good faith and to </w:t>
      </w:r>
      <w:r>
        <w:rPr>
          <w:lang w:val="en-US" w:eastAsia="ja-JP"/>
        </w:rPr>
        <w:t xml:space="preserve">publishing certain information about the way they allocate their port terminal services. </w:t>
      </w:r>
    </w:p>
    <w:p w:rsidR="00A75954" w:rsidRDefault="00CC4156" w:rsidP="007E33C6">
      <w:pPr>
        <w:rPr>
          <w:lang w:val="en-US" w:eastAsia="ja-JP"/>
        </w:rPr>
      </w:pPr>
      <w:r>
        <w:rPr>
          <w:lang w:val="en-US" w:eastAsia="ja-JP"/>
        </w:rPr>
        <w:t>Exempt PTSPs will therefore not be subject to Parts 3 to 6 of the Code, which include non-discrimination obligations; requirements for negotiating access including recourse to mediation and arbitration; requirements about capacity allocation systems, including approval by the ACCC; further publishing obligations; and record-keeping requirements.</w:t>
      </w:r>
      <w:r w:rsidR="00A75954">
        <w:rPr>
          <w:lang w:val="en-US" w:eastAsia="ja-JP"/>
        </w:rPr>
        <w:t xml:space="preserve"> </w:t>
      </w:r>
    </w:p>
    <w:p w:rsidR="00AC2AF9" w:rsidRDefault="00AC2AF9" w:rsidP="006F78B9">
      <w:pPr>
        <w:pStyle w:val="Heading5"/>
        <w:rPr>
          <w:lang w:val="en-US" w:eastAsia="ja-JP"/>
        </w:rPr>
      </w:pPr>
      <w:r>
        <w:rPr>
          <w:lang w:val="en-US" w:eastAsia="ja-JP"/>
        </w:rPr>
        <w:t xml:space="preserve">How a port terminal service provider </w:t>
      </w:r>
      <w:r w:rsidR="00C03139">
        <w:rPr>
          <w:lang w:val="en-US" w:eastAsia="ja-JP"/>
        </w:rPr>
        <w:t>becomes exempt</w:t>
      </w:r>
    </w:p>
    <w:p w:rsidR="00AC2AF9" w:rsidRDefault="00AC2AF9" w:rsidP="00AC2AF9">
      <w:pPr>
        <w:rPr>
          <w:lang w:val="en-US" w:eastAsia="ja-JP"/>
        </w:rPr>
      </w:pPr>
      <w:r>
        <w:rPr>
          <w:lang w:val="en-US" w:eastAsia="ja-JP"/>
        </w:rPr>
        <w:t>There are two ways that a PTSP may be determined an exempt service provider:</w:t>
      </w:r>
    </w:p>
    <w:p w:rsidR="00AC2AF9" w:rsidRDefault="00AC2AF9" w:rsidP="00725145">
      <w:pPr>
        <w:pStyle w:val="ListParagraph"/>
        <w:numPr>
          <w:ilvl w:val="0"/>
          <w:numId w:val="27"/>
        </w:numPr>
        <w:rPr>
          <w:lang w:val="en-US" w:eastAsia="ja-JP"/>
        </w:rPr>
      </w:pPr>
      <w:r>
        <w:rPr>
          <w:lang w:val="en-US" w:eastAsia="ja-JP"/>
        </w:rPr>
        <w:t>Ministerial exemption (only available to co-operati</w:t>
      </w:r>
      <w:r w:rsidR="003E5C8D">
        <w:rPr>
          <w:lang w:val="en-US" w:eastAsia="ja-JP"/>
        </w:rPr>
        <w:t>ves that satisfy certain criteria)</w:t>
      </w:r>
      <w:r w:rsidR="000772A9">
        <w:rPr>
          <w:lang w:val="en-US" w:eastAsia="ja-JP"/>
        </w:rPr>
        <w:t>, or</w:t>
      </w:r>
    </w:p>
    <w:p w:rsidR="000772A9" w:rsidRDefault="00AC2AF9" w:rsidP="00725145">
      <w:pPr>
        <w:pStyle w:val="ListParagraph"/>
        <w:numPr>
          <w:ilvl w:val="0"/>
          <w:numId w:val="27"/>
        </w:numPr>
        <w:rPr>
          <w:lang w:val="en-US" w:eastAsia="ja-JP"/>
        </w:rPr>
      </w:pPr>
      <w:r>
        <w:rPr>
          <w:lang w:val="en-US" w:eastAsia="ja-JP"/>
        </w:rPr>
        <w:t>ACCC exemption</w:t>
      </w:r>
      <w:r w:rsidR="00C52522">
        <w:rPr>
          <w:lang w:val="en-US" w:eastAsia="ja-JP"/>
        </w:rPr>
        <w:t>.</w:t>
      </w:r>
      <w:r>
        <w:rPr>
          <w:lang w:val="en-US" w:eastAsia="ja-JP"/>
        </w:rPr>
        <w:t xml:space="preserve"> </w:t>
      </w:r>
    </w:p>
    <w:p w:rsidR="00426781" w:rsidRPr="00426781" w:rsidRDefault="00315FAB" w:rsidP="00315FAB">
      <w:pPr>
        <w:pStyle w:val="Heading5"/>
        <w:rPr>
          <w:lang w:val="en-US" w:eastAsia="ja-JP"/>
        </w:rPr>
      </w:pPr>
      <w:r>
        <w:rPr>
          <w:lang w:val="en-US" w:eastAsia="ja-JP"/>
        </w:rPr>
        <w:t xml:space="preserve">Ministerial exemptions </w:t>
      </w:r>
    </w:p>
    <w:p w:rsidR="00DE48C7" w:rsidRPr="00DE48C7" w:rsidRDefault="00DE48C7" w:rsidP="007E33C6">
      <w:pPr>
        <w:rPr>
          <w:sz w:val="20"/>
          <w:szCs w:val="20"/>
          <w:lang w:val="en-US" w:eastAsia="ja-JP"/>
        </w:rPr>
      </w:pPr>
      <w:r w:rsidRPr="00DE48C7">
        <w:rPr>
          <w:lang w:val="en-US" w:eastAsia="ja-JP"/>
        </w:rPr>
        <w:t xml:space="preserve">Under </w:t>
      </w:r>
      <w:proofErr w:type="spellStart"/>
      <w:r w:rsidR="00C60607">
        <w:rPr>
          <w:lang w:val="en-US" w:eastAsia="ja-JP"/>
        </w:rPr>
        <w:t>sub</w:t>
      </w:r>
      <w:r w:rsidRPr="00DE48C7">
        <w:rPr>
          <w:lang w:val="en-US" w:eastAsia="ja-JP"/>
        </w:rPr>
        <w:t>clause</w:t>
      </w:r>
      <w:proofErr w:type="spellEnd"/>
      <w:r w:rsidRPr="00DE48C7">
        <w:rPr>
          <w:lang w:val="en-US" w:eastAsia="ja-JP"/>
        </w:rPr>
        <w:t xml:space="preserve"> 5(1) of the Code the Minister for Ag</w:t>
      </w:r>
      <w:r w:rsidR="003E5C8D">
        <w:rPr>
          <w:lang w:val="en-US" w:eastAsia="ja-JP"/>
        </w:rPr>
        <w:t>riculture</w:t>
      </w:r>
      <w:r w:rsidRPr="00DE48C7">
        <w:rPr>
          <w:lang w:val="en-US" w:eastAsia="ja-JP"/>
        </w:rPr>
        <w:t xml:space="preserve"> may exempt a PTSP that is a co-operative if that co-operative </w:t>
      </w:r>
      <w:r w:rsidR="00C03139">
        <w:rPr>
          <w:lang w:val="en-US" w:eastAsia="ja-JP"/>
        </w:rPr>
        <w:t>meets certain conditions.</w:t>
      </w:r>
    </w:p>
    <w:p w:rsidR="00C03139" w:rsidRDefault="00C03139" w:rsidP="0006797A">
      <w:pPr>
        <w:rPr>
          <w:lang w:val="en-US" w:eastAsia="ja-JP"/>
        </w:rPr>
      </w:pPr>
      <w:r>
        <w:rPr>
          <w:lang w:val="en-US" w:eastAsia="ja-JP"/>
        </w:rPr>
        <w:t>The ACCC has no role in relation to such exemptions.</w:t>
      </w:r>
    </w:p>
    <w:p w:rsidR="0006797A" w:rsidRDefault="00DE48C7" w:rsidP="0006797A">
      <w:pPr>
        <w:rPr>
          <w:lang w:val="en-US" w:eastAsia="ja-JP"/>
        </w:rPr>
      </w:pPr>
      <w:r>
        <w:rPr>
          <w:lang w:val="en-US" w:eastAsia="ja-JP"/>
        </w:rPr>
        <w:t>On 17</w:t>
      </w:r>
      <w:r w:rsidRPr="00DE48C7">
        <w:rPr>
          <w:lang w:val="en-US" w:eastAsia="ja-JP"/>
        </w:rPr>
        <w:t xml:space="preserve"> November 2014 the Minister for Agriculture determined </w:t>
      </w:r>
      <w:r w:rsidR="00C25140">
        <w:rPr>
          <w:lang w:val="en-US" w:eastAsia="ja-JP"/>
        </w:rPr>
        <w:t>Co-operative Bulk Handling Limited to be an exempt service provider of port terminal services provided at their</w:t>
      </w:r>
      <w:r w:rsidRPr="00DE48C7">
        <w:rPr>
          <w:lang w:val="en-US" w:eastAsia="ja-JP"/>
        </w:rPr>
        <w:t xml:space="preserve"> Albany, Esperance, </w:t>
      </w:r>
      <w:proofErr w:type="spellStart"/>
      <w:r w:rsidRPr="00DE48C7">
        <w:rPr>
          <w:lang w:val="en-US" w:eastAsia="ja-JP"/>
        </w:rPr>
        <w:t>Geraldton</w:t>
      </w:r>
      <w:proofErr w:type="spellEnd"/>
      <w:r w:rsidRPr="00DE48C7">
        <w:rPr>
          <w:lang w:val="en-US" w:eastAsia="ja-JP"/>
        </w:rPr>
        <w:t xml:space="preserve"> and </w:t>
      </w:r>
      <w:proofErr w:type="spellStart"/>
      <w:r w:rsidRPr="00DE48C7">
        <w:rPr>
          <w:lang w:val="en-US" w:eastAsia="ja-JP"/>
        </w:rPr>
        <w:t>Kwinana</w:t>
      </w:r>
      <w:proofErr w:type="spellEnd"/>
      <w:r w:rsidRPr="00DE48C7">
        <w:rPr>
          <w:lang w:val="en-US" w:eastAsia="ja-JP"/>
        </w:rPr>
        <w:t xml:space="preserve"> </w:t>
      </w:r>
      <w:r w:rsidR="00C25140">
        <w:rPr>
          <w:lang w:val="en-US" w:eastAsia="ja-JP"/>
        </w:rPr>
        <w:t>facilities</w:t>
      </w:r>
      <w:r w:rsidRPr="00DE48C7">
        <w:rPr>
          <w:lang w:val="en-US" w:eastAsia="ja-JP"/>
        </w:rPr>
        <w:t>.</w:t>
      </w:r>
      <w:r>
        <w:rPr>
          <w:rStyle w:val="FootnoteReference"/>
          <w:lang w:val="en-US" w:eastAsia="ja-JP"/>
        </w:rPr>
        <w:footnoteReference w:id="7"/>
      </w:r>
    </w:p>
    <w:p w:rsidR="0006797A" w:rsidRDefault="00315FAB" w:rsidP="00315FAB">
      <w:pPr>
        <w:pStyle w:val="Heading5"/>
        <w:rPr>
          <w:lang w:val="en-US" w:eastAsia="ja-JP"/>
        </w:rPr>
      </w:pPr>
      <w:r>
        <w:rPr>
          <w:lang w:val="en-US" w:eastAsia="ja-JP"/>
        </w:rPr>
        <w:t xml:space="preserve">ACCC exemptions </w:t>
      </w:r>
    </w:p>
    <w:p w:rsidR="001E15E6" w:rsidRDefault="003E5C8D" w:rsidP="003E5C8D">
      <w:r>
        <w:t xml:space="preserve">Under </w:t>
      </w:r>
      <w:r w:rsidR="00C60607">
        <w:t>sub</w:t>
      </w:r>
      <w:r>
        <w:t>clause 5(2) of the Code the ACCC may determine that a PTSP is an exempt service provider</w:t>
      </w:r>
      <w:r w:rsidR="00215920">
        <w:t>.</w:t>
      </w:r>
    </w:p>
    <w:p w:rsidR="00C03139" w:rsidRDefault="003E5C8D" w:rsidP="003E5C8D">
      <w:r>
        <w:lastRenderedPageBreak/>
        <w:t xml:space="preserve">In making its assessment the ACCC must have regard to the matters set out at </w:t>
      </w:r>
      <w:r w:rsidR="00C60607">
        <w:t>sub</w:t>
      </w:r>
      <w:r>
        <w:t xml:space="preserve">clause 5(3) of the Code. The matters that the ACCC must have regard to </w:t>
      </w:r>
      <w:proofErr w:type="gramStart"/>
      <w:r>
        <w:t>are</w:t>
      </w:r>
      <w:proofErr w:type="gramEnd"/>
      <w:r>
        <w:t xml:space="preserve"> set out at section 4 of this document</w:t>
      </w:r>
      <w:r w:rsidR="00C03139">
        <w:t>.</w:t>
      </w:r>
    </w:p>
    <w:p w:rsidR="003E5C8D" w:rsidRPr="003E5C8D" w:rsidRDefault="00C03139" w:rsidP="003E5C8D">
      <w:pPr>
        <w:rPr>
          <w:lang w:val="en-US" w:eastAsia="ja-JP"/>
        </w:rPr>
      </w:pPr>
      <w:r>
        <w:t>T</w:t>
      </w:r>
      <w:r w:rsidR="003E5C8D">
        <w:t>he ACCC’s guidelines on its process for making and revoking exemption determinations are available on the ACCC’s website.</w:t>
      </w:r>
      <w:r w:rsidR="003E5C8D">
        <w:rPr>
          <w:rStyle w:val="FootnoteReference"/>
        </w:rPr>
        <w:footnoteReference w:id="8"/>
      </w:r>
    </w:p>
    <w:p w:rsidR="00C03139" w:rsidRDefault="00C03139" w:rsidP="0006797A">
      <w:pPr>
        <w:rPr>
          <w:lang w:val="en-US" w:eastAsia="ja-JP"/>
        </w:rPr>
      </w:pPr>
      <w:r>
        <w:rPr>
          <w:lang w:val="en-US" w:eastAsia="ja-JP"/>
        </w:rPr>
        <w:t>On 1 October 2014, the ACCC granted an exemption for GrainCorp at its bulk grain facility at the Port of Newcastle.</w:t>
      </w:r>
      <w:r>
        <w:rPr>
          <w:rStyle w:val="FootnoteReference"/>
          <w:lang w:val="en-US" w:eastAsia="ja-JP"/>
        </w:rPr>
        <w:footnoteReference w:id="9"/>
      </w:r>
      <w:r>
        <w:rPr>
          <w:lang w:val="en-US" w:eastAsia="ja-JP"/>
        </w:rPr>
        <w:t xml:space="preserve"> This followed a decision in June 2014</w:t>
      </w:r>
      <w:r w:rsidR="001D13B4">
        <w:rPr>
          <w:lang w:val="en-US" w:eastAsia="ja-JP"/>
        </w:rPr>
        <w:t xml:space="preserve"> under the previous undertaking regime</w:t>
      </w:r>
      <w:r>
        <w:rPr>
          <w:lang w:val="en-US" w:eastAsia="ja-JP"/>
        </w:rPr>
        <w:t xml:space="preserve"> to reduce the level of regulation that would apply to GrainCorp’s services at that facility.</w:t>
      </w:r>
      <w:r>
        <w:rPr>
          <w:rStyle w:val="FootnoteReference"/>
          <w:lang w:val="en-US" w:eastAsia="ja-JP"/>
        </w:rPr>
        <w:footnoteReference w:id="10"/>
      </w:r>
      <w:r w:rsidR="00BE3034">
        <w:rPr>
          <w:lang w:val="en-US" w:eastAsia="ja-JP"/>
        </w:rPr>
        <w:t xml:space="preserve"> The ACCC has had regard to its previous analysis in both of these assessments in producing th</w:t>
      </w:r>
      <w:r w:rsidR="00215920">
        <w:rPr>
          <w:lang w:val="en-US" w:eastAsia="ja-JP"/>
        </w:rPr>
        <w:t>ese</w:t>
      </w:r>
      <w:r w:rsidR="00BE3034">
        <w:rPr>
          <w:lang w:val="en-US" w:eastAsia="ja-JP"/>
        </w:rPr>
        <w:t xml:space="preserve"> </w:t>
      </w:r>
      <w:r w:rsidR="005462EB">
        <w:rPr>
          <w:lang w:val="en-US" w:eastAsia="ja-JP"/>
        </w:rPr>
        <w:t>d</w:t>
      </w:r>
      <w:r w:rsidR="00BE3034">
        <w:rPr>
          <w:lang w:val="en-US" w:eastAsia="ja-JP"/>
        </w:rPr>
        <w:t xml:space="preserve">raft </w:t>
      </w:r>
      <w:r w:rsidR="005462EB">
        <w:rPr>
          <w:lang w:val="en-US" w:eastAsia="ja-JP"/>
        </w:rPr>
        <w:t>d</w:t>
      </w:r>
      <w:r w:rsidR="00215920">
        <w:rPr>
          <w:lang w:val="en-US" w:eastAsia="ja-JP"/>
        </w:rPr>
        <w:t>eterminations</w:t>
      </w:r>
      <w:r w:rsidR="00BE3034">
        <w:rPr>
          <w:lang w:val="en-US" w:eastAsia="ja-JP"/>
        </w:rPr>
        <w:t>.</w:t>
      </w:r>
    </w:p>
    <w:p w:rsidR="00121A9C" w:rsidRDefault="00121A9C" w:rsidP="0006797A">
      <w:pPr>
        <w:rPr>
          <w:lang w:val="en-US" w:eastAsia="ja-JP"/>
        </w:rPr>
      </w:pPr>
    </w:p>
    <w:p w:rsidR="0006797A" w:rsidRDefault="008F0001" w:rsidP="008F0001">
      <w:pPr>
        <w:pStyle w:val="Numbered1"/>
        <w:rPr>
          <w:lang w:val="en-US" w:eastAsia="ja-JP"/>
        </w:rPr>
      </w:pPr>
      <w:r>
        <w:rPr>
          <w:lang w:val="en-US" w:eastAsia="ja-JP"/>
        </w:rPr>
        <w:t xml:space="preserve">Applications by NAT and </w:t>
      </w:r>
      <w:proofErr w:type="spellStart"/>
      <w:r>
        <w:rPr>
          <w:lang w:val="en-US" w:eastAsia="ja-JP"/>
        </w:rPr>
        <w:t>Qube</w:t>
      </w:r>
      <w:proofErr w:type="spellEnd"/>
      <w:r>
        <w:rPr>
          <w:lang w:val="en-US" w:eastAsia="ja-JP"/>
        </w:rPr>
        <w:t xml:space="preserve"> for exempt service provider status </w:t>
      </w:r>
    </w:p>
    <w:p w:rsidR="00E502CF" w:rsidRDefault="00343750" w:rsidP="008F0001">
      <w:pPr>
        <w:rPr>
          <w:lang w:val="en-US" w:eastAsia="ja-JP"/>
        </w:rPr>
      </w:pPr>
      <w:r>
        <w:rPr>
          <w:lang w:val="en-US" w:eastAsia="ja-JP"/>
        </w:rPr>
        <w:t xml:space="preserve">In March 2015, </w:t>
      </w:r>
      <w:proofErr w:type="spellStart"/>
      <w:r w:rsidR="001D13B4">
        <w:rPr>
          <w:lang w:val="en-US" w:eastAsia="ja-JP"/>
        </w:rPr>
        <w:t>Qube</w:t>
      </w:r>
      <w:proofErr w:type="spellEnd"/>
      <w:r w:rsidR="001D13B4">
        <w:rPr>
          <w:lang w:val="en-US" w:eastAsia="ja-JP"/>
        </w:rPr>
        <w:t xml:space="preserve"> wrote </w:t>
      </w:r>
      <w:r w:rsidR="00E502CF">
        <w:rPr>
          <w:lang w:val="en-US" w:eastAsia="ja-JP"/>
        </w:rPr>
        <w:t xml:space="preserve">to the ACCC seeking to be determined an exempt service provider of port terminal services at Carrington. </w:t>
      </w:r>
      <w:r>
        <w:rPr>
          <w:lang w:val="en-US" w:eastAsia="ja-JP"/>
        </w:rPr>
        <w:t>In April 2015</w:t>
      </w:r>
      <w:r w:rsidR="00BE3034">
        <w:rPr>
          <w:lang w:val="en-US" w:eastAsia="ja-JP"/>
        </w:rPr>
        <w:t>,</w:t>
      </w:r>
      <w:r w:rsidR="00E502CF">
        <w:rPr>
          <w:lang w:val="en-US" w:eastAsia="ja-JP"/>
        </w:rPr>
        <w:t xml:space="preserve"> </w:t>
      </w:r>
      <w:r w:rsidR="001D13B4">
        <w:rPr>
          <w:lang w:val="en-US" w:eastAsia="ja-JP"/>
        </w:rPr>
        <w:t xml:space="preserve">NAT </w:t>
      </w:r>
      <w:r>
        <w:rPr>
          <w:lang w:val="en-US" w:eastAsia="ja-JP"/>
        </w:rPr>
        <w:t xml:space="preserve">also </w:t>
      </w:r>
      <w:r w:rsidR="001D13B4">
        <w:rPr>
          <w:lang w:val="en-US" w:eastAsia="ja-JP"/>
        </w:rPr>
        <w:t xml:space="preserve">wrote to the ACCC seeking </w:t>
      </w:r>
      <w:r w:rsidR="00E502CF">
        <w:rPr>
          <w:lang w:val="en-US" w:eastAsia="ja-JP"/>
        </w:rPr>
        <w:t xml:space="preserve">an equivalent </w:t>
      </w:r>
      <w:r w:rsidR="001D13B4">
        <w:rPr>
          <w:lang w:val="en-US" w:eastAsia="ja-JP"/>
        </w:rPr>
        <w:t>determination</w:t>
      </w:r>
      <w:r>
        <w:rPr>
          <w:lang w:val="en-US" w:eastAsia="ja-JP"/>
        </w:rPr>
        <w:t>.</w:t>
      </w:r>
    </w:p>
    <w:p w:rsidR="00121A9C" w:rsidRDefault="00121A9C" w:rsidP="008F0001">
      <w:pPr>
        <w:rPr>
          <w:lang w:val="en-US" w:eastAsia="ja-JP"/>
        </w:rPr>
      </w:pPr>
    </w:p>
    <w:p w:rsidR="0006797A" w:rsidRDefault="0012390D" w:rsidP="0012390D">
      <w:pPr>
        <w:pStyle w:val="Numbered1"/>
        <w:rPr>
          <w:lang w:val="en-US" w:eastAsia="ja-JP"/>
        </w:rPr>
      </w:pPr>
      <w:r>
        <w:rPr>
          <w:lang w:val="en-US" w:eastAsia="ja-JP"/>
        </w:rPr>
        <w:t xml:space="preserve">Consultation on </w:t>
      </w:r>
      <w:r w:rsidR="00E52AE5">
        <w:rPr>
          <w:lang w:val="en-US" w:eastAsia="ja-JP"/>
        </w:rPr>
        <w:t>th</w:t>
      </w:r>
      <w:r w:rsidR="009B19B4">
        <w:rPr>
          <w:lang w:val="en-US" w:eastAsia="ja-JP"/>
        </w:rPr>
        <w:t>ese</w:t>
      </w:r>
      <w:r w:rsidR="00E52AE5">
        <w:rPr>
          <w:lang w:val="en-US" w:eastAsia="ja-JP"/>
        </w:rPr>
        <w:t xml:space="preserve"> draft determination</w:t>
      </w:r>
      <w:r w:rsidR="009B19B4">
        <w:rPr>
          <w:lang w:val="en-US" w:eastAsia="ja-JP"/>
        </w:rPr>
        <w:t>s</w:t>
      </w:r>
    </w:p>
    <w:p w:rsidR="00F50EA5" w:rsidRDefault="006C0F34" w:rsidP="00F50EA5">
      <w:pPr>
        <w:rPr>
          <w:lang w:val="en-US" w:eastAsia="ja-JP"/>
        </w:rPr>
      </w:pPr>
      <w:r>
        <w:rPr>
          <w:lang w:val="en-US" w:eastAsia="ja-JP"/>
        </w:rPr>
        <w:t xml:space="preserve">The ACCC’s guidelines state that </w:t>
      </w:r>
      <w:r w:rsidR="00F50EA5">
        <w:rPr>
          <w:lang w:val="en-US" w:eastAsia="ja-JP"/>
        </w:rPr>
        <w:t xml:space="preserve">the ACCC will </w:t>
      </w:r>
      <w:r>
        <w:rPr>
          <w:lang w:val="en-US" w:eastAsia="ja-JP"/>
        </w:rPr>
        <w:t xml:space="preserve">generally </w:t>
      </w:r>
      <w:r w:rsidR="00F50EA5">
        <w:rPr>
          <w:lang w:val="en-US" w:eastAsia="ja-JP"/>
        </w:rPr>
        <w:t>seek to conduct its exemption assessment and decide whether to make an exemption determination within 12 weeks. This timeframe may be extended where the ACCC:</w:t>
      </w:r>
    </w:p>
    <w:p w:rsidR="00F50EA5" w:rsidRPr="00F50EA5" w:rsidRDefault="00F50EA5" w:rsidP="00725145">
      <w:pPr>
        <w:pStyle w:val="ListParagraph"/>
        <w:numPr>
          <w:ilvl w:val="0"/>
          <w:numId w:val="29"/>
        </w:numPr>
        <w:rPr>
          <w:lang w:val="en-US" w:eastAsia="ja-JP"/>
        </w:rPr>
      </w:pPr>
      <w:r>
        <w:rPr>
          <w:lang w:val="en-US" w:eastAsia="ja-JP"/>
        </w:rPr>
        <w:t>c</w:t>
      </w:r>
      <w:r w:rsidRPr="00F50EA5">
        <w:rPr>
          <w:lang w:val="en-US" w:eastAsia="ja-JP"/>
        </w:rPr>
        <w:t>onsults on the exemption application, and/or</w:t>
      </w:r>
    </w:p>
    <w:p w:rsidR="00F50EA5" w:rsidRDefault="00F50EA5" w:rsidP="00725145">
      <w:pPr>
        <w:pStyle w:val="ListParagraph"/>
        <w:numPr>
          <w:ilvl w:val="0"/>
          <w:numId w:val="28"/>
        </w:numPr>
        <w:rPr>
          <w:lang w:val="en-US" w:eastAsia="ja-JP"/>
        </w:rPr>
      </w:pPr>
      <w:proofErr w:type="gramStart"/>
      <w:r>
        <w:rPr>
          <w:lang w:val="en-US" w:eastAsia="ja-JP"/>
        </w:rPr>
        <w:t>requests</w:t>
      </w:r>
      <w:proofErr w:type="gramEnd"/>
      <w:r>
        <w:rPr>
          <w:lang w:val="en-US" w:eastAsia="ja-JP"/>
        </w:rPr>
        <w:t xml:space="preserve"> information from the PTSP. </w:t>
      </w:r>
    </w:p>
    <w:p w:rsidR="00F50EA5" w:rsidRDefault="00F50EA5" w:rsidP="00E52AE5">
      <w:pPr>
        <w:rPr>
          <w:lang w:val="en-US" w:eastAsia="ja-JP"/>
        </w:rPr>
      </w:pPr>
      <w:r>
        <w:rPr>
          <w:lang w:val="en-US" w:eastAsia="ja-JP"/>
        </w:rPr>
        <w:t>The ACCC will consult on an application if it considers it reasonable and appropriate for the purposes of assessing the potential eff</w:t>
      </w:r>
      <w:r w:rsidR="006102C1">
        <w:rPr>
          <w:lang w:val="en-US" w:eastAsia="ja-JP"/>
        </w:rPr>
        <w:t>ects of the determination. C</w:t>
      </w:r>
      <w:r>
        <w:rPr>
          <w:lang w:val="en-US" w:eastAsia="ja-JP"/>
        </w:rPr>
        <w:t>on</w:t>
      </w:r>
      <w:r w:rsidR="006102C1">
        <w:rPr>
          <w:lang w:val="en-US" w:eastAsia="ja-JP"/>
        </w:rPr>
        <w:t xml:space="preserve">sultation may include </w:t>
      </w:r>
      <w:r>
        <w:rPr>
          <w:lang w:val="en-US" w:eastAsia="ja-JP"/>
        </w:rPr>
        <w:t>a pub</w:t>
      </w:r>
      <w:r w:rsidR="006102C1">
        <w:rPr>
          <w:lang w:val="en-US" w:eastAsia="ja-JP"/>
        </w:rPr>
        <w:t>lic consultation notice</w:t>
      </w:r>
      <w:r>
        <w:rPr>
          <w:lang w:val="en-US" w:eastAsia="ja-JP"/>
        </w:rPr>
        <w:t xml:space="preserve"> </w:t>
      </w:r>
      <w:r w:rsidR="006102C1">
        <w:rPr>
          <w:lang w:val="en-US" w:eastAsia="ja-JP"/>
        </w:rPr>
        <w:t xml:space="preserve">calling </w:t>
      </w:r>
      <w:r>
        <w:rPr>
          <w:lang w:val="en-US" w:eastAsia="ja-JP"/>
        </w:rPr>
        <w:t xml:space="preserve">for written submissions, stakeholder forums, meetings with interested parties, or a combination of these. </w:t>
      </w:r>
    </w:p>
    <w:p w:rsidR="002E3186" w:rsidRDefault="005A5AA1" w:rsidP="0012390D">
      <w:pPr>
        <w:rPr>
          <w:lang w:val="en-US" w:eastAsia="ja-JP"/>
        </w:rPr>
      </w:pPr>
      <w:r w:rsidRPr="005A5AA1">
        <w:rPr>
          <w:lang w:val="en-US" w:eastAsia="ja-JP"/>
        </w:rPr>
        <w:t xml:space="preserve">The ACCC anticipates that the majority of its assessment processes will commence with an Issues Paper. </w:t>
      </w:r>
      <w:r w:rsidR="00E52AE5">
        <w:rPr>
          <w:lang w:val="en-US" w:eastAsia="ja-JP"/>
        </w:rPr>
        <w:t xml:space="preserve">However, in the present case the ACCC has already conducted an assessment of the </w:t>
      </w:r>
      <w:r w:rsidRPr="005A5AA1">
        <w:rPr>
          <w:lang w:val="en-US" w:eastAsia="ja-JP"/>
        </w:rPr>
        <w:t>comp</w:t>
      </w:r>
      <w:r>
        <w:rPr>
          <w:lang w:val="en-US" w:eastAsia="ja-JP"/>
        </w:rPr>
        <w:t xml:space="preserve">etition </w:t>
      </w:r>
      <w:r w:rsidR="006102C1">
        <w:rPr>
          <w:lang w:val="en-US" w:eastAsia="ja-JP"/>
        </w:rPr>
        <w:t>at the Port of Newcastle/N</w:t>
      </w:r>
      <w:r w:rsidR="00C25140">
        <w:rPr>
          <w:lang w:val="en-US" w:eastAsia="ja-JP"/>
        </w:rPr>
        <w:t xml:space="preserve">ewcastle </w:t>
      </w:r>
      <w:r w:rsidR="006102C1">
        <w:rPr>
          <w:lang w:val="en-US" w:eastAsia="ja-JP"/>
        </w:rPr>
        <w:t>P</w:t>
      </w:r>
      <w:r w:rsidR="00C25140">
        <w:rPr>
          <w:lang w:val="en-US" w:eastAsia="ja-JP"/>
        </w:rPr>
        <w:t xml:space="preserve">ort </w:t>
      </w:r>
      <w:r w:rsidR="006102C1">
        <w:rPr>
          <w:lang w:val="en-US" w:eastAsia="ja-JP"/>
        </w:rPr>
        <w:t>Z</w:t>
      </w:r>
      <w:r w:rsidR="00C25140">
        <w:rPr>
          <w:lang w:val="en-US" w:eastAsia="ja-JP"/>
        </w:rPr>
        <w:t>one</w:t>
      </w:r>
      <w:r w:rsidRPr="005A5AA1">
        <w:rPr>
          <w:lang w:val="en-US" w:eastAsia="ja-JP"/>
        </w:rPr>
        <w:t xml:space="preserve"> </w:t>
      </w:r>
      <w:r w:rsidR="00E52AE5">
        <w:rPr>
          <w:lang w:val="en-US" w:eastAsia="ja-JP"/>
        </w:rPr>
        <w:t xml:space="preserve">in its assessment of </w:t>
      </w:r>
      <w:proofErr w:type="spellStart"/>
      <w:r w:rsidR="00E52AE5">
        <w:rPr>
          <w:lang w:val="en-US" w:eastAsia="ja-JP"/>
        </w:rPr>
        <w:t>GrainCorp’s</w:t>
      </w:r>
      <w:proofErr w:type="spellEnd"/>
      <w:r w:rsidR="00E52AE5">
        <w:rPr>
          <w:lang w:val="en-US" w:eastAsia="ja-JP"/>
        </w:rPr>
        <w:t xml:space="preserve"> Carrington Terminal.</w:t>
      </w:r>
      <w:r w:rsidR="00C2674F">
        <w:rPr>
          <w:rStyle w:val="FootnoteReference"/>
          <w:lang w:val="en-US" w:eastAsia="ja-JP"/>
        </w:rPr>
        <w:footnoteReference w:id="11"/>
      </w:r>
      <w:r w:rsidR="00E52AE5">
        <w:rPr>
          <w:lang w:val="en-US" w:eastAsia="ja-JP"/>
        </w:rPr>
        <w:t xml:space="preserve"> Given this analysis</w:t>
      </w:r>
      <w:r w:rsidRPr="005A5AA1">
        <w:rPr>
          <w:lang w:val="en-US" w:eastAsia="ja-JP"/>
        </w:rPr>
        <w:t xml:space="preserve">, and that </w:t>
      </w:r>
      <w:proofErr w:type="spellStart"/>
      <w:r w:rsidRPr="005A5AA1">
        <w:rPr>
          <w:lang w:val="en-US" w:eastAsia="ja-JP"/>
        </w:rPr>
        <w:t>Qube</w:t>
      </w:r>
      <w:proofErr w:type="spellEnd"/>
      <w:r w:rsidRPr="005A5AA1">
        <w:rPr>
          <w:lang w:val="en-US" w:eastAsia="ja-JP"/>
        </w:rPr>
        <w:t xml:space="preserve"> and NAT’s facilities are</w:t>
      </w:r>
      <w:r>
        <w:rPr>
          <w:lang w:val="en-US" w:eastAsia="ja-JP"/>
        </w:rPr>
        <w:t xml:space="preserve"> op</w:t>
      </w:r>
      <w:r w:rsidR="006102C1">
        <w:rPr>
          <w:lang w:val="en-US" w:eastAsia="ja-JP"/>
        </w:rPr>
        <w:t>erating at the same port and within the same zone</w:t>
      </w:r>
      <w:r w:rsidRPr="005A5AA1">
        <w:rPr>
          <w:lang w:val="en-US" w:eastAsia="ja-JP"/>
        </w:rPr>
        <w:t>, the ACCC considered that it w</w:t>
      </w:r>
      <w:r>
        <w:rPr>
          <w:lang w:val="en-US" w:eastAsia="ja-JP"/>
        </w:rPr>
        <w:t xml:space="preserve">as appropriate to proceed </w:t>
      </w:r>
      <w:r w:rsidR="00E52AE5">
        <w:rPr>
          <w:lang w:val="en-US" w:eastAsia="ja-JP"/>
        </w:rPr>
        <w:t xml:space="preserve">directly </w:t>
      </w:r>
      <w:r>
        <w:rPr>
          <w:lang w:val="en-US" w:eastAsia="ja-JP"/>
        </w:rPr>
        <w:t xml:space="preserve">to </w:t>
      </w:r>
      <w:r w:rsidR="005462EB">
        <w:rPr>
          <w:lang w:val="en-US" w:eastAsia="ja-JP"/>
        </w:rPr>
        <w:t>d</w:t>
      </w:r>
      <w:r>
        <w:rPr>
          <w:lang w:val="en-US" w:eastAsia="ja-JP"/>
        </w:rPr>
        <w:t xml:space="preserve">raft </w:t>
      </w:r>
      <w:r w:rsidR="005462EB">
        <w:rPr>
          <w:lang w:val="en-US" w:eastAsia="ja-JP"/>
        </w:rPr>
        <w:t>d</w:t>
      </w:r>
      <w:r w:rsidRPr="005A5AA1">
        <w:rPr>
          <w:lang w:val="en-US" w:eastAsia="ja-JP"/>
        </w:rPr>
        <w:t>etermination</w:t>
      </w:r>
      <w:r w:rsidR="00215920">
        <w:rPr>
          <w:lang w:val="en-US" w:eastAsia="ja-JP"/>
        </w:rPr>
        <w:t>s</w:t>
      </w:r>
      <w:r w:rsidRPr="005A5AA1">
        <w:rPr>
          <w:lang w:val="en-US" w:eastAsia="ja-JP"/>
        </w:rPr>
        <w:t>.</w:t>
      </w:r>
      <w:r w:rsidR="002E3186">
        <w:rPr>
          <w:lang w:val="en-US" w:eastAsia="ja-JP"/>
        </w:rPr>
        <w:t xml:space="preserve"> </w:t>
      </w:r>
    </w:p>
    <w:p w:rsidR="002E3186" w:rsidRDefault="002E3186" w:rsidP="006F78B9">
      <w:pPr>
        <w:spacing w:before="120"/>
        <w:rPr>
          <w:lang w:val="en-US" w:eastAsia="ja-JP"/>
        </w:rPr>
      </w:pPr>
      <w:r>
        <w:rPr>
          <w:lang w:val="en-US" w:eastAsia="ja-JP"/>
        </w:rPr>
        <w:t xml:space="preserve">The ACCC understands that there has not been any significant change in the competitive situation at Newcastle since </w:t>
      </w:r>
      <w:r w:rsidR="003D1387">
        <w:rPr>
          <w:lang w:val="en-US" w:eastAsia="ja-JP"/>
        </w:rPr>
        <w:t>its</w:t>
      </w:r>
      <w:r>
        <w:rPr>
          <w:lang w:val="en-US" w:eastAsia="ja-JP"/>
        </w:rPr>
        <w:t xml:space="preserve"> earlier decision</w:t>
      </w:r>
      <w:r w:rsidR="003D1387">
        <w:rPr>
          <w:lang w:val="en-US" w:eastAsia="ja-JP"/>
        </w:rPr>
        <w:t>s on GrainCorp’s facility</w:t>
      </w:r>
      <w:r>
        <w:rPr>
          <w:lang w:val="en-US" w:eastAsia="ja-JP"/>
        </w:rPr>
        <w:t xml:space="preserve">. </w:t>
      </w:r>
      <w:r w:rsidR="00BE3034">
        <w:rPr>
          <w:lang w:val="en-US" w:eastAsia="ja-JP"/>
        </w:rPr>
        <w:t xml:space="preserve">The ACCC has </w:t>
      </w:r>
      <w:r w:rsidR="003D1387">
        <w:rPr>
          <w:lang w:val="en-US" w:eastAsia="ja-JP"/>
        </w:rPr>
        <w:t>accordingly</w:t>
      </w:r>
      <w:r w:rsidR="00BE3034">
        <w:rPr>
          <w:lang w:val="en-US" w:eastAsia="ja-JP"/>
        </w:rPr>
        <w:t xml:space="preserve"> had regard to </w:t>
      </w:r>
      <w:r w:rsidR="003D1387">
        <w:rPr>
          <w:lang w:val="en-US" w:eastAsia="ja-JP"/>
        </w:rPr>
        <w:t xml:space="preserve">analysis from those decisions, including descriptions of the three </w:t>
      </w:r>
      <w:r w:rsidR="003D1387">
        <w:rPr>
          <w:lang w:val="en-US" w:eastAsia="ja-JP"/>
        </w:rPr>
        <w:lastRenderedPageBreak/>
        <w:t>port facility operators and the Newcastle Port Zone.</w:t>
      </w:r>
      <w:r w:rsidR="003D1387">
        <w:rPr>
          <w:rStyle w:val="FootnoteReference"/>
          <w:lang w:val="en-US" w:eastAsia="ja-JP"/>
        </w:rPr>
        <w:footnoteReference w:id="12"/>
      </w:r>
      <w:r w:rsidR="003D1387">
        <w:rPr>
          <w:lang w:val="en-US" w:eastAsia="ja-JP"/>
        </w:rPr>
        <w:t xml:space="preserve"> </w:t>
      </w:r>
      <w:r>
        <w:rPr>
          <w:lang w:val="en-US" w:eastAsia="ja-JP"/>
        </w:rPr>
        <w:t>However, consultation on th</w:t>
      </w:r>
      <w:r w:rsidR="00215920">
        <w:rPr>
          <w:lang w:val="en-US" w:eastAsia="ja-JP"/>
        </w:rPr>
        <w:t>ese</w:t>
      </w:r>
      <w:r>
        <w:rPr>
          <w:lang w:val="en-US" w:eastAsia="ja-JP"/>
        </w:rPr>
        <w:t xml:space="preserve"> </w:t>
      </w:r>
      <w:r w:rsidR="00215920">
        <w:rPr>
          <w:lang w:val="en-US" w:eastAsia="ja-JP"/>
        </w:rPr>
        <w:t>determinations</w:t>
      </w:r>
      <w:r>
        <w:rPr>
          <w:lang w:val="en-US" w:eastAsia="ja-JP"/>
        </w:rPr>
        <w:t xml:space="preserve"> will give parties the opportunity to raise any relevant issues.</w:t>
      </w:r>
    </w:p>
    <w:p w:rsidR="00121A9C" w:rsidRPr="003A50B6" w:rsidRDefault="00121A9C" w:rsidP="006F78B9">
      <w:pPr>
        <w:spacing w:before="120"/>
      </w:pPr>
    </w:p>
    <w:p w:rsidR="0006797A" w:rsidRDefault="00F842FF" w:rsidP="00147FAB">
      <w:pPr>
        <w:pStyle w:val="Numbered1"/>
        <w:rPr>
          <w:lang w:val="en-US" w:eastAsia="ja-JP"/>
        </w:rPr>
      </w:pPr>
      <w:r>
        <w:rPr>
          <w:lang w:val="en-US" w:eastAsia="ja-JP"/>
        </w:rPr>
        <w:t>Matters that the ACCC must have regard to</w:t>
      </w:r>
    </w:p>
    <w:p w:rsidR="00F842FF" w:rsidRDefault="00F842FF" w:rsidP="00F842FF">
      <w:pPr>
        <w:rPr>
          <w:lang w:val="en-US" w:eastAsia="ja-JP"/>
        </w:rPr>
      </w:pPr>
      <w:r w:rsidRPr="00F842FF">
        <w:rPr>
          <w:lang w:val="en-US" w:eastAsia="ja-JP"/>
        </w:rPr>
        <w:t xml:space="preserve">In making an exemption determination under the Code, the ACCC must have regard to the matters specified in </w:t>
      </w:r>
      <w:proofErr w:type="spellStart"/>
      <w:r w:rsidRPr="00F842FF">
        <w:rPr>
          <w:lang w:val="en-US" w:eastAsia="ja-JP"/>
        </w:rPr>
        <w:t>subclause</w:t>
      </w:r>
      <w:proofErr w:type="spellEnd"/>
      <w:r w:rsidRPr="00F842FF">
        <w:rPr>
          <w:lang w:val="en-US" w:eastAsia="ja-JP"/>
        </w:rPr>
        <w:t xml:space="preserve"> 5(3):</w:t>
      </w:r>
    </w:p>
    <w:p w:rsidR="00F842FF" w:rsidRDefault="00F842FF" w:rsidP="00725145">
      <w:pPr>
        <w:pStyle w:val="ListParagraph"/>
        <w:numPr>
          <w:ilvl w:val="0"/>
          <w:numId w:val="30"/>
        </w:numPr>
        <w:rPr>
          <w:lang w:val="en-US" w:eastAsia="ja-JP"/>
        </w:rPr>
      </w:pPr>
      <w:r w:rsidRPr="00F842FF">
        <w:rPr>
          <w:lang w:val="en-US" w:eastAsia="ja-JP"/>
        </w:rPr>
        <w:t>the legitimate business interests of the port terminal service provider;</w:t>
      </w:r>
    </w:p>
    <w:p w:rsidR="00F842FF" w:rsidRDefault="00F842FF" w:rsidP="00725145">
      <w:pPr>
        <w:pStyle w:val="ListParagraph"/>
        <w:numPr>
          <w:ilvl w:val="0"/>
          <w:numId w:val="30"/>
        </w:numPr>
        <w:rPr>
          <w:lang w:val="en-US" w:eastAsia="ja-JP"/>
        </w:rPr>
      </w:pPr>
      <w:r w:rsidRPr="00F842FF">
        <w:rPr>
          <w:lang w:val="en-US" w:eastAsia="ja-JP"/>
        </w:rPr>
        <w:t>the public interest, including the public interest in having competition in markets;</w:t>
      </w:r>
    </w:p>
    <w:p w:rsidR="00F842FF" w:rsidRDefault="00F842FF" w:rsidP="00725145">
      <w:pPr>
        <w:pStyle w:val="ListParagraph"/>
        <w:numPr>
          <w:ilvl w:val="0"/>
          <w:numId w:val="30"/>
        </w:numPr>
        <w:rPr>
          <w:lang w:val="en-US" w:eastAsia="ja-JP"/>
        </w:rPr>
      </w:pPr>
      <w:r w:rsidRPr="00F842FF">
        <w:rPr>
          <w:lang w:val="en-US" w:eastAsia="ja-JP"/>
        </w:rPr>
        <w:t>the interests of exporters who may require access to port terminal services;</w:t>
      </w:r>
    </w:p>
    <w:p w:rsidR="00F842FF" w:rsidRDefault="00F842FF" w:rsidP="00725145">
      <w:pPr>
        <w:pStyle w:val="ListParagraph"/>
        <w:numPr>
          <w:ilvl w:val="0"/>
          <w:numId w:val="30"/>
        </w:numPr>
        <w:rPr>
          <w:lang w:val="en-US" w:eastAsia="ja-JP"/>
        </w:rPr>
      </w:pPr>
      <w:r w:rsidRPr="00F842FF">
        <w:rPr>
          <w:lang w:val="en-US" w:eastAsia="ja-JP"/>
        </w:rPr>
        <w:t>the likelihood that exporters of bulk wheat will have fair and transparent access to port terminal services;</w:t>
      </w:r>
    </w:p>
    <w:p w:rsidR="00F842FF" w:rsidRDefault="00F842FF" w:rsidP="00725145">
      <w:pPr>
        <w:pStyle w:val="ListParagraph"/>
        <w:numPr>
          <w:ilvl w:val="0"/>
          <w:numId w:val="30"/>
        </w:numPr>
        <w:rPr>
          <w:lang w:val="en-US" w:eastAsia="ja-JP"/>
        </w:rPr>
      </w:pPr>
      <w:r w:rsidRPr="00F842FF">
        <w:rPr>
          <w:lang w:val="en-US" w:eastAsia="ja-JP"/>
        </w:rPr>
        <w:t>the promotion of the economically efficient operation and use of the port terminal facility;</w:t>
      </w:r>
    </w:p>
    <w:p w:rsidR="00F842FF" w:rsidRDefault="00F842FF" w:rsidP="00725145">
      <w:pPr>
        <w:pStyle w:val="ListParagraph"/>
        <w:numPr>
          <w:ilvl w:val="0"/>
          <w:numId w:val="30"/>
        </w:numPr>
        <w:rPr>
          <w:lang w:val="en-US" w:eastAsia="ja-JP"/>
        </w:rPr>
      </w:pPr>
      <w:r w:rsidRPr="00F842FF">
        <w:rPr>
          <w:lang w:val="en-US" w:eastAsia="ja-JP"/>
        </w:rPr>
        <w:t>the promotion of efficient investment in port terminal facilities;</w:t>
      </w:r>
    </w:p>
    <w:p w:rsidR="00F842FF" w:rsidRDefault="00F842FF" w:rsidP="00725145">
      <w:pPr>
        <w:pStyle w:val="ListParagraph"/>
        <w:numPr>
          <w:ilvl w:val="0"/>
          <w:numId w:val="30"/>
        </w:numPr>
        <w:rPr>
          <w:lang w:val="en-US" w:eastAsia="ja-JP"/>
        </w:rPr>
      </w:pPr>
      <w:r w:rsidRPr="00F842FF">
        <w:rPr>
          <w:lang w:val="en-US" w:eastAsia="ja-JP"/>
        </w:rPr>
        <w:t>the promotion of competition in upstream and downstream markets;</w:t>
      </w:r>
    </w:p>
    <w:p w:rsidR="00F842FF" w:rsidRDefault="00F842FF" w:rsidP="00725145">
      <w:pPr>
        <w:pStyle w:val="ListParagraph"/>
        <w:numPr>
          <w:ilvl w:val="0"/>
          <w:numId w:val="30"/>
        </w:numPr>
        <w:rPr>
          <w:lang w:val="en-US" w:eastAsia="ja-JP"/>
        </w:rPr>
      </w:pPr>
      <w:r w:rsidRPr="00F842FF">
        <w:rPr>
          <w:lang w:val="en-US" w:eastAsia="ja-JP"/>
        </w:rPr>
        <w:t>whether the port terminal service provider is an exporter or an associated entity of an exporter;</w:t>
      </w:r>
    </w:p>
    <w:p w:rsidR="00F842FF" w:rsidRDefault="00F842FF" w:rsidP="00725145">
      <w:pPr>
        <w:pStyle w:val="ListParagraph"/>
        <w:numPr>
          <w:ilvl w:val="0"/>
          <w:numId w:val="30"/>
        </w:numPr>
        <w:rPr>
          <w:lang w:val="en-US" w:eastAsia="ja-JP"/>
        </w:rPr>
      </w:pPr>
      <w:r w:rsidRPr="00F842FF">
        <w:rPr>
          <w:lang w:val="en-US" w:eastAsia="ja-JP"/>
        </w:rPr>
        <w:t>whether there is already an exempt service provider within the grain catchm</w:t>
      </w:r>
      <w:r>
        <w:rPr>
          <w:lang w:val="en-US" w:eastAsia="ja-JP"/>
        </w:rPr>
        <w:t>ent area for the port concerned;</w:t>
      </w:r>
    </w:p>
    <w:p w:rsidR="00F842FF" w:rsidRPr="00F842FF" w:rsidRDefault="00F842FF" w:rsidP="00725145">
      <w:pPr>
        <w:pStyle w:val="ListParagraph"/>
        <w:numPr>
          <w:ilvl w:val="0"/>
          <w:numId w:val="30"/>
        </w:numPr>
        <w:rPr>
          <w:lang w:val="en-US" w:eastAsia="ja-JP"/>
        </w:rPr>
      </w:pPr>
      <w:proofErr w:type="gramStart"/>
      <w:r w:rsidRPr="00F842FF">
        <w:rPr>
          <w:lang w:val="en-US" w:eastAsia="ja-JP"/>
        </w:rPr>
        <w:t>any</w:t>
      </w:r>
      <w:proofErr w:type="gramEnd"/>
      <w:r w:rsidRPr="00F842FF">
        <w:rPr>
          <w:lang w:val="en-US" w:eastAsia="ja-JP"/>
        </w:rPr>
        <w:t xml:space="preserve"> other matters the ACCC considers relevant.</w:t>
      </w:r>
    </w:p>
    <w:p w:rsidR="00C44838" w:rsidRDefault="00F842FF" w:rsidP="0006797A">
      <w:pPr>
        <w:rPr>
          <w:lang w:val="en-US" w:eastAsia="ja-JP"/>
        </w:rPr>
      </w:pPr>
      <w:r>
        <w:rPr>
          <w:lang w:val="en-US" w:eastAsia="ja-JP"/>
        </w:rPr>
        <w:t xml:space="preserve">While </w:t>
      </w:r>
      <w:r w:rsidR="00483519">
        <w:rPr>
          <w:lang w:val="en-US" w:eastAsia="ja-JP"/>
        </w:rPr>
        <w:t>these matters are distinct matters</w:t>
      </w:r>
      <w:r w:rsidR="006102C1">
        <w:rPr>
          <w:lang w:val="en-US" w:eastAsia="ja-JP"/>
        </w:rPr>
        <w:t xml:space="preserve"> and the relevance of each matter will be assessed individually,</w:t>
      </w:r>
      <w:r w:rsidR="00483519">
        <w:rPr>
          <w:lang w:val="en-US" w:eastAsia="ja-JP"/>
        </w:rPr>
        <w:t xml:space="preserve"> the ACCC considers that certain matters concern similar subject matter and raise similar considerations. Where appropriate, </w:t>
      </w:r>
      <w:r w:rsidR="006102C1">
        <w:rPr>
          <w:lang w:val="en-US" w:eastAsia="ja-JP"/>
        </w:rPr>
        <w:t xml:space="preserve">the ACCC’s analysis of these matters may be grouped together. </w:t>
      </w:r>
    </w:p>
    <w:p w:rsidR="0006797A" w:rsidRDefault="001C6DD1" w:rsidP="00746868">
      <w:pPr>
        <w:pStyle w:val="Numbered1"/>
        <w:pageBreakBefore/>
        <w:rPr>
          <w:lang w:val="en-US" w:eastAsia="ja-JP"/>
        </w:rPr>
      </w:pPr>
      <w:r>
        <w:rPr>
          <w:lang w:val="en-US" w:eastAsia="ja-JP"/>
        </w:rPr>
        <w:lastRenderedPageBreak/>
        <w:t xml:space="preserve">ACCC’s preliminary views </w:t>
      </w:r>
    </w:p>
    <w:p w:rsidR="002E3186" w:rsidRDefault="002E3186" w:rsidP="00746868">
      <w:pPr>
        <w:rPr>
          <w:lang w:val="en-US" w:eastAsia="ja-JP"/>
        </w:rPr>
      </w:pPr>
      <w:r>
        <w:rPr>
          <w:lang w:val="en-US" w:eastAsia="ja-JP"/>
        </w:rPr>
        <w:t xml:space="preserve">The ACCC’s preliminary views on the applications by NAT and </w:t>
      </w:r>
      <w:proofErr w:type="spellStart"/>
      <w:r>
        <w:rPr>
          <w:lang w:val="en-US" w:eastAsia="ja-JP"/>
        </w:rPr>
        <w:t>Qube</w:t>
      </w:r>
      <w:proofErr w:type="spellEnd"/>
      <w:r>
        <w:rPr>
          <w:lang w:val="en-US" w:eastAsia="ja-JP"/>
        </w:rPr>
        <w:t xml:space="preserve">, having regard to the matters listed in </w:t>
      </w:r>
      <w:proofErr w:type="spellStart"/>
      <w:r>
        <w:rPr>
          <w:lang w:val="en-US" w:eastAsia="ja-JP"/>
        </w:rPr>
        <w:t>subclause</w:t>
      </w:r>
      <w:proofErr w:type="spellEnd"/>
      <w:r>
        <w:rPr>
          <w:lang w:val="en-US" w:eastAsia="ja-JP"/>
        </w:rPr>
        <w:t xml:space="preserve"> 5(3) of the Code, are set out in this section.</w:t>
      </w:r>
    </w:p>
    <w:p w:rsidR="005442E7" w:rsidRDefault="00147FAB" w:rsidP="00614B63">
      <w:pPr>
        <w:rPr>
          <w:lang w:val="en-US" w:eastAsia="ja-JP"/>
        </w:rPr>
      </w:pPr>
      <w:r>
        <w:rPr>
          <w:lang w:val="en-US" w:eastAsia="ja-JP"/>
        </w:rPr>
        <w:t>Where the matters deal with similar issues, the ACCC has grouped the cons</w:t>
      </w:r>
      <w:r w:rsidR="00746868">
        <w:rPr>
          <w:lang w:val="en-US" w:eastAsia="ja-JP"/>
        </w:rPr>
        <w:t>iderations together in its assessment.</w:t>
      </w:r>
    </w:p>
    <w:p w:rsidR="00121A9C" w:rsidRDefault="00121A9C" w:rsidP="00614B63">
      <w:pPr>
        <w:rPr>
          <w:lang w:val="en-US" w:eastAsia="ja-JP"/>
        </w:rPr>
      </w:pPr>
    </w:p>
    <w:p w:rsidR="001C6DD1" w:rsidRPr="001C6DD1" w:rsidRDefault="001C6DD1" w:rsidP="001C6DD1">
      <w:pPr>
        <w:pStyle w:val="Numbered11"/>
        <w:rPr>
          <w:lang w:val="en-US" w:eastAsia="ja-JP"/>
        </w:rPr>
      </w:pPr>
      <w:bookmarkStart w:id="32" w:name="_Ref413423511"/>
      <w:r>
        <w:rPr>
          <w:lang w:val="en-US" w:eastAsia="ja-JP"/>
        </w:rPr>
        <w:t>The legitimate business interests of the port terminal service providers (</w:t>
      </w:r>
      <w:proofErr w:type="spellStart"/>
      <w:r>
        <w:rPr>
          <w:lang w:val="en-US" w:eastAsia="ja-JP"/>
        </w:rPr>
        <w:t>subclause</w:t>
      </w:r>
      <w:proofErr w:type="spellEnd"/>
      <w:r>
        <w:rPr>
          <w:lang w:val="en-US" w:eastAsia="ja-JP"/>
        </w:rPr>
        <w:t xml:space="preserve"> </w:t>
      </w:r>
      <w:r w:rsidRPr="006F78B9">
        <w:rPr>
          <w:lang w:val="en-US" w:eastAsia="ja-JP"/>
        </w:rPr>
        <w:t>5(3)(a)</w:t>
      </w:r>
      <w:r>
        <w:rPr>
          <w:lang w:val="en-US" w:eastAsia="ja-JP"/>
        </w:rPr>
        <w:t>)</w:t>
      </w:r>
      <w:bookmarkEnd w:id="32"/>
    </w:p>
    <w:p w:rsidR="003513A6" w:rsidRDefault="00720ACD" w:rsidP="0006797A">
      <w:pPr>
        <w:rPr>
          <w:lang w:val="en-US" w:eastAsia="ja-JP"/>
        </w:rPr>
      </w:pPr>
      <w:r>
        <w:rPr>
          <w:lang w:val="en-US" w:eastAsia="ja-JP"/>
        </w:rPr>
        <w:t xml:space="preserve">The ACCC considers that </w:t>
      </w:r>
      <w:r w:rsidR="0059208F">
        <w:rPr>
          <w:lang w:val="en-US" w:eastAsia="ja-JP"/>
        </w:rPr>
        <w:t xml:space="preserve">having regard to </w:t>
      </w:r>
      <w:r>
        <w:rPr>
          <w:lang w:val="en-US" w:eastAsia="ja-JP"/>
        </w:rPr>
        <w:t xml:space="preserve">the legitimate business interests of a service provider </w:t>
      </w:r>
      <w:r w:rsidR="002875FD">
        <w:rPr>
          <w:lang w:val="en-US" w:eastAsia="ja-JP"/>
        </w:rPr>
        <w:t xml:space="preserve">may </w:t>
      </w:r>
      <w:r>
        <w:rPr>
          <w:lang w:val="en-US" w:eastAsia="ja-JP"/>
        </w:rPr>
        <w:t>include a consideration of how an exempt</w:t>
      </w:r>
      <w:r w:rsidR="003513A6">
        <w:rPr>
          <w:lang w:val="en-US" w:eastAsia="ja-JP"/>
        </w:rPr>
        <w:t>ion</w:t>
      </w:r>
      <w:r>
        <w:rPr>
          <w:lang w:val="en-US" w:eastAsia="ja-JP"/>
        </w:rPr>
        <w:t xml:space="preserve"> will impact </w:t>
      </w:r>
      <w:r w:rsidR="003513A6">
        <w:rPr>
          <w:lang w:val="en-US" w:eastAsia="ja-JP"/>
        </w:rPr>
        <w:t>investment decisions and</w:t>
      </w:r>
      <w:r>
        <w:rPr>
          <w:lang w:val="en-US" w:eastAsia="ja-JP"/>
        </w:rPr>
        <w:t xml:space="preserve"> competitiveness, the ongoing </w:t>
      </w:r>
      <w:r w:rsidR="003513A6">
        <w:rPr>
          <w:lang w:val="en-US" w:eastAsia="ja-JP"/>
        </w:rPr>
        <w:t xml:space="preserve">commercial </w:t>
      </w:r>
      <w:r>
        <w:rPr>
          <w:lang w:val="en-US" w:eastAsia="ja-JP"/>
        </w:rPr>
        <w:t xml:space="preserve">viability of </w:t>
      </w:r>
      <w:r w:rsidR="003513A6">
        <w:rPr>
          <w:lang w:val="en-US" w:eastAsia="ja-JP"/>
        </w:rPr>
        <w:t>the facility, and the likely costs associated with complying with the Code.</w:t>
      </w:r>
    </w:p>
    <w:p w:rsidR="00EF77E0" w:rsidRDefault="00EF77E0" w:rsidP="00EF77E0">
      <w:pPr>
        <w:rPr>
          <w:lang w:val="en-US" w:eastAsia="ja-JP"/>
        </w:rPr>
      </w:pPr>
      <w:r>
        <w:rPr>
          <w:lang w:val="en-US" w:eastAsia="ja-JP"/>
        </w:rPr>
        <w:t xml:space="preserve">Being determined exempt service providers will put </w:t>
      </w:r>
      <w:r w:rsidR="00FE06D8">
        <w:rPr>
          <w:lang w:val="en-US" w:eastAsia="ja-JP"/>
        </w:rPr>
        <w:t xml:space="preserve">both of </w:t>
      </w:r>
      <w:r>
        <w:rPr>
          <w:lang w:val="en-US" w:eastAsia="ja-JP"/>
        </w:rPr>
        <w:t xml:space="preserve">the Applicants on a level </w:t>
      </w:r>
      <w:r w:rsidR="00720ACD">
        <w:rPr>
          <w:lang w:val="en-US" w:eastAsia="ja-JP"/>
        </w:rPr>
        <w:t xml:space="preserve">regulatory </w:t>
      </w:r>
      <w:r>
        <w:rPr>
          <w:lang w:val="en-US" w:eastAsia="ja-JP"/>
        </w:rPr>
        <w:t>playing field with GrainCorp. GrainCorp</w:t>
      </w:r>
      <w:r w:rsidR="00720ACD">
        <w:rPr>
          <w:lang w:val="en-US" w:eastAsia="ja-JP"/>
        </w:rPr>
        <w:t xml:space="preserve"> </w:t>
      </w:r>
      <w:r>
        <w:rPr>
          <w:lang w:val="en-US" w:eastAsia="ja-JP"/>
        </w:rPr>
        <w:t xml:space="preserve">was determined an exempt service provider at </w:t>
      </w:r>
      <w:r w:rsidR="00FE06D8">
        <w:rPr>
          <w:lang w:val="en-US" w:eastAsia="ja-JP"/>
        </w:rPr>
        <w:t xml:space="preserve">Newcastle </w:t>
      </w:r>
      <w:r>
        <w:rPr>
          <w:lang w:val="en-US" w:eastAsia="ja-JP"/>
        </w:rPr>
        <w:t xml:space="preserve">on 1 October 2014. </w:t>
      </w:r>
    </w:p>
    <w:p w:rsidR="00EF77E0" w:rsidRDefault="00EF77E0" w:rsidP="00EF77E0">
      <w:pPr>
        <w:rPr>
          <w:lang w:val="en-US" w:eastAsia="ja-JP"/>
        </w:rPr>
      </w:pPr>
      <w:r>
        <w:rPr>
          <w:lang w:val="en-US" w:eastAsia="ja-JP"/>
        </w:rPr>
        <w:t xml:space="preserve">If either or both of the Applicants are not determined </w:t>
      </w:r>
      <w:r w:rsidR="00720ACD">
        <w:rPr>
          <w:lang w:val="en-US" w:eastAsia="ja-JP"/>
        </w:rPr>
        <w:t xml:space="preserve">an </w:t>
      </w:r>
      <w:r>
        <w:rPr>
          <w:lang w:val="en-US" w:eastAsia="ja-JP"/>
        </w:rPr>
        <w:t xml:space="preserve">exempt service provider, </w:t>
      </w:r>
      <w:r w:rsidR="00207448">
        <w:rPr>
          <w:lang w:val="en-US" w:eastAsia="ja-JP"/>
        </w:rPr>
        <w:t>the relevant party or parties</w:t>
      </w:r>
      <w:r w:rsidR="00720ACD">
        <w:rPr>
          <w:lang w:val="en-US" w:eastAsia="ja-JP"/>
        </w:rPr>
        <w:t xml:space="preserve"> will</w:t>
      </w:r>
      <w:r w:rsidR="00895F05">
        <w:rPr>
          <w:lang w:val="en-US" w:eastAsia="ja-JP"/>
        </w:rPr>
        <w:t xml:space="preserve"> be required to</w:t>
      </w:r>
      <w:r>
        <w:rPr>
          <w:lang w:val="en-US" w:eastAsia="ja-JP"/>
        </w:rPr>
        <w:t>:</w:t>
      </w:r>
    </w:p>
    <w:p w:rsidR="00EF77E0" w:rsidRDefault="00720ACD" w:rsidP="00725145">
      <w:pPr>
        <w:pStyle w:val="ListParagraph"/>
        <w:numPr>
          <w:ilvl w:val="0"/>
          <w:numId w:val="28"/>
        </w:numPr>
        <w:rPr>
          <w:lang w:val="en-US" w:eastAsia="ja-JP"/>
        </w:rPr>
      </w:pPr>
      <w:r>
        <w:rPr>
          <w:lang w:val="en-US" w:eastAsia="ja-JP"/>
        </w:rPr>
        <w:t xml:space="preserve">comply with </w:t>
      </w:r>
      <w:r w:rsidR="00E17807">
        <w:rPr>
          <w:lang w:val="en-US" w:eastAsia="ja-JP"/>
        </w:rPr>
        <w:t xml:space="preserve">Code </w:t>
      </w:r>
      <w:r>
        <w:rPr>
          <w:lang w:val="en-US" w:eastAsia="ja-JP"/>
        </w:rPr>
        <w:t xml:space="preserve">obligations </w:t>
      </w:r>
      <w:r w:rsidR="00E17807">
        <w:rPr>
          <w:lang w:val="en-US" w:eastAsia="ja-JP"/>
        </w:rPr>
        <w:t xml:space="preserve">that stipulate how they </w:t>
      </w:r>
      <w:r w:rsidR="009F6585">
        <w:rPr>
          <w:lang w:val="en-US" w:eastAsia="ja-JP"/>
        </w:rPr>
        <w:t xml:space="preserve">provide access to their </w:t>
      </w:r>
      <w:r w:rsidR="00E17807">
        <w:rPr>
          <w:lang w:val="en-US" w:eastAsia="ja-JP"/>
        </w:rPr>
        <w:t xml:space="preserve">services, the terms on which those services will </w:t>
      </w:r>
      <w:r w:rsidR="009F6585">
        <w:rPr>
          <w:lang w:val="en-US" w:eastAsia="ja-JP"/>
        </w:rPr>
        <w:t xml:space="preserve">be provided, and how </w:t>
      </w:r>
      <w:r w:rsidR="00E17807">
        <w:rPr>
          <w:lang w:val="en-US" w:eastAsia="ja-JP"/>
        </w:rPr>
        <w:t>access-related disputes</w:t>
      </w:r>
      <w:r w:rsidR="009F6585">
        <w:rPr>
          <w:lang w:val="en-US" w:eastAsia="ja-JP"/>
        </w:rPr>
        <w:t xml:space="preserve"> will be resolved</w:t>
      </w:r>
      <w:r w:rsidR="00E17807">
        <w:rPr>
          <w:lang w:val="en-US" w:eastAsia="ja-JP"/>
        </w:rPr>
        <w:t>,</w:t>
      </w:r>
      <w:r w:rsidR="009F6585">
        <w:rPr>
          <w:lang w:val="en-US" w:eastAsia="ja-JP"/>
        </w:rPr>
        <w:t xml:space="preserve"> and</w:t>
      </w:r>
      <w:r w:rsidR="00E17807">
        <w:rPr>
          <w:lang w:val="en-US" w:eastAsia="ja-JP"/>
        </w:rPr>
        <w:t xml:space="preserve"> </w:t>
      </w:r>
    </w:p>
    <w:p w:rsidR="00E17807" w:rsidRDefault="00E17807" w:rsidP="00725145">
      <w:pPr>
        <w:pStyle w:val="ListParagraph"/>
        <w:numPr>
          <w:ilvl w:val="0"/>
          <w:numId w:val="28"/>
        </w:numPr>
        <w:rPr>
          <w:lang w:val="en-US" w:eastAsia="ja-JP"/>
        </w:rPr>
      </w:pPr>
      <w:proofErr w:type="gramStart"/>
      <w:r>
        <w:rPr>
          <w:lang w:val="en-US" w:eastAsia="ja-JP"/>
        </w:rPr>
        <w:t>pay</w:t>
      </w:r>
      <w:proofErr w:type="gramEnd"/>
      <w:r>
        <w:rPr>
          <w:lang w:val="en-US" w:eastAsia="ja-JP"/>
        </w:rPr>
        <w:t xml:space="preserve"> the costs associated with that compliance. </w:t>
      </w:r>
    </w:p>
    <w:p w:rsidR="00F673DD" w:rsidRDefault="009F6585" w:rsidP="00E17807">
      <w:pPr>
        <w:rPr>
          <w:lang w:val="en-US" w:eastAsia="ja-JP"/>
        </w:rPr>
      </w:pPr>
      <w:r>
        <w:rPr>
          <w:lang w:val="en-US" w:eastAsia="ja-JP"/>
        </w:rPr>
        <w:t xml:space="preserve">In the event that either or both of the Applicants are not determined </w:t>
      </w:r>
      <w:r w:rsidR="0059208F">
        <w:rPr>
          <w:lang w:val="en-US" w:eastAsia="ja-JP"/>
        </w:rPr>
        <w:t xml:space="preserve">to be </w:t>
      </w:r>
      <w:r>
        <w:rPr>
          <w:lang w:val="en-US" w:eastAsia="ja-JP"/>
        </w:rPr>
        <w:t>exempt</w:t>
      </w:r>
      <w:r w:rsidR="0059208F">
        <w:rPr>
          <w:lang w:val="en-US" w:eastAsia="ja-JP"/>
        </w:rPr>
        <w:t xml:space="preserve"> service providers</w:t>
      </w:r>
      <w:r>
        <w:rPr>
          <w:lang w:val="en-US" w:eastAsia="ja-JP"/>
        </w:rPr>
        <w:t>, the ACCC considers that they would be at a competitive disadvantage to the exempt PTSP</w:t>
      </w:r>
      <w:r w:rsidR="007C784E">
        <w:rPr>
          <w:lang w:val="en-US" w:eastAsia="ja-JP"/>
        </w:rPr>
        <w:t>/s</w:t>
      </w:r>
      <w:r w:rsidR="00F673DD">
        <w:rPr>
          <w:lang w:val="en-US" w:eastAsia="ja-JP"/>
        </w:rPr>
        <w:t xml:space="preserve">, </w:t>
      </w:r>
      <w:r w:rsidR="00FE06D8">
        <w:rPr>
          <w:lang w:val="en-US" w:eastAsia="ja-JP"/>
        </w:rPr>
        <w:t>due to the higher level of regulation under the Code T</w:t>
      </w:r>
      <w:r w:rsidR="00F673DD">
        <w:rPr>
          <w:lang w:val="en-US" w:eastAsia="ja-JP"/>
        </w:rPr>
        <w:t>he exempt PTSP</w:t>
      </w:r>
      <w:r w:rsidR="007C784E">
        <w:rPr>
          <w:lang w:val="en-US" w:eastAsia="ja-JP"/>
        </w:rPr>
        <w:t>/s</w:t>
      </w:r>
      <w:r w:rsidR="00F673DD">
        <w:rPr>
          <w:lang w:val="en-US" w:eastAsia="ja-JP"/>
        </w:rPr>
        <w:t xml:space="preserve"> will </w:t>
      </w:r>
      <w:r w:rsidR="00604542">
        <w:rPr>
          <w:lang w:val="en-US" w:eastAsia="ja-JP"/>
        </w:rPr>
        <w:t>have greater scope to differentiate services and respond flexibly to the demands of the market – for example, by varying capacity allocation rules for commercial reasons</w:t>
      </w:r>
      <w:r w:rsidR="004C49D0">
        <w:rPr>
          <w:lang w:val="en-US" w:eastAsia="ja-JP"/>
        </w:rPr>
        <w:t xml:space="preserve"> (as discussed below at </w:t>
      </w:r>
      <w:r w:rsidR="004C49D0">
        <w:rPr>
          <w:lang w:val="en-US" w:eastAsia="ja-JP"/>
        </w:rPr>
        <w:fldChar w:fldCharType="begin"/>
      </w:r>
      <w:r w:rsidR="004C49D0">
        <w:rPr>
          <w:lang w:val="en-US" w:eastAsia="ja-JP"/>
        </w:rPr>
        <w:instrText xml:space="preserve"> REF _Ref413336073 \r \h </w:instrText>
      </w:r>
      <w:r w:rsidR="004C49D0">
        <w:rPr>
          <w:lang w:val="en-US" w:eastAsia="ja-JP"/>
        </w:rPr>
      </w:r>
      <w:r w:rsidR="004C49D0">
        <w:rPr>
          <w:lang w:val="en-US" w:eastAsia="ja-JP"/>
        </w:rPr>
        <w:fldChar w:fldCharType="separate"/>
      </w:r>
      <w:r w:rsidR="005B1720">
        <w:rPr>
          <w:lang w:val="en-US" w:eastAsia="ja-JP"/>
        </w:rPr>
        <w:t>5.6</w:t>
      </w:r>
      <w:r w:rsidR="004C49D0">
        <w:rPr>
          <w:lang w:val="en-US" w:eastAsia="ja-JP"/>
        </w:rPr>
        <w:fldChar w:fldCharType="end"/>
      </w:r>
      <w:r w:rsidR="004C49D0">
        <w:rPr>
          <w:lang w:val="en-US" w:eastAsia="ja-JP"/>
        </w:rPr>
        <w:t>)</w:t>
      </w:r>
      <w:r w:rsidR="00BA34AD">
        <w:rPr>
          <w:lang w:val="en-US" w:eastAsia="ja-JP"/>
        </w:rPr>
        <w:t>.</w:t>
      </w:r>
      <w:r w:rsidR="00D0524C">
        <w:rPr>
          <w:lang w:val="en-US" w:eastAsia="ja-JP"/>
        </w:rPr>
        <w:t xml:space="preserve"> This may allow them to be more responsive to customers’ needs than any non-exempt PTSP.</w:t>
      </w:r>
    </w:p>
    <w:p w:rsidR="00E17807" w:rsidRDefault="006C56A3" w:rsidP="00E17807">
      <w:pPr>
        <w:rPr>
          <w:lang w:val="en-US" w:eastAsia="ja-JP"/>
        </w:rPr>
      </w:pPr>
      <w:r>
        <w:rPr>
          <w:lang w:val="en-US" w:eastAsia="ja-JP"/>
        </w:rPr>
        <w:t xml:space="preserve">The ACCC’s draft view is that </w:t>
      </w:r>
      <w:r w:rsidR="007C784E">
        <w:rPr>
          <w:lang w:val="en-US" w:eastAsia="ja-JP"/>
        </w:rPr>
        <w:t>exempt provide</w:t>
      </w:r>
      <w:r w:rsidR="00C2674F">
        <w:rPr>
          <w:lang w:val="en-US" w:eastAsia="ja-JP"/>
        </w:rPr>
        <w:t>r</w:t>
      </w:r>
      <w:r w:rsidR="007C784E">
        <w:rPr>
          <w:lang w:val="en-US" w:eastAsia="ja-JP"/>
        </w:rPr>
        <w:t xml:space="preserve"> status will increase </w:t>
      </w:r>
      <w:r w:rsidR="00207448">
        <w:rPr>
          <w:lang w:val="en-US" w:eastAsia="ja-JP"/>
        </w:rPr>
        <w:t>the Applicants</w:t>
      </w:r>
      <w:r w:rsidR="00343750">
        <w:rPr>
          <w:lang w:val="en-US" w:eastAsia="ja-JP"/>
        </w:rPr>
        <w:t>’</w:t>
      </w:r>
      <w:r w:rsidR="007C784E">
        <w:rPr>
          <w:lang w:val="en-US" w:eastAsia="ja-JP"/>
        </w:rPr>
        <w:t xml:space="preserve"> competitiveness against </w:t>
      </w:r>
      <w:proofErr w:type="spellStart"/>
      <w:r w:rsidR="00207448">
        <w:rPr>
          <w:lang w:val="en-US" w:eastAsia="ja-JP"/>
        </w:rPr>
        <w:t>GrainCorp</w:t>
      </w:r>
      <w:proofErr w:type="spellEnd"/>
      <w:r w:rsidR="007C784E">
        <w:rPr>
          <w:lang w:val="en-US" w:eastAsia="ja-JP"/>
        </w:rPr>
        <w:t xml:space="preserve"> at the Port of Newcastle. The ACCC considers that </w:t>
      </w:r>
      <w:r w:rsidR="00C2674F">
        <w:rPr>
          <w:lang w:val="en-US" w:eastAsia="ja-JP"/>
        </w:rPr>
        <w:t>being on a level playing field</w:t>
      </w:r>
      <w:r>
        <w:rPr>
          <w:lang w:val="en-US" w:eastAsia="ja-JP"/>
        </w:rPr>
        <w:t xml:space="preserve"> </w:t>
      </w:r>
      <w:r w:rsidR="00C2674F">
        <w:rPr>
          <w:lang w:val="en-US" w:eastAsia="ja-JP"/>
        </w:rPr>
        <w:t xml:space="preserve">would lead to greater competition with </w:t>
      </w:r>
      <w:proofErr w:type="spellStart"/>
      <w:r w:rsidR="00C2674F">
        <w:rPr>
          <w:lang w:val="en-US" w:eastAsia="ja-JP"/>
        </w:rPr>
        <w:t>GrainCorp</w:t>
      </w:r>
      <w:proofErr w:type="spellEnd"/>
      <w:r w:rsidR="00C2674F">
        <w:rPr>
          <w:lang w:val="en-US" w:eastAsia="ja-JP"/>
        </w:rPr>
        <w:t xml:space="preserve"> and </w:t>
      </w:r>
      <w:r>
        <w:rPr>
          <w:lang w:val="en-US" w:eastAsia="ja-JP"/>
        </w:rPr>
        <w:t xml:space="preserve">is in the legitimate business interests of the Applicants. </w:t>
      </w:r>
      <w:r w:rsidR="004C49D0">
        <w:rPr>
          <w:lang w:val="en-US" w:eastAsia="ja-JP"/>
        </w:rPr>
        <w:t xml:space="preserve">Increased competition should also lead to more efficient investment decisions (as discussed further below at </w:t>
      </w:r>
      <w:r w:rsidR="004C49D0">
        <w:rPr>
          <w:lang w:val="en-US" w:eastAsia="ja-JP"/>
        </w:rPr>
        <w:fldChar w:fldCharType="begin"/>
      </w:r>
      <w:r w:rsidR="004C49D0">
        <w:rPr>
          <w:lang w:val="en-US" w:eastAsia="ja-JP"/>
        </w:rPr>
        <w:instrText xml:space="preserve"> REF _Ref413335956 \r \h </w:instrText>
      </w:r>
      <w:r w:rsidR="004C49D0">
        <w:rPr>
          <w:lang w:val="en-US" w:eastAsia="ja-JP"/>
        </w:rPr>
      </w:r>
      <w:r w:rsidR="004C49D0">
        <w:rPr>
          <w:lang w:val="en-US" w:eastAsia="ja-JP"/>
        </w:rPr>
        <w:fldChar w:fldCharType="separate"/>
      </w:r>
      <w:r w:rsidR="005B1720">
        <w:rPr>
          <w:lang w:val="en-US" w:eastAsia="ja-JP"/>
        </w:rPr>
        <w:t>5.4</w:t>
      </w:r>
      <w:r w:rsidR="004C49D0">
        <w:rPr>
          <w:lang w:val="en-US" w:eastAsia="ja-JP"/>
        </w:rPr>
        <w:fldChar w:fldCharType="end"/>
      </w:r>
      <w:r w:rsidR="004C49D0">
        <w:rPr>
          <w:lang w:val="en-US" w:eastAsia="ja-JP"/>
        </w:rPr>
        <w:t>)</w:t>
      </w:r>
      <w:r w:rsidR="00D902F8">
        <w:rPr>
          <w:lang w:val="en-US" w:eastAsia="ja-JP"/>
        </w:rPr>
        <w:t>.</w:t>
      </w:r>
    </w:p>
    <w:p w:rsidR="003513A6" w:rsidRDefault="003513A6" w:rsidP="00F345C4">
      <w:pPr>
        <w:rPr>
          <w:lang w:val="en-US" w:eastAsia="ja-JP"/>
        </w:rPr>
      </w:pPr>
      <w:r>
        <w:rPr>
          <w:lang w:val="en-US" w:eastAsia="ja-JP"/>
        </w:rPr>
        <w:t xml:space="preserve">PTSPs incur certain costs in order to comply with the Code. The ACCC considers that being determined exempt service providers will reduce the Applicant’s costs of compliance. </w:t>
      </w:r>
      <w:r w:rsidR="00D902F8">
        <w:rPr>
          <w:lang w:val="en-US" w:eastAsia="ja-JP"/>
        </w:rPr>
        <w:t>A</w:t>
      </w:r>
      <w:r>
        <w:rPr>
          <w:lang w:val="en-US" w:eastAsia="ja-JP"/>
        </w:rPr>
        <w:t xml:space="preserve"> reduction in the costs associated with complying with the Code </w:t>
      </w:r>
      <w:r w:rsidR="00F345C4">
        <w:rPr>
          <w:lang w:val="en-US" w:eastAsia="ja-JP"/>
        </w:rPr>
        <w:t>will often be</w:t>
      </w:r>
      <w:r>
        <w:rPr>
          <w:lang w:val="en-US" w:eastAsia="ja-JP"/>
        </w:rPr>
        <w:t xml:space="preserve"> in the legitimate business interests of the Applicants. </w:t>
      </w:r>
      <w:r w:rsidR="00F345C4">
        <w:rPr>
          <w:lang w:val="en-US" w:eastAsia="ja-JP"/>
        </w:rPr>
        <w:t>However, the costs of compliance are not of themselves a reason for granting an exemption – as regulation may in some cases be necessary</w:t>
      </w:r>
      <w:r w:rsidR="00A218F2">
        <w:rPr>
          <w:lang w:val="en-US" w:eastAsia="ja-JP"/>
        </w:rPr>
        <w:t xml:space="preserve"> or appropriate for the market conditions</w:t>
      </w:r>
      <w:r w:rsidR="00F345C4">
        <w:rPr>
          <w:lang w:val="en-US" w:eastAsia="ja-JP"/>
        </w:rPr>
        <w:t xml:space="preserve">. The ACCC also notes that the amount of compliance costs may be difficult to quantify in many cases, particularly where a company </w:t>
      </w:r>
      <w:r w:rsidR="004C49D0">
        <w:rPr>
          <w:lang w:val="en-US" w:eastAsia="ja-JP"/>
        </w:rPr>
        <w:t>has not previously been regulated.</w:t>
      </w:r>
    </w:p>
    <w:p w:rsidR="00D0524C" w:rsidRDefault="00D902F8" w:rsidP="00D0524C">
      <w:pPr>
        <w:rPr>
          <w:lang w:val="en-US" w:eastAsia="ja-JP"/>
        </w:rPr>
      </w:pPr>
      <w:r>
        <w:rPr>
          <w:lang w:val="en-US" w:eastAsia="ja-JP"/>
        </w:rPr>
        <w:t>Nevertheless t</w:t>
      </w:r>
      <w:r w:rsidR="00D0524C">
        <w:rPr>
          <w:lang w:val="en-US" w:eastAsia="ja-JP"/>
        </w:rPr>
        <w:t xml:space="preserve">he ACCC considers that a reduction in costs of regulation and an increase in </w:t>
      </w:r>
      <w:r w:rsidR="004C49D0">
        <w:rPr>
          <w:lang w:val="en-US" w:eastAsia="ja-JP"/>
        </w:rPr>
        <w:t xml:space="preserve">its ability to compete </w:t>
      </w:r>
      <w:r w:rsidR="00D0524C">
        <w:rPr>
          <w:lang w:val="en-US" w:eastAsia="ja-JP"/>
        </w:rPr>
        <w:t xml:space="preserve">will typically improve the financial viability of a business. The ACCC </w:t>
      </w:r>
      <w:r w:rsidR="00D0524C">
        <w:rPr>
          <w:lang w:val="en-US" w:eastAsia="ja-JP"/>
        </w:rPr>
        <w:lastRenderedPageBreak/>
        <w:t xml:space="preserve">considers improved commercial viability is in the legitimate business interests of the Applicants. </w:t>
      </w:r>
    </w:p>
    <w:p w:rsidR="00DF0B12" w:rsidRDefault="004C49D0" w:rsidP="00DF0B12">
      <w:pPr>
        <w:rPr>
          <w:lang w:val="en-US" w:eastAsia="ja-JP"/>
        </w:rPr>
      </w:pPr>
      <w:r>
        <w:rPr>
          <w:lang w:val="en-US" w:eastAsia="ja-JP"/>
        </w:rPr>
        <w:t>T</w:t>
      </w:r>
      <w:r w:rsidR="00DF0B12">
        <w:rPr>
          <w:lang w:val="en-US" w:eastAsia="ja-JP"/>
        </w:rPr>
        <w:t>he ACCC</w:t>
      </w:r>
      <w:r>
        <w:rPr>
          <w:lang w:val="en-US" w:eastAsia="ja-JP"/>
        </w:rPr>
        <w:t>’s draft view is that</w:t>
      </w:r>
      <w:r w:rsidR="00DF0B12">
        <w:rPr>
          <w:lang w:val="en-US" w:eastAsia="ja-JP"/>
        </w:rPr>
        <w:t xml:space="preserve"> a reduction in regulation </w:t>
      </w:r>
      <w:r>
        <w:rPr>
          <w:lang w:val="en-US" w:eastAsia="ja-JP"/>
        </w:rPr>
        <w:t xml:space="preserve">would be in </w:t>
      </w:r>
      <w:r w:rsidR="00DF0B12">
        <w:rPr>
          <w:lang w:val="en-US" w:eastAsia="ja-JP"/>
        </w:rPr>
        <w:t xml:space="preserve">the interests of </w:t>
      </w:r>
      <w:r w:rsidR="00724843">
        <w:rPr>
          <w:lang w:val="en-US" w:eastAsia="ja-JP"/>
        </w:rPr>
        <w:t xml:space="preserve">each of </w:t>
      </w:r>
      <w:r>
        <w:rPr>
          <w:lang w:val="en-US" w:eastAsia="ja-JP"/>
        </w:rPr>
        <w:t>the Applicants</w:t>
      </w:r>
      <w:r w:rsidR="00343750">
        <w:rPr>
          <w:lang w:val="en-US" w:eastAsia="ja-JP"/>
        </w:rPr>
        <w:t xml:space="preserve">, particularly given </w:t>
      </w:r>
      <w:proofErr w:type="spellStart"/>
      <w:r w:rsidR="00343750">
        <w:rPr>
          <w:lang w:val="en-US" w:eastAsia="ja-JP"/>
        </w:rPr>
        <w:t>GrainCorp’s</w:t>
      </w:r>
      <w:proofErr w:type="spellEnd"/>
      <w:r w:rsidR="00343750">
        <w:rPr>
          <w:lang w:val="en-US" w:eastAsia="ja-JP"/>
        </w:rPr>
        <w:t xml:space="preserve"> exempt status at the same port</w:t>
      </w:r>
      <w:r w:rsidR="00DF0B12">
        <w:rPr>
          <w:lang w:val="en-US" w:eastAsia="ja-JP"/>
        </w:rPr>
        <w:t>. The ACCC</w:t>
      </w:r>
      <w:r>
        <w:rPr>
          <w:lang w:val="en-US" w:eastAsia="ja-JP"/>
        </w:rPr>
        <w:t xml:space="preserve"> has </w:t>
      </w:r>
      <w:r w:rsidR="00A6310E">
        <w:rPr>
          <w:lang w:val="en-US" w:eastAsia="ja-JP"/>
        </w:rPr>
        <w:t xml:space="preserve">reached </w:t>
      </w:r>
      <w:r>
        <w:rPr>
          <w:lang w:val="en-US" w:eastAsia="ja-JP"/>
        </w:rPr>
        <w:t xml:space="preserve">this draft view </w:t>
      </w:r>
      <w:r w:rsidR="0020402C">
        <w:rPr>
          <w:lang w:val="en-US" w:eastAsia="ja-JP"/>
        </w:rPr>
        <w:t xml:space="preserve">because </w:t>
      </w:r>
      <w:r w:rsidR="00724843">
        <w:rPr>
          <w:lang w:val="en-US" w:eastAsia="ja-JP"/>
        </w:rPr>
        <w:t>it consider</w:t>
      </w:r>
      <w:r w:rsidR="00E62934">
        <w:rPr>
          <w:lang w:val="en-US" w:eastAsia="ja-JP"/>
        </w:rPr>
        <w:t>s</w:t>
      </w:r>
      <w:r w:rsidR="00724843">
        <w:rPr>
          <w:lang w:val="en-US" w:eastAsia="ja-JP"/>
        </w:rPr>
        <w:t xml:space="preserve"> that </w:t>
      </w:r>
      <w:r w:rsidR="0020402C">
        <w:rPr>
          <w:lang w:val="en-US" w:eastAsia="ja-JP"/>
        </w:rPr>
        <w:t>a determination of exempt service provider status would result in</w:t>
      </w:r>
      <w:r w:rsidR="00DF0B12">
        <w:rPr>
          <w:lang w:val="en-US" w:eastAsia="ja-JP"/>
        </w:rPr>
        <w:t>:</w:t>
      </w:r>
    </w:p>
    <w:p w:rsidR="004C49D0" w:rsidRDefault="00E62934" w:rsidP="004C49D0">
      <w:pPr>
        <w:pStyle w:val="ListParagraph"/>
        <w:numPr>
          <w:ilvl w:val="0"/>
          <w:numId w:val="31"/>
        </w:numPr>
        <w:rPr>
          <w:lang w:val="en-US" w:eastAsia="ja-JP"/>
        </w:rPr>
      </w:pPr>
      <w:r>
        <w:rPr>
          <w:lang w:val="en-US" w:eastAsia="ja-JP"/>
        </w:rPr>
        <w:t xml:space="preserve">the Applicants having </w:t>
      </w:r>
      <w:r w:rsidR="00724843">
        <w:rPr>
          <w:lang w:val="en-US" w:eastAsia="ja-JP"/>
        </w:rPr>
        <w:t xml:space="preserve">an </w:t>
      </w:r>
      <w:r w:rsidR="004C49D0">
        <w:rPr>
          <w:lang w:val="en-US" w:eastAsia="ja-JP"/>
        </w:rPr>
        <w:t xml:space="preserve">increased ability to compete with </w:t>
      </w:r>
      <w:proofErr w:type="spellStart"/>
      <w:r w:rsidR="004C49D0">
        <w:rPr>
          <w:lang w:val="en-US" w:eastAsia="ja-JP"/>
        </w:rPr>
        <w:t>GrainCorp</w:t>
      </w:r>
      <w:proofErr w:type="spellEnd"/>
      <w:r w:rsidR="004C49D0">
        <w:rPr>
          <w:lang w:val="en-US" w:eastAsia="ja-JP"/>
        </w:rPr>
        <w:t xml:space="preserve"> on </w:t>
      </w:r>
      <w:r w:rsidR="00724843">
        <w:rPr>
          <w:lang w:val="en-US" w:eastAsia="ja-JP"/>
        </w:rPr>
        <w:t xml:space="preserve">equal </w:t>
      </w:r>
      <w:r w:rsidR="004C49D0">
        <w:rPr>
          <w:lang w:val="en-US" w:eastAsia="ja-JP"/>
        </w:rPr>
        <w:t>terms</w:t>
      </w:r>
      <w:r w:rsidR="00D902F8">
        <w:rPr>
          <w:lang w:val="en-US" w:eastAsia="ja-JP"/>
        </w:rPr>
        <w:t>, and</w:t>
      </w:r>
    </w:p>
    <w:p w:rsidR="00FC0ABE" w:rsidRDefault="004C49D0" w:rsidP="00725145">
      <w:pPr>
        <w:pStyle w:val="ListParagraph"/>
        <w:numPr>
          <w:ilvl w:val="0"/>
          <w:numId w:val="31"/>
        </w:numPr>
        <w:rPr>
          <w:lang w:val="en-US" w:eastAsia="ja-JP"/>
        </w:rPr>
      </w:pPr>
      <w:proofErr w:type="gramStart"/>
      <w:r>
        <w:rPr>
          <w:lang w:val="en-US" w:eastAsia="ja-JP"/>
        </w:rPr>
        <w:t>a</w:t>
      </w:r>
      <w:proofErr w:type="gramEnd"/>
      <w:r>
        <w:rPr>
          <w:lang w:val="en-US" w:eastAsia="ja-JP"/>
        </w:rPr>
        <w:t xml:space="preserve"> </w:t>
      </w:r>
      <w:r w:rsidR="00DF0B12">
        <w:rPr>
          <w:lang w:val="en-US" w:eastAsia="ja-JP"/>
        </w:rPr>
        <w:t xml:space="preserve">reduction </w:t>
      </w:r>
      <w:r w:rsidR="00F2486B">
        <w:rPr>
          <w:lang w:val="en-US" w:eastAsia="ja-JP"/>
        </w:rPr>
        <w:t xml:space="preserve">in the costs of </w:t>
      </w:r>
      <w:r w:rsidR="00E62934">
        <w:rPr>
          <w:lang w:val="en-US" w:eastAsia="ja-JP"/>
        </w:rPr>
        <w:t xml:space="preserve">regulation and a </w:t>
      </w:r>
      <w:r w:rsidR="00FC0ABE">
        <w:rPr>
          <w:lang w:val="en-US" w:eastAsia="ja-JP"/>
        </w:rPr>
        <w:t>consequential increase in commercial viability</w:t>
      </w:r>
      <w:r w:rsidR="00E62934">
        <w:rPr>
          <w:lang w:val="en-US" w:eastAsia="ja-JP"/>
        </w:rPr>
        <w:t xml:space="preserve"> for the Applicants</w:t>
      </w:r>
      <w:r w:rsidR="00724843">
        <w:rPr>
          <w:lang w:val="en-US" w:eastAsia="ja-JP"/>
        </w:rPr>
        <w:t>.</w:t>
      </w:r>
    </w:p>
    <w:p w:rsidR="00121A9C" w:rsidRDefault="00D902F8" w:rsidP="00DF0B12">
      <w:pPr>
        <w:rPr>
          <w:lang w:val="en-US" w:eastAsia="ja-JP"/>
        </w:rPr>
      </w:pPr>
      <w:r>
        <w:rPr>
          <w:lang w:val="en-US" w:eastAsia="ja-JP"/>
        </w:rPr>
        <w:t>Accordingly</w:t>
      </w:r>
      <w:r w:rsidR="00724843">
        <w:rPr>
          <w:lang w:val="en-US" w:eastAsia="ja-JP"/>
        </w:rPr>
        <w:t xml:space="preserve">, </w:t>
      </w:r>
      <w:r>
        <w:rPr>
          <w:lang w:val="en-US" w:eastAsia="ja-JP"/>
        </w:rPr>
        <w:t>the ACCC</w:t>
      </w:r>
      <w:r w:rsidR="00724843">
        <w:rPr>
          <w:lang w:val="en-US" w:eastAsia="ja-JP"/>
        </w:rPr>
        <w:t xml:space="preserve"> considers that </w:t>
      </w:r>
      <w:r w:rsidR="0020402C">
        <w:rPr>
          <w:lang w:val="en-US" w:eastAsia="ja-JP"/>
        </w:rPr>
        <w:t>exemption is in</w:t>
      </w:r>
      <w:r w:rsidR="00DF0B12">
        <w:rPr>
          <w:lang w:val="en-US" w:eastAsia="ja-JP"/>
        </w:rPr>
        <w:t xml:space="preserve"> the </w:t>
      </w:r>
      <w:r w:rsidR="00E62934">
        <w:rPr>
          <w:lang w:val="en-US" w:eastAsia="ja-JP"/>
        </w:rPr>
        <w:t xml:space="preserve">legitimate business </w:t>
      </w:r>
      <w:r w:rsidR="00DF0B12">
        <w:rPr>
          <w:lang w:val="en-US" w:eastAsia="ja-JP"/>
        </w:rPr>
        <w:t>interests of the Ap</w:t>
      </w:r>
      <w:r w:rsidR="00FC0ABE">
        <w:rPr>
          <w:lang w:val="en-US" w:eastAsia="ja-JP"/>
        </w:rPr>
        <w:t>plicants</w:t>
      </w:r>
      <w:r w:rsidR="00121A9C">
        <w:rPr>
          <w:lang w:val="en-US" w:eastAsia="ja-JP"/>
        </w:rPr>
        <w:t>.</w:t>
      </w:r>
    </w:p>
    <w:p w:rsidR="00D16A62" w:rsidRPr="00DF0B12" w:rsidRDefault="00FC0ABE" w:rsidP="00DF0B12">
      <w:pPr>
        <w:rPr>
          <w:lang w:val="en-US" w:eastAsia="ja-JP"/>
        </w:rPr>
      </w:pPr>
      <w:r>
        <w:rPr>
          <w:lang w:val="en-US" w:eastAsia="ja-JP"/>
        </w:rPr>
        <w:t xml:space="preserve"> </w:t>
      </w:r>
    </w:p>
    <w:p w:rsidR="008B4295" w:rsidRDefault="00D47EE2" w:rsidP="00D47EE2">
      <w:pPr>
        <w:pStyle w:val="Numbered11"/>
        <w:rPr>
          <w:lang w:val="en-US" w:eastAsia="ja-JP"/>
        </w:rPr>
      </w:pPr>
      <w:bookmarkStart w:id="33" w:name="_Ref417993253"/>
      <w:r>
        <w:rPr>
          <w:lang w:val="en-US" w:eastAsia="ja-JP"/>
        </w:rPr>
        <w:t>The public interest, including the interest in having competition in markets (</w:t>
      </w:r>
      <w:proofErr w:type="spellStart"/>
      <w:r>
        <w:rPr>
          <w:lang w:val="en-US" w:eastAsia="ja-JP"/>
        </w:rPr>
        <w:t>subclause</w:t>
      </w:r>
      <w:proofErr w:type="spellEnd"/>
      <w:r>
        <w:rPr>
          <w:lang w:val="en-US" w:eastAsia="ja-JP"/>
        </w:rPr>
        <w:t xml:space="preserve"> </w:t>
      </w:r>
      <w:r w:rsidR="008748F1">
        <w:rPr>
          <w:lang w:val="en-US" w:eastAsia="ja-JP"/>
        </w:rPr>
        <w:t>5(3)</w:t>
      </w:r>
      <w:r>
        <w:rPr>
          <w:lang w:val="en-US" w:eastAsia="ja-JP"/>
        </w:rPr>
        <w:t>(b))</w:t>
      </w:r>
      <w:r w:rsidR="00A218F2">
        <w:rPr>
          <w:lang w:val="en-US" w:eastAsia="ja-JP"/>
        </w:rPr>
        <w:t>,</w:t>
      </w:r>
      <w:r>
        <w:rPr>
          <w:lang w:val="en-US" w:eastAsia="ja-JP"/>
        </w:rPr>
        <w:t xml:space="preserve"> and the promotion of competition in upstream and downstream markets (</w:t>
      </w:r>
      <w:proofErr w:type="spellStart"/>
      <w:r>
        <w:rPr>
          <w:lang w:val="en-US" w:eastAsia="ja-JP"/>
        </w:rPr>
        <w:t>subclause</w:t>
      </w:r>
      <w:proofErr w:type="spellEnd"/>
      <w:r>
        <w:rPr>
          <w:lang w:val="en-US" w:eastAsia="ja-JP"/>
        </w:rPr>
        <w:t xml:space="preserve"> </w:t>
      </w:r>
      <w:r w:rsidR="008748F1">
        <w:rPr>
          <w:lang w:val="en-US" w:eastAsia="ja-JP"/>
        </w:rPr>
        <w:t>5(3)</w:t>
      </w:r>
      <w:r>
        <w:rPr>
          <w:lang w:val="en-US" w:eastAsia="ja-JP"/>
        </w:rPr>
        <w:t>(g))</w:t>
      </w:r>
      <w:bookmarkEnd w:id="33"/>
      <w:r>
        <w:rPr>
          <w:lang w:val="en-US" w:eastAsia="ja-JP"/>
        </w:rPr>
        <w:t xml:space="preserve"> </w:t>
      </w:r>
    </w:p>
    <w:p w:rsidR="00604542" w:rsidRDefault="00604542" w:rsidP="00604542">
      <w:pPr>
        <w:rPr>
          <w:lang w:val="en-US" w:eastAsia="ja-JP"/>
        </w:rPr>
      </w:pPr>
      <w:r>
        <w:rPr>
          <w:lang w:val="en-US" w:eastAsia="ja-JP"/>
        </w:rPr>
        <w:t>The ACCC considers that matters concerning the public interest</w:t>
      </w:r>
      <w:r w:rsidR="00E814A4">
        <w:rPr>
          <w:lang w:val="en-US" w:eastAsia="ja-JP"/>
        </w:rPr>
        <w:t>, including the interest in having competition in markets,</w:t>
      </w:r>
      <w:r>
        <w:rPr>
          <w:lang w:val="en-US" w:eastAsia="ja-JP"/>
        </w:rPr>
        <w:t xml:space="preserve"> and </w:t>
      </w:r>
      <w:r w:rsidR="00E814A4">
        <w:rPr>
          <w:lang w:val="en-US" w:eastAsia="ja-JP"/>
        </w:rPr>
        <w:t xml:space="preserve">the promotion in </w:t>
      </w:r>
      <w:r>
        <w:rPr>
          <w:lang w:val="en-US" w:eastAsia="ja-JP"/>
        </w:rPr>
        <w:t>competition in upstream and downstream markets raise similar considerations</w:t>
      </w:r>
      <w:r w:rsidR="00E814A4">
        <w:rPr>
          <w:lang w:val="en-US" w:eastAsia="ja-JP"/>
        </w:rPr>
        <w:t>. As such,</w:t>
      </w:r>
      <w:r>
        <w:rPr>
          <w:lang w:val="en-US" w:eastAsia="ja-JP"/>
        </w:rPr>
        <w:t xml:space="preserve"> </w:t>
      </w:r>
      <w:r w:rsidR="000F2590">
        <w:rPr>
          <w:lang w:val="en-US" w:eastAsia="ja-JP"/>
        </w:rPr>
        <w:t xml:space="preserve">the matters listed at </w:t>
      </w:r>
      <w:proofErr w:type="spellStart"/>
      <w:r>
        <w:rPr>
          <w:lang w:val="en-US" w:eastAsia="ja-JP"/>
        </w:rPr>
        <w:t>subclauses</w:t>
      </w:r>
      <w:proofErr w:type="spellEnd"/>
      <w:r>
        <w:rPr>
          <w:lang w:val="en-US" w:eastAsia="ja-JP"/>
        </w:rPr>
        <w:t xml:space="preserve"> </w:t>
      </w:r>
      <w:r w:rsidR="008748F1">
        <w:rPr>
          <w:lang w:val="en-US" w:eastAsia="ja-JP"/>
        </w:rPr>
        <w:t>5(3</w:t>
      </w:r>
      <w:proofErr w:type="gramStart"/>
      <w:r w:rsidR="008748F1">
        <w:rPr>
          <w:lang w:val="en-US" w:eastAsia="ja-JP"/>
        </w:rPr>
        <w:t>)</w:t>
      </w:r>
      <w:r>
        <w:rPr>
          <w:lang w:val="en-US" w:eastAsia="ja-JP"/>
        </w:rPr>
        <w:t>(</w:t>
      </w:r>
      <w:proofErr w:type="gramEnd"/>
      <w:r>
        <w:rPr>
          <w:lang w:val="en-US" w:eastAsia="ja-JP"/>
        </w:rPr>
        <w:t xml:space="preserve">b) and (g) </w:t>
      </w:r>
      <w:r w:rsidR="000F2590">
        <w:rPr>
          <w:lang w:val="en-US" w:eastAsia="ja-JP"/>
        </w:rPr>
        <w:t xml:space="preserve">of the Code, </w:t>
      </w:r>
      <w:r>
        <w:rPr>
          <w:lang w:val="en-US" w:eastAsia="ja-JP"/>
        </w:rPr>
        <w:t xml:space="preserve">will be discussed together in this section. </w:t>
      </w:r>
    </w:p>
    <w:p w:rsidR="00746868" w:rsidRPr="00D47EE2" w:rsidRDefault="00746868" w:rsidP="00604542">
      <w:pPr>
        <w:rPr>
          <w:lang w:val="en-US" w:eastAsia="ja-JP"/>
        </w:rPr>
      </w:pPr>
      <w:r>
        <w:rPr>
          <w:lang w:val="en-US" w:eastAsia="ja-JP"/>
        </w:rPr>
        <w:t xml:space="preserve">The ACCC’s assessment of whether the Applicants should be determined exempt service providers </w:t>
      </w:r>
      <w:r w:rsidR="0048144B">
        <w:rPr>
          <w:lang w:val="en-US" w:eastAsia="ja-JP"/>
        </w:rPr>
        <w:t>must consider</w:t>
      </w:r>
      <w:r>
        <w:rPr>
          <w:lang w:val="en-US" w:eastAsia="ja-JP"/>
        </w:rPr>
        <w:t xml:space="preserve"> whether there is enough competition in </w:t>
      </w:r>
      <w:r w:rsidR="0048144B">
        <w:rPr>
          <w:lang w:val="en-US" w:eastAsia="ja-JP"/>
        </w:rPr>
        <w:t>the</w:t>
      </w:r>
      <w:r>
        <w:rPr>
          <w:lang w:val="en-US" w:eastAsia="ja-JP"/>
        </w:rPr>
        <w:t xml:space="preserve"> market to provide incentives for port terminal service providers to provide fair and transparent access to port terminal services</w:t>
      </w:r>
      <w:r w:rsidR="0048144B">
        <w:rPr>
          <w:lang w:val="en-US" w:eastAsia="ja-JP"/>
        </w:rPr>
        <w:t xml:space="preserve"> (discussed further below at </w:t>
      </w:r>
      <w:r w:rsidR="0048144B">
        <w:rPr>
          <w:lang w:val="en-US" w:eastAsia="ja-JP"/>
        </w:rPr>
        <w:fldChar w:fldCharType="begin"/>
      </w:r>
      <w:r w:rsidR="0048144B">
        <w:rPr>
          <w:lang w:val="en-US" w:eastAsia="ja-JP"/>
        </w:rPr>
        <w:instrText xml:space="preserve"> REF _Ref413340250 \r \h </w:instrText>
      </w:r>
      <w:r w:rsidR="0048144B">
        <w:rPr>
          <w:lang w:val="en-US" w:eastAsia="ja-JP"/>
        </w:rPr>
      </w:r>
      <w:r w:rsidR="0048144B">
        <w:rPr>
          <w:lang w:val="en-US" w:eastAsia="ja-JP"/>
        </w:rPr>
        <w:fldChar w:fldCharType="separate"/>
      </w:r>
      <w:r w:rsidR="005B1720">
        <w:rPr>
          <w:lang w:val="en-US" w:eastAsia="ja-JP"/>
        </w:rPr>
        <w:t>5.3</w:t>
      </w:r>
      <w:r w:rsidR="0048144B">
        <w:rPr>
          <w:lang w:val="en-US" w:eastAsia="ja-JP"/>
        </w:rPr>
        <w:fldChar w:fldCharType="end"/>
      </w:r>
      <w:r w:rsidR="0048144B">
        <w:rPr>
          <w:lang w:val="en-US" w:eastAsia="ja-JP"/>
        </w:rPr>
        <w:t>)</w:t>
      </w:r>
      <w:r>
        <w:rPr>
          <w:lang w:val="en-US" w:eastAsia="ja-JP"/>
        </w:rPr>
        <w:t xml:space="preserve">. </w:t>
      </w:r>
    </w:p>
    <w:p w:rsidR="003217F0" w:rsidRPr="00DD1457" w:rsidRDefault="00600D8D" w:rsidP="003217F0">
      <w:pPr>
        <w:pStyle w:val="Numbered111"/>
        <w:rPr>
          <w:lang w:val="en-US" w:eastAsia="ja-JP"/>
        </w:rPr>
      </w:pPr>
      <w:r>
        <w:rPr>
          <w:lang w:val="en-US" w:eastAsia="ja-JP"/>
        </w:rPr>
        <w:t>What is the public interest?</w:t>
      </w:r>
    </w:p>
    <w:p w:rsidR="008B4295" w:rsidRPr="00393858" w:rsidRDefault="00DD1457" w:rsidP="00393858">
      <w:pPr>
        <w:rPr>
          <w:lang w:val="en-US" w:eastAsia="ja-JP"/>
        </w:rPr>
      </w:pPr>
      <w:r>
        <w:rPr>
          <w:lang w:val="en-US" w:eastAsia="ja-JP"/>
        </w:rPr>
        <w:t>The ACCC considers th</w:t>
      </w:r>
      <w:r w:rsidR="00393858">
        <w:rPr>
          <w:lang w:val="en-US" w:eastAsia="ja-JP"/>
        </w:rPr>
        <w:t>at the public interest includes</w:t>
      </w:r>
      <w:r w:rsidR="00604542">
        <w:rPr>
          <w:lang w:val="en-US" w:eastAsia="ja-JP"/>
        </w:rPr>
        <w:t xml:space="preserve"> </w:t>
      </w:r>
      <w:r w:rsidR="00393858">
        <w:rPr>
          <w:lang w:val="en-US" w:eastAsia="ja-JP"/>
        </w:rPr>
        <w:t>the promotion of competition in upstream and do</w:t>
      </w:r>
      <w:r w:rsidR="00604542">
        <w:rPr>
          <w:lang w:val="en-US" w:eastAsia="ja-JP"/>
        </w:rPr>
        <w:t xml:space="preserve">wnstream markets. The ACCC considers that other matters </w:t>
      </w:r>
      <w:r w:rsidR="00393858">
        <w:rPr>
          <w:lang w:val="en-US" w:eastAsia="ja-JP"/>
        </w:rPr>
        <w:t>relevant to the public interest</w:t>
      </w:r>
      <w:r w:rsidR="0048144B">
        <w:rPr>
          <w:lang w:val="en-US" w:eastAsia="ja-JP"/>
        </w:rPr>
        <w:t xml:space="preserve"> may</w:t>
      </w:r>
      <w:r w:rsidR="00604542">
        <w:rPr>
          <w:lang w:val="en-US" w:eastAsia="ja-JP"/>
        </w:rPr>
        <w:t xml:space="preserve"> include</w:t>
      </w:r>
      <w:r w:rsidR="00393858">
        <w:rPr>
          <w:lang w:val="en-US" w:eastAsia="ja-JP"/>
        </w:rPr>
        <w:t>:</w:t>
      </w:r>
    </w:p>
    <w:p w:rsidR="008B4295" w:rsidRDefault="008B4295" w:rsidP="00725145">
      <w:pPr>
        <w:pStyle w:val="ListParagraph"/>
        <w:numPr>
          <w:ilvl w:val="0"/>
          <w:numId w:val="32"/>
        </w:numPr>
        <w:rPr>
          <w:lang w:val="en-US" w:eastAsia="ja-JP"/>
        </w:rPr>
      </w:pPr>
      <w:r>
        <w:rPr>
          <w:lang w:val="en-US" w:eastAsia="ja-JP"/>
        </w:rPr>
        <w:t>the interests of consumers</w:t>
      </w:r>
      <w:r w:rsidR="0058362A">
        <w:rPr>
          <w:lang w:val="en-US" w:eastAsia="ja-JP"/>
        </w:rPr>
        <w:t>,</w:t>
      </w:r>
      <w:r>
        <w:rPr>
          <w:lang w:val="en-US" w:eastAsia="ja-JP"/>
        </w:rPr>
        <w:t xml:space="preserve"> generally or as a class of consumers</w:t>
      </w:r>
    </w:p>
    <w:p w:rsidR="008B4295" w:rsidRDefault="008B4295" w:rsidP="00725145">
      <w:pPr>
        <w:pStyle w:val="ListParagraph"/>
        <w:numPr>
          <w:ilvl w:val="0"/>
          <w:numId w:val="32"/>
        </w:numPr>
        <w:rPr>
          <w:lang w:val="en-US" w:eastAsia="ja-JP"/>
        </w:rPr>
      </w:pPr>
      <w:r>
        <w:rPr>
          <w:lang w:val="en-US" w:eastAsia="ja-JP"/>
        </w:rPr>
        <w:t>the competitiveness of Australian businesses</w:t>
      </w:r>
    </w:p>
    <w:p w:rsidR="00604542" w:rsidRDefault="008B4295" w:rsidP="00604542">
      <w:pPr>
        <w:pStyle w:val="ListParagraph"/>
        <w:numPr>
          <w:ilvl w:val="0"/>
          <w:numId w:val="32"/>
        </w:numPr>
        <w:rPr>
          <w:lang w:val="en-US" w:eastAsia="ja-JP"/>
        </w:rPr>
      </w:pPr>
      <w:proofErr w:type="gramStart"/>
      <w:r>
        <w:rPr>
          <w:lang w:val="en-US" w:eastAsia="ja-JP"/>
        </w:rPr>
        <w:t>the</w:t>
      </w:r>
      <w:proofErr w:type="gramEnd"/>
      <w:r>
        <w:rPr>
          <w:lang w:val="en-US" w:eastAsia="ja-JP"/>
        </w:rPr>
        <w:t xml:space="preserve"> efficient allocation of resources. </w:t>
      </w:r>
    </w:p>
    <w:p w:rsidR="00DB5A44" w:rsidRPr="00DB5A44" w:rsidRDefault="00DB5A44" w:rsidP="00DB5A44">
      <w:pPr>
        <w:rPr>
          <w:lang w:val="en-US" w:eastAsia="ja-JP"/>
        </w:rPr>
      </w:pPr>
      <w:r>
        <w:rPr>
          <w:lang w:val="en-US" w:eastAsia="ja-JP"/>
        </w:rPr>
        <w:t xml:space="preserve">These and other matters may be considered by the ACCC depending on the particular circumstances of the relevant application. </w:t>
      </w:r>
      <w:r w:rsidR="00F2486B">
        <w:rPr>
          <w:lang w:val="en-US" w:eastAsia="ja-JP"/>
        </w:rPr>
        <w:t xml:space="preserve">In particular, the ACCC will consider the effect </w:t>
      </w:r>
      <w:r w:rsidR="000F2590">
        <w:rPr>
          <w:lang w:val="en-US" w:eastAsia="ja-JP"/>
        </w:rPr>
        <w:t xml:space="preserve">of making an exemption </w:t>
      </w:r>
      <w:r w:rsidR="00F2486B">
        <w:rPr>
          <w:lang w:val="en-US" w:eastAsia="ja-JP"/>
        </w:rPr>
        <w:t>on the market for grain export, and the ability of a range of grain exporters to compete for purchasing growers’ grain in order to sell to overseas markets.</w:t>
      </w:r>
    </w:p>
    <w:p w:rsidR="008B4295" w:rsidRDefault="00600D8D" w:rsidP="00600D8D">
      <w:pPr>
        <w:pStyle w:val="Numbered111"/>
        <w:rPr>
          <w:lang w:val="en-US" w:eastAsia="ja-JP"/>
        </w:rPr>
      </w:pPr>
      <w:r>
        <w:rPr>
          <w:lang w:val="en-US" w:eastAsia="ja-JP"/>
        </w:rPr>
        <w:t xml:space="preserve">Is it in the public interest </w:t>
      </w:r>
      <w:r w:rsidR="00E04B68">
        <w:rPr>
          <w:lang w:val="en-US" w:eastAsia="ja-JP"/>
        </w:rPr>
        <w:t>(including the public interest in having completion in markets)</w:t>
      </w:r>
      <w:r w:rsidR="00AD70B8">
        <w:rPr>
          <w:lang w:val="en-US" w:eastAsia="ja-JP"/>
        </w:rPr>
        <w:t xml:space="preserve"> and will it promote competition in upstream and downstream markets</w:t>
      </w:r>
      <w:r w:rsidR="00E04B68">
        <w:rPr>
          <w:lang w:val="en-US" w:eastAsia="ja-JP"/>
        </w:rPr>
        <w:t xml:space="preserve"> </w:t>
      </w:r>
      <w:r>
        <w:rPr>
          <w:lang w:val="en-US" w:eastAsia="ja-JP"/>
        </w:rPr>
        <w:t xml:space="preserve">to determine NAT and </w:t>
      </w:r>
      <w:proofErr w:type="spellStart"/>
      <w:r>
        <w:rPr>
          <w:lang w:val="en-US" w:eastAsia="ja-JP"/>
        </w:rPr>
        <w:t>Qube</w:t>
      </w:r>
      <w:proofErr w:type="spellEnd"/>
      <w:r>
        <w:rPr>
          <w:lang w:val="en-US" w:eastAsia="ja-JP"/>
        </w:rPr>
        <w:t xml:space="preserve"> exempt service providers?</w:t>
      </w:r>
    </w:p>
    <w:p w:rsidR="0010456A" w:rsidRDefault="003D142C" w:rsidP="00600D8D">
      <w:pPr>
        <w:rPr>
          <w:lang w:val="en-US" w:eastAsia="ja-JP"/>
        </w:rPr>
      </w:pPr>
      <w:r>
        <w:rPr>
          <w:lang w:val="en-US" w:eastAsia="ja-JP"/>
        </w:rPr>
        <w:t xml:space="preserve">The </w:t>
      </w:r>
      <w:r w:rsidR="00DB5A44">
        <w:rPr>
          <w:lang w:val="en-US" w:eastAsia="ja-JP"/>
        </w:rPr>
        <w:t xml:space="preserve">ACCC considers that the </w:t>
      </w:r>
      <w:r>
        <w:rPr>
          <w:lang w:val="en-US" w:eastAsia="ja-JP"/>
        </w:rPr>
        <w:t xml:space="preserve">key consideration in </w:t>
      </w:r>
      <w:r w:rsidR="00DB5A44">
        <w:rPr>
          <w:lang w:val="en-US" w:eastAsia="ja-JP"/>
        </w:rPr>
        <w:t xml:space="preserve">having regard to </w:t>
      </w:r>
      <w:proofErr w:type="spellStart"/>
      <w:r w:rsidR="00DB5A44">
        <w:rPr>
          <w:lang w:val="en-US" w:eastAsia="ja-JP"/>
        </w:rPr>
        <w:t>subclauses</w:t>
      </w:r>
      <w:proofErr w:type="spellEnd"/>
      <w:r w:rsidR="00DB5A44">
        <w:rPr>
          <w:lang w:val="en-US" w:eastAsia="ja-JP"/>
        </w:rPr>
        <w:t xml:space="preserve"> 5(3)(b) and 5(3)(g) </w:t>
      </w:r>
      <w:r>
        <w:rPr>
          <w:lang w:val="en-US" w:eastAsia="ja-JP"/>
        </w:rPr>
        <w:t xml:space="preserve">assessing whether </w:t>
      </w:r>
      <w:r w:rsidR="00DB5A44">
        <w:rPr>
          <w:lang w:val="en-US" w:eastAsia="ja-JP"/>
        </w:rPr>
        <w:t>determining</w:t>
      </w:r>
      <w:r>
        <w:rPr>
          <w:lang w:val="en-US" w:eastAsia="ja-JP"/>
        </w:rPr>
        <w:t xml:space="preserve"> that either or both</w:t>
      </w:r>
      <w:r w:rsidR="00DB5A44">
        <w:rPr>
          <w:lang w:val="en-US" w:eastAsia="ja-JP"/>
        </w:rPr>
        <w:t xml:space="preserve"> of the Applicants to be</w:t>
      </w:r>
      <w:r>
        <w:rPr>
          <w:lang w:val="en-US" w:eastAsia="ja-JP"/>
        </w:rPr>
        <w:t xml:space="preserve"> exempt </w:t>
      </w:r>
      <w:r w:rsidR="00C676FB">
        <w:rPr>
          <w:lang w:val="en-US" w:eastAsia="ja-JP"/>
        </w:rPr>
        <w:t xml:space="preserve">service providers will </w:t>
      </w:r>
      <w:r>
        <w:rPr>
          <w:lang w:val="en-US" w:eastAsia="ja-JP"/>
        </w:rPr>
        <w:t>promote competition in m</w:t>
      </w:r>
      <w:r w:rsidR="00C676FB">
        <w:rPr>
          <w:lang w:val="en-US" w:eastAsia="ja-JP"/>
        </w:rPr>
        <w:t>arkets</w:t>
      </w:r>
      <w:r w:rsidR="00F2486B">
        <w:rPr>
          <w:lang w:val="en-US" w:eastAsia="ja-JP"/>
        </w:rPr>
        <w:t xml:space="preserve"> (including but not limited to the market </w:t>
      </w:r>
      <w:r w:rsidR="00F2486B">
        <w:rPr>
          <w:lang w:val="en-US" w:eastAsia="ja-JP"/>
        </w:rPr>
        <w:lastRenderedPageBreak/>
        <w:t>for grain export)</w:t>
      </w:r>
      <w:r>
        <w:rPr>
          <w:lang w:val="en-US" w:eastAsia="ja-JP"/>
        </w:rPr>
        <w:t>.</w:t>
      </w:r>
      <w:r w:rsidR="0010456A">
        <w:rPr>
          <w:lang w:val="en-US" w:eastAsia="ja-JP"/>
        </w:rPr>
        <w:t xml:space="preserve"> The ACCC considers that the following </w:t>
      </w:r>
      <w:r w:rsidR="00235EBA">
        <w:rPr>
          <w:lang w:val="en-US" w:eastAsia="ja-JP"/>
        </w:rPr>
        <w:t xml:space="preserve">issues when having regard to the </w:t>
      </w:r>
      <w:proofErr w:type="spellStart"/>
      <w:r w:rsidR="00235EBA">
        <w:rPr>
          <w:lang w:val="en-US" w:eastAsia="ja-JP"/>
        </w:rPr>
        <w:t>s</w:t>
      </w:r>
      <w:r w:rsidR="00F33FCC">
        <w:rPr>
          <w:lang w:val="en-US" w:eastAsia="ja-JP"/>
        </w:rPr>
        <w:t>ubclause</w:t>
      </w:r>
      <w:proofErr w:type="spellEnd"/>
      <w:r w:rsidR="00235EBA">
        <w:rPr>
          <w:lang w:val="en-US" w:eastAsia="ja-JP"/>
        </w:rPr>
        <w:t xml:space="preserve"> 5(3</w:t>
      </w:r>
      <w:proofErr w:type="gramStart"/>
      <w:r w:rsidR="00235EBA">
        <w:rPr>
          <w:lang w:val="en-US" w:eastAsia="ja-JP"/>
        </w:rPr>
        <w:t>)(</w:t>
      </w:r>
      <w:proofErr w:type="gramEnd"/>
      <w:r w:rsidR="00235EBA">
        <w:rPr>
          <w:lang w:val="en-US" w:eastAsia="ja-JP"/>
        </w:rPr>
        <w:t xml:space="preserve">b) and </w:t>
      </w:r>
      <w:r w:rsidR="00F33FCC">
        <w:rPr>
          <w:lang w:val="en-US" w:eastAsia="ja-JP"/>
        </w:rPr>
        <w:t>5(3)</w:t>
      </w:r>
      <w:r w:rsidR="00235EBA">
        <w:rPr>
          <w:lang w:val="en-US" w:eastAsia="ja-JP"/>
        </w:rPr>
        <w:t>(g) matters</w:t>
      </w:r>
      <w:r w:rsidR="0010456A">
        <w:rPr>
          <w:lang w:val="en-US" w:eastAsia="ja-JP"/>
        </w:rPr>
        <w:t>:</w:t>
      </w:r>
    </w:p>
    <w:p w:rsidR="0010456A" w:rsidRDefault="00F33FCC" w:rsidP="00725145">
      <w:pPr>
        <w:pStyle w:val="ListParagraph"/>
        <w:numPr>
          <w:ilvl w:val="0"/>
          <w:numId w:val="33"/>
        </w:numPr>
        <w:rPr>
          <w:lang w:val="en-US" w:eastAsia="ja-JP"/>
        </w:rPr>
      </w:pPr>
      <w:r>
        <w:rPr>
          <w:lang w:val="en-US" w:eastAsia="ja-JP"/>
        </w:rPr>
        <w:t>i</w:t>
      </w:r>
      <w:r w:rsidR="0010456A">
        <w:rPr>
          <w:lang w:val="en-US" w:eastAsia="ja-JP"/>
        </w:rPr>
        <w:t xml:space="preserve">f there is a sufficient degree of competition in the </w:t>
      </w:r>
      <w:r w:rsidR="00C676FB">
        <w:rPr>
          <w:lang w:val="en-US" w:eastAsia="ja-JP"/>
        </w:rPr>
        <w:t>market for bulk wheat export port terminal service</w:t>
      </w:r>
      <w:r w:rsidR="00C90E9A">
        <w:rPr>
          <w:lang w:val="en-US" w:eastAsia="ja-JP"/>
        </w:rPr>
        <w:t>s</w:t>
      </w:r>
      <w:r w:rsidR="00F2486B">
        <w:rPr>
          <w:lang w:val="en-US" w:eastAsia="ja-JP"/>
        </w:rPr>
        <w:t>,</w:t>
      </w:r>
      <w:r w:rsidR="0010456A">
        <w:rPr>
          <w:lang w:val="en-US" w:eastAsia="ja-JP"/>
        </w:rPr>
        <w:t xml:space="preserve"> </w:t>
      </w:r>
      <w:r w:rsidR="00E455A7">
        <w:rPr>
          <w:lang w:val="en-US" w:eastAsia="ja-JP"/>
        </w:rPr>
        <w:t>the full application of the Cod</w:t>
      </w:r>
      <w:r w:rsidR="0010456A">
        <w:rPr>
          <w:lang w:val="en-US" w:eastAsia="ja-JP"/>
        </w:rPr>
        <w:t>e</w:t>
      </w:r>
      <w:r w:rsidR="00E455A7">
        <w:rPr>
          <w:lang w:val="en-US" w:eastAsia="ja-JP"/>
        </w:rPr>
        <w:t xml:space="preserve"> </w:t>
      </w:r>
      <w:r w:rsidR="0010456A">
        <w:rPr>
          <w:lang w:val="en-US" w:eastAsia="ja-JP"/>
        </w:rPr>
        <w:t>might not be required to promote competition in upstream and downstream markets</w:t>
      </w:r>
      <w:r>
        <w:rPr>
          <w:lang w:val="en-US" w:eastAsia="ja-JP"/>
        </w:rPr>
        <w:t>,</w:t>
      </w:r>
      <w:r w:rsidR="0010456A">
        <w:rPr>
          <w:lang w:val="en-US" w:eastAsia="ja-JP"/>
        </w:rPr>
        <w:t xml:space="preserve"> </w:t>
      </w:r>
    </w:p>
    <w:p w:rsidR="0010456A" w:rsidRDefault="0010456A" w:rsidP="00725145">
      <w:pPr>
        <w:pStyle w:val="ListParagraph"/>
        <w:numPr>
          <w:ilvl w:val="0"/>
          <w:numId w:val="33"/>
        </w:numPr>
        <w:rPr>
          <w:lang w:val="en-US" w:eastAsia="ja-JP"/>
        </w:rPr>
      </w:pPr>
      <w:proofErr w:type="gramStart"/>
      <w:r>
        <w:rPr>
          <w:lang w:val="en-US" w:eastAsia="ja-JP"/>
        </w:rPr>
        <w:t>if</w:t>
      </w:r>
      <w:proofErr w:type="gramEnd"/>
      <w:r>
        <w:rPr>
          <w:lang w:val="en-US" w:eastAsia="ja-JP"/>
        </w:rPr>
        <w:t xml:space="preserve"> reducing regulation would allow the port terminal service provider to better compete in upstream or downstream markets, then this would also be a factor that promotes competition in those markets. This factor overlaps with the ACCC’s consideration of legitimate business interest</w:t>
      </w:r>
      <w:r w:rsidR="00C90E9A">
        <w:rPr>
          <w:lang w:val="en-US" w:eastAsia="ja-JP"/>
        </w:rPr>
        <w:t>s</w:t>
      </w:r>
      <w:r>
        <w:rPr>
          <w:lang w:val="en-US" w:eastAsia="ja-JP"/>
        </w:rPr>
        <w:t xml:space="preserve"> (</w:t>
      </w:r>
      <w:proofErr w:type="spellStart"/>
      <w:r>
        <w:rPr>
          <w:lang w:val="en-US" w:eastAsia="ja-JP"/>
        </w:rPr>
        <w:t>subclause</w:t>
      </w:r>
      <w:proofErr w:type="spellEnd"/>
      <w:r>
        <w:rPr>
          <w:lang w:val="en-US" w:eastAsia="ja-JP"/>
        </w:rPr>
        <w:t xml:space="preserve"> 5(3)(a) above)</w:t>
      </w:r>
      <w:r w:rsidR="00F33FCC">
        <w:rPr>
          <w:lang w:val="en-US" w:eastAsia="ja-JP"/>
        </w:rPr>
        <w:t>,</w:t>
      </w:r>
    </w:p>
    <w:p w:rsidR="0010456A" w:rsidRDefault="00F33FCC" w:rsidP="007E33C6">
      <w:pPr>
        <w:pStyle w:val="ListParagraph"/>
        <w:numPr>
          <w:ilvl w:val="0"/>
          <w:numId w:val="33"/>
        </w:numPr>
        <w:spacing w:after="240"/>
        <w:ind w:left="714" w:hanging="357"/>
        <w:rPr>
          <w:lang w:val="en-US" w:eastAsia="ja-JP"/>
        </w:rPr>
      </w:pPr>
      <w:proofErr w:type="gramStart"/>
      <w:r>
        <w:rPr>
          <w:lang w:val="en-US" w:eastAsia="ja-JP"/>
        </w:rPr>
        <w:t>i</w:t>
      </w:r>
      <w:r w:rsidR="0010456A">
        <w:rPr>
          <w:lang w:val="en-US" w:eastAsia="ja-JP"/>
        </w:rPr>
        <w:t>f</w:t>
      </w:r>
      <w:proofErr w:type="gramEnd"/>
      <w:r w:rsidR="0010456A">
        <w:rPr>
          <w:lang w:val="en-US" w:eastAsia="ja-JP"/>
        </w:rPr>
        <w:t xml:space="preserve"> there is sufficient competition in upstream and downstream markets this may also provide a constrain</w:t>
      </w:r>
      <w:r w:rsidR="00D5570E">
        <w:rPr>
          <w:lang w:val="en-US" w:eastAsia="ja-JP"/>
        </w:rPr>
        <w:t>t</w:t>
      </w:r>
      <w:r w:rsidR="0010456A">
        <w:rPr>
          <w:lang w:val="en-US" w:eastAsia="ja-JP"/>
        </w:rPr>
        <w:t xml:space="preserve"> on an exercise of market power in the provision of port terminal services. </w:t>
      </w:r>
    </w:p>
    <w:p w:rsidR="0010456A" w:rsidRDefault="0010456A" w:rsidP="0010456A">
      <w:pPr>
        <w:pStyle w:val="Numbered111"/>
        <w:numPr>
          <w:ilvl w:val="0"/>
          <w:numId w:val="0"/>
        </w:numPr>
        <w:ind w:left="1361" w:hanging="1361"/>
        <w:rPr>
          <w:b w:val="0"/>
          <w:i/>
          <w:lang w:val="en-US" w:eastAsia="ja-JP"/>
        </w:rPr>
      </w:pPr>
      <w:r>
        <w:rPr>
          <w:b w:val="0"/>
          <w:i/>
          <w:lang w:val="en-US" w:eastAsia="ja-JP"/>
        </w:rPr>
        <w:t xml:space="preserve">Level of competition in bulk wheat export operations at the Port of Newcastle </w:t>
      </w:r>
    </w:p>
    <w:p w:rsidR="00F2486B" w:rsidRPr="007C039F" w:rsidRDefault="00F2486B" w:rsidP="00F2486B">
      <w:pPr>
        <w:rPr>
          <w:lang w:val="en-US" w:eastAsia="ja-JP"/>
        </w:rPr>
      </w:pPr>
      <w:r w:rsidRPr="007C039F">
        <w:rPr>
          <w:lang w:val="en-US" w:eastAsia="ja-JP"/>
        </w:rPr>
        <w:t xml:space="preserve">The ACCC considers that the </w:t>
      </w:r>
      <w:r w:rsidR="00757B42">
        <w:rPr>
          <w:lang w:val="en-US" w:eastAsia="ja-JP"/>
        </w:rPr>
        <w:t xml:space="preserve">level of competition in bulk wheat export port terminal services at the Port of Newcastle is relevant to the public interest. </w:t>
      </w:r>
    </w:p>
    <w:p w:rsidR="00F2486B" w:rsidRPr="007C039F" w:rsidRDefault="00F2486B" w:rsidP="00F2486B">
      <w:pPr>
        <w:rPr>
          <w:lang w:val="en-US" w:eastAsia="ja-JP"/>
        </w:rPr>
      </w:pPr>
      <w:r w:rsidRPr="007C039F">
        <w:rPr>
          <w:lang w:val="en-US" w:eastAsia="ja-JP"/>
        </w:rPr>
        <w:t>As detailed in the ACCC’s Final Decision on GrainCorp’s application to vary its 2011 undertaking, and the Final Determination on GrainCorp’s status as an exempt servic</w:t>
      </w:r>
      <w:r w:rsidR="007C039F">
        <w:rPr>
          <w:lang w:val="en-US" w:eastAsia="ja-JP"/>
        </w:rPr>
        <w:t>e provider at Carrington, there</w:t>
      </w:r>
      <w:r w:rsidRPr="007C039F">
        <w:rPr>
          <w:lang w:val="en-US" w:eastAsia="ja-JP"/>
        </w:rPr>
        <w:t xml:space="preserve"> are currently three providers of </w:t>
      </w:r>
      <w:r w:rsidR="00757B42">
        <w:rPr>
          <w:lang w:val="en-US" w:eastAsia="ja-JP"/>
        </w:rPr>
        <w:t xml:space="preserve">bulk wheat </w:t>
      </w:r>
      <w:r w:rsidRPr="007C039F">
        <w:rPr>
          <w:lang w:val="en-US" w:eastAsia="ja-JP"/>
        </w:rPr>
        <w:t>port terminal services at the Port of Newcastle:</w:t>
      </w:r>
    </w:p>
    <w:p w:rsidR="00F2486B" w:rsidRPr="007C039F" w:rsidRDefault="00F2486B" w:rsidP="00F2486B">
      <w:pPr>
        <w:pStyle w:val="ListParagraph"/>
        <w:numPr>
          <w:ilvl w:val="0"/>
          <w:numId w:val="45"/>
        </w:numPr>
        <w:rPr>
          <w:lang w:val="en-US" w:eastAsia="ja-JP"/>
        </w:rPr>
      </w:pPr>
      <w:proofErr w:type="spellStart"/>
      <w:r w:rsidRPr="007C039F">
        <w:rPr>
          <w:lang w:val="en-US" w:eastAsia="ja-JP"/>
        </w:rPr>
        <w:t>GrainCorp</w:t>
      </w:r>
      <w:proofErr w:type="spellEnd"/>
      <w:r w:rsidR="00422F77">
        <w:rPr>
          <w:lang w:val="en-US" w:eastAsia="ja-JP"/>
        </w:rPr>
        <w:t>,</w:t>
      </w:r>
      <w:r w:rsidRPr="007C039F">
        <w:rPr>
          <w:lang w:val="en-US" w:eastAsia="ja-JP"/>
        </w:rPr>
        <w:t xml:space="preserve"> </w:t>
      </w:r>
    </w:p>
    <w:p w:rsidR="00F2486B" w:rsidRPr="007C039F" w:rsidRDefault="00F2486B" w:rsidP="00F2486B">
      <w:pPr>
        <w:pStyle w:val="ListParagraph"/>
        <w:numPr>
          <w:ilvl w:val="0"/>
          <w:numId w:val="45"/>
        </w:numPr>
        <w:rPr>
          <w:lang w:val="en-US" w:eastAsia="ja-JP"/>
        </w:rPr>
      </w:pPr>
      <w:r w:rsidRPr="007C039F">
        <w:rPr>
          <w:lang w:val="en-US" w:eastAsia="ja-JP"/>
        </w:rPr>
        <w:t>NAT</w:t>
      </w:r>
      <w:r w:rsidR="00422F77">
        <w:rPr>
          <w:lang w:val="en-US" w:eastAsia="ja-JP"/>
        </w:rPr>
        <w:t>, and</w:t>
      </w:r>
      <w:r w:rsidRPr="007C039F">
        <w:rPr>
          <w:lang w:val="en-US" w:eastAsia="ja-JP"/>
        </w:rPr>
        <w:t xml:space="preserve">  </w:t>
      </w:r>
    </w:p>
    <w:p w:rsidR="00F2486B" w:rsidRPr="007C039F" w:rsidRDefault="00F2486B" w:rsidP="00F2486B">
      <w:pPr>
        <w:pStyle w:val="ListParagraph"/>
        <w:numPr>
          <w:ilvl w:val="0"/>
          <w:numId w:val="45"/>
        </w:numPr>
        <w:rPr>
          <w:lang w:val="en-US" w:eastAsia="ja-JP"/>
        </w:rPr>
      </w:pPr>
      <w:proofErr w:type="spellStart"/>
      <w:r w:rsidRPr="007C039F">
        <w:rPr>
          <w:lang w:val="en-US" w:eastAsia="ja-JP"/>
        </w:rPr>
        <w:t>Qube</w:t>
      </w:r>
      <w:proofErr w:type="spellEnd"/>
      <w:r w:rsidR="00422F77">
        <w:rPr>
          <w:lang w:val="en-US" w:eastAsia="ja-JP"/>
        </w:rPr>
        <w:t>.</w:t>
      </w:r>
      <w:r w:rsidRPr="007C039F">
        <w:rPr>
          <w:lang w:val="en-US" w:eastAsia="ja-JP"/>
        </w:rPr>
        <w:t xml:space="preserve"> </w:t>
      </w:r>
    </w:p>
    <w:p w:rsidR="00F2486B" w:rsidRPr="007C039F" w:rsidRDefault="00F2486B" w:rsidP="00F2486B">
      <w:pPr>
        <w:rPr>
          <w:lang w:val="en-US" w:eastAsia="ja-JP"/>
        </w:rPr>
      </w:pPr>
      <w:r w:rsidRPr="007C039F">
        <w:rPr>
          <w:lang w:val="en-US" w:eastAsia="ja-JP"/>
        </w:rPr>
        <w:t xml:space="preserve">Both GrainCorp and NAT operate ship loaders as well as associated infrastructure such as an intake facility, storage, and weighing and testing. </w:t>
      </w:r>
      <w:proofErr w:type="spellStart"/>
      <w:r w:rsidRPr="007C039F">
        <w:rPr>
          <w:lang w:val="en-US" w:eastAsia="ja-JP"/>
        </w:rPr>
        <w:t>Qube</w:t>
      </w:r>
      <w:proofErr w:type="spellEnd"/>
      <w:r w:rsidRPr="007C039F">
        <w:rPr>
          <w:lang w:val="en-US" w:eastAsia="ja-JP"/>
        </w:rPr>
        <w:t xml:space="preserve"> operates a ship loader only, and </w:t>
      </w:r>
      <w:r w:rsidR="00343750">
        <w:rPr>
          <w:lang w:val="en-US" w:eastAsia="ja-JP"/>
        </w:rPr>
        <w:t>has</w:t>
      </w:r>
      <w:r w:rsidR="00343750" w:rsidRPr="007C039F">
        <w:rPr>
          <w:lang w:val="en-US" w:eastAsia="ja-JP"/>
        </w:rPr>
        <w:t xml:space="preserve"> </w:t>
      </w:r>
      <w:r w:rsidRPr="007C039F">
        <w:rPr>
          <w:lang w:val="en-US" w:eastAsia="ja-JP"/>
        </w:rPr>
        <w:t xml:space="preserve">to date only provided services to Louis Dreyfus, which operates </w:t>
      </w:r>
      <w:proofErr w:type="gramStart"/>
      <w:r w:rsidRPr="007C039F">
        <w:rPr>
          <w:lang w:val="en-US" w:eastAsia="ja-JP"/>
        </w:rPr>
        <w:t>a grain</w:t>
      </w:r>
      <w:proofErr w:type="gramEnd"/>
      <w:r w:rsidRPr="007C039F">
        <w:rPr>
          <w:lang w:val="en-US" w:eastAsia="ja-JP"/>
        </w:rPr>
        <w:t xml:space="preserve"> storage shed.</w:t>
      </w:r>
    </w:p>
    <w:p w:rsidR="00F2486B" w:rsidRPr="007C039F" w:rsidRDefault="00F2486B" w:rsidP="00F2486B">
      <w:pPr>
        <w:rPr>
          <w:lang w:val="en-US" w:eastAsia="ja-JP"/>
        </w:rPr>
      </w:pPr>
      <w:r w:rsidRPr="007C039F">
        <w:rPr>
          <w:lang w:val="en-US" w:eastAsia="ja-JP"/>
        </w:rPr>
        <w:t xml:space="preserve">The presence of NAT and </w:t>
      </w:r>
      <w:proofErr w:type="spellStart"/>
      <w:r w:rsidRPr="007C039F">
        <w:rPr>
          <w:lang w:val="en-US" w:eastAsia="ja-JP"/>
        </w:rPr>
        <w:t>Qube</w:t>
      </w:r>
      <w:proofErr w:type="spellEnd"/>
      <w:r w:rsidRPr="007C039F">
        <w:rPr>
          <w:lang w:val="en-US" w:eastAsia="ja-JP"/>
        </w:rPr>
        <w:t xml:space="preserve"> in the market has increased the amount of available capacity at the Port of Newcastle, including during the peak shipping period from December to May. The current level of capacity available at the Port of Newcastle </w:t>
      </w:r>
      <w:r w:rsidR="00A218F2" w:rsidRPr="007C039F">
        <w:rPr>
          <w:lang w:val="en-US" w:eastAsia="ja-JP"/>
        </w:rPr>
        <w:t xml:space="preserve">(in the order of 4mt in total across all three facilities) </w:t>
      </w:r>
      <w:r w:rsidRPr="007C039F">
        <w:rPr>
          <w:lang w:val="en-US" w:eastAsia="ja-JP"/>
        </w:rPr>
        <w:t xml:space="preserve">is greater than the </w:t>
      </w:r>
      <w:r w:rsidR="00A218F2" w:rsidRPr="007C039F">
        <w:rPr>
          <w:lang w:val="en-US" w:eastAsia="ja-JP"/>
        </w:rPr>
        <w:t xml:space="preserve">historic </w:t>
      </w:r>
      <w:r w:rsidRPr="007C039F">
        <w:rPr>
          <w:lang w:val="en-US" w:eastAsia="ja-JP"/>
        </w:rPr>
        <w:t>annual exports from the port</w:t>
      </w:r>
      <w:r w:rsidR="00A218F2" w:rsidRPr="007C039F">
        <w:rPr>
          <w:lang w:val="en-US" w:eastAsia="ja-JP"/>
        </w:rPr>
        <w:t xml:space="preserve"> (an average of 1.1mt, and a peak of 1.8mt)</w:t>
      </w:r>
      <w:r w:rsidRPr="007C039F">
        <w:rPr>
          <w:lang w:val="en-US" w:eastAsia="ja-JP"/>
        </w:rPr>
        <w:t>.</w:t>
      </w:r>
      <w:r w:rsidRPr="007C039F">
        <w:rPr>
          <w:rStyle w:val="FootnoteReference"/>
          <w:lang w:val="en-US" w:eastAsia="ja-JP"/>
        </w:rPr>
        <w:footnoteReference w:id="13"/>
      </w:r>
      <w:r w:rsidRPr="007C039F">
        <w:rPr>
          <w:lang w:val="en-US" w:eastAsia="ja-JP"/>
        </w:rPr>
        <w:t xml:space="preserve"> This excess capacity has been more pronounced in recent years of drought where the amount of exported grain has been low.</w:t>
      </w:r>
      <w:r w:rsidRPr="007C039F">
        <w:rPr>
          <w:rStyle w:val="FootnoteReference"/>
          <w:lang w:val="en-US" w:eastAsia="ja-JP"/>
        </w:rPr>
        <w:footnoteReference w:id="14"/>
      </w:r>
    </w:p>
    <w:p w:rsidR="00F2486B" w:rsidRDefault="00F2486B" w:rsidP="0010456A">
      <w:pPr>
        <w:rPr>
          <w:lang w:val="en-US" w:eastAsia="ja-JP"/>
        </w:rPr>
      </w:pPr>
      <w:r w:rsidRPr="007C039F">
        <w:rPr>
          <w:lang w:val="en-US" w:eastAsia="ja-JP"/>
        </w:rPr>
        <w:t xml:space="preserve">In relation to the competition </w:t>
      </w:r>
      <w:r w:rsidR="005276D4" w:rsidRPr="007C039F">
        <w:rPr>
          <w:lang w:val="en-US" w:eastAsia="ja-JP"/>
        </w:rPr>
        <w:t xml:space="preserve">on each of NAT and </w:t>
      </w:r>
      <w:proofErr w:type="spellStart"/>
      <w:r w:rsidR="005276D4" w:rsidRPr="007C039F">
        <w:rPr>
          <w:lang w:val="en-US" w:eastAsia="ja-JP"/>
        </w:rPr>
        <w:t>Qube</w:t>
      </w:r>
      <w:proofErr w:type="spellEnd"/>
      <w:r w:rsidRPr="007C039F">
        <w:rPr>
          <w:lang w:val="en-US" w:eastAsia="ja-JP"/>
        </w:rPr>
        <w:t>, the ACCC notes that:</w:t>
      </w:r>
    </w:p>
    <w:p w:rsidR="00F2486B" w:rsidRDefault="005276D4" w:rsidP="007E33C6">
      <w:pPr>
        <w:pStyle w:val="ListParagraph"/>
        <w:numPr>
          <w:ilvl w:val="0"/>
          <w:numId w:val="54"/>
        </w:numPr>
        <w:rPr>
          <w:lang w:val="en-US" w:eastAsia="ja-JP"/>
        </w:rPr>
      </w:pPr>
      <w:r>
        <w:rPr>
          <w:lang w:val="en-US" w:eastAsia="ja-JP"/>
        </w:rPr>
        <w:t xml:space="preserve">NAT appears to be constrained by the similar-specification GrainCorp facility (and vice versa). NAT has operational advantages such as better rail access due to its balloon loop facility and ability to service larger vessels, but also certain limitations (such as a smaller storage capacity). The ACCC considers that both facilities have a demonstrated ability to export large shipments of bulk wheat – while NAT has only a small number of shipments with its first shipment in February 2014, GrainCorp </w:t>
      </w:r>
      <w:proofErr w:type="gramStart"/>
      <w:r>
        <w:rPr>
          <w:lang w:val="en-US" w:eastAsia="ja-JP"/>
        </w:rPr>
        <w:t>has</w:t>
      </w:r>
      <w:proofErr w:type="gramEnd"/>
      <w:r>
        <w:rPr>
          <w:lang w:val="en-US" w:eastAsia="ja-JP"/>
        </w:rPr>
        <w:t xml:space="preserve"> a long history of shipments from its Newcastle terminal.</w:t>
      </w:r>
      <w:r w:rsidR="00E275B7">
        <w:rPr>
          <w:lang w:val="en-US" w:eastAsia="ja-JP"/>
        </w:rPr>
        <w:t xml:space="preserve"> Accordingly, were NAT to increase price or otherwise attempt to exert market power, export from the GrainCorp facility would provide a viable alternative for exporters.</w:t>
      </w:r>
    </w:p>
    <w:p w:rsidR="005276D4" w:rsidRDefault="00E275B7" w:rsidP="007E33C6">
      <w:pPr>
        <w:pStyle w:val="ListParagraph"/>
        <w:numPr>
          <w:ilvl w:val="0"/>
          <w:numId w:val="54"/>
        </w:numPr>
        <w:rPr>
          <w:lang w:val="en-US" w:eastAsia="ja-JP"/>
        </w:rPr>
      </w:pPr>
      <w:r>
        <w:rPr>
          <w:lang w:val="en-US" w:eastAsia="ja-JP"/>
        </w:rPr>
        <w:lastRenderedPageBreak/>
        <w:t xml:space="preserve">In relation to the </w:t>
      </w:r>
      <w:proofErr w:type="spellStart"/>
      <w:r>
        <w:rPr>
          <w:lang w:val="en-US" w:eastAsia="ja-JP"/>
        </w:rPr>
        <w:t>Qube</w:t>
      </w:r>
      <w:proofErr w:type="spellEnd"/>
      <w:r>
        <w:rPr>
          <w:lang w:val="en-US" w:eastAsia="ja-JP"/>
        </w:rPr>
        <w:t xml:space="preserve"> facility, the ACCC notes that this consists of a </w:t>
      </w:r>
      <w:proofErr w:type="spellStart"/>
      <w:r>
        <w:rPr>
          <w:lang w:val="en-US" w:eastAsia="ja-JP"/>
        </w:rPr>
        <w:t>shiploader</w:t>
      </w:r>
      <w:proofErr w:type="spellEnd"/>
      <w:r>
        <w:rPr>
          <w:lang w:val="en-US" w:eastAsia="ja-JP"/>
        </w:rPr>
        <w:t xml:space="preserve"> only, without the attached storage and receival infrastructure of either NAT</w:t>
      </w:r>
      <w:r w:rsidR="00097444">
        <w:rPr>
          <w:lang w:val="en-US" w:eastAsia="ja-JP"/>
        </w:rPr>
        <w:t>’s</w:t>
      </w:r>
      <w:r>
        <w:rPr>
          <w:lang w:val="en-US" w:eastAsia="ja-JP"/>
        </w:rPr>
        <w:t xml:space="preserve"> or </w:t>
      </w:r>
      <w:proofErr w:type="spellStart"/>
      <w:r>
        <w:rPr>
          <w:lang w:val="en-US" w:eastAsia="ja-JP"/>
        </w:rPr>
        <w:t>Graincorp’s</w:t>
      </w:r>
      <w:proofErr w:type="spellEnd"/>
      <w:r>
        <w:rPr>
          <w:lang w:val="en-US" w:eastAsia="ja-JP"/>
        </w:rPr>
        <w:t xml:space="preserve"> facility. </w:t>
      </w:r>
      <w:proofErr w:type="spellStart"/>
      <w:r>
        <w:rPr>
          <w:lang w:val="en-US" w:eastAsia="ja-JP"/>
        </w:rPr>
        <w:t>Qube</w:t>
      </w:r>
      <w:proofErr w:type="spellEnd"/>
      <w:r>
        <w:rPr>
          <w:lang w:val="en-US" w:eastAsia="ja-JP"/>
        </w:rPr>
        <w:t xml:space="preserve"> has </w:t>
      </w:r>
      <w:r w:rsidR="00343750">
        <w:rPr>
          <w:lang w:val="en-US" w:eastAsia="ja-JP"/>
        </w:rPr>
        <w:t xml:space="preserve">to date </w:t>
      </w:r>
      <w:r>
        <w:rPr>
          <w:lang w:val="en-US" w:eastAsia="ja-JP"/>
        </w:rPr>
        <w:t xml:space="preserve">been providing bulk grain </w:t>
      </w:r>
      <w:proofErr w:type="spellStart"/>
      <w:r>
        <w:rPr>
          <w:lang w:val="en-US" w:eastAsia="ja-JP"/>
        </w:rPr>
        <w:t>shiploader</w:t>
      </w:r>
      <w:proofErr w:type="spellEnd"/>
      <w:r>
        <w:rPr>
          <w:lang w:val="en-US" w:eastAsia="ja-JP"/>
        </w:rPr>
        <w:t xml:space="preserve"> services </w:t>
      </w:r>
      <w:r w:rsidR="00B0686A">
        <w:rPr>
          <w:lang w:val="en-US" w:eastAsia="ja-JP"/>
        </w:rPr>
        <w:t xml:space="preserve">to Louis Dreyfus, who operates a storage facility in joint venture with Mountain Industries. The ACCC considers that the </w:t>
      </w:r>
      <w:proofErr w:type="spellStart"/>
      <w:r w:rsidR="00B0686A">
        <w:rPr>
          <w:lang w:val="en-US" w:eastAsia="ja-JP"/>
        </w:rPr>
        <w:t>Qube</w:t>
      </w:r>
      <w:proofErr w:type="spellEnd"/>
      <w:r w:rsidR="00B0686A">
        <w:rPr>
          <w:lang w:val="en-US" w:eastAsia="ja-JP"/>
        </w:rPr>
        <w:t xml:space="preserve"> facility will be </w:t>
      </w:r>
      <w:r w:rsidR="00F2656F">
        <w:rPr>
          <w:lang w:val="en-US" w:eastAsia="ja-JP"/>
        </w:rPr>
        <w:t>constrained by the full service offerings of GrainCorp and NAT.</w:t>
      </w:r>
    </w:p>
    <w:p w:rsidR="00B0686A" w:rsidRDefault="00F2656F" w:rsidP="007E33C6">
      <w:pPr>
        <w:pStyle w:val="ListParagraph"/>
        <w:numPr>
          <w:ilvl w:val="0"/>
          <w:numId w:val="54"/>
        </w:numPr>
        <w:rPr>
          <w:lang w:val="en-US" w:eastAsia="ja-JP"/>
        </w:rPr>
      </w:pPr>
      <w:r>
        <w:rPr>
          <w:lang w:val="en-US" w:eastAsia="ja-JP"/>
        </w:rPr>
        <w:t xml:space="preserve">In relation to the competitive constraint placed by </w:t>
      </w:r>
      <w:proofErr w:type="spellStart"/>
      <w:r>
        <w:rPr>
          <w:lang w:val="en-US" w:eastAsia="ja-JP"/>
        </w:rPr>
        <w:t>Qube</w:t>
      </w:r>
      <w:proofErr w:type="spellEnd"/>
      <w:r>
        <w:rPr>
          <w:lang w:val="en-US" w:eastAsia="ja-JP"/>
        </w:rPr>
        <w:t xml:space="preserve"> on NAT, the ACCC considers that the </w:t>
      </w:r>
      <w:proofErr w:type="spellStart"/>
      <w:r>
        <w:rPr>
          <w:lang w:val="en-US" w:eastAsia="ja-JP"/>
        </w:rPr>
        <w:t>Qube</w:t>
      </w:r>
      <w:proofErr w:type="spellEnd"/>
      <w:r>
        <w:rPr>
          <w:lang w:val="en-US" w:eastAsia="ja-JP"/>
        </w:rPr>
        <w:t xml:space="preserve"> facility is unlikely to provide a significant direct constraint on NAT (or GrainCorp), due to the more limited service offering it provides. However the export by Louis Dreyfus using its storage shed and the </w:t>
      </w:r>
      <w:proofErr w:type="spellStart"/>
      <w:r>
        <w:rPr>
          <w:lang w:val="en-US" w:eastAsia="ja-JP"/>
        </w:rPr>
        <w:t>Qube</w:t>
      </w:r>
      <w:proofErr w:type="spellEnd"/>
      <w:r>
        <w:rPr>
          <w:lang w:val="en-US" w:eastAsia="ja-JP"/>
        </w:rPr>
        <w:t xml:space="preserve"> </w:t>
      </w:r>
      <w:proofErr w:type="spellStart"/>
      <w:r>
        <w:rPr>
          <w:lang w:val="en-US" w:eastAsia="ja-JP"/>
        </w:rPr>
        <w:t>shiploader</w:t>
      </w:r>
      <w:proofErr w:type="spellEnd"/>
      <w:r>
        <w:rPr>
          <w:lang w:val="en-US" w:eastAsia="ja-JP"/>
        </w:rPr>
        <w:t xml:space="preserve"> does demonstrate the potential for exporters to establish alternatives to large scale export terminals.</w:t>
      </w:r>
    </w:p>
    <w:p w:rsidR="00B0686A" w:rsidRPr="005276D4" w:rsidRDefault="00F2656F" w:rsidP="007E33C6">
      <w:pPr>
        <w:pStyle w:val="ListParagraph"/>
        <w:numPr>
          <w:ilvl w:val="0"/>
          <w:numId w:val="54"/>
        </w:numPr>
        <w:rPr>
          <w:lang w:val="en-US" w:eastAsia="ja-JP"/>
        </w:rPr>
      </w:pPr>
      <w:r>
        <w:rPr>
          <w:lang w:val="en-US" w:eastAsia="ja-JP"/>
        </w:rPr>
        <w:t xml:space="preserve">More broadly, the ACCC also notes that the relatively recent </w:t>
      </w:r>
      <w:r w:rsidR="004077A6">
        <w:rPr>
          <w:lang w:val="en-US" w:eastAsia="ja-JP"/>
        </w:rPr>
        <w:t xml:space="preserve">entry </w:t>
      </w:r>
      <w:r>
        <w:rPr>
          <w:lang w:val="en-US" w:eastAsia="ja-JP"/>
        </w:rPr>
        <w:t xml:space="preserve">of NAT and </w:t>
      </w:r>
      <w:proofErr w:type="spellStart"/>
      <w:r>
        <w:rPr>
          <w:lang w:val="en-US" w:eastAsia="ja-JP"/>
        </w:rPr>
        <w:t>Qube</w:t>
      </w:r>
      <w:proofErr w:type="spellEnd"/>
      <w:r>
        <w:rPr>
          <w:lang w:val="en-US" w:eastAsia="ja-JP"/>
        </w:rPr>
        <w:t xml:space="preserve"> into bulk export from Newcastle in competition with the established GrainCorp does demonstrate that there is a credible threat of competitive entry that may provide a further competitive constraint on all facilities.</w:t>
      </w:r>
    </w:p>
    <w:p w:rsidR="005F11BA" w:rsidRDefault="00F01B69" w:rsidP="00B06663">
      <w:pPr>
        <w:rPr>
          <w:lang w:val="en-US" w:eastAsia="ja-JP"/>
        </w:rPr>
      </w:pPr>
      <w:r>
        <w:rPr>
          <w:lang w:val="en-US" w:eastAsia="ja-JP"/>
        </w:rPr>
        <w:t xml:space="preserve">The ACCC also notes that the total capacity for wheat export from the three open access facilities </w:t>
      </w:r>
      <w:r w:rsidR="00E976D8">
        <w:rPr>
          <w:lang w:val="en-US" w:eastAsia="ja-JP"/>
        </w:rPr>
        <w:t xml:space="preserve">at the Port of Newcastle </w:t>
      </w:r>
      <w:r>
        <w:rPr>
          <w:lang w:val="en-US" w:eastAsia="ja-JP"/>
        </w:rPr>
        <w:t>continues to exceed the typical annual exports, including during the peak period from December to May.</w:t>
      </w:r>
      <w:r w:rsidR="00F2656F">
        <w:rPr>
          <w:rStyle w:val="FootnoteReference"/>
          <w:lang w:val="en-US" w:eastAsia="ja-JP"/>
        </w:rPr>
        <w:footnoteReference w:id="15"/>
      </w:r>
      <w:r>
        <w:rPr>
          <w:lang w:val="en-US" w:eastAsia="ja-JP"/>
        </w:rPr>
        <w:t xml:space="preserve"> </w:t>
      </w:r>
      <w:r w:rsidR="00C132A4">
        <w:rPr>
          <w:lang w:val="en-US" w:eastAsia="ja-JP"/>
        </w:rPr>
        <w:t xml:space="preserve">The ACCC therefore considers that the presence of competitors at the Port of Newcastle will provide incentives for each of the </w:t>
      </w:r>
      <w:r w:rsidR="00F2656F">
        <w:rPr>
          <w:lang w:val="en-US" w:eastAsia="ja-JP"/>
        </w:rPr>
        <w:t>PTSPs</w:t>
      </w:r>
      <w:r w:rsidR="00C132A4">
        <w:rPr>
          <w:lang w:val="en-US" w:eastAsia="ja-JP"/>
        </w:rPr>
        <w:t xml:space="preserve"> to provide fair and transparent access.</w:t>
      </w:r>
    </w:p>
    <w:p w:rsidR="00E976D8" w:rsidRDefault="00E976D8" w:rsidP="00B06663">
      <w:pPr>
        <w:rPr>
          <w:lang w:val="en-US" w:eastAsia="ja-JP"/>
        </w:rPr>
      </w:pPr>
      <w:r w:rsidRPr="003E716F">
        <w:rPr>
          <w:lang w:val="en-US" w:eastAsia="ja-JP"/>
        </w:rPr>
        <w:t>As discussed a</w:t>
      </w:r>
      <w:r w:rsidR="00A146AD" w:rsidRPr="003E716F">
        <w:rPr>
          <w:lang w:val="en-US" w:eastAsia="ja-JP"/>
        </w:rPr>
        <w:t xml:space="preserve">t section </w:t>
      </w:r>
      <w:r w:rsidR="00F2656F">
        <w:rPr>
          <w:lang w:val="en-US" w:eastAsia="ja-JP"/>
        </w:rPr>
        <w:fldChar w:fldCharType="begin"/>
      </w:r>
      <w:r w:rsidR="00F2656F">
        <w:rPr>
          <w:lang w:val="en-US" w:eastAsia="ja-JP"/>
        </w:rPr>
        <w:instrText xml:space="preserve"> REF _Ref413423511 \r \h </w:instrText>
      </w:r>
      <w:r w:rsidR="00F2656F">
        <w:rPr>
          <w:lang w:val="en-US" w:eastAsia="ja-JP"/>
        </w:rPr>
      </w:r>
      <w:r w:rsidR="00F2656F">
        <w:rPr>
          <w:lang w:val="en-US" w:eastAsia="ja-JP"/>
        </w:rPr>
        <w:fldChar w:fldCharType="separate"/>
      </w:r>
      <w:r w:rsidR="005B1720">
        <w:rPr>
          <w:lang w:val="en-US" w:eastAsia="ja-JP"/>
        </w:rPr>
        <w:t>5.1</w:t>
      </w:r>
      <w:r w:rsidR="00F2656F">
        <w:rPr>
          <w:lang w:val="en-US" w:eastAsia="ja-JP"/>
        </w:rPr>
        <w:fldChar w:fldCharType="end"/>
      </w:r>
      <w:r w:rsidR="00A146AD" w:rsidRPr="003E716F">
        <w:rPr>
          <w:lang w:val="en-US" w:eastAsia="ja-JP"/>
        </w:rPr>
        <w:t xml:space="preserve">, however, while </w:t>
      </w:r>
      <w:r w:rsidR="003E716F">
        <w:rPr>
          <w:lang w:val="en-US" w:eastAsia="ja-JP"/>
        </w:rPr>
        <w:t xml:space="preserve">NAT, </w:t>
      </w:r>
      <w:proofErr w:type="spellStart"/>
      <w:r w:rsidR="003E716F">
        <w:rPr>
          <w:lang w:val="en-US" w:eastAsia="ja-JP"/>
        </w:rPr>
        <w:t>Qube</w:t>
      </w:r>
      <w:proofErr w:type="spellEnd"/>
      <w:r w:rsidR="003E716F">
        <w:rPr>
          <w:lang w:val="en-US" w:eastAsia="ja-JP"/>
        </w:rPr>
        <w:t xml:space="preserve"> and </w:t>
      </w:r>
      <w:proofErr w:type="spellStart"/>
      <w:r w:rsidR="003E716F">
        <w:rPr>
          <w:lang w:val="en-US" w:eastAsia="ja-JP"/>
        </w:rPr>
        <w:t>GrainCorp</w:t>
      </w:r>
      <w:proofErr w:type="spellEnd"/>
      <w:r w:rsidR="003E716F">
        <w:rPr>
          <w:lang w:val="en-US" w:eastAsia="ja-JP"/>
        </w:rPr>
        <w:t xml:space="preserve"> compete in the market for port terminal services at the Port of Newcastle, GrainCorp’s services </w:t>
      </w:r>
      <w:r w:rsidR="0093155A">
        <w:rPr>
          <w:lang w:val="en-US" w:eastAsia="ja-JP"/>
        </w:rPr>
        <w:t xml:space="preserve">will be </w:t>
      </w:r>
      <w:r w:rsidR="003E716F">
        <w:rPr>
          <w:lang w:val="en-US" w:eastAsia="ja-JP"/>
        </w:rPr>
        <w:t>subject to less regulation</w:t>
      </w:r>
      <w:r w:rsidR="0093155A">
        <w:rPr>
          <w:lang w:val="en-US" w:eastAsia="ja-JP"/>
        </w:rPr>
        <w:t xml:space="preserve"> (if exemptions are not granted to NAT and </w:t>
      </w:r>
      <w:proofErr w:type="spellStart"/>
      <w:r w:rsidR="0093155A">
        <w:rPr>
          <w:lang w:val="en-US" w:eastAsia="ja-JP"/>
        </w:rPr>
        <w:t>Qube</w:t>
      </w:r>
      <w:proofErr w:type="spellEnd"/>
      <w:r w:rsidR="0093155A">
        <w:rPr>
          <w:lang w:val="en-US" w:eastAsia="ja-JP"/>
        </w:rPr>
        <w:t>)</w:t>
      </w:r>
      <w:r w:rsidR="003E716F">
        <w:rPr>
          <w:lang w:val="en-US" w:eastAsia="ja-JP"/>
        </w:rPr>
        <w:t xml:space="preserve">. </w:t>
      </w:r>
    </w:p>
    <w:p w:rsidR="0091207C" w:rsidRPr="0091207C" w:rsidRDefault="00422F77" w:rsidP="0091207C">
      <w:pPr>
        <w:rPr>
          <w:lang w:val="en-US" w:eastAsia="ja-JP"/>
        </w:rPr>
      </w:pPr>
      <w:r>
        <w:rPr>
          <w:lang w:val="en-US" w:eastAsia="ja-JP"/>
        </w:rPr>
        <w:t>In summary, the ACCC</w:t>
      </w:r>
      <w:r w:rsidR="00595F37">
        <w:rPr>
          <w:lang w:val="en-US" w:eastAsia="ja-JP"/>
        </w:rPr>
        <w:t>’s draft view is that it</w:t>
      </w:r>
      <w:r>
        <w:rPr>
          <w:lang w:val="en-US" w:eastAsia="ja-JP"/>
        </w:rPr>
        <w:t xml:space="preserve"> considers that exemption will place the Applicants on a level playing field with </w:t>
      </w:r>
      <w:proofErr w:type="spellStart"/>
      <w:r>
        <w:rPr>
          <w:lang w:val="en-US" w:eastAsia="ja-JP"/>
        </w:rPr>
        <w:t>GrainCorp</w:t>
      </w:r>
      <w:proofErr w:type="spellEnd"/>
      <w:r w:rsidR="00C33603">
        <w:rPr>
          <w:lang w:val="en-US" w:eastAsia="ja-JP"/>
        </w:rPr>
        <w:t>, and support the ACCC determining that the Applicants should be exempt service providers at the port of Newcastle,</w:t>
      </w:r>
      <w:r>
        <w:rPr>
          <w:lang w:val="en-US" w:eastAsia="ja-JP"/>
        </w:rPr>
        <w:t xml:space="preserve"> because</w:t>
      </w:r>
      <w:proofErr w:type="gramStart"/>
      <w:r>
        <w:rPr>
          <w:lang w:val="en-US" w:eastAsia="ja-JP"/>
        </w:rPr>
        <w:t>:</w:t>
      </w:r>
      <w:r w:rsidR="005F11BA">
        <w:rPr>
          <w:lang w:val="en-US" w:eastAsia="ja-JP"/>
        </w:rPr>
        <w:t>:</w:t>
      </w:r>
      <w:proofErr w:type="gramEnd"/>
    </w:p>
    <w:p w:rsidR="005F11BA" w:rsidRDefault="00422F77" w:rsidP="00725145">
      <w:pPr>
        <w:pStyle w:val="ListParagraph"/>
        <w:numPr>
          <w:ilvl w:val="0"/>
          <w:numId w:val="35"/>
        </w:numPr>
        <w:rPr>
          <w:lang w:val="en-US" w:eastAsia="ja-JP"/>
        </w:rPr>
      </w:pPr>
      <w:r>
        <w:rPr>
          <w:lang w:val="en-US" w:eastAsia="ja-JP"/>
        </w:rPr>
        <w:t>i</w:t>
      </w:r>
      <w:r w:rsidR="004077A6">
        <w:rPr>
          <w:lang w:val="en-US" w:eastAsia="ja-JP"/>
        </w:rPr>
        <w:t xml:space="preserve">t will mean that </w:t>
      </w:r>
      <w:r w:rsidR="005F11BA">
        <w:rPr>
          <w:lang w:val="en-US" w:eastAsia="ja-JP"/>
        </w:rPr>
        <w:t xml:space="preserve">NAT and </w:t>
      </w:r>
      <w:proofErr w:type="spellStart"/>
      <w:r w:rsidR="005F11BA">
        <w:rPr>
          <w:lang w:val="en-US" w:eastAsia="ja-JP"/>
        </w:rPr>
        <w:t>Qube</w:t>
      </w:r>
      <w:proofErr w:type="spellEnd"/>
      <w:r w:rsidR="005F11BA">
        <w:rPr>
          <w:lang w:val="en-US" w:eastAsia="ja-JP"/>
        </w:rPr>
        <w:t xml:space="preserve"> will have the same level of flexibility as GrainCorp </w:t>
      </w:r>
      <w:r w:rsidR="0091207C">
        <w:rPr>
          <w:lang w:val="en-US" w:eastAsia="ja-JP"/>
        </w:rPr>
        <w:t xml:space="preserve">in terms of the way they can provide </w:t>
      </w:r>
      <w:r w:rsidR="004077A6">
        <w:rPr>
          <w:lang w:val="en-US" w:eastAsia="ja-JP"/>
        </w:rPr>
        <w:t xml:space="preserve">access to </w:t>
      </w:r>
      <w:r w:rsidR="0091207C">
        <w:rPr>
          <w:lang w:val="en-US" w:eastAsia="ja-JP"/>
        </w:rPr>
        <w:t>customers (service competitiveness)</w:t>
      </w:r>
      <w:r>
        <w:rPr>
          <w:lang w:val="en-US" w:eastAsia="ja-JP"/>
        </w:rPr>
        <w:t>, and</w:t>
      </w:r>
    </w:p>
    <w:p w:rsidR="0091207C" w:rsidRPr="005F11BA" w:rsidRDefault="00422F77" w:rsidP="00725145">
      <w:pPr>
        <w:pStyle w:val="ListParagraph"/>
        <w:numPr>
          <w:ilvl w:val="0"/>
          <w:numId w:val="35"/>
        </w:numPr>
        <w:rPr>
          <w:lang w:val="en-US" w:eastAsia="ja-JP"/>
        </w:rPr>
      </w:pPr>
      <w:proofErr w:type="gramStart"/>
      <w:r>
        <w:rPr>
          <w:lang w:val="en-US" w:eastAsia="ja-JP"/>
        </w:rPr>
        <w:t>i</w:t>
      </w:r>
      <w:r w:rsidR="004077A6">
        <w:rPr>
          <w:lang w:val="en-US" w:eastAsia="ja-JP"/>
        </w:rPr>
        <w:t>t</w:t>
      </w:r>
      <w:proofErr w:type="gramEnd"/>
      <w:r w:rsidR="004077A6">
        <w:rPr>
          <w:lang w:val="en-US" w:eastAsia="ja-JP"/>
        </w:rPr>
        <w:t xml:space="preserve"> will allow </w:t>
      </w:r>
      <w:r w:rsidR="0091207C">
        <w:rPr>
          <w:lang w:val="en-US" w:eastAsia="ja-JP"/>
        </w:rPr>
        <w:t xml:space="preserve">NAT and </w:t>
      </w:r>
      <w:proofErr w:type="spellStart"/>
      <w:r w:rsidR="0091207C">
        <w:rPr>
          <w:lang w:val="en-US" w:eastAsia="ja-JP"/>
        </w:rPr>
        <w:t>Qube</w:t>
      </w:r>
      <w:proofErr w:type="spellEnd"/>
      <w:r w:rsidR="0091207C">
        <w:rPr>
          <w:lang w:val="en-US" w:eastAsia="ja-JP"/>
        </w:rPr>
        <w:t xml:space="preserve"> </w:t>
      </w:r>
      <w:r w:rsidR="0093155A">
        <w:rPr>
          <w:lang w:val="en-US" w:eastAsia="ja-JP"/>
        </w:rPr>
        <w:t xml:space="preserve">to be more flexible in tailoring pricing solutions for different clients, and will </w:t>
      </w:r>
      <w:r w:rsidR="004077A6">
        <w:rPr>
          <w:lang w:val="en-US" w:eastAsia="ja-JP"/>
        </w:rPr>
        <w:t xml:space="preserve">reduce their </w:t>
      </w:r>
      <w:r w:rsidR="0091207C">
        <w:rPr>
          <w:lang w:val="en-US" w:eastAsia="ja-JP"/>
        </w:rPr>
        <w:t>Code compliance costs, making them more likely to be able to compete with GrainCorp on price (price competitiveness)</w:t>
      </w:r>
      <w:r w:rsidR="00F94BA8">
        <w:rPr>
          <w:lang w:val="en-US" w:eastAsia="ja-JP"/>
        </w:rPr>
        <w:t>.</w:t>
      </w:r>
    </w:p>
    <w:p w:rsidR="003C3483" w:rsidRPr="00121A9C" w:rsidRDefault="0091207C" w:rsidP="00B06663">
      <w:pPr>
        <w:rPr>
          <w:lang w:val="en-US" w:eastAsia="ja-JP"/>
        </w:rPr>
      </w:pPr>
      <w:r>
        <w:rPr>
          <w:lang w:val="en-US" w:eastAsia="ja-JP"/>
        </w:rPr>
        <w:t xml:space="preserve">The ACCC considers that placing competitors on a level regulatory playing field is likely to increase the extent of competition in the market and is therefore in the public interest.  </w:t>
      </w:r>
    </w:p>
    <w:p w:rsidR="000E7C91" w:rsidRPr="007C039F" w:rsidRDefault="000E7C91" w:rsidP="00B06663">
      <w:pPr>
        <w:rPr>
          <w:i/>
          <w:lang w:val="en-US" w:eastAsia="ja-JP"/>
        </w:rPr>
      </w:pPr>
      <w:r w:rsidRPr="007C039F">
        <w:rPr>
          <w:i/>
          <w:lang w:val="en-US" w:eastAsia="ja-JP"/>
        </w:rPr>
        <w:t xml:space="preserve">Competition in upstream and downstream markets </w:t>
      </w:r>
    </w:p>
    <w:p w:rsidR="00F2486B" w:rsidRPr="007C039F" w:rsidRDefault="00F2486B" w:rsidP="00F2486B">
      <w:pPr>
        <w:rPr>
          <w:lang w:val="en-US" w:eastAsia="ja-JP"/>
        </w:rPr>
      </w:pPr>
      <w:r w:rsidRPr="007C039F">
        <w:rPr>
          <w:lang w:val="en-US" w:eastAsia="ja-JP"/>
        </w:rPr>
        <w:t xml:space="preserve">The ACCC notes that its consideration of upstream </w:t>
      </w:r>
      <w:r w:rsidR="00422F77">
        <w:rPr>
          <w:lang w:val="en-US" w:eastAsia="ja-JP"/>
        </w:rPr>
        <w:t xml:space="preserve">and downstream </w:t>
      </w:r>
      <w:r w:rsidRPr="007C039F">
        <w:rPr>
          <w:lang w:val="en-US" w:eastAsia="ja-JP"/>
        </w:rPr>
        <w:t xml:space="preserve">markets is </w:t>
      </w:r>
      <w:r w:rsidR="00C33603">
        <w:rPr>
          <w:lang w:val="en-US" w:eastAsia="ja-JP"/>
        </w:rPr>
        <w:t>in the context of</w:t>
      </w:r>
      <w:r w:rsidR="00422F77">
        <w:rPr>
          <w:lang w:val="en-US" w:eastAsia="ja-JP"/>
        </w:rPr>
        <w:t xml:space="preserve"> </w:t>
      </w:r>
      <w:r w:rsidR="00C33603">
        <w:rPr>
          <w:lang w:val="en-US" w:eastAsia="ja-JP"/>
        </w:rPr>
        <w:t>considering</w:t>
      </w:r>
      <w:r w:rsidR="00422F77">
        <w:rPr>
          <w:lang w:val="en-US" w:eastAsia="ja-JP"/>
        </w:rPr>
        <w:t xml:space="preserve"> the </w:t>
      </w:r>
      <w:r w:rsidR="00C33603">
        <w:rPr>
          <w:lang w:val="en-US" w:eastAsia="ja-JP"/>
        </w:rPr>
        <w:t xml:space="preserve">appropriate approach to take to exempt status </w:t>
      </w:r>
      <w:r w:rsidR="007852A5">
        <w:rPr>
          <w:lang w:val="en-US" w:eastAsia="ja-JP"/>
        </w:rPr>
        <w:t>for</w:t>
      </w:r>
      <w:r w:rsidRPr="007C039F">
        <w:rPr>
          <w:lang w:val="en-US" w:eastAsia="ja-JP"/>
        </w:rPr>
        <w:t xml:space="preserve"> bulk port services provided at the Port of Newcastle.</w:t>
      </w:r>
    </w:p>
    <w:p w:rsidR="00F2486B" w:rsidRPr="007C039F" w:rsidRDefault="00F2486B" w:rsidP="00F2486B">
      <w:pPr>
        <w:rPr>
          <w:lang w:val="en-US" w:eastAsia="ja-JP"/>
        </w:rPr>
      </w:pPr>
      <w:r w:rsidRPr="007C039F">
        <w:rPr>
          <w:lang w:val="en-US" w:eastAsia="ja-JP"/>
        </w:rPr>
        <w:t>As outlined in the ACCC</w:t>
      </w:r>
      <w:r w:rsidR="00A052FF">
        <w:rPr>
          <w:lang w:val="en-US" w:eastAsia="ja-JP"/>
        </w:rPr>
        <w:t>’s decisions on</w:t>
      </w:r>
      <w:r w:rsidRPr="007C039F">
        <w:rPr>
          <w:lang w:val="en-US" w:eastAsia="ja-JP"/>
        </w:rPr>
        <w:t xml:space="preserve"> </w:t>
      </w:r>
      <w:proofErr w:type="spellStart"/>
      <w:r w:rsidRPr="007C039F">
        <w:rPr>
          <w:lang w:val="en-US" w:eastAsia="ja-JP"/>
        </w:rPr>
        <w:t>GrainCorp</w:t>
      </w:r>
      <w:r w:rsidR="00A052FF">
        <w:rPr>
          <w:lang w:val="en-US" w:eastAsia="ja-JP"/>
        </w:rPr>
        <w:t>’s</w:t>
      </w:r>
      <w:proofErr w:type="spellEnd"/>
      <w:r w:rsidRPr="007C039F">
        <w:rPr>
          <w:lang w:val="en-US" w:eastAsia="ja-JP"/>
        </w:rPr>
        <w:t xml:space="preserve"> Carrington </w:t>
      </w:r>
      <w:r w:rsidR="00422F77">
        <w:rPr>
          <w:lang w:val="en-US" w:eastAsia="ja-JP"/>
        </w:rPr>
        <w:t>facilities,</w:t>
      </w:r>
      <w:r w:rsidRPr="007C039F">
        <w:rPr>
          <w:lang w:val="en-US" w:eastAsia="ja-JP"/>
        </w:rPr>
        <w:t xml:space="preserve"> bulk wheat for export from Newcastle is typically sourced from Northern NSW.</w:t>
      </w:r>
      <w:r w:rsidRPr="007C039F">
        <w:rPr>
          <w:rStyle w:val="FootnoteReference"/>
          <w:lang w:val="en-US" w:eastAsia="ja-JP"/>
        </w:rPr>
        <w:t xml:space="preserve"> </w:t>
      </w:r>
      <w:r w:rsidRPr="007C039F">
        <w:rPr>
          <w:rStyle w:val="FootnoteReference"/>
          <w:lang w:val="en-US" w:eastAsia="ja-JP"/>
        </w:rPr>
        <w:footnoteReference w:id="16"/>
      </w:r>
      <w:r w:rsidRPr="007C039F">
        <w:rPr>
          <w:lang w:val="en-US" w:eastAsia="ja-JP"/>
        </w:rPr>
        <w:t xml:space="preserve"> This area is referred to as the </w:t>
      </w:r>
      <w:r w:rsidR="0093155A" w:rsidRPr="007C039F">
        <w:rPr>
          <w:lang w:val="en-US" w:eastAsia="ja-JP"/>
        </w:rPr>
        <w:t>NPZ</w:t>
      </w:r>
      <w:r w:rsidRPr="007C039F">
        <w:rPr>
          <w:lang w:val="en-US" w:eastAsia="ja-JP"/>
        </w:rPr>
        <w:t xml:space="preserve">. </w:t>
      </w:r>
    </w:p>
    <w:p w:rsidR="00F2486B" w:rsidRPr="007C039F" w:rsidRDefault="00F2486B" w:rsidP="00F2486B">
      <w:pPr>
        <w:rPr>
          <w:lang w:val="en-US" w:eastAsia="ja-JP"/>
        </w:rPr>
      </w:pPr>
      <w:r w:rsidRPr="007C039F">
        <w:rPr>
          <w:lang w:val="en-US" w:eastAsia="ja-JP"/>
        </w:rPr>
        <w:t>Within the NPZ, there are a number of markets competing for bulk wheat, including:</w:t>
      </w:r>
    </w:p>
    <w:p w:rsidR="00F2486B" w:rsidRPr="007C039F" w:rsidRDefault="00F2486B" w:rsidP="00F2486B">
      <w:pPr>
        <w:pStyle w:val="ListParagraph"/>
        <w:numPr>
          <w:ilvl w:val="0"/>
          <w:numId w:val="46"/>
        </w:numPr>
        <w:rPr>
          <w:lang w:val="en-US" w:eastAsia="ja-JP"/>
        </w:rPr>
      </w:pPr>
      <w:r w:rsidRPr="007C039F">
        <w:rPr>
          <w:lang w:val="en-US" w:eastAsia="ja-JP"/>
        </w:rPr>
        <w:t>the bulk export market</w:t>
      </w:r>
    </w:p>
    <w:p w:rsidR="00F2486B" w:rsidRPr="007C039F" w:rsidRDefault="00F2486B" w:rsidP="00F2486B">
      <w:pPr>
        <w:pStyle w:val="ListParagraph"/>
        <w:numPr>
          <w:ilvl w:val="0"/>
          <w:numId w:val="46"/>
        </w:numPr>
        <w:rPr>
          <w:lang w:val="en-US" w:eastAsia="ja-JP"/>
        </w:rPr>
      </w:pPr>
      <w:r w:rsidRPr="007C039F">
        <w:rPr>
          <w:lang w:val="en-US" w:eastAsia="ja-JP"/>
        </w:rPr>
        <w:lastRenderedPageBreak/>
        <w:t xml:space="preserve">the container export market  </w:t>
      </w:r>
    </w:p>
    <w:p w:rsidR="00F2486B" w:rsidRPr="007C039F" w:rsidRDefault="00F2486B" w:rsidP="00F2486B">
      <w:pPr>
        <w:pStyle w:val="ListParagraph"/>
        <w:numPr>
          <w:ilvl w:val="0"/>
          <w:numId w:val="46"/>
        </w:numPr>
        <w:rPr>
          <w:lang w:val="en-US" w:eastAsia="ja-JP"/>
        </w:rPr>
      </w:pPr>
      <w:proofErr w:type="gramStart"/>
      <w:r w:rsidRPr="007C039F">
        <w:rPr>
          <w:lang w:val="en-US" w:eastAsia="ja-JP"/>
        </w:rPr>
        <w:t>the</w:t>
      </w:r>
      <w:proofErr w:type="gramEnd"/>
      <w:r w:rsidRPr="007C039F">
        <w:rPr>
          <w:lang w:val="en-US" w:eastAsia="ja-JP"/>
        </w:rPr>
        <w:t xml:space="preserve"> domestic market, including mills and feedlots. </w:t>
      </w:r>
    </w:p>
    <w:p w:rsidR="003430B4" w:rsidRPr="007C039F" w:rsidRDefault="00F2486B" w:rsidP="000E7C91">
      <w:pPr>
        <w:rPr>
          <w:lang w:val="en-US" w:eastAsia="ja-JP"/>
        </w:rPr>
      </w:pPr>
      <w:r w:rsidRPr="007C039F">
        <w:rPr>
          <w:lang w:val="en-US" w:eastAsia="ja-JP"/>
        </w:rPr>
        <w:t>Accordingly, the bulk wheat export market is not the sole destination for wheat grown in the NPZ, nor is it necessarily the preferred destination, particularly in times of drought.</w:t>
      </w:r>
      <w:r w:rsidR="00493F9C" w:rsidRPr="007C039F">
        <w:rPr>
          <w:lang w:val="en-US" w:eastAsia="ja-JP"/>
        </w:rPr>
        <w:t xml:space="preserve"> This means that </w:t>
      </w:r>
      <w:r w:rsidR="00D31400" w:rsidRPr="007C039F">
        <w:rPr>
          <w:lang w:val="en-US" w:eastAsia="ja-JP"/>
        </w:rPr>
        <w:t>PTSPs at the Port of Newcastle not only compete against one another in the market for port terminal services, they also compete with</w:t>
      </w:r>
      <w:r w:rsidR="003430B4" w:rsidRPr="007C039F">
        <w:rPr>
          <w:lang w:val="en-US" w:eastAsia="ja-JP"/>
        </w:rPr>
        <w:t xml:space="preserve"> </w:t>
      </w:r>
      <w:r w:rsidR="00D31400" w:rsidRPr="007C039F">
        <w:rPr>
          <w:lang w:val="en-US" w:eastAsia="ja-JP"/>
        </w:rPr>
        <w:t>upstream market</w:t>
      </w:r>
      <w:r w:rsidR="003430B4" w:rsidRPr="007C039F">
        <w:rPr>
          <w:lang w:val="en-US" w:eastAsia="ja-JP"/>
        </w:rPr>
        <w:t xml:space="preserve"> service providers</w:t>
      </w:r>
      <w:r w:rsidR="00D31400" w:rsidRPr="007C039F">
        <w:rPr>
          <w:lang w:val="en-US" w:eastAsia="ja-JP"/>
        </w:rPr>
        <w:t>.</w:t>
      </w:r>
    </w:p>
    <w:p w:rsidR="00493F9C" w:rsidRPr="007C039F" w:rsidRDefault="00493F9C" w:rsidP="00493F9C">
      <w:pPr>
        <w:rPr>
          <w:lang w:val="en-US" w:eastAsia="ja-JP"/>
        </w:rPr>
      </w:pPr>
      <w:r w:rsidRPr="007C039F">
        <w:rPr>
          <w:lang w:val="en-US" w:eastAsia="ja-JP"/>
        </w:rPr>
        <w:t xml:space="preserve">It is also relevant to consider the effect of competition in upcountry storage and handling, and transportation services, on the level of competition at port. </w:t>
      </w:r>
    </w:p>
    <w:p w:rsidR="00186CEA" w:rsidRDefault="00ED5BAC" w:rsidP="000E7C91">
      <w:pPr>
        <w:rPr>
          <w:lang w:val="en-US" w:eastAsia="ja-JP"/>
        </w:rPr>
      </w:pPr>
      <w:r w:rsidRPr="007C039F">
        <w:rPr>
          <w:lang w:val="en-US" w:eastAsia="ja-JP"/>
        </w:rPr>
        <w:t>A</w:t>
      </w:r>
      <w:r w:rsidR="00682E12" w:rsidRPr="007C039F">
        <w:rPr>
          <w:lang w:val="en-US" w:eastAsia="ja-JP"/>
        </w:rPr>
        <w:t xml:space="preserve"> grower </w:t>
      </w:r>
      <w:r w:rsidR="003430B4" w:rsidRPr="007C039F">
        <w:rPr>
          <w:lang w:val="en-US" w:eastAsia="ja-JP"/>
        </w:rPr>
        <w:t>of wheat in</w:t>
      </w:r>
      <w:r w:rsidR="00F94BA8" w:rsidRPr="007C039F">
        <w:rPr>
          <w:lang w:val="en-US" w:eastAsia="ja-JP"/>
        </w:rPr>
        <w:t xml:space="preserve"> the NPZ has a number of potential buyers</w:t>
      </w:r>
      <w:r w:rsidR="00186CEA" w:rsidRPr="007C039F">
        <w:rPr>
          <w:lang w:val="en-US" w:eastAsia="ja-JP"/>
        </w:rPr>
        <w:t xml:space="preserve">. </w:t>
      </w:r>
      <w:r w:rsidR="003430B4" w:rsidRPr="007C039F">
        <w:rPr>
          <w:lang w:val="en-US" w:eastAsia="ja-JP"/>
        </w:rPr>
        <w:t xml:space="preserve">The </w:t>
      </w:r>
      <w:r w:rsidR="00682E12" w:rsidRPr="007C039F">
        <w:rPr>
          <w:lang w:val="en-US" w:eastAsia="ja-JP"/>
        </w:rPr>
        <w:t>grower</w:t>
      </w:r>
      <w:r w:rsidR="00F94BA8" w:rsidRPr="007C039F">
        <w:rPr>
          <w:lang w:val="en-US" w:eastAsia="ja-JP"/>
        </w:rPr>
        <w:t xml:space="preserve"> may choose to sell to a</w:t>
      </w:r>
      <w:r w:rsidR="003430B4" w:rsidRPr="007C039F">
        <w:rPr>
          <w:lang w:val="en-US" w:eastAsia="ja-JP"/>
        </w:rPr>
        <w:t xml:space="preserve"> bulk wheat export</w:t>
      </w:r>
      <w:r w:rsidR="00682E12" w:rsidRPr="007C039F">
        <w:rPr>
          <w:lang w:val="en-US" w:eastAsia="ja-JP"/>
        </w:rPr>
        <w:t>er</w:t>
      </w:r>
      <w:r w:rsidR="003430B4" w:rsidRPr="007C039F">
        <w:rPr>
          <w:lang w:val="en-US" w:eastAsia="ja-JP"/>
        </w:rPr>
        <w:t xml:space="preserve"> (in which case</w:t>
      </w:r>
      <w:r w:rsidR="00C770E8" w:rsidRPr="007C039F">
        <w:rPr>
          <w:lang w:val="en-US" w:eastAsia="ja-JP"/>
        </w:rPr>
        <w:t>,</w:t>
      </w:r>
      <w:r w:rsidR="003430B4" w:rsidRPr="007C039F">
        <w:rPr>
          <w:lang w:val="en-US" w:eastAsia="ja-JP"/>
        </w:rPr>
        <w:t xml:space="preserve"> PTSPs including </w:t>
      </w:r>
      <w:proofErr w:type="spellStart"/>
      <w:r w:rsidR="00493F9C" w:rsidRPr="007C039F">
        <w:rPr>
          <w:lang w:val="en-US" w:eastAsia="ja-JP"/>
        </w:rPr>
        <w:t>GrainCorp</w:t>
      </w:r>
      <w:proofErr w:type="spellEnd"/>
      <w:r w:rsidR="00493F9C" w:rsidRPr="007C039F">
        <w:rPr>
          <w:lang w:val="en-US" w:eastAsia="ja-JP"/>
        </w:rPr>
        <w:t xml:space="preserve">, </w:t>
      </w:r>
      <w:r w:rsidR="003430B4" w:rsidRPr="007C039F">
        <w:rPr>
          <w:lang w:val="en-US" w:eastAsia="ja-JP"/>
        </w:rPr>
        <w:t xml:space="preserve">NAT and </w:t>
      </w:r>
      <w:proofErr w:type="spellStart"/>
      <w:r w:rsidR="003430B4" w:rsidRPr="007C039F">
        <w:rPr>
          <w:lang w:val="en-US" w:eastAsia="ja-JP"/>
        </w:rPr>
        <w:t>Qube</w:t>
      </w:r>
      <w:proofErr w:type="spellEnd"/>
      <w:r w:rsidR="003430B4" w:rsidRPr="007C039F">
        <w:rPr>
          <w:lang w:val="en-US" w:eastAsia="ja-JP"/>
        </w:rPr>
        <w:t xml:space="preserve"> will</w:t>
      </w:r>
      <w:r w:rsidR="003430B4">
        <w:rPr>
          <w:lang w:val="en-US" w:eastAsia="ja-JP"/>
        </w:rPr>
        <w:t xml:space="preserve"> </w:t>
      </w:r>
      <w:r w:rsidR="00C770E8">
        <w:rPr>
          <w:lang w:val="en-US" w:eastAsia="ja-JP"/>
        </w:rPr>
        <w:t xml:space="preserve">potentially </w:t>
      </w:r>
      <w:r w:rsidR="003430B4">
        <w:rPr>
          <w:lang w:val="en-US" w:eastAsia="ja-JP"/>
        </w:rPr>
        <w:t xml:space="preserve">compete for that owner’s business), or sell </w:t>
      </w:r>
      <w:r>
        <w:rPr>
          <w:lang w:val="en-US" w:eastAsia="ja-JP"/>
        </w:rPr>
        <w:t>to the domestic market</w:t>
      </w:r>
      <w:r w:rsidR="00493F9C">
        <w:rPr>
          <w:lang w:val="en-US" w:eastAsia="ja-JP"/>
        </w:rPr>
        <w:t xml:space="preserve"> or container export markets</w:t>
      </w:r>
      <w:r>
        <w:rPr>
          <w:lang w:val="en-US" w:eastAsia="ja-JP"/>
        </w:rPr>
        <w:t xml:space="preserve">. Options in the domestic market include the domestic milling sector, feed lot operators and container packers. </w:t>
      </w:r>
      <w:r w:rsidR="00725145">
        <w:rPr>
          <w:lang w:val="en-US" w:eastAsia="ja-JP"/>
        </w:rPr>
        <w:t>The ACCC notes that:</w:t>
      </w:r>
    </w:p>
    <w:p w:rsidR="00725145" w:rsidRDefault="0067278B" w:rsidP="00725145">
      <w:pPr>
        <w:pStyle w:val="ListParagraph"/>
        <w:numPr>
          <w:ilvl w:val="0"/>
          <w:numId w:val="36"/>
        </w:numPr>
        <w:rPr>
          <w:lang w:val="en-US" w:eastAsia="ja-JP"/>
        </w:rPr>
      </w:pPr>
      <w:r>
        <w:rPr>
          <w:lang w:val="en-US" w:eastAsia="ja-JP"/>
        </w:rPr>
        <w:t>G</w:t>
      </w:r>
      <w:r w:rsidR="00186CEA" w:rsidRPr="00725145">
        <w:rPr>
          <w:lang w:val="en-US" w:eastAsia="ja-JP"/>
        </w:rPr>
        <w:t xml:space="preserve">enerally speaking the domestic market is able to pay a higher price than the export market and incur </w:t>
      </w:r>
      <w:r w:rsidR="004A19D6">
        <w:rPr>
          <w:lang w:val="en-US" w:eastAsia="ja-JP"/>
        </w:rPr>
        <w:t xml:space="preserve">lower </w:t>
      </w:r>
      <w:r w:rsidR="00186CEA" w:rsidRPr="00725145">
        <w:rPr>
          <w:lang w:val="en-US" w:eastAsia="ja-JP"/>
        </w:rPr>
        <w:t xml:space="preserve">transactions costs, making it an attractive option for wheat growers. The domestic market typically has the first call on wheat, making it a significant competitor to </w:t>
      </w:r>
      <w:r w:rsidR="00493F9C">
        <w:rPr>
          <w:lang w:val="en-US" w:eastAsia="ja-JP"/>
        </w:rPr>
        <w:t xml:space="preserve">bulk export by </w:t>
      </w:r>
      <w:r w:rsidR="00186CEA" w:rsidRPr="00725145">
        <w:rPr>
          <w:lang w:val="en-US" w:eastAsia="ja-JP"/>
        </w:rPr>
        <w:t>the PTSPs</w:t>
      </w:r>
      <w:r w:rsidR="00493F9C">
        <w:rPr>
          <w:lang w:val="en-US" w:eastAsia="ja-JP"/>
        </w:rPr>
        <w:t>, particularly</w:t>
      </w:r>
      <w:r w:rsidR="00186CEA" w:rsidRPr="00725145">
        <w:rPr>
          <w:lang w:val="en-US" w:eastAsia="ja-JP"/>
        </w:rPr>
        <w:t xml:space="preserve"> in drought affected years/regions. </w:t>
      </w:r>
      <w:r w:rsidR="00493F9C">
        <w:rPr>
          <w:lang w:val="en-US" w:eastAsia="ja-JP"/>
        </w:rPr>
        <w:t>However, the domestic market typically requires a fixed amount of grain, meaning that it is necessary to consider what may happen to exportable surplus.</w:t>
      </w:r>
    </w:p>
    <w:p w:rsidR="00725145" w:rsidRDefault="0067278B" w:rsidP="00725145">
      <w:pPr>
        <w:pStyle w:val="ListParagraph"/>
        <w:numPr>
          <w:ilvl w:val="0"/>
          <w:numId w:val="36"/>
        </w:numPr>
        <w:rPr>
          <w:lang w:val="en-US" w:eastAsia="ja-JP"/>
        </w:rPr>
      </w:pPr>
      <w:r>
        <w:rPr>
          <w:lang w:val="en-US" w:eastAsia="ja-JP"/>
        </w:rPr>
        <w:t>C</w:t>
      </w:r>
      <w:r w:rsidR="00186CEA" w:rsidRPr="00725145">
        <w:rPr>
          <w:lang w:val="en-US" w:eastAsia="ja-JP"/>
        </w:rPr>
        <w:t xml:space="preserve">ontainer packing facilities along the NPZ supply chain (operated by </w:t>
      </w:r>
      <w:proofErr w:type="spellStart"/>
      <w:r w:rsidR="00186CEA" w:rsidRPr="00725145">
        <w:rPr>
          <w:lang w:val="en-US" w:eastAsia="ja-JP"/>
        </w:rPr>
        <w:t>Glencore</w:t>
      </w:r>
      <w:proofErr w:type="spellEnd"/>
      <w:r w:rsidR="00186CEA" w:rsidRPr="00725145">
        <w:rPr>
          <w:lang w:val="en-US" w:eastAsia="ja-JP"/>
        </w:rPr>
        <w:t xml:space="preserve">, Cargill and Louis Dreyfus) provide another </w:t>
      </w:r>
      <w:r w:rsidR="004A19D6">
        <w:rPr>
          <w:lang w:val="en-US" w:eastAsia="ja-JP"/>
        </w:rPr>
        <w:t xml:space="preserve">alternative </w:t>
      </w:r>
      <w:r w:rsidR="00186CEA" w:rsidRPr="00725145">
        <w:rPr>
          <w:lang w:val="en-US" w:eastAsia="ja-JP"/>
        </w:rPr>
        <w:t>to the domestic and bulk wheat export markets</w:t>
      </w:r>
      <w:r w:rsidR="00493F9C">
        <w:rPr>
          <w:lang w:val="en-US" w:eastAsia="ja-JP"/>
        </w:rPr>
        <w:t xml:space="preserve"> (in addition to the container facilities already operated by NAT)</w:t>
      </w:r>
      <w:r w:rsidR="00186CEA" w:rsidRPr="00725145">
        <w:rPr>
          <w:lang w:val="en-US" w:eastAsia="ja-JP"/>
        </w:rPr>
        <w:t xml:space="preserve">. </w:t>
      </w:r>
      <w:r w:rsidR="00411AB8">
        <w:rPr>
          <w:lang w:val="en-US" w:eastAsia="ja-JP"/>
        </w:rPr>
        <w:t>This will allow parties to bypass bulk export facilities for a certain proportion of grain exports.</w:t>
      </w:r>
    </w:p>
    <w:p w:rsidR="00725145" w:rsidRDefault="00350EED" w:rsidP="00725145">
      <w:pPr>
        <w:pStyle w:val="ListParagraph"/>
        <w:numPr>
          <w:ilvl w:val="0"/>
          <w:numId w:val="36"/>
        </w:numPr>
        <w:rPr>
          <w:lang w:val="en-US" w:eastAsia="ja-JP"/>
        </w:rPr>
      </w:pPr>
      <w:r>
        <w:rPr>
          <w:lang w:val="en-US" w:eastAsia="ja-JP"/>
        </w:rPr>
        <w:t>G</w:t>
      </w:r>
      <w:r w:rsidR="001446BE">
        <w:rPr>
          <w:lang w:val="en-US" w:eastAsia="ja-JP"/>
        </w:rPr>
        <w:t xml:space="preserve">enerally, </w:t>
      </w:r>
      <w:r w:rsidR="00725145" w:rsidRPr="00725145">
        <w:rPr>
          <w:lang w:val="en-US" w:eastAsia="ja-JP"/>
        </w:rPr>
        <w:t>g</w:t>
      </w:r>
      <w:r w:rsidR="000E7C91" w:rsidRPr="00725145">
        <w:rPr>
          <w:lang w:val="en-US" w:eastAsia="ja-JP"/>
        </w:rPr>
        <w:t xml:space="preserve">rowers’ options for marketing their wheat have increased as additional grain traders enter the NPZ market for up-country storage and handling. These include Cargill, </w:t>
      </w:r>
      <w:proofErr w:type="spellStart"/>
      <w:r w:rsidR="000E7C91" w:rsidRPr="00725145">
        <w:rPr>
          <w:lang w:val="en-US" w:eastAsia="ja-JP"/>
        </w:rPr>
        <w:t>Viterra</w:t>
      </w:r>
      <w:proofErr w:type="spellEnd"/>
      <w:r w:rsidR="000E7C91" w:rsidRPr="00725145">
        <w:rPr>
          <w:lang w:val="en-US" w:eastAsia="ja-JP"/>
        </w:rPr>
        <w:t xml:space="preserve">, and Louis Dreyfus. </w:t>
      </w:r>
      <w:r w:rsidR="00411AB8">
        <w:rPr>
          <w:lang w:val="en-US" w:eastAsia="ja-JP"/>
        </w:rPr>
        <w:t>This increases the countervailing power of these users.</w:t>
      </w:r>
      <w:r w:rsidR="00411AB8" w:rsidRPr="00411AB8">
        <w:rPr>
          <w:lang w:val="en-US" w:eastAsia="ja-JP"/>
        </w:rPr>
        <w:t xml:space="preserve"> </w:t>
      </w:r>
      <w:r w:rsidR="00411AB8">
        <w:rPr>
          <w:lang w:val="en-US" w:eastAsia="ja-JP"/>
        </w:rPr>
        <w:t>However</w:t>
      </w:r>
      <w:r w:rsidR="004A19D6">
        <w:rPr>
          <w:lang w:val="en-US" w:eastAsia="ja-JP"/>
        </w:rPr>
        <w:t>,</w:t>
      </w:r>
      <w:r w:rsidR="00411AB8">
        <w:rPr>
          <w:lang w:val="en-US" w:eastAsia="ja-JP"/>
        </w:rPr>
        <w:t xml:space="preserve"> neither NAT nor </w:t>
      </w:r>
      <w:proofErr w:type="spellStart"/>
      <w:r w:rsidR="00411AB8">
        <w:rPr>
          <w:lang w:val="en-US" w:eastAsia="ja-JP"/>
        </w:rPr>
        <w:t>Qube</w:t>
      </w:r>
      <w:proofErr w:type="spellEnd"/>
      <w:r w:rsidR="00411AB8">
        <w:rPr>
          <w:lang w:val="en-US" w:eastAsia="ja-JP"/>
        </w:rPr>
        <w:t xml:space="preserve"> operate an upcountry network, and accordingly are unlikely to be able to exercise significant power for that reason.</w:t>
      </w:r>
    </w:p>
    <w:p w:rsidR="00411AB8" w:rsidRDefault="00725145" w:rsidP="000E7C91">
      <w:pPr>
        <w:rPr>
          <w:lang w:val="en-US" w:eastAsia="ja-JP"/>
        </w:rPr>
      </w:pPr>
      <w:r>
        <w:rPr>
          <w:lang w:val="en-US" w:eastAsia="ja-JP"/>
        </w:rPr>
        <w:t xml:space="preserve">The ACCC considers there </w:t>
      </w:r>
      <w:r w:rsidR="004A19D6">
        <w:rPr>
          <w:lang w:val="en-US" w:eastAsia="ja-JP"/>
        </w:rPr>
        <w:t xml:space="preserve">appears </w:t>
      </w:r>
      <w:r>
        <w:rPr>
          <w:lang w:val="en-US" w:eastAsia="ja-JP"/>
        </w:rPr>
        <w:t xml:space="preserve">to be significant competition in the upstream market for </w:t>
      </w:r>
      <w:r w:rsidR="00A052FF">
        <w:rPr>
          <w:lang w:val="en-US" w:eastAsia="ja-JP"/>
        </w:rPr>
        <w:t xml:space="preserve">bulk </w:t>
      </w:r>
      <w:r>
        <w:rPr>
          <w:lang w:val="en-US" w:eastAsia="ja-JP"/>
        </w:rPr>
        <w:t xml:space="preserve">wheat. </w:t>
      </w:r>
      <w:r w:rsidR="00411AB8">
        <w:rPr>
          <w:lang w:val="en-US" w:eastAsia="ja-JP"/>
        </w:rPr>
        <w:t xml:space="preserve">In particular, </w:t>
      </w:r>
      <w:r w:rsidR="00350EED">
        <w:rPr>
          <w:lang w:val="en-US" w:eastAsia="ja-JP"/>
        </w:rPr>
        <w:t xml:space="preserve">the ability of NAT or </w:t>
      </w:r>
      <w:proofErr w:type="spellStart"/>
      <w:r w:rsidR="00350EED">
        <w:rPr>
          <w:lang w:val="en-US" w:eastAsia="ja-JP"/>
        </w:rPr>
        <w:t>Qube</w:t>
      </w:r>
      <w:proofErr w:type="spellEnd"/>
      <w:r w:rsidR="00350EED">
        <w:rPr>
          <w:lang w:val="en-US" w:eastAsia="ja-JP"/>
        </w:rPr>
        <w:t xml:space="preserve"> to exert market power is limited by the domestic market and container export as alternative destinations for grain. Furthermore, the presence of upcountry facilities owned by a range of entities means that there are generally a larger range of options for farmers to sell grain. GrainCorp, as an exempt port operator with an upcountry network in the NPZ, is also limited by these same alternatives.</w:t>
      </w:r>
    </w:p>
    <w:p w:rsidR="00350EED" w:rsidRDefault="00533535" w:rsidP="000E7C91">
      <w:pPr>
        <w:rPr>
          <w:lang w:val="en-US" w:eastAsia="ja-JP"/>
        </w:rPr>
      </w:pPr>
      <w:r>
        <w:rPr>
          <w:lang w:val="en-US" w:eastAsia="ja-JP"/>
        </w:rPr>
        <w:t xml:space="preserve">Considering the impact that granting an exemption may have on competition in the relevant upstream and </w:t>
      </w:r>
      <w:proofErr w:type="spellStart"/>
      <w:r>
        <w:rPr>
          <w:lang w:val="en-US" w:eastAsia="ja-JP"/>
        </w:rPr>
        <w:t>downsteam</w:t>
      </w:r>
      <w:proofErr w:type="spellEnd"/>
      <w:r>
        <w:rPr>
          <w:lang w:val="en-US" w:eastAsia="ja-JP"/>
        </w:rPr>
        <w:t xml:space="preserve"> markets, t</w:t>
      </w:r>
      <w:r w:rsidR="00896ED7">
        <w:rPr>
          <w:lang w:val="en-US" w:eastAsia="ja-JP"/>
        </w:rPr>
        <w:t>o the extent that</w:t>
      </w:r>
      <w:r w:rsidR="009D1408">
        <w:rPr>
          <w:lang w:val="en-US" w:eastAsia="ja-JP"/>
        </w:rPr>
        <w:t xml:space="preserve"> placing direct competitors such as</w:t>
      </w:r>
      <w:r w:rsidR="00896ED7">
        <w:rPr>
          <w:lang w:val="en-US" w:eastAsia="ja-JP"/>
        </w:rPr>
        <w:t xml:space="preserve"> NAT, </w:t>
      </w:r>
      <w:proofErr w:type="spellStart"/>
      <w:r w:rsidR="00896ED7">
        <w:rPr>
          <w:lang w:val="en-US" w:eastAsia="ja-JP"/>
        </w:rPr>
        <w:t>Qube</w:t>
      </w:r>
      <w:proofErr w:type="spellEnd"/>
      <w:r w:rsidR="00896ED7">
        <w:rPr>
          <w:lang w:val="en-US" w:eastAsia="ja-JP"/>
        </w:rPr>
        <w:t xml:space="preserve"> and </w:t>
      </w:r>
      <w:proofErr w:type="spellStart"/>
      <w:r w:rsidR="00896ED7">
        <w:rPr>
          <w:lang w:val="en-US" w:eastAsia="ja-JP"/>
        </w:rPr>
        <w:t>GrainCorp</w:t>
      </w:r>
      <w:proofErr w:type="spellEnd"/>
      <w:r w:rsidR="00896ED7">
        <w:rPr>
          <w:lang w:val="en-US" w:eastAsia="ja-JP"/>
        </w:rPr>
        <w:t xml:space="preserve"> on a level regulatory playing field increases competition, the ACCC considers that it may improve the terms (including price) on which wheat farmers can sell </w:t>
      </w:r>
      <w:r w:rsidR="00350EED">
        <w:rPr>
          <w:lang w:val="en-US" w:eastAsia="ja-JP"/>
        </w:rPr>
        <w:t xml:space="preserve">grain </w:t>
      </w:r>
      <w:r w:rsidR="00896ED7">
        <w:rPr>
          <w:lang w:val="en-US" w:eastAsia="ja-JP"/>
        </w:rPr>
        <w:t>to the domestic market</w:t>
      </w:r>
      <w:r w:rsidR="00350EED">
        <w:rPr>
          <w:lang w:val="en-US" w:eastAsia="ja-JP"/>
        </w:rPr>
        <w:t>, container market or bulk export</w:t>
      </w:r>
      <w:r w:rsidR="00896ED7">
        <w:rPr>
          <w:lang w:val="en-US" w:eastAsia="ja-JP"/>
        </w:rPr>
        <w:t xml:space="preserve">. To the extent that selling wheat to the bulk export market becomes more attractive, the ACCC considers this </w:t>
      </w:r>
      <w:r w:rsidR="00350EED">
        <w:rPr>
          <w:lang w:val="en-US" w:eastAsia="ja-JP"/>
        </w:rPr>
        <w:t xml:space="preserve">will </w:t>
      </w:r>
      <w:r w:rsidR="00896ED7">
        <w:rPr>
          <w:lang w:val="en-US" w:eastAsia="ja-JP"/>
        </w:rPr>
        <w:t>promote competition in the upstream market</w:t>
      </w:r>
      <w:r w:rsidR="00350EED">
        <w:rPr>
          <w:lang w:val="en-US" w:eastAsia="ja-JP"/>
        </w:rPr>
        <w:t xml:space="preserve"> for farmers</w:t>
      </w:r>
      <w:r w:rsidR="00C770E8">
        <w:rPr>
          <w:lang w:val="en-US" w:eastAsia="ja-JP"/>
        </w:rPr>
        <w:t>’</w:t>
      </w:r>
      <w:r w:rsidR="00350EED">
        <w:rPr>
          <w:lang w:val="en-US" w:eastAsia="ja-JP"/>
        </w:rPr>
        <w:t xml:space="preserve"> grain</w:t>
      </w:r>
      <w:r w:rsidR="00896ED7">
        <w:rPr>
          <w:lang w:val="en-US" w:eastAsia="ja-JP"/>
        </w:rPr>
        <w:t xml:space="preserve">. </w:t>
      </w:r>
    </w:p>
    <w:p w:rsidR="00F01B69" w:rsidRDefault="00BE63E9" w:rsidP="00BE63E9">
      <w:pPr>
        <w:pStyle w:val="Numbered111"/>
        <w:rPr>
          <w:lang w:val="en-US" w:eastAsia="ja-JP"/>
        </w:rPr>
      </w:pPr>
      <w:r>
        <w:rPr>
          <w:lang w:val="en-US" w:eastAsia="ja-JP"/>
        </w:rPr>
        <w:t>Preliminary view</w:t>
      </w:r>
    </w:p>
    <w:p w:rsidR="00F01B69" w:rsidRDefault="00C90F9B" w:rsidP="00B06663">
      <w:pPr>
        <w:rPr>
          <w:lang w:val="en-US" w:eastAsia="ja-JP"/>
        </w:rPr>
      </w:pPr>
      <w:r>
        <w:rPr>
          <w:lang w:val="en-US" w:eastAsia="ja-JP"/>
        </w:rPr>
        <w:t>The ACCC’s preliminary view is that:</w:t>
      </w:r>
    </w:p>
    <w:p w:rsidR="00C770E8" w:rsidRDefault="00C770E8" w:rsidP="00C770E8">
      <w:pPr>
        <w:pStyle w:val="ListParagraph"/>
        <w:numPr>
          <w:ilvl w:val="0"/>
          <w:numId w:val="37"/>
        </w:numPr>
        <w:rPr>
          <w:lang w:val="en-US" w:eastAsia="ja-JP"/>
        </w:rPr>
      </w:pPr>
      <w:r>
        <w:rPr>
          <w:lang w:val="en-US" w:eastAsia="ja-JP"/>
        </w:rPr>
        <w:t xml:space="preserve">NAT and </w:t>
      </w:r>
      <w:proofErr w:type="spellStart"/>
      <w:r>
        <w:rPr>
          <w:lang w:val="en-US" w:eastAsia="ja-JP"/>
        </w:rPr>
        <w:t>Qube</w:t>
      </w:r>
      <w:proofErr w:type="spellEnd"/>
      <w:r>
        <w:rPr>
          <w:lang w:val="en-US" w:eastAsia="ja-JP"/>
        </w:rPr>
        <w:t xml:space="preserve"> both face competition from GrainCorp’s facility, and each other</w:t>
      </w:r>
      <w:r w:rsidR="00CF0BBF">
        <w:rPr>
          <w:lang w:val="en-US" w:eastAsia="ja-JP"/>
        </w:rPr>
        <w:t>,</w:t>
      </w:r>
    </w:p>
    <w:p w:rsidR="00C770E8" w:rsidRDefault="00C770E8" w:rsidP="00C770E8">
      <w:pPr>
        <w:pStyle w:val="ListParagraph"/>
        <w:numPr>
          <w:ilvl w:val="0"/>
          <w:numId w:val="37"/>
        </w:numPr>
        <w:rPr>
          <w:lang w:val="en-US" w:eastAsia="ja-JP"/>
        </w:rPr>
      </w:pPr>
      <w:r>
        <w:rPr>
          <w:lang w:val="en-US" w:eastAsia="ja-JP"/>
        </w:rPr>
        <w:lastRenderedPageBreak/>
        <w:t xml:space="preserve">the potential destinations for upstream wheat competes with the market for </w:t>
      </w:r>
      <w:r w:rsidR="00754BC5">
        <w:rPr>
          <w:lang w:val="en-US" w:eastAsia="ja-JP"/>
        </w:rPr>
        <w:t xml:space="preserve">bulk </w:t>
      </w:r>
      <w:r>
        <w:rPr>
          <w:lang w:val="en-US" w:eastAsia="ja-JP"/>
        </w:rPr>
        <w:t>port terminal services at the Port of Newcastle, and increasing competition at port may lead to better prices for wheat growers, further increasing competition in the upstream market</w:t>
      </w:r>
      <w:r w:rsidR="00CF0BBF">
        <w:rPr>
          <w:lang w:val="en-US" w:eastAsia="ja-JP"/>
        </w:rPr>
        <w:t>, and</w:t>
      </w:r>
      <w:r>
        <w:rPr>
          <w:lang w:val="en-US" w:eastAsia="ja-JP"/>
        </w:rPr>
        <w:t xml:space="preserve"> </w:t>
      </w:r>
    </w:p>
    <w:p w:rsidR="00F90810" w:rsidRPr="00C770E8" w:rsidRDefault="00C90F9B" w:rsidP="00C770E8">
      <w:pPr>
        <w:pStyle w:val="ListParagraph"/>
        <w:numPr>
          <w:ilvl w:val="0"/>
          <w:numId w:val="37"/>
        </w:numPr>
        <w:rPr>
          <w:lang w:val="en-US" w:eastAsia="ja-JP"/>
        </w:rPr>
      </w:pPr>
      <w:proofErr w:type="gramStart"/>
      <w:r w:rsidRPr="00C770E8">
        <w:rPr>
          <w:lang w:val="en-US" w:eastAsia="ja-JP"/>
        </w:rPr>
        <w:t>competition</w:t>
      </w:r>
      <w:proofErr w:type="gramEnd"/>
      <w:r w:rsidRPr="00C770E8">
        <w:rPr>
          <w:lang w:val="en-US" w:eastAsia="ja-JP"/>
        </w:rPr>
        <w:t xml:space="preserve"> in markets is improved by placing competitors on an</w:t>
      </w:r>
      <w:r w:rsidR="00F90810" w:rsidRPr="00C770E8">
        <w:rPr>
          <w:lang w:val="en-US" w:eastAsia="ja-JP"/>
        </w:rPr>
        <w:t xml:space="preserve"> even regulatory playing field</w:t>
      </w:r>
      <w:r w:rsidR="00C770E8" w:rsidRPr="00C770E8">
        <w:rPr>
          <w:lang w:val="en-US" w:eastAsia="ja-JP"/>
        </w:rPr>
        <w:t xml:space="preserve">, and an </w:t>
      </w:r>
      <w:r w:rsidR="00C770E8">
        <w:rPr>
          <w:lang w:val="en-US" w:eastAsia="ja-JP"/>
        </w:rPr>
        <w:t xml:space="preserve">exemption for </w:t>
      </w:r>
      <w:r w:rsidR="00F90810" w:rsidRPr="00C770E8">
        <w:rPr>
          <w:lang w:val="en-US" w:eastAsia="ja-JP"/>
        </w:rPr>
        <w:t xml:space="preserve">NAT and </w:t>
      </w:r>
      <w:proofErr w:type="spellStart"/>
      <w:r w:rsidR="00F90810" w:rsidRPr="00C770E8">
        <w:rPr>
          <w:lang w:val="en-US" w:eastAsia="ja-JP"/>
        </w:rPr>
        <w:t>Qube</w:t>
      </w:r>
      <w:proofErr w:type="spellEnd"/>
      <w:r w:rsidR="00F90810" w:rsidRPr="00C770E8">
        <w:rPr>
          <w:lang w:val="en-US" w:eastAsia="ja-JP"/>
        </w:rPr>
        <w:t xml:space="preserve"> will place them on an even regulatory playing field with a direct competitor, </w:t>
      </w:r>
      <w:proofErr w:type="spellStart"/>
      <w:r w:rsidR="00F90810" w:rsidRPr="00C770E8">
        <w:rPr>
          <w:lang w:val="en-US" w:eastAsia="ja-JP"/>
        </w:rPr>
        <w:t>GrainCorp</w:t>
      </w:r>
      <w:proofErr w:type="spellEnd"/>
      <w:r w:rsidR="00CF0BBF">
        <w:rPr>
          <w:lang w:val="en-US" w:eastAsia="ja-JP"/>
        </w:rPr>
        <w:t>.</w:t>
      </w:r>
    </w:p>
    <w:p w:rsidR="00CE0281" w:rsidRDefault="00D16A62" w:rsidP="00CE0281">
      <w:pPr>
        <w:rPr>
          <w:lang w:val="en-US" w:eastAsia="ja-JP"/>
        </w:rPr>
      </w:pPr>
      <w:r>
        <w:rPr>
          <w:lang w:val="en-US" w:eastAsia="ja-JP"/>
        </w:rPr>
        <w:t xml:space="preserve">Accordingly, the ACCC’s preliminary view is that, having regard to </w:t>
      </w:r>
      <w:proofErr w:type="spellStart"/>
      <w:r>
        <w:rPr>
          <w:lang w:val="en-US" w:eastAsia="ja-JP"/>
        </w:rPr>
        <w:t>subclauses</w:t>
      </w:r>
      <w:proofErr w:type="spellEnd"/>
      <w:r>
        <w:rPr>
          <w:lang w:val="en-US" w:eastAsia="ja-JP"/>
        </w:rPr>
        <w:t xml:space="preserve"> 5(3</w:t>
      </w:r>
      <w:proofErr w:type="gramStart"/>
      <w:r>
        <w:rPr>
          <w:lang w:val="en-US" w:eastAsia="ja-JP"/>
        </w:rPr>
        <w:t>)(</w:t>
      </w:r>
      <w:proofErr w:type="gramEnd"/>
      <w:r>
        <w:rPr>
          <w:lang w:val="en-US" w:eastAsia="ja-JP"/>
        </w:rPr>
        <w:t xml:space="preserve">b) and 5(3)(g) of the Code, </w:t>
      </w:r>
      <w:r w:rsidR="00CA5E33">
        <w:rPr>
          <w:lang w:val="en-US" w:eastAsia="ja-JP"/>
        </w:rPr>
        <w:t>the competition and public interest factors discussed above support the ACCC granting an exemption to the Applicants</w:t>
      </w:r>
      <w:r w:rsidR="00533535">
        <w:rPr>
          <w:lang w:val="en-US" w:eastAsia="ja-JP"/>
        </w:rPr>
        <w:t xml:space="preserve">. </w:t>
      </w:r>
      <w:r w:rsidR="00CA5E33">
        <w:rPr>
          <w:lang w:val="en-US" w:eastAsia="ja-JP"/>
        </w:rPr>
        <w:t xml:space="preserve">In particular, </w:t>
      </w:r>
      <w:r w:rsidR="00C33603">
        <w:rPr>
          <w:lang w:val="en-US" w:eastAsia="ja-JP"/>
        </w:rPr>
        <w:t xml:space="preserve">the </w:t>
      </w:r>
      <w:r w:rsidR="00CE0281">
        <w:rPr>
          <w:lang w:val="en-US" w:eastAsia="ja-JP"/>
        </w:rPr>
        <w:t>ACCC considers there is significant competition in the market for port terminal services at the Port of Newcastle</w:t>
      </w:r>
      <w:r w:rsidR="00CA5E33">
        <w:rPr>
          <w:lang w:val="en-US" w:eastAsia="ja-JP"/>
        </w:rPr>
        <w:t>, and</w:t>
      </w:r>
      <w:r w:rsidR="00CE0281">
        <w:rPr>
          <w:lang w:val="en-US" w:eastAsia="ja-JP"/>
        </w:rPr>
        <w:t xml:space="preserve"> </w:t>
      </w:r>
      <w:r w:rsidR="00CA5E33">
        <w:rPr>
          <w:lang w:val="en-US" w:eastAsia="ja-JP"/>
        </w:rPr>
        <w:t>the fact that this</w:t>
      </w:r>
      <w:r w:rsidR="00CE0281">
        <w:rPr>
          <w:lang w:val="en-US" w:eastAsia="ja-JP"/>
        </w:rPr>
        <w:t xml:space="preserve"> market is also constrained by various competing markets upstream from the Port</w:t>
      </w:r>
      <w:r w:rsidR="00CA5E33">
        <w:rPr>
          <w:lang w:val="en-US" w:eastAsia="ja-JP"/>
        </w:rPr>
        <w:t xml:space="preserve"> support granting an exemption</w:t>
      </w:r>
      <w:r w:rsidR="00CE0281">
        <w:rPr>
          <w:lang w:val="en-US" w:eastAsia="ja-JP"/>
        </w:rPr>
        <w:t>.</w:t>
      </w:r>
    </w:p>
    <w:p w:rsidR="00F30F39" w:rsidRDefault="00F30F39" w:rsidP="00600D8D">
      <w:pPr>
        <w:rPr>
          <w:lang w:val="en-US" w:eastAsia="ja-JP"/>
        </w:rPr>
      </w:pPr>
    </w:p>
    <w:p w:rsidR="00F30F39" w:rsidRDefault="00D16A62" w:rsidP="00D16A62">
      <w:pPr>
        <w:pStyle w:val="Numbered11"/>
        <w:rPr>
          <w:lang w:val="en-US" w:eastAsia="ja-JP"/>
        </w:rPr>
      </w:pPr>
      <w:bookmarkStart w:id="34" w:name="_Ref413340250"/>
      <w:r>
        <w:rPr>
          <w:lang w:val="en-US" w:eastAsia="ja-JP"/>
        </w:rPr>
        <w:t>The interests of exporters who may require access to port terminal services (</w:t>
      </w:r>
      <w:proofErr w:type="spellStart"/>
      <w:r>
        <w:rPr>
          <w:lang w:val="en-US" w:eastAsia="ja-JP"/>
        </w:rPr>
        <w:t>subclause</w:t>
      </w:r>
      <w:proofErr w:type="spellEnd"/>
      <w:r>
        <w:rPr>
          <w:lang w:val="en-US" w:eastAsia="ja-JP"/>
        </w:rPr>
        <w:t xml:space="preserve"> 5(3)(c)) and the likelihood that exporters of bulk wheat will have fair and transparent access to port terminal services (</w:t>
      </w:r>
      <w:proofErr w:type="spellStart"/>
      <w:r>
        <w:rPr>
          <w:lang w:val="en-US" w:eastAsia="ja-JP"/>
        </w:rPr>
        <w:t>subclause</w:t>
      </w:r>
      <w:proofErr w:type="spellEnd"/>
      <w:r>
        <w:rPr>
          <w:lang w:val="en-US" w:eastAsia="ja-JP"/>
        </w:rPr>
        <w:t xml:space="preserve"> 5(3)(d))</w:t>
      </w:r>
      <w:bookmarkEnd w:id="34"/>
    </w:p>
    <w:p w:rsidR="00D16A62" w:rsidRDefault="00572271" w:rsidP="00D16A62">
      <w:pPr>
        <w:rPr>
          <w:lang w:val="en-US" w:eastAsia="ja-JP"/>
        </w:rPr>
      </w:pPr>
      <w:r>
        <w:rPr>
          <w:lang w:val="en-US" w:eastAsia="ja-JP"/>
        </w:rPr>
        <w:t xml:space="preserve">The ACCC considers that an exporter’s key interest when seeking access to port terminal services is their ability to secure fair and transparent access to those services. The ACCC therefore considers that its consideration of </w:t>
      </w:r>
      <w:proofErr w:type="spellStart"/>
      <w:r>
        <w:rPr>
          <w:lang w:val="en-US" w:eastAsia="ja-JP"/>
        </w:rPr>
        <w:t>subclauses</w:t>
      </w:r>
      <w:proofErr w:type="spellEnd"/>
      <w:r>
        <w:rPr>
          <w:lang w:val="en-US" w:eastAsia="ja-JP"/>
        </w:rPr>
        <w:t xml:space="preserve"> 5(3</w:t>
      </w:r>
      <w:proofErr w:type="gramStart"/>
      <w:r>
        <w:rPr>
          <w:lang w:val="en-US" w:eastAsia="ja-JP"/>
        </w:rPr>
        <w:t>)(</w:t>
      </w:r>
      <w:proofErr w:type="gramEnd"/>
      <w:r>
        <w:rPr>
          <w:lang w:val="en-US" w:eastAsia="ja-JP"/>
        </w:rPr>
        <w:t>c) and 5(3)(d) of the Code will raise similar matters</w:t>
      </w:r>
      <w:r w:rsidR="00754BC5">
        <w:rPr>
          <w:lang w:val="en-US" w:eastAsia="ja-JP"/>
        </w:rPr>
        <w:t xml:space="preserve"> and should be conducted jointly</w:t>
      </w:r>
      <w:r>
        <w:rPr>
          <w:lang w:val="en-US" w:eastAsia="ja-JP"/>
        </w:rPr>
        <w:t>.</w:t>
      </w:r>
    </w:p>
    <w:p w:rsidR="009C0CC6" w:rsidRDefault="00572271" w:rsidP="00D16A62">
      <w:pPr>
        <w:rPr>
          <w:lang w:val="en-US" w:eastAsia="ja-JP"/>
        </w:rPr>
      </w:pPr>
      <w:r>
        <w:rPr>
          <w:lang w:val="en-US" w:eastAsia="ja-JP"/>
        </w:rPr>
        <w:t>The ACCC considers that its key consideration</w:t>
      </w:r>
      <w:r w:rsidR="007277CE">
        <w:rPr>
          <w:lang w:val="en-US" w:eastAsia="ja-JP"/>
        </w:rPr>
        <w:t xml:space="preserve"> in having regard to these matters is whether exporters are likely to receive fair and transparent access to services provided by NAT and </w:t>
      </w:r>
      <w:proofErr w:type="spellStart"/>
      <w:r w:rsidR="007277CE">
        <w:rPr>
          <w:lang w:val="en-US" w:eastAsia="ja-JP"/>
        </w:rPr>
        <w:t>Qube</w:t>
      </w:r>
      <w:proofErr w:type="spellEnd"/>
      <w:r w:rsidR="007277CE">
        <w:rPr>
          <w:lang w:val="en-US" w:eastAsia="ja-JP"/>
        </w:rPr>
        <w:t xml:space="preserve"> if NAT and </w:t>
      </w:r>
      <w:proofErr w:type="spellStart"/>
      <w:r w:rsidR="007277CE">
        <w:rPr>
          <w:lang w:val="en-US" w:eastAsia="ja-JP"/>
        </w:rPr>
        <w:t>Qube</w:t>
      </w:r>
      <w:proofErr w:type="spellEnd"/>
      <w:r w:rsidR="007277CE">
        <w:rPr>
          <w:lang w:val="en-US" w:eastAsia="ja-JP"/>
        </w:rPr>
        <w:t xml:space="preserve"> are exempt from complying with the majority of the Code. </w:t>
      </w:r>
    </w:p>
    <w:p w:rsidR="00E03C07" w:rsidRDefault="00C9530B" w:rsidP="00C9530B">
      <w:pPr>
        <w:pStyle w:val="Numbered111"/>
        <w:rPr>
          <w:lang w:val="en-US" w:eastAsia="ja-JP"/>
        </w:rPr>
      </w:pPr>
      <w:r>
        <w:rPr>
          <w:lang w:val="en-US" w:eastAsia="ja-JP"/>
        </w:rPr>
        <w:t xml:space="preserve">Competition faced by the Applicants/likelihood of providing fair and transparent access under reduced regulation </w:t>
      </w:r>
    </w:p>
    <w:p w:rsidR="00C9530B" w:rsidRDefault="00754BC5" w:rsidP="00C9530B">
      <w:pPr>
        <w:rPr>
          <w:lang w:val="en-US" w:eastAsia="ja-JP"/>
        </w:rPr>
      </w:pPr>
      <w:r>
        <w:rPr>
          <w:lang w:val="en-US" w:eastAsia="ja-JP"/>
        </w:rPr>
        <w:t xml:space="preserve">As discussed above in section </w:t>
      </w:r>
      <w:r>
        <w:rPr>
          <w:lang w:val="en-US" w:eastAsia="ja-JP"/>
        </w:rPr>
        <w:fldChar w:fldCharType="begin"/>
      </w:r>
      <w:r>
        <w:rPr>
          <w:lang w:val="en-US" w:eastAsia="ja-JP"/>
        </w:rPr>
        <w:instrText xml:space="preserve"> REF _Ref417993253 \r \h </w:instrText>
      </w:r>
      <w:r>
        <w:rPr>
          <w:lang w:val="en-US" w:eastAsia="ja-JP"/>
        </w:rPr>
      </w:r>
      <w:r>
        <w:rPr>
          <w:lang w:val="en-US" w:eastAsia="ja-JP"/>
        </w:rPr>
        <w:fldChar w:fldCharType="separate"/>
      </w:r>
      <w:r>
        <w:rPr>
          <w:lang w:val="en-US" w:eastAsia="ja-JP"/>
        </w:rPr>
        <w:t>5.2</w:t>
      </w:r>
      <w:r>
        <w:rPr>
          <w:lang w:val="en-US" w:eastAsia="ja-JP"/>
        </w:rPr>
        <w:fldChar w:fldCharType="end"/>
      </w:r>
      <w:r>
        <w:rPr>
          <w:lang w:val="en-US" w:eastAsia="ja-JP"/>
        </w:rPr>
        <w:t>, t</w:t>
      </w:r>
      <w:r w:rsidR="00C9530B">
        <w:rPr>
          <w:lang w:val="en-US" w:eastAsia="ja-JP"/>
        </w:rPr>
        <w:t xml:space="preserve">he ACCC considers that the Applicants operate in a </w:t>
      </w:r>
      <w:r>
        <w:rPr>
          <w:lang w:val="en-US" w:eastAsia="ja-JP"/>
        </w:rPr>
        <w:t xml:space="preserve">reasonably </w:t>
      </w:r>
      <w:r w:rsidR="00C9530B">
        <w:rPr>
          <w:lang w:val="en-US" w:eastAsia="ja-JP"/>
        </w:rPr>
        <w:t xml:space="preserve">competitive environment which provides them with the incentive to provide fair and transparent access. </w:t>
      </w:r>
      <w:r w:rsidR="007B607E">
        <w:rPr>
          <w:lang w:val="en-US" w:eastAsia="ja-JP"/>
        </w:rPr>
        <w:t>The ACCC’s assessment is based on the following:</w:t>
      </w:r>
    </w:p>
    <w:p w:rsidR="007B607E" w:rsidRDefault="009C0CC6" w:rsidP="007B607E">
      <w:pPr>
        <w:pStyle w:val="ListParagraph"/>
        <w:numPr>
          <w:ilvl w:val="0"/>
          <w:numId w:val="38"/>
        </w:numPr>
        <w:rPr>
          <w:lang w:val="en-US" w:eastAsia="ja-JP"/>
        </w:rPr>
      </w:pPr>
      <w:r>
        <w:rPr>
          <w:lang w:val="en-US" w:eastAsia="ja-JP"/>
        </w:rPr>
        <w:t>the high availability</w:t>
      </w:r>
      <w:r w:rsidR="007B607E">
        <w:rPr>
          <w:lang w:val="en-US" w:eastAsia="ja-JP"/>
        </w:rPr>
        <w:t xml:space="preserve"> of </w:t>
      </w:r>
      <w:r w:rsidR="00754BC5">
        <w:rPr>
          <w:lang w:val="en-US" w:eastAsia="ja-JP"/>
        </w:rPr>
        <w:t>capacity</w:t>
      </w:r>
      <w:r>
        <w:rPr>
          <w:lang w:val="en-US" w:eastAsia="ja-JP"/>
        </w:rPr>
        <w:t xml:space="preserve"> at the Port of Newcastle </w:t>
      </w:r>
      <w:r w:rsidR="007B607E">
        <w:rPr>
          <w:lang w:val="en-US" w:eastAsia="ja-JP"/>
        </w:rPr>
        <w:t>(high supply)</w:t>
      </w:r>
    </w:p>
    <w:p w:rsidR="00AA101D" w:rsidRDefault="009C0CC6" w:rsidP="007B607E">
      <w:pPr>
        <w:pStyle w:val="ListParagraph"/>
        <w:numPr>
          <w:ilvl w:val="0"/>
          <w:numId w:val="38"/>
        </w:numPr>
        <w:rPr>
          <w:lang w:val="en-US" w:eastAsia="ja-JP"/>
        </w:rPr>
      </w:pPr>
      <w:r>
        <w:rPr>
          <w:lang w:val="en-US" w:eastAsia="ja-JP"/>
        </w:rPr>
        <w:t>the demand for GrainCorp’s services at the Port of Newcastle has been historically lower than supply</w:t>
      </w:r>
    </w:p>
    <w:p w:rsidR="007B607E" w:rsidRDefault="009C0CC6" w:rsidP="007B607E">
      <w:pPr>
        <w:pStyle w:val="ListParagraph"/>
        <w:numPr>
          <w:ilvl w:val="0"/>
          <w:numId w:val="38"/>
        </w:numPr>
        <w:rPr>
          <w:lang w:val="en-US" w:eastAsia="ja-JP"/>
        </w:rPr>
      </w:pPr>
      <w:r>
        <w:rPr>
          <w:lang w:val="en-US" w:eastAsia="ja-JP"/>
        </w:rPr>
        <w:t xml:space="preserve">the </w:t>
      </w:r>
      <w:r w:rsidR="00DD3543">
        <w:rPr>
          <w:lang w:val="en-US" w:eastAsia="ja-JP"/>
        </w:rPr>
        <w:t>presence</w:t>
      </w:r>
      <w:r>
        <w:rPr>
          <w:lang w:val="en-US" w:eastAsia="ja-JP"/>
        </w:rPr>
        <w:t xml:space="preserve"> of NAT</w:t>
      </w:r>
      <w:r w:rsidR="007B607E">
        <w:rPr>
          <w:lang w:val="en-US" w:eastAsia="ja-JP"/>
        </w:rPr>
        <w:t xml:space="preserve"> </w:t>
      </w:r>
      <w:r>
        <w:rPr>
          <w:lang w:val="en-US" w:eastAsia="ja-JP"/>
        </w:rPr>
        <w:t xml:space="preserve">and </w:t>
      </w:r>
      <w:proofErr w:type="spellStart"/>
      <w:r>
        <w:rPr>
          <w:lang w:val="en-US" w:eastAsia="ja-JP"/>
        </w:rPr>
        <w:t>Qube</w:t>
      </w:r>
      <w:proofErr w:type="spellEnd"/>
      <w:r>
        <w:rPr>
          <w:lang w:val="en-US" w:eastAsia="ja-JP"/>
        </w:rPr>
        <w:t xml:space="preserve"> has added to the amount of services available </w:t>
      </w:r>
    </w:p>
    <w:p w:rsidR="007B607E" w:rsidRDefault="009C0CC6" w:rsidP="007B607E">
      <w:pPr>
        <w:pStyle w:val="ListParagraph"/>
        <w:numPr>
          <w:ilvl w:val="0"/>
          <w:numId w:val="38"/>
        </w:numPr>
        <w:rPr>
          <w:lang w:val="en-US" w:eastAsia="ja-JP"/>
        </w:rPr>
      </w:pPr>
      <w:proofErr w:type="gramStart"/>
      <w:r>
        <w:rPr>
          <w:lang w:val="en-US" w:eastAsia="ja-JP"/>
        </w:rPr>
        <w:t>the</w:t>
      </w:r>
      <w:proofErr w:type="gramEnd"/>
      <w:r>
        <w:rPr>
          <w:lang w:val="en-US" w:eastAsia="ja-JP"/>
        </w:rPr>
        <w:t xml:space="preserve"> a</w:t>
      </w:r>
      <w:r w:rsidR="007B607E">
        <w:rPr>
          <w:lang w:val="en-US" w:eastAsia="ja-JP"/>
        </w:rPr>
        <w:t>mount of wheat produced</w:t>
      </w:r>
      <w:r>
        <w:rPr>
          <w:lang w:val="en-US" w:eastAsia="ja-JP"/>
        </w:rPr>
        <w:t xml:space="preserve"> and/or brought into the NPZ is</w:t>
      </w:r>
      <w:r w:rsidR="009A303C">
        <w:rPr>
          <w:lang w:val="en-US" w:eastAsia="ja-JP"/>
        </w:rPr>
        <w:t xml:space="preserve"> unlikely to rise significantly or</w:t>
      </w:r>
      <w:r w:rsidR="007B607E">
        <w:rPr>
          <w:lang w:val="en-US" w:eastAsia="ja-JP"/>
        </w:rPr>
        <w:t xml:space="preserve"> </w:t>
      </w:r>
      <w:r w:rsidR="00AA101D">
        <w:rPr>
          <w:lang w:val="en-US" w:eastAsia="ja-JP"/>
        </w:rPr>
        <w:t xml:space="preserve">affect </w:t>
      </w:r>
      <w:r w:rsidR="007B607E">
        <w:rPr>
          <w:lang w:val="en-US" w:eastAsia="ja-JP"/>
        </w:rPr>
        <w:t xml:space="preserve">the balance between supply and demand. </w:t>
      </w:r>
    </w:p>
    <w:p w:rsidR="00754BC5" w:rsidRDefault="00754BC5" w:rsidP="007E33C6">
      <w:pPr>
        <w:rPr>
          <w:lang w:val="en-US" w:eastAsia="ja-JP"/>
        </w:rPr>
      </w:pPr>
      <w:r>
        <w:rPr>
          <w:lang w:val="en-US" w:eastAsia="ja-JP"/>
        </w:rPr>
        <w:t>Furthermore</w:t>
      </w:r>
      <w:r w:rsidR="00AA101D">
        <w:rPr>
          <w:lang w:val="en-US" w:eastAsia="ja-JP"/>
        </w:rPr>
        <w:t xml:space="preserve">, </w:t>
      </w:r>
      <w:r w:rsidR="00DD3543">
        <w:rPr>
          <w:lang w:val="en-US" w:eastAsia="ja-JP"/>
        </w:rPr>
        <w:t xml:space="preserve">the ACCC notes the following about the three service </w:t>
      </w:r>
      <w:r>
        <w:rPr>
          <w:lang w:val="en-US" w:eastAsia="ja-JP"/>
        </w:rPr>
        <w:t>providers at the Newcastle port:</w:t>
      </w:r>
    </w:p>
    <w:p w:rsidR="00AA101D" w:rsidRDefault="00754BC5" w:rsidP="007E33C6">
      <w:pPr>
        <w:pStyle w:val="ListParagraph"/>
        <w:numPr>
          <w:ilvl w:val="0"/>
          <w:numId w:val="55"/>
        </w:numPr>
        <w:rPr>
          <w:lang w:val="en-US" w:eastAsia="ja-JP"/>
        </w:rPr>
      </w:pPr>
      <w:r w:rsidRPr="00754BC5">
        <w:rPr>
          <w:lang w:val="en-US" w:eastAsia="ja-JP"/>
        </w:rPr>
        <w:t xml:space="preserve">GrainCorp, </w:t>
      </w:r>
      <w:r>
        <w:rPr>
          <w:lang w:val="en-US" w:eastAsia="ja-JP"/>
        </w:rPr>
        <w:t>as a</w:t>
      </w:r>
      <w:r w:rsidRPr="00754BC5">
        <w:rPr>
          <w:lang w:val="en-US" w:eastAsia="ja-JP"/>
        </w:rPr>
        <w:t xml:space="preserve"> vertically integrated</w:t>
      </w:r>
      <w:r>
        <w:rPr>
          <w:lang w:val="en-US" w:eastAsia="ja-JP"/>
        </w:rPr>
        <w:t xml:space="preserve"> port operator that also has exporting operations, is likely to have incentive to </w:t>
      </w:r>
      <w:proofErr w:type="spellStart"/>
      <w:r>
        <w:rPr>
          <w:lang w:val="en-US" w:eastAsia="ja-JP"/>
        </w:rPr>
        <w:t>favour</w:t>
      </w:r>
      <w:proofErr w:type="spellEnd"/>
      <w:r>
        <w:rPr>
          <w:lang w:val="en-US" w:eastAsia="ja-JP"/>
        </w:rPr>
        <w:t xml:space="preserve"> its own trading arm over other exporters. However, this incentive may be limited by the fact that it has a large amount of capacity on offer that has not been fully </w:t>
      </w:r>
      <w:proofErr w:type="spellStart"/>
      <w:r>
        <w:rPr>
          <w:lang w:val="en-US" w:eastAsia="ja-JP"/>
        </w:rPr>
        <w:t>utilised</w:t>
      </w:r>
      <w:proofErr w:type="spellEnd"/>
      <w:r>
        <w:rPr>
          <w:lang w:val="en-US" w:eastAsia="ja-JP"/>
        </w:rPr>
        <w:t>, particularly in recent years.</w:t>
      </w:r>
    </w:p>
    <w:p w:rsidR="00D752CA" w:rsidRDefault="00D752CA" w:rsidP="007E33C6">
      <w:pPr>
        <w:pStyle w:val="ListParagraph"/>
        <w:numPr>
          <w:ilvl w:val="0"/>
          <w:numId w:val="55"/>
        </w:numPr>
        <w:rPr>
          <w:lang w:val="en-US" w:eastAsia="ja-JP"/>
        </w:rPr>
      </w:pPr>
      <w:r>
        <w:rPr>
          <w:lang w:val="en-US" w:eastAsia="ja-JP"/>
        </w:rPr>
        <w:lastRenderedPageBreak/>
        <w:t xml:space="preserve">NAT has ownership interests from three exporters (CBH, </w:t>
      </w:r>
      <w:proofErr w:type="spellStart"/>
      <w:r>
        <w:rPr>
          <w:lang w:val="en-US" w:eastAsia="ja-JP"/>
        </w:rPr>
        <w:t>Glencore</w:t>
      </w:r>
      <w:proofErr w:type="spellEnd"/>
      <w:r>
        <w:rPr>
          <w:lang w:val="en-US" w:eastAsia="ja-JP"/>
        </w:rPr>
        <w:t xml:space="preserve"> and </w:t>
      </w:r>
      <w:proofErr w:type="spellStart"/>
      <w:r>
        <w:rPr>
          <w:lang w:val="en-US" w:eastAsia="ja-JP"/>
        </w:rPr>
        <w:t>Agrex</w:t>
      </w:r>
      <w:proofErr w:type="spellEnd"/>
      <w:r>
        <w:rPr>
          <w:lang w:val="en-US" w:eastAsia="ja-JP"/>
        </w:rPr>
        <w:t xml:space="preserve">) as well as its management, none of which have a controlling stake. The ACCC considers that this diverse shareholding is likely to encourage use by a variety of exporters. The ACCC notes that NAT investors have </w:t>
      </w:r>
      <w:r w:rsidR="003757D9">
        <w:rPr>
          <w:lang w:val="en-US" w:eastAsia="ja-JP"/>
        </w:rPr>
        <w:t xml:space="preserve">not </w:t>
      </w:r>
      <w:r>
        <w:rPr>
          <w:lang w:val="en-US" w:eastAsia="ja-JP"/>
        </w:rPr>
        <w:t>shipped grain from the terminal to date</w:t>
      </w:r>
      <w:r w:rsidR="003757D9">
        <w:rPr>
          <w:lang w:val="en-US" w:eastAsia="ja-JP"/>
        </w:rPr>
        <w:t>,</w:t>
      </w:r>
      <w:r>
        <w:rPr>
          <w:lang w:val="en-US" w:eastAsia="ja-JP"/>
        </w:rPr>
        <w:t xml:space="preserve"> with all four shipments being executed by third party exporters. The ACCC considers that NAT should continue to have an incentive to offer capacity to such exporters.</w:t>
      </w:r>
    </w:p>
    <w:p w:rsidR="00D752CA" w:rsidRPr="00754BC5" w:rsidRDefault="00D752CA" w:rsidP="007E33C6">
      <w:pPr>
        <w:pStyle w:val="ListParagraph"/>
        <w:numPr>
          <w:ilvl w:val="0"/>
          <w:numId w:val="55"/>
        </w:numPr>
        <w:rPr>
          <w:lang w:val="en-US" w:eastAsia="ja-JP"/>
        </w:rPr>
      </w:pPr>
      <w:proofErr w:type="spellStart"/>
      <w:r>
        <w:rPr>
          <w:lang w:val="en-US" w:eastAsia="ja-JP"/>
        </w:rPr>
        <w:t>Qube</w:t>
      </w:r>
      <w:proofErr w:type="spellEnd"/>
      <w:r>
        <w:rPr>
          <w:lang w:val="en-US" w:eastAsia="ja-JP"/>
        </w:rPr>
        <w:t xml:space="preserve"> only operates a </w:t>
      </w:r>
      <w:proofErr w:type="spellStart"/>
      <w:r>
        <w:rPr>
          <w:lang w:val="en-US" w:eastAsia="ja-JP"/>
        </w:rPr>
        <w:t>shiploader</w:t>
      </w:r>
      <w:proofErr w:type="spellEnd"/>
      <w:r>
        <w:rPr>
          <w:lang w:val="en-US" w:eastAsia="ja-JP"/>
        </w:rPr>
        <w:t xml:space="preserve"> and is not vertically integrated into grain export. The ACCC </w:t>
      </w:r>
      <w:r w:rsidR="00703831">
        <w:rPr>
          <w:lang w:val="en-US" w:eastAsia="ja-JP"/>
        </w:rPr>
        <w:t xml:space="preserve">therefore </w:t>
      </w:r>
      <w:r>
        <w:rPr>
          <w:lang w:val="en-US" w:eastAsia="ja-JP"/>
        </w:rPr>
        <w:t xml:space="preserve">considers that </w:t>
      </w:r>
      <w:proofErr w:type="spellStart"/>
      <w:r>
        <w:rPr>
          <w:lang w:val="en-US" w:eastAsia="ja-JP"/>
        </w:rPr>
        <w:t>Qube</w:t>
      </w:r>
      <w:proofErr w:type="spellEnd"/>
      <w:r>
        <w:rPr>
          <w:lang w:val="en-US" w:eastAsia="ja-JP"/>
        </w:rPr>
        <w:t xml:space="preserve"> should have an incentive to offer capacity in order to obtain custom. The </w:t>
      </w:r>
      <w:proofErr w:type="spellStart"/>
      <w:r>
        <w:rPr>
          <w:lang w:val="en-US" w:eastAsia="ja-JP"/>
        </w:rPr>
        <w:t>shiploader</w:t>
      </w:r>
      <w:proofErr w:type="spellEnd"/>
      <w:r>
        <w:rPr>
          <w:lang w:val="en-US" w:eastAsia="ja-JP"/>
        </w:rPr>
        <w:t xml:space="preserve"> is also used for other commodities than grain.</w:t>
      </w:r>
      <w:r w:rsidR="00D4299B">
        <w:rPr>
          <w:lang w:val="en-US" w:eastAsia="ja-JP"/>
        </w:rPr>
        <w:t xml:space="preserve"> To date, </w:t>
      </w:r>
      <w:proofErr w:type="spellStart"/>
      <w:r w:rsidR="00D4299B">
        <w:rPr>
          <w:lang w:val="en-US" w:eastAsia="ja-JP"/>
        </w:rPr>
        <w:t>Qube</w:t>
      </w:r>
      <w:proofErr w:type="spellEnd"/>
      <w:r w:rsidR="00D4299B">
        <w:rPr>
          <w:lang w:val="en-US" w:eastAsia="ja-JP"/>
        </w:rPr>
        <w:t xml:space="preserve"> has only exported</w:t>
      </w:r>
      <w:r w:rsidR="00612D90">
        <w:rPr>
          <w:lang w:val="en-US" w:eastAsia="ja-JP"/>
        </w:rPr>
        <w:t xml:space="preserve"> grain for Louis Dreyfus.</w:t>
      </w:r>
    </w:p>
    <w:p w:rsidR="00612D90" w:rsidRDefault="00612D90" w:rsidP="007B607E">
      <w:pPr>
        <w:rPr>
          <w:lang w:val="en-US" w:eastAsia="ja-JP"/>
        </w:rPr>
      </w:pPr>
      <w:r>
        <w:rPr>
          <w:lang w:val="en-US" w:eastAsia="ja-JP"/>
        </w:rPr>
        <w:t xml:space="preserve">As noted above, the ACCC understands that the total annual available bulk </w:t>
      </w:r>
      <w:proofErr w:type="spellStart"/>
      <w:r>
        <w:rPr>
          <w:lang w:val="en-US" w:eastAsia="ja-JP"/>
        </w:rPr>
        <w:t>shiploader</w:t>
      </w:r>
      <w:proofErr w:type="spellEnd"/>
      <w:r>
        <w:rPr>
          <w:lang w:val="en-US" w:eastAsia="ja-JP"/>
        </w:rPr>
        <w:t xml:space="preserve"> capacity available across the Newcastle port zone is in the order of 4m </w:t>
      </w:r>
      <w:proofErr w:type="spellStart"/>
      <w:r>
        <w:rPr>
          <w:lang w:val="en-US" w:eastAsia="ja-JP"/>
        </w:rPr>
        <w:t>tonnes</w:t>
      </w:r>
      <w:proofErr w:type="spellEnd"/>
      <w:r>
        <w:rPr>
          <w:lang w:val="en-US" w:eastAsia="ja-JP"/>
        </w:rPr>
        <w:t xml:space="preserve">, with </w:t>
      </w:r>
      <w:proofErr w:type="spellStart"/>
      <w:r>
        <w:rPr>
          <w:lang w:val="en-US" w:eastAsia="ja-JP"/>
        </w:rPr>
        <w:t>GrainCorp</w:t>
      </w:r>
      <w:proofErr w:type="spellEnd"/>
      <w:r>
        <w:rPr>
          <w:lang w:val="en-US" w:eastAsia="ja-JP"/>
        </w:rPr>
        <w:t xml:space="preserve"> being the largest port operator with a potential capacity of 2.5m </w:t>
      </w:r>
      <w:proofErr w:type="spellStart"/>
      <w:r>
        <w:rPr>
          <w:lang w:val="en-US" w:eastAsia="ja-JP"/>
        </w:rPr>
        <w:t>tonnes</w:t>
      </w:r>
      <w:proofErr w:type="spellEnd"/>
      <w:r>
        <w:rPr>
          <w:lang w:val="en-US" w:eastAsia="ja-JP"/>
        </w:rPr>
        <w:t xml:space="preserve">, NAT having around 1.5m </w:t>
      </w:r>
      <w:proofErr w:type="spellStart"/>
      <w:r>
        <w:rPr>
          <w:lang w:val="en-US" w:eastAsia="ja-JP"/>
        </w:rPr>
        <w:t>tonnes</w:t>
      </w:r>
      <w:proofErr w:type="spellEnd"/>
      <w:r>
        <w:rPr>
          <w:lang w:val="en-US" w:eastAsia="ja-JP"/>
        </w:rPr>
        <w:t xml:space="preserve">, and </w:t>
      </w:r>
      <w:proofErr w:type="spellStart"/>
      <w:r>
        <w:rPr>
          <w:lang w:val="en-US" w:eastAsia="ja-JP"/>
        </w:rPr>
        <w:t>Qube</w:t>
      </w:r>
      <w:proofErr w:type="spellEnd"/>
      <w:r>
        <w:rPr>
          <w:lang w:val="en-US" w:eastAsia="ja-JP"/>
        </w:rPr>
        <w:t xml:space="preserve"> potentially being used for around 0.3m </w:t>
      </w:r>
      <w:proofErr w:type="spellStart"/>
      <w:r>
        <w:rPr>
          <w:lang w:val="en-US" w:eastAsia="ja-JP"/>
        </w:rPr>
        <w:t>tonnes</w:t>
      </w:r>
      <w:proofErr w:type="spellEnd"/>
      <w:r>
        <w:rPr>
          <w:lang w:val="en-US" w:eastAsia="ja-JP"/>
        </w:rPr>
        <w:t>.</w:t>
      </w:r>
    </w:p>
    <w:p w:rsidR="00973D36" w:rsidRDefault="00973D36" w:rsidP="0006797A">
      <w:pPr>
        <w:rPr>
          <w:lang w:val="en-US" w:eastAsia="ja-JP"/>
        </w:rPr>
      </w:pPr>
      <w:r>
        <w:rPr>
          <w:lang w:val="en-US" w:eastAsia="ja-JP"/>
        </w:rPr>
        <w:t>While there is a significant amount of annual capacity offered</w:t>
      </w:r>
      <w:r w:rsidR="00E46286">
        <w:rPr>
          <w:lang w:val="en-US" w:eastAsia="ja-JP"/>
        </w:rPr>
        <w:t>,</w:t>
      </w:r>
      <w:r>
        <w:rPr>
          <w:lang w:val="en-US" w:eastAsia="ja-JP"/>
        </w:rPr>
        <w:t xml:space="preserve"> the amount that exporters will compete for </w:t>
      </w:r>
      <w:r w:rsidR="00D4299B">
        <w:rPr>
          <w:lang w:val="en-US" w:eastAsia="ja-JP"/>
        </w:rPr>
        <w:t xml:space="preserve">may be </w:t>
      </w:r>
      <w:r>
        <w:rPr>
          <w:lang w:val="en-US" w:eastAsia="ja-JP"/>
        </w:rPr>
        <w:t xml:space="preserve">less than that </w:t>
      </w:r>
      <w:r w:rsidR="00D4299B">
        <w:rPr>
          <w:lang w:val="en-US" w:eastAsia="ja-JP"/>
        </w:rPr>
        <w:t xml:space="preserve">total </w:t>
      </w:r>
      <w:r>
        <w:rPr>
          <w:lang w:val="en-US" w:eastAsia="ja-JP"/>
        </w:rPr>
        <w:t>amount for the following reasons:</w:t>
      </w:r>
    </w:p>
    <w:p w:rsidR="00973D36" w:rsidRDefault="00973D36" w:rsidP="00973D36">
      <w:pPr>
        <w:pStyle w:val="ListParagraph"/>
        <w:numPr>
          <w:ilvl w:val="0"/>
          <w:numId w:val="39"/>
        </w:numPr>
        <w:rPr>
          <w:lang w:val="en-US" w:eastAsia="ja-JP"/>
        </w:rPr>
      </w:pPr>
      <w:r>
        <w:rPr>
          <w:lang w:val="en-US" w:eastAsia="ja-JP"/>
        </w:rPr>
        <w:t xml:space="preserve">GrainCorp offers the majority of the available capacity. Over the last </w:t>
      </w:r>
      <w:r w:rsidR="00E46286">
        <w:rPr>
          <w:lang w:val="en-US" w:eastAsia="ja-JP"/>
        </w:rPr>
        <w:t xml:space="preserve">4 harvest </w:t>
      </w:r>
      <w:r>
        <w:rPr>
          <w:lang w:val="en-US" w:eastAsia="ja-JP"/>
        </w:rPr>
        <w:t>years</w:t>
      </w:r>
      <w:r w:rsidR="00E46286">
        <w:rPr>
          <w:lang w:val="en-US" w:eastAsia="ja-JP"/>
        </w:rPr>
        <w:t>,</w:t>
      </w:r>
      <w:r>
        <w:rPr>
          <w:lang w:val="en-US" w:eastAsia="ja-JP"/>
        </w:rPr>
        <w:t xml:space="preserve"> </w:t>
      </w:r>
      <w:r w:rsidR="00E46286">
        <w:rPr>
          <w:lang w:val="en-US" w:eastAsia="ja-JP"/>
        </w:rPr>
        <w:t>43</w:t>
      </w:r>
      <w:r>
        <w:rPr>
          <w:lang w:val="en-US" w:eastAsia="ja-JP"/>
        </w:rPr>
        <w:t xml:space="preserve">% of that capacity has been acquired by GrainCorp’s </w:t>
      </w:r>
      <w:r w:rsidR="00E46286">
        <w:rPr>
          <w:lang w:val="en-US" w:eastAsia="ja-JP"/>
        </w:rPr>
        <w:t xml:space="preserve">own </w:t>
      </w:r>
      <w:r>
        <w:rPr>
          <w:lang w:val="en-US" w:eastAsia="ja-JP"/>
        </w:rPr>
        <w:t>trading division.</w:t>
      </w:r>
      <w:r w:rsidR="00E46286">
        <w:rPr>
          <w:rStyle w:val="FootnoteReference"/>
          <w:lang w:val="en-US" w:eastAsia="ja-JP"/>
        </w:rPr>
        <w:footnoteReference w:id="17"/>
      </w:r>
      <w:r>
        <w:rPr>
          <w:lang w:val="en-US" w:eastAsia="ja-JP"/>
        </w:rPr>
        <w:t xml:space="preserve"> GrainCorp is now an exempt service provider of services at Carrington and </w:t>
      </w:r>
      <w:r w:rsidR="00D4299B">
        <w:rPr>
          <w:lang w:val="en-US" w:eastAsia="ja-JP"/>
        </w:rPr>
        <w:t>may</w:t>
      </w:r>
      <w:r>
        <w:rPr>
          <w:lang w:val="en-US" w:eastAsia="ja-JP"/>
        </w:rPr>
        <w:t xml:space="preserve"> allocate </w:t>
      </w:r>
      <w:r w:rsidR="00D4299B">
        <w:rPr>
          <w:lang w:val="en-US" w:eastAsia="ja-JP"/>
        </w:rPr>
        <w:t xml:space="preserve">a greater amount </w:t>
      </w:r>
      <w:r>
        <w:rPr>
          <w:lang w:val="en-US" w:eastAsia="ja-JP"/>
        </w:rPr>
        <w:t xml:space="preserve">capacity to its trading division. </w:t>
      </w:r>
    </w:p>
    <w:p w:rsidR="009331D0" w:rsidRDefault="00D4299B" w:rsidP="009331D0">
      <w:pPr>
        <w:pStyle w:val="ListParagraph"/>
        <w:numPr>
          <w:ilvl w:val="0"/>
          <w:numId w:val="39"/>
        </w:numPr>
        <w:rPr>
          <w:lang w:val="en-US" w:eastAsia="ja-JP"/>
        </w:rPr>
      </w:pPr>
      <w:proofErr w:type="spellStart"/>
      <w:r>
        <w:rPr>
          <w:lang w:val="en-US" w:eastAsia="ja-JP"/>
        </w:rPr>
        <w:t>Qube</w:t>
      </w:r>
      <w:proofErr w:type="spellEnd"/>
      <w:r w:rsidR="009A303C">
        <w:rPr>
          <w:lang w:val="en-US" w:eastAsia="ja-JP"/>
        </w:rPr>
        <w:t xml:space="preserve"> do</w:t>
      </w:r>
      <w:r>
        <w:rPr>
          <w:lang w:val="en-US" w:eastAsia="ja-JP"/>
        </w:rPr>
        <w:t>es</w:t>
      </w:r>
      <w:r w:rsidR="009A303C">
        <w:rPr>
          <w:lang w:val="en-US" w:eastAsia="ja-JP"/>
        </w:rPr>
        <w:t xml:space="preserve"> not currently provide access to </w:t>
      </w:r>
      <w:r w:rsidR="007C039F">
        <w:rPr>
          <w:lang w:val="en-US" w:eastAsia="ja-JP"/>
        </w:rPr>
        <w:t>exporters other than Louis Dreyfus</w:t>
      </w:r>
      <w:r w:rsidR="009331D0">
        <w:rPr>
          <w:lang w:val="en-US" w:eastAsia="ja-JP"/>
        </w:rPr>
        <w:t>.</w:t>
      </w:r>
    </w:p>
    <w:p w:rsidR="009331D0" w:rsidRDefault="009331D0" w:rsidP="009331D0">
      <w:pPr>
        <w:rPr>
          <w:lang w:val="en-US" w:eastAsia="ja-JP"/>
        </w:rPr>
      </w:pPr>
      <w:r>
        <w:rPr>
          <w:lang w:val="en-US" w:eastAsia="ja-JP"/>
        </w:rPr>
        <w:t xml:space="preserve">The ACCC considers that the amount of contestable port capacity in real terms </w:t>
      </w:r>
      <w:r w:rsidR="00873832">
        <w:rPr>
          <w:lang w:val="en-US" w:eastAsia="ja-JP"/>
        </w:rPr>
        <w:t xml:space="preserve">may be </w:t>
      </w:r>
      <w:r>
        <w:rPr>
          <w:lang w:val="en-US" w:eastAsia="ja-JP"/>
        </w:rPr>
        <w:t xml:space="preserve">the more relevant consideration when considering an exporters likelihood of securing fair and transparent access. </w:t>
      </w:r>
      <w:r w:rsidR="00873832">
        <w:rPr>
          <w:lang w:val="en-US" w:eastAsia="ja-JP"/>
        </w:rPr>
        <w:t>However, w</w:t>
      </w:r>
      <w:r w:rsidR="009A303C">
        <w:rPr>
          <w:lang w:val="en-US" w:eastAsia="ja-JP"/>
        </w:rPr>
        <w:t xml:space="preserve">hile the amount of contestable capacity is less than the total amount of capacity offered annually, the ACCC considers that it exceeds likely demand in the foreseeable future. </w:t>
      </w:r>
    </w:p>
    <w:p w:rsidR="00550586" w:rsidRDefault="00873832" w:rsidP="0006797A">
      <w:pPr>
        <w:rPr>
          <w:lang w:val="en-US" w:eastAsia="ja-JP"/>
        </w:rPr>
      </w:pPr>
      <w:r>
        <w:rPr>
          <w:lang w:val="en-US" w:eastAsia="ja-JP"/>
        </w:rPr>
        <w:t xml:space="preserve">Against the above capacity figures, the </w:t>
      </w:r>
      <w:r w:rsidR="00B05CEB">
        <w:rPr>
          <w:lang w:val="en-US" w:eastAsia="ja-JP"/>
        </w:rPr>
        <w:t>ACCC understands that the historical demand for capacity at the Port of Ne</w:t>
      </w:r>
      <w:r w:rsidR="009A303C">
        <w:rPr>
          <w:lang w:val="en-US" w:eastAsia="ja-JP"/>
        </w:rPr>
        <w:t>wcastle has been lower than the available amount</w:t>
      </w:r>
      <w:r w:rsidR="00B05CEB">
        <w:rPr>
          <w:lang w:val="en-US" w:eastAsia="ja-JP"/>
        </w:rPr>
        <w:t xml:space="preserve">. </w:t>
      </w:r>
      <w:r>
        <w:rPr>
          <w:lang w:val="en-US" w:eastAsia="ja-JP"/>
        </w:rPr>
        <w:t xml:space="preserve">On average, </w:t>
      </w:r>
      <w:r w:rsidR="00550586">
        <w:rPr>
          <w:lang w:val="en-US" w:eastAsia="ja-JP"/>
        </w:rPr>
        <w:t xml:space="preserve">around 1.1m </w:t>
      </w:r>
      <w:proofErr w:type="spellStart"/>
      <w:r w:rsidR="00550586">
        <w:rPr>
          <w:lang w:val="en-US" w:eastAsia="ja-JP"/>
        </w:rPr>
        <w:t>tonnes</w:t>
      </w:r>
      <w:proofErr w:type="spellEnd"/>
      <w:r w:rsidR="00550586">
        <w:rPr>
          <w:lang w:val="en-US" w:eastAsia="ja-JP"/>
        </w:rPr>
        <w:t xml:space="preserve"> of grain have</w:t>
      </w:r>
      <w:r>
        <w:rPr>
          <w:lang w:val="en-US" w:eastAsia="ja-JP"/>
        </w:rPr>
        <w:t xml:space="preserve"> been exported from the GrainCorp facility</w:t>
      </w:r>
      <w:r w:rsidR="00550586">
        <w:rPr>
          <w:lang w:val="en-US" w:eastAsia="ja-JP"/>
        </w:rPr>
        <w:t xml:space="preserve"> on an annual basis</w:t>
      </w:r>
      <w:r>
        <w:rPr>
          <w:lang w:val="en-US" w:eastAsia="ja-JP"/>
        </w:rPr>
        <w:t xml:space="preserve">. </w:t>
      </w:r>
    </w:p>
    <w:p w:rsidR="00A31308" w:rsidRDefault="00873832" w:rsidP="0006797A">
      <w:pPr>
        <w:rPr>
          <w:lang w:val="en-US" w:eastAsia="ja-JP"/>
        </w:rPr>
      </w:pPr>
      <w:r>
        <w:rPr>
          <w:lang w:val="en-US" w:eastAsia="ja-JP"/>
        </w:rPr>
        <w:t>F</w:t>
      </w:r>
      <w:r w:rsidR="00550586">
        <w:rPr>
          <w:lang w:val="en-US" w:eastAsia="ja-JP"/>
        </w:rPr>
        <w:t>urthermore, f</w:t>
      </w:r>
      <w:r>
        <w:rPr>
          <w:lang w:val="en-US" w:eastAsia="ja-JP"/>
        </w:rPr>
        <w:t xml:space="preserve">or the 2014-15 </w:t>
      </w:r>
      <w:proofErr w:type="gramStart"/>
      <w:r>
        <w:rPr>
          <w:lang w:val="en-US" w:eastAsia="ja-JP"/>
        </w:rPr>
        <w:t>season</w:t>
      </w:r>
      <w:proofErr w:type="gramEnd"/>
      <w:r>
        <w:rPr>
          <w:lang w:val="en-US" w:eastAsia="ja-JP"/>
        </w:rPr>
        <w:t xml:space="preserve">, GrainCorp’s facility is expected to export around </w:t>
      </w:r>
      <w:r w:rsidR="00550586">
        <w:rPr>
          <w:lang w:val="en-US" w:eastAsia="ja-JP"/>
        </w:rPr>
        <w:t>539,000 in total.</w:t>
      </w:r>
      <w:r w:rsidR="00550586">
        <w:rPr>
          <w:rStyle w:val="FootnoteReference"/>
          <w:lang w:val="en-US" w:eastAsia="ja-JP"/>
        </w:rPr>
        <w:footnoteReference w:id="18"/>
      </w:r>
      <w:r w:rsidR="00550586">
        <w:rPr>
          <w:lang w:val="en-US" w:eastAsia="ja-JP"/>
        </w:rPr>
        <w:t xml:space="preserve"> </w:t>
      </w:r>
      <w:r w:rsidR="003757D9">
        <w:rPr>
          <w:lang w:val="en-US" w:eastAsia="ja-JP"/>
        </w:rPr>
        <w:t>Four shipments totaling slightly over 100,000</w:t>
      </w:r>
      <w:r>
        <w:rPr>
          <w:lang w:val="en-US" w:eastAsia="ja-JP"/>
        </w:rPr>
        <w:t xml:space="preserve"> </w:t>
      </w:r>
      <w:proofErr w:type="spellStart"/>
      <w:r>
        <w:rPr>
          <w:lang w:val="en-US" w:eastAsia="ja-JP"/>
        </w:rPr>
        <w:t>tonnes</w:t>
      </w:r>
      <w:proofErr w:type="spellEnd"/>
      <w:r>
        <w:rPr>
          <w:lang w:val="en-US" w:eastAsia="ja-JP"/>
        </w:rPr>
        <w:t xml:space="preserve"> </w:t>
      </w:r>
      <w:r w:rsidR="003757D9">
        <w:rPr>
          <w:lang w:val="en-US" w:eastAsia="ja-JP"/>
        </w:rPr>
        <w:t xml:space="preserve">have </w:t>
      </w:r>
      <w:r w:rsidR="00550586">
        <w:rPr>
          <w:lang w:val="en-US" w:eastAsia="ja-JP"/>
        </w:rPr>
        <w:t xml:space="preserve">also been </w:t>
      </w:r>
      <w:r w:rsidR="003757D9">
        <w:rPr>
          <w:lang w:val="en-US" w:eastAsia="ja-JP"/>
        </w:rPr>
        <w:t xml:space="preserve">made </w:t>
      </w:r>
      <w:r w:rsidR="00550586">
        <w:rPr>
          <w:lang w:val="en-US" w:eastAsia="ja-JP"/>
        </w:rPr>
        <w:t xml:space="preserve">from the NAT facility over the last year. Accordingly, it does not appear that the demand for the 2014-15 </w:t>
      </w:r>
      <w:proofErr w:type="gramStart"/>
      <w:r w:rsidR="00550586">
        <w:rPr>
          <w:lang w:val="en-US" w:eastAsia="ja-JP"/>
        </w:rPr>
        <w:t>season</w:t>
      </w:r>
      <w:proofErr w:type="gramEnd"/>
      <w:r w:rsidR="00550586">
        <w:rPr>
          <w:lang w:val="en-US" w:eastAsia="ja-JP"/>
        </w:rPr>
        <w:t xml:space="preserve"> will be in excess of the average possible exports from Newcastle.</w:t>
      </w:r>
    </w:p>
    <w:p w:rsidR="00A915C0" w:rsidRDefault="00B05CEB" w:rsidP="0006797A">
      <w:pPr>
        <w:rPr>
          <w:lang w:val="en-US" w:eastAsia="ja-JP"/>
        </w:rPr>
      </w:pPr>
      <w:r>
        <w:rPr>
          <w:lang w:val="en-US" w:eastAsia="ja-JP"/>
        </w:rPr>
        <w:t xml:space="preserve">The ACCC notes therefore that the historical </w:t>
      </w:r>
      <w:r w:rsidR="00550586">
        <w:rPr>
          <w:lang w:val="en-US" w:eastAsia="ja-JP"/>
        </w:rPr>
        <w:t xml:space="preserve">and recent </w:t>
      </w:r>
      <w:r>
        <w:rPr>
          <w:lang w:val="en-US" w:eastAsia="ja-JP"/>
        </w:rPr>
        <w:t>demand for capacity at the Port of Newcastle falls well short of what is now available</w:t>
      </w:r>
      <w:r w:rsidR="00550586">
        <w:rPr>
          <w:lang w:val="en-US" w:eastAsia="ja-JP"/>
        </w:rPr>
        <w:t xml:space="preserve">, although this has been affected by the recent low production in the NPZ. The ACCC notes that grain production in northern NSW has been estimated at just </w:t>
      </w:r>
      <w:proofErr w:type="gramStart"/>
      <w:r w:rsidR="00550586">
        <w:rPr>
          <w:lang w:val="en-US" w:eastAsia="ja-JP"/>
        </w:rPr>
        <w:t>under</w:t>
      </w:r>
      <w:proofErr w:type="gramEnd"/>
      <w:r w:rsidR="00550586">
        <w:rPr>
          <w:lang w:val="en-US" w:eastAsia="ja-JP"/>
        </w:rPr>
        <w:t xml:space="preserve"> 3m </w:t>
      </w:r>
      <w:proofErr w:type="spellStart"/>
      <w:r w:rsidR="00550586">
        <w:rPr>
          <w:lang w:val="en-US" w:eastAsia="ja-JP"/>
        </w:rPr>
        <w:t>tonnes</w:t>
      </w:r>
      <w:proofErr w:type="spellEnd"/>
      <w:r w:rsidR="00550586">
        <w:rPr>
          <w:lang w:val="en-US" w:eastAsia="ja-JP"/>
        </w:rPr>
        <w:t xml:space="preserve">, with slightly over 1m </w:t>
      </w:r>
      <w:proofErr w:type="spellStart"/>
      <w:r w:rsidR="00550586">
        <w:rPr>
          <w:lang w:val="en-US" w:eastAsia="ja-JP"/>
        </w:rPr>
        <w:t>tonnes</w:t>
      </w:r>
      <w:proofErr w:type="spellEnd"/>
      <w:r w:rsidR="00550586">
        <w:rPr>
          <w:lang w:val="en-US" w:eastAsia="ja-JP"/>
        </w:rPr>
        <w:t xml:space="preserve"> being exported on average.</w:t>
      </w:r>
      <w:r w:rsidR="004E5A6C">
        <w:rPr>
          <w:rStyle w:val="FootnoteReference"/>
          <w:lang w:val="en-US" w:eastAsia="ja-JP"/>
        </w:rPr>
        <w:footnoteReference w:id="19"/>
      </w:r>
      <w:r w:rsidR="004E5A6C">
        <w:rPr>
          <w:lang w:val="en-US" w:eastAsia="ja-JP"/>
        </w:rPr>
        <w:t xml:space="preserve"> While p</w:t>
      </w:r>
      <w:r w:rsidR="00A915C0">
        <w:rPr>
          <w:lang w:val="en-US" w:eastAsia="ja-JP"/>
        </w:rPr>
        <w:t>roduction may fluctuate from year to year, particularly in line with weather</w:t>
      </w:r>
      <w:r w:rsidR="004E5A6C">
        <w:rPr>
          <w:lang w:val="en-US" w:eastAsia="ja-JP"/>
        </w:rPr>
        <w:t xml:space="preserve">, there does not seem to be any significant trend upwards in the overall production in the NPZ, meaning that it is unlikely that the overall export capacity of around 4m </w:t>
      </w:r>
      <w:proofErr w:type="spellStart"/>
      <w:r w:rsidR="004E5A6C">
        <w:rPr>
          <w:lang w:val="en-US" w:eastAsia="ja-JP"/>
        </w:rPr>
        <w:t>tonnes</w:t>
      </w:r>
      <w:proofErr w:type="spellEnd"/>
      <w:r w:rsidR="004E5A6C">
        <w:rPr>
          <w:lang w:val="en-US" w:eastAsia="ja-JP"/>
        </w:rPr>
        <w:t xml:space="preserve"> would be needed soon.</w:t>
      </w:r>
    </w:p>
    <w:p w:rsidR="00A915C0" w:rsidRPr="00F67660" w:rsidRDefault="004E5A6C" w:rsidP="0006797A">
      <w:pPr>
        <w:rPr>
          <w:lang w:val="en-US" w:eastAsia="ja-JP"/>
        </w:rPr>
      </w:pPr>
      <w:r>
        <w:rPr>
          <w:lang w:val="en-US" w:eastAsia="ja-JP"/>
        </w:rPr>
        <w:lastRenderedPageBreak/>
        <w:t>As such</w:t>
      </w:r>
      <w:r w:rsidR="00A915C0">
        <w:rPr>
          <w:lang w:val="en-US" w:eastAsia="ja-JP"/>
        </w:rPr>
        <w:t xml:space="preserve">, taking average production over the last five years, even anticipating a record month, the ACCC considers that production will continue to fall well short of the </w:t>
      </w:r>
      <w:r>
        <w:rPr>
          <w:lang w:val="en-US" w:eastAsia="ja-JP"/>
        </w:rPr>
        <w:t xml:space="preserve">available </w:t>
      </w:r>
      <w:r w:rsidR="00A915C0">
        <w:rPr>
          <w:lang w:val="en-US" w:eastAsia="ja-JP"/>
        </w:rPr>
        <w:t>amount of port terminal services. The ACCC also notes that the domestic and shipping container markets are also potential destination</w:t>
      </w:r>
      <w:r>
        <w:rPr>
          <w:lang w:val="en-US" w:eastAsia="ja-JP"/>
        </w:rPr>
        <w:t>s</w:t>
      </w:r>
      <w:r w:rsidR="00A915C0">
        <w:rPr>
          <w:lang w:val="en-US" w:eastAsia="ja-JP"/>
        </w:rPr>
        <w:t xml:space="preserve"> for wheat. </w:t>
      </w:r>
    </w:p>
    <w:p w:rsidR="00B05CEB" w:rsidRDefault="00A915C0" w:rsidP="00595F37">
      <w:pPr>
        <w:pStyle w:val="Numbered111"/>
        <w:ind w:left="1225" w:hanging="505"/>
        <w:contextualSpacing w:val="0"/>
        <w:rPr>
          <w:lang w:val="en-US" w:eastAsia="ja-JP"/>
        </w:rPr>
      </w:pPr>
      <w:r>
        <w:rPr>
          <w:lang w:val="en-US" w:eastAsia="ja-JP"/>
        </w:rPr>
        <w:t xml:space="preserve">  ACCC preliminary view </w:t>
      </w:r>
    </w:p>
    <w:p w:rsidR="00A31308" w:rsidRDefault="00A915C0" w:rsidP="0006797A">
      <w:pPr>
        <w:rPr>
          <w:lang w:val="en-US" w:eastAsia="ja-JP"/>
        </w:rPr>
      </w:pPr>
      <w:r>
        <w:rPr>
          <w:lang w:val="en-US" w:eastAsia="ja-JP"/>
        </w:rPr>
        <w:t>The ACCC’s preliminary view is that:</w:t>
      </w:r>
    </w:p>
    <w:p w:rsidR="00A915C0" w:rsidRDefault="00A915C0" w:rsidP="00A915C0">
      <w:pPr>
        <w:pStyle w:val="ListParagraph"/>
        <w:numPr>
          <w:ilvl w:val="0"/>
          <w:numId w:val="40"/>
        </w:numPr>
        <w:rPr>
          <w:lang w:val="en-US" w:eastAsia="ja-JP"/>
        </w:rPr>
      </w:pPr>
      <w:r>
        <w:rPr>
          <w:lang w:val="en-US" w:eastAsia="ja-JP"/>
        </w:rPr>
        <w:t xml:space="preserve">Supply of port terminal services at Port of Newcastle will likely be much greater than demand in the foreseeable future. </w:t>
      </w:r>
    </w:p>
    <w:p w:rsidR="00A915C0" w:rsidRDefault="00AB37D0" w:rsidP="00A915C0">
      <w:pPr>
        <w:pStyle w:val="ListParagraph"/>
        <w:numPr>
          <w:ilvl w:val="0"/>
          <w:numId w:val="40"/>
        </w:numPr>
        <w:rPr>
          <w:lang w:val="en-US" w:eastAsia="ja-JP"/>
        </w:rPr>
      </w:pPr>
      <w:r>
        <w:rPr>
          <w:lang w:val="en-US" w:eastAsia="ja-JP"/>
        </w:rPr>
        <w:t xml:space="preserve">Historical yields suggest that </w:t>
      </w:r>
      <w:r w:rsidR="00A915C0">
        <w:rPr>
          <w:lang w:val="en-US" w:eastAsia="ja-JP"/>
        </w:rPr>
        <w:t xml:space="preserve"> wheat produced in the NPZ and the fact that growers can sell that wheat to the other markets mean that the demand for port terminal services at the Port of Newcastle is unlikely to rise significantly</w:t>
      </w:r>
    </w:p>
    <w:p w:rsidR="005A21D3" w:rsidRDefault="005A21D3" w:rsidP="00A915C0">
      <w:pPr>
        <w:pStyle w:val="ListParagraph"/>
        <w:numPr>
          <w:ilvl w:val="0"/>
          <w:numId w:val="40"/>
        </w:numPr>
        <w:rPr>
          <w:lang w:val="en-US" w:eastAsia="ja-JP"/>
        </w:rPr>
      </w:pPr>
      <w:r>
        <w:rPr>
          <w:lang w:val="en-US" w:eastAsia="ja-JP"/>
        </w:rPr>
        <w:t xml:space="preserve">NAT and </w:t>
      </w:r>
      <w:proofErr w:type="spellStart"/>
      <w:r>
        <w:rPr>
          <w:lang w:val="en-US" w:eastAsia="ja-JP"/>
        </w:rPr>
        <w:t>Qube</w:t>
      </w:r>
      <w:proofErr w:type="spellEnd"/>
      <w:r>
        <w:rPr>
          <w:lang w:val="en-US" w:eastAsia="ja-JP"/>
        </w:rPr>
        <w:t xml:space="preserve"> will be providing services </w:t>
      </w:r>
      <w:r w:rsidR="004E5A6C">
        <w:rPr>
          <w:lang w:val="en-US" w:eastAsia="ja-JP"/>
        </w:rPr>
        <w:t>when there is</w:t>
      </w:r>
      <w:r>
        <w:rPr>
          <w:lang w:val="en-US" w:eastAsia="ja-JP"/>
        </w:rPr>
        <w:t xml:space="preserve"> significant competition</w:t>
      </w:r>
      <w:r w:rsidR="0067797B">
        <w:rPr>
          <w:lang w:val="en-US" w:eastAsia="ja-JP"/>
        </w:rPr>
        <w:t>, providing both parties with the incentive to provide fair and transparent access</w:t>
      </w:r>
    </w:p>
    <w:p w:rsidR="004E5A6C" w:rsidRDefault="004E5A6C" w:rsidP="00A915C0">
      <w:pPr>
        <w:pStyle w:val="ListParagraph"/>
        <w:numPr>
          <w:ilvl w:val="0"/>
          <w:numId w:val="40"/>
        </w:numPr>
        <w:rPr>
          <w:lang w:val="en-US" w:eastAsia="ja-JP"/>
        </w:rPr>
      </w:pPr>
      <w:r>
        <w:rPr>
          <w:lang w:val="en-US" w:eastAsia="ja-JP"/>
        </w:rPr>
        <w:t>Neither party is vertically integrated, thus increasing their incentive to provide access to third party exporters.</w:t>
      </w:r>
    </w:p>
    <w:p w:rsidR="004B6004" w:rsidRDefault="0067797B" w:rsidP="0067797B">
      <w:pPr>
        <w:rPr>
          <w:lang w:val="en-US" w:eastAsia="ja-JP"/>
        </w:rPr>
      </w:pPr>
      <w:r>
        <w:rPr>
          <w:lang w:val="en-US" w:eastAsia="ja-JP"/>
        </w:rPr>
        <w:t>Accor</w:t>
      </w:r>
      <w:r w:rsidR="0017007A">
        <w:rPr>
          <w:lang w:val="en-US" w:eastAsia="ja-JP"/>
        </w:rPr>
        <w:t xml:space="preserve">dingly, having </w:t>
      </w:r>
      <w:r w:rsidR="00B9015E">
        <w:rPr>
          <w:lang w:val="en-US" w:eastAsia="ja-JP"/>
        </w:rPr>
        <w:t xml:space="preserve">had </w:t>
      </w:r>
      <w:r w:rsidR="0017007A">
        <w:rPr>
          <w:lang w:val="en-US" w:eastAsia="ja-JP"/>
        </w:rPr>
        <w:t xml:space="preserve">regard to </w:t>
      </w:r>
      <w:proofErr w:type="spellStart"/>
      <w:r w:rsidR="0017007A">
        <w:rPr>
          <w:lang w:val="en-US" w:eastAsia="ja-JP"/>
        </w:rPr>
        <w:t>subclauses</w:t>
      </w:r>
      <w:proofErr w:type="spellEnd"/>
      <w:r w:rsidR="0017007A">
        <w:rPr>
          <w:lang w:val="en-US" w:eastAsia="ja-JP"/>
        </w:rPr>
        <w:t xml:space="preserve"> 5(3)(c) and 5(3)(d) of the Code, the ACCC’s preliminary view is that </w:t>
      </w:r>
      <w:r>
        <w:rPr>
          <w:lang w:val="en-US" w:eastAsia="ja-JP"/>
        </w:rPr>
        <w:t>the Applicants being determined exempt service providers will not adversely</w:t>
      </w:r>
      <w:r w:rsidR="0017007A">
        <w:rPr>
          <w:lang w:val="en-US" w:eastAsia="ja-JP"/>
        </w:rPr>
        <w:t xml:space="preserve"> impact on exporters ability to secure fair and transparent access to the Applicants services. </w:t>
      </w:r>
    </w:p>
    <w:p w:rsidR="0017007A" w:rsidRPr="0067797B" w:rsidRDefault="0017007A" w:rsidP="0067797B">
      <w:pPr>
        <w:rPr>
          <w:lang w:val="en-US" w:eastAsia="ja-JP"/>
        </w:rPr>
      </w:pPr>
    </w:p>
    <w:p w:rsidR="00A31308" w:rsidRDefault="008C0D3B" w:rsidP="008C0D3B">
      <w:pPr>
        <w:pStyle w:val="Numbered11"/>
        <w:rPr>
          <w:lang w:val="en-US" w:eastAsia="ja-JP"/>
        </w:rPr>
      </w:pPr>
      <w:bookmarkStart w:id="35" w:name="_Ref413335956"/>
      <w:r>
        <w:rPr>
          <w:lang w:val="en-US" w:eastAsia="ja-JP"/>
        </w:rPr>
        <w:t>The promotion of economically efficient operation and use of the port terminal facility (</w:t>
      </w:r>
      <w:proofErr w:type="spellStart"/>
      <w:r>
        <w:rPr>
          <w:lang w:val="en-US" w:eastAsia="ja-JP"/>
        </w:rPr>
        <w:t>subclause</w:t>
      </w:r>
      <w:proofErr w:type="spellEnd"/>
      <w:r>
        <w:rPr>
          <w:lang w:val="en-US" w:eastAsia="ja-JP"/>
        </w:rPr>
        <w:t xml:space="preserve"> 5(3)(e)) and the promotion of efficient investment in port terminal facilities (</w:t>
      </w:r>
      <w:proofErr w:type="spellStart"/>
      <w:r>
        <w:rPr>
          <w:lang w:val="en-US" w:eastAsia="ja-JP"/>
        </w:rPr>
        <w:t>subclause</w:t>
      </w:r>
      <w:proofErr w:type="spellEnd"/>
      <w:r>
        <w:rPr>
          <w:lang w:val="en-US" w:eastAsia="ja-JP"/>
        </w:rPr>
        <w:t xml:space="preserve"> 5(3)(f))</w:t>
      </w:r>
      <w:bookmarkEnd w:id="35"/>
      <w:r>
        <w:rPr>
          <w:lang w:val="en-US" w:eastAsia="ja-JP"/>
        </w:rPr>
        <w:t xml:space="preserve">  </w:t>
      </w:r>
    </w:p>
    <w:p w:rsidR="00AC2F16" w:rsidRPr="00AC2F16" w:rsidRDefault="00AC2F16" w:rsidP="00AC2F16">
      <w:pPr>
        <w:rPr>
          <w:lang w:val="en-US" w:eastAsia="ja-JP"/>
        </w:rPr>
      </w:pPr>
      <w:r>
        <w:rPr>
          <w:lang w:val="en-US" w:eastAsia="ja-JP"/>
        </w:rPr>
        <w:t>The ACCC considers that promoting the economically efficient operation and use of a facility will likely promote the efficient investment in those facilities. The ACCC therefore co</w:t>
      </w:r>
      <w:r w:rsidR="00AB37D0">
        <w:rPr>
          <w:lang w:val="en-US" w:eastAsia="ja-JP"/>
        </w:rPr>
        <w:t>nsiders that these matters are</w:t>
      </w:r>
      <w:r>
        <w:rPr>
          <w:lang w:val="en-US" w:eastAsia="ja-JP"/>
        </w:rPr>
        <w:t xml:space="preserve"> related and will set out its preliminary views on both </w:t>
      </w:r>
      <w:r w:rsidR="007C49D2">
        <w:rPr>
          <w:lang w:val="en-US" w:eastAsia="ja-JP"/>
        </w:rPr>
        <w:t xml:space="preserve">matters </w:t>
      </w:r>
      <w:r>
        <w:rPr>
          <w:lang w:val="en-US" w:eastAsia="ja-JP"/>
        </w:rPr>
        <w:t xml:space="preserve">in this section. </w:t>
      </w:r>
    </w:p>
    <w:p w:rsidR="00951CDE" w:rsidRPr="00AB37D0" w:rsidRDefault="00951CDE" w:rsidP="0006797A">
      <w:pPr>
        <w:pStyle w:val="Numbered111"/>
        <w:rPr>
          <w:lang w:val="en-US" w:eastAsia="ja-JP"/>
        </w:rPr>
      </w:pPr>
      <w:r>
        <w:rPr>
          <w:lang w:val="en-US" w:eastAsia="ja-JP"/>
        </w:rPr>
        <w:t>Promoting efficient operation and use of the Applicants</w:t>
      </w:r>
      <w:r w:rsidR="004D2EF6">
        <w:rPr>
          <w:lang w:val="en-US" w:eastAsia="ja-JP"/>
        </w:rPr>
        <w:t>’</w:t>
      </w:r>
      <w:r>
        <w:rPr>
          <w:lang w:val="en-US" w:eastAsia="ja-JP"/>
        </w:rPr>
        <w:t xml:space="preserve"> facilities</w:t>
      </w:r>
    </w:p>
    <w:p w:rsidR="00A31308" w:rsidRDefault="00C53239" w:rsidP="0006797A">
      <w:pPr>
        <w:rPr>
          <w:lang w:val="en-US" w:eastAsia="ja-JP"/>
        </w:rPr>
      </w:pPr>
      <w:r>
        <w:rPr>
          <w:lang w:val="en-US" w:eastAsia="ja-JP"/>
        </w:rPr>
        <w:t xml:space="preserve">The ACCC considers that a key consideration when having regard to </w:t>
      </w:r>
      <w:r w:rsidR="004D2EF6">
        <w:rPr>
          <w:lang w:val="en-US" w:eastAsia="ja-JP"/>
        </w:rPr>
        <w:t xml:space="preserve">the matters under </w:t>
      </w:r>
      <w:proofErr w:type="spellStart"/>
      <w:r w:rsidR="00AC2F16">
        <w:rPr>
          <w:lang w:val="en-US" w:eastAsia="ja-JP"/>
        </w:rPr>
        <w:t>subclauses</w:t>
      </w:r>
      <w:proofErr w:type="spellEnd"/>
      <w:r w:rsidR="00AC2F16">
        <w:rPr>
          <w:lang w:val="en-US" w:eastAsia="ja-JP"/>
        </w:rPr>
        <w:t xml:space="preserve"> 5(3</w:t>
      </w:r>
      <w:proofErr w:type="gramStart"/>
      <w:r w:rsidR="00AC2F16">
        <w:rPr>
          <w:lang w:val="en-US" w:eastAsia="ja-JP"/>
        </w:rPr>
        <w:t>)(</w:t>
      </w:r>
      <w:proofErr w:type="gramEnd"/>
      <w:r w:rsidR="00AC2F16">
        <w:rPr>
          <w:lang w:val="en-US" w:eastAsia="ja-JP"/>
        </w:rPr>
        <w:t>e)</w:t>
      </w:r>
      <w:r w:rsidR="009651D7">
        <w:rPr>
          <w:lang w:val="en-US" w:eastAsia="ja-JP"/>
        </w:rPr>
        <w:t xml:space="preserve"> and 5(3)(f) is what impact a determination to exempt the Applicants will have on the efficient operation and use of, and investment in, their respective port terminal facilities. </w:t>
      </w:r>
      <w:r w:rsidR="00A256D8">
        <w:rPr>
          <w:lang w:val="en-US" w:eastAsia="ja-JP"/>
        </w:rPr>
        <w:t xml:space="preserve">The ACCC also considers that competition will be a key driver of </w:t>
      </w:r>
      <w:r w:rsidR="004D2EF6">
        <w:rPr>
          <w:lang w:val="en-US" w:eastAsia="ja-JP"/>
        </w:rPr>
        <w:t xml:space="preserve">the </w:t>
      </w:r>
      <w:r w:rsidR="00A256D8">
        <w:rPr>
          <w:lang w:val="en-US" w:eastAsia="ja-JP"/>
        </w:rPr>
        <w:t>efficient operation and use of a facility in the absence of regulation.</w:t>
      </w:r>
    </w:p>
    <w:p w:rsidR="00A256D8" w:rsidRDefault="00A256D8" w:rsidP="0006797A">
      <w:pPr>
        <w:rPr>
          <w:lang w:val="en-US" w:eastAsia="ja-JP"/>
        </w:rPr>
      </w:pPr>
      <w:r>
        <w:rPr>
          <w:lang w:val="en-US" w:eastAsia="ja-JP"/>
        </w:rPr>
        <w:t>As noted, the ACCC considers that there is evidence of competition in the provision of bulk wheat port terminal services in the Newcastle port and NPZ.</w:t>
      </w:r>
    </w:p>
    <w:p w:rsidR="009651D7" w:rsidRDefault="00BD2311" w:rsidP="0006797A">
      <w:pPr>
        <w:rPr>
          <w:lang w:val="en-US" w:eastAsia="ja-JP"/>
        </w:rPr>
      </w:pPr>
      <w:r>
        <w:rPr>
          <w:lang w:val="en-US" w:eastAsia="ja-JP"/>
        </w:rPr>
        <w:t xml:space="preserve">The ACCC </w:t>
      </w:r>
      <w:r w:rsidR="00A256D8">
        <w:rPr>
          <w:lang w:val="en-US" w:eastAsia="ja-JP"/>
        </w:rPr>
        <w:t xml:space="preserve">also </w:t>
      </w:r>
      <w:r>
        <w:rPr>
          <w:lang w:val="en-US" w:eastAsia="ja-JP"/>
        </w:rPr>
        <w:t>considers that</w:t>
      </w:r>
      <w:r w:rsidR="00836CF7">
        <w:rPr>
          <w:lang w:val="en-US" w:eastAsia="ja-JP"/>
        </w:rPr>
        <w:t>,</w:t>
      </w:r>
      <w:r>
        <w:rPr>
          <w:lang w:val="en-US" w:eastAsia="ja-JP"/>
        </w:rPr>
        <w:t xml:space="preserve"> </w:t>
      </w:r>
      <w:r w:rsidR="00C53239">
        <w:rPr>
          <w:lang w:val="en-US" w:eastAsia="ja-JP"/>
        </w:rPr>
        <w:t>in the specific context of the Port of Newcastle</w:t>
      </w:r>
      <w:r w:rsidR="00836CF7">
        <w:rPr>
          <w:lang w:val="en-US" w:eastAsia="ja-JP"/>
        </w:rPr>
        <w:t>,</w:t>
      </w:r>
      <w:r w:rsidR="00C53239">
        <w:rPr>
          <w:lang w:val="en-US" w:eastAsia="ja-JP"/>
        </w:rPr>
        <w:t xml:space="preserve"> </w:t>
      </w:r>
      <w:r>
        <w:rPr>
          <w:lang w:val="en-US" w:eastAsia="ja-JP"/>
        </w:rPr>
        <w:t>a decision to not determine the Applicants as exempt service providers may impact on the efficient operation and use of the Applicants facilities in the following ways:</w:t>
      </w:r>
    </w:p>
    <w:p w:rsidR="00BD2311" w:rsidRDefault="00BD2311" w:rsidP="00BD2311">
      <w:pPr>
        <w:pStyle w:val="ListParagraph"/>
        <w:numPr>
          <w:ilvl w:val="0"/>
          <w:numId w:val="43"/>
        </w:numPr>
        <w:rPr>
          <w:lang w:val="en-US" w:eastAsia="ja-JP"/>
        </w:rPr>
      </w:pPr>
      <w:proofErr w:type="gramStart"/>
      <w:r>
        <w:rPr>
          <w:lang w:val="en-US" w:eastAsia="ja-JP"/>
        </w:rPr>
        <w:t>the</w:t>
      </w:r>
      <w:proofErr w:type="gramEnd"/>
      <w:r>
        <w:rPr>
          <w:lang w:val="en-US" w:eastAsia="ja-JP"/>
        </w:rPr>
        <w:t xml:space="preserve"> Applicants will be required to pay the cost of compliance</w:t>
      </w:r>
      <w:r w:rsidR="004D2EF6">
        <w:rPr>
          <w:lang w:val="en-US" w:eastAsia="ja-JP"/>
        </w:rPr>
        <w:t xml:space="preserve"> with the entire Code</w:t>
      </w:r>
      <w:r>
        <w:rPr>
          <w:lang w:val="en-US" w:eastAsia="ja-JP"/>
        </w:rPr>
        <w:t>, which the Applicants may pass through to customers by way of access charges, making them potentially less price competitive with GrainCorp</w:t>
      </w:r>
      <w:r w:rsidR="004D2EF6">
        <w:rPr>
          <w:lang w:val="en-US" w:eastAsia="ja-JP"/>
        </w:rPr>
        <w:t>.</w:t>
      </w:r>
    </w:p>
    <w:p w:rsidR="00BD2311" w:rsidRPr="00BD2311" w:rsidRDefault="00BD2311" w:rsidP="00BD2311">
      <w:pPr>
        <w:pStyle w:val="ListParagraph"/>
        <w:numPr>
          <w:ilvl w:val="0"/>
          <w:numId w:val="43"/>
        </w:numPr>
        <w:rPr>
          <w:lang w:val="en-US" w:eastAsia="ja-JP"/>
        </w:rPr>
      </w:pPr>
      <w:r>
        <w:rPr>
          <w:lang w:val="en-US" w:eastAsia="ja-JP"/>
        </w:rPr>
        <w:lastRenderedPageBreak/>
        <w:t xml:space="preserve">the Applicants will have </w:t>
      </w:r>
      <w:r w:rsidR="00836CF7">
        <w:rPr>
          <w:lang w:val="en-US" w:eastAsia="ja-JP"/>
        </w:rPr>
        <w:t xml:space="preserve">to </w:t>
      </w:r>
      <w:r>
        <w:rPr>
          <w:lang w:val="en-US" w:eastAsia="ja-JP"/>
        </w:rPr>
        <w:t>provide access in accordance with the Code’s obligation</w:t>
      </w:r>
      <w:r w:rsidR="00E16D98">
        <w:rPr>
          <w:lang w:val="en-US" w:eastAsia="ja-JP"/>
        </w:rPr>
        <w:t>s</w:t>
      </w:r>
      <w:r>
        <w:rPr>
          <w:lang w:val="en-US" w:eastAsia="ja-JP"/>
        </w:rPr>
        <w:t>, and will therefore be unable to tailor access arrangements to the nee</w:t>
      </w:r>
      <w:r w:rsidR="00E16D98">
        <w:rPr>
          <w:lang w:val="en-US" w:eastAsia="ja-JP"/>
        </w:rPr>
        <w:t xml:space="preserve">ds of individual customers </w:t>
      </w:r>
      <w:r w:rsidR="00EC4B52">
        <w:rPr>
          <w:lang w:val="en-US" w:eastAsia="ja-JP"/>
        </w:rPr>
        <w:t xml:space="preserve">in the same way as </w:t>
      </w:r>
      <w:r>
        <w:rPr>
          <w:lang w:val="en-US" w:eastAsia="ja-JP"/>
        </w:rPr>
        <w:t>GrainCorp can</w:t>
      </w:r>
      <w:r w:rsidR="00836CF7">
        <w:rPr>
          <w:lang w:val="en-US" w:eastAsia="ja-JP"/>
        </w:rPr>
        <w:t xml:space="preserve">, such as </w:t>
      </w:r>
      <w:r w:rsidR="00EC4B52">
        <w:rPr>
          <w:lang w:val="en-US" w:eastAsia="ja-JP"/>
        </w:rPr>
        <w:t xml:space="preserve">by offering </w:t>
      </w:r>
      <w:r w:rsidR="00836CF7">
        <w:rPr>
          <w:lang w:val="en-US" w:eastAsia="ja-JP"/>
        </w:rPr>
        <w:t>more flexible arrangements for access outside of a mandated access system.</w:t>
      </w:r>
    </w:p>
    <w:p w:rsidR="00E86CD2" w:rsidRDefault="00BD2311" w:rsidP="00BD2311">
      <w:r>
        <w:t xml:space="preserve">If the Applicants are not determined exempt service providers, they are </w:t>
      </w:r>
      <w:r w:rsidR="00A256D8">
        <w:t xml:space="preserve">therefore </w:t>
      </w:r>
      <w:r>
        <w:t>unlikely to be able to offer as attractive terms as GrainCorp</w:t>
      </w:r>
      <w:r w:rsidR="00A256D8">
        <w:t>, or be as flexible in their use of the facility</w:t>
      </w:r>
      <w:r>
        <w:t xml:space="preserve">. Given capacity for </w:t>
      </w:r>
      <w:proofErr w:type="gramStart"/>
      <w:r>
        <w:t xml:space="preserve">port terminal services </w:t>
      </w:r>
      <w:r w:rsidR="00A256D8">
        <w:t>is</w:t>
      </w:r>
      <w:proofErr w:type="gramEnd"/>
      <w:r w:rsidR="00A256D8">
        <w:t xml:space="preserve"> </w:t>
      </w:r>
      <w:r>
        <w:t>surplus to demand, this may have a significant impact on the Applicants’ ability to attract business, meaning less utilisation of the port terminal facility.</w:t>
      </w:r>
      <w:r w:rsidR="00F17481">
        <w:t xml:space="preserve"> </w:t>
      </w:r>
    </w:p>
    <w:p w:rsidR="00A31308" w:rsidRDefault="00F17481">
      <w:pPr>
        <w:rPr>
          <w:lang w:val="en-US" w:eastAsia="ja-JP"/>
        </w:rPr>
      </w:pPr>
      <w:r>
        <w:t>The ACCC therefore considers that increasing the</w:t>
      </w:r>
      <w:r w:rsidR="00E16D98">
        <w:t xml:space="preserve"> Applicants</w:t>
      </w:r>
      <w:r w:rsidR="00595F37">
        <w:t>’</w:t>
      </w:r>
      <w:r w:rsidR="00E16D98">
        <w:t xml:space="preserve"> competitiveness is likely to</w:t>
      </w:r>
      <w:r>
        <w:t xml:space="preserve"> improve utilisation and that greater utilisation represents an improvement in the economically efficient use of the Applicants facilities.    </w:t>
      </w:r>
    </w:p>
    <w:p w:rsidR="00A31308" w:rsidRDefault="00951CDE" w:rsidP="00951CDE">
      <w:pPr>
        <w:pStyle w:val="Numbered111"/>
        <w:rPr>
          <w:lang w:val="en-US" w:eastAsia="ja-JP"/>
        </w:rPr>
      </w:pPr>
      <w:r>
        <w:rPr>
          <w:lang w:val="en-US" w:eastAsia="ja-JP"/>
        </w:rPr>
        <w:t xml:space="preserve">Promoting efficient investment in the Applicants port terminal facilities </w:t>
      </w:r>
    </w:p>
    <w:p w:rsidR="00034F27" w:rsidRDefault="00951CDE" w:rsidP="00951CDE">
      <w:pPr>
        <w:rPr>
          <w:lang w:val="en-US" w:eastAsia="ja-JP"/>
        </w:rPr>
      </w:pPr>
      <w:r>
        <w:rPr>
          <w:lang w:val="en-US" w:eastAsia="ja-JP"/>
        </w:rPr>
        <w:t>T</w:t>
      </w:r>
      <w:r w:rsidR="00034F27">
        <w:rPr>
          <w:lang w:val="en-US" w:eastAsia="ja-JP"/>
        </w:rPr>
        <w:t xml:space="preserve">he ACCC considers that a PTSP is more likely to invest in facilities that are competitive or that have the potential to become competitive. </w:t>
      </w:r>
      <w:r w:rsidR="00A256D8">
        <w:rPr>
          <w:lang w:val="en-US" w:eastAsia="ja-JP"/>
        </w:rPr>
        <w:t>Also, unnecessary regulation can provide a disincentive for efficient investment in a specific facility.</w:t>
      </w:r>
    </w:p>
    <w:p w:rsidR="00B77C78" w:rsidRDefault="00034F27" w:rsidP="00951CDE">
      <w:pPr>
        <w:rPr>
          <w:lang w:val="en-US" w:eastAsia="ja-JP"/>
        </w:rPr>
      </w:pPr>
      <w:r>
        <w:rPr>
          <w:lang w:val="en-US" w:eastAsia="ja-JP"/>
        </w:rPr>
        <w:t xml:space="preserve">In the event that the Applicants are not determined to be exempt service providers </w:t>
      </w:r>
      <w:r w:rsidR="00E16D98">
        <w:rPr>
          <w:lang w:val="en-US" w:eastAsia="ja-JP"/>
        </w:rPr>
        <w:t xml:space="preserve">they will be required </w:t>
      </w:r>
      <w:r w:rsidR="00D65765">
        <w:rPr>
          <w:lang w:val="en-US" w:eastAsia="ja-JP"/>
        </w:rPr>
        <w:t xml:space="preserve">to </w:t>
      </w:r>
      <w:r w:rsidR="00AD3D8E">
        <w:rPr>
          <w:lang w:val="en-US" w:eastAsia="ja-JP"/>
        </w:rPr>
        <w:t xml:space="preserve">provide their services with greater restrictions, and </w:t>
      </w:r>
      <w:r w:rsidR="00EC4B52">
        <w:rPr>
          <w:lang w:val="en-US" w:eastAsia="ja-JP"/>
        </w:rPr>
        <w:t xml:space="preserve">with </w:t>
      </w:r>
      <w:r w:rsidR="00AD3D8E">
        <w:rPr>
          <w:lang w:val="en-US" w:eastAsia="ja-JP"/>
        </w:rPr>
        <w:t xml:space="preserve">greater </w:t>
      </w:r>
      <w:r w:rsidR="00EC4B52">
        <w:rPr>
          <w:lang w:val="en-US" w:eastAsia="ja-JP"/>
        </w:rPr>
        <w:t xml:space="preserve">compliance </w:t>
      </w:r>
      <w:r w:rsidR="00AD3D8E">
        <w:rPr>
          <w:lang w:val="en-US" w:eastAsia="ja-JP"/>
        </w:rPr>
        <w:t>costs, than GrainCorp. The ACCC considers this would put the Applicants at a competitive disadvantage which is unlikely to be addressed by investment.</w:t>
      </w:r>
    </w:p>
    <w:p w:rsidR="00887173" w:rsidRDefault="00B77C78" w:rsidP="00951CDE">
      <w:pPr>
        <w:rPr>
          <w:lang w:val="en-US" w:eastAsia="ja-JP"/>
        </w:rPr>
      </w:pPr>
      <w:r>
        <w:rPr>
          <w:lang w:val="en-US" w:eastAsia="ja-JP"/>
        </w:rPr>
        <w:t xml:space="preserve">The ACCC considers that the Applicants being determined exempt service providers </w:t>
      </w:r>
      <w:r w:rsidR="001B62C4">
        <w:rPr>
          <w:lang w:val="en-US" w:eastAsia="ja-JP"/>
        </w:rPr>
        <w:t xml:space="preserve">may provide the Applicants with a greater incentive to invest. By being placed on a level </w:t>
      </w:r>
      <w:r w:rsidR="00E16D98">
        <w:rPr>
          <w:lang w:val="en-US" w:eastAsia="ja-JP"/>
        </w:rPr>
        <w:t xml:space="preserve">regulatory </w:t>
      </w:r>
      <w:r w:rsidR="001B62C4">
        <w:rPr>
          <w:lang w:val="en-US" w:eastAsia="ja-JP"/>
        </w:rPr>
        <w:t>playing field</w:t>
      </w:r>
      <w:r w:rsidR="00E16D98">
        <w:rPr>
          <w:lang w:val="en-US" w:eastAsia="ja-JP"/>
        </w:rPr>
        <w:t xml:space="preserve"> with GrainCorp</w:t>
      </w:r>
      <w:r w:rsidR="00887173">
        <w:rPr>
          <w:lang w:val="en-US" w:eastAsia="ja-JP"/>
        </w:rPr>
        <w:t xml:space="preserve">, the Applicants may consider that investment may provide them with a competitive edge. </w:t>
      </w:r>
    </w:p>
    <w:p w:rsidR="00951CDE" w:rsidRPr="00951CDE" w:rsidRDefault="00887173" w:rsidP="00887173">
      <w:pPr>
        <w:pStyle w:val="Numbered111"/>
        <w:rPr>
          <w:lang w:val="en-US" w:eastAsia="ja-JP"/>
        </w:rPr>
      </w:pPr>
      <w:r>
        <w:rPr>
          <w:lang w:val="en-US" w:eastAsia="ja-JP"/>
        </w:rPr>
        <w:t>ACCC preliminary view</w:t>
      </w:r>
      <w:r w:rsidR="001B62C4">
        <w:rPr>
          <w:lang w:val="en-US" w:eastAsia="ja-JP"/>
        </w:rPr>
        <w:t xml:space="preserve"> </w:t>
      </w:r>
    </w:p>
    <w:p w:rsidR="00291237" w:rsidRDefault="00D2172D" w:rsidP="0006797A">
      <w:pPr>
        <w:rPr>
          <w:lang w:val="en-US" w:eastAsia="ja-JP"/>
        </w:rPr>
      </w:pPr>
      <w:r>
        <w:rPr>
          <w:lang w:val="en-US" w:eastAsia="ja-JP"/>
        </w:rPr>
        <w:t xml:space="preserve">The ACCC’s preliminary view is that the Applicants being determined exempt service providers will </w:t>
      </w:r>
      <w:r w:rsidR="00291237">
        <w:rPr>
          <w:lang w:val="en-US" w:eastAsia="ja-JP"/>
        </w:rPr>
        <w:t>promote the efficient operation and use of, as well as investment in, the facilities through which they provide port terminal services by:</w:t>
      </w:r>
    </w:p>
    <w:p w:rsidR="00291237" w:rsidRDefault="00291237" w:rsidP="00291237">
      <w:pPr>
        <w:pStyle w:val="ListParagraph"/>
        <w:numPr>
          <w:ilvl w:val="0"/>
          <w:numId w:val="44"/>
        </w:numPr>
        <w:rPr>
          <w:lang w:val="en-US" w:eastAsia="ja-JP"/>
        </w:rPr>
      </w:pPr>
      <w:r>
        <w:rPr>
          <w:lang w:val="en-US" w:eastAsia="ja-JP"/>
        </w:rPr>
        <w:t xml:space="preserve">reducing the costs associated with operating the facilities (reducing Code compliance costs </w:t>
      </w:r>
    </w:p>
    <w:p w:rsidR="00291237" w:rsidRDefault="00291237" w:rsidP="00291237">
      <w:pPr>
        <w:pStyle w:val="ListParagraph"/>
        <w:numPr>
          <w:ilvl w:val="0"/>
          <w:numId w:val="44"/>
        </w:numPr>
        <w:rPr>
          <w:lang w:val="en-US" w:eastAsia="ja-JP"/>
        </w:rPr>
      </w:pPr>
      <w:r>
        <w:rPr>
          <w:lang w:val="en-US" w:eastAsia="ja-JP"/>
        </w:rPr>
        <w:t xml:space="preserve">increasing the likelihood that their facilities will be used efficiently (removing Code restrictions on how port capacity is allocated) </w:t>
      </w:r>
    </w:p>
    <w:p w:rsidR="00291237" w:rsidRDefault="00291237" w:rsidP="00291237">
      <w:pPr>
        <w:pStyle w:val="ListParagraph"/>
        <w:numPr>
          <w:ilvl w:val="0"/>
          <w:numId w:val="44"/>
        </w:numPr>
        <w:rPr>
          <w:lang w:val="en-US" w:eastAsia="ja-JP"/>
        </w:rPr>
      </w:pPr>
      <w:r>
        <w:rPr>
          <w:lang w:val="en-US" w:eastAsia="ja-JP"/>
        </w:rPr>
        <w:t xml:space="preserve">increasing the chance that facilities </w:t>
      </w:r>
      <w:r w:rsidR="00E16D98">
        <w:rPr>
          <w:lang w:val="en-US" w:eastAsia="ja-JP"/>
        </w:rPr>
        <w:t xml:space="preserve">will </w:t>
      </w:r>
      <w:r w:rsidR="00A256D8">
        <w:rPr>
          <w:lang w:val="en-US" w:eastAsia="ja-JP"/>
        </w:rPr>
        <w:t xml:space="preserve">be </w:t>
      </w:r>
      <w:proofErr w:type="spellStart"/>
      <w:r>
        <w:rPr>
          <w:lang w:val="en-US" w:eastAsia="ja-JP"/>
        </w:rPr>
        <w:t>utilised</w:t>
      </w:r>
      <w:proofErr w:type="spellEnd"/>
      <w:r>
        <w:rPr>
          <w:lang w:val="en-US" w:eastAsia="ja-JP"/>
        </w:rPr>
        <w:t xml:space="preserve"> </w:t>
      </w:r>
      <w:r w:rsidR="005E6C4D">
        <w:rPr>
          <w:lang w:val="en-US" w:eastAsia="ja-JP"/>
        </w:rPr>
        <w:t>(reduction in costs and an increase in flexibility will likely make the Applicants’ services more attractive)</w:t>
      </w:r>
    </w:p>
    <w:p w:rsidR="005E6C4D" w:rsidRDefault="005E6C4D" w:rsidP="00291237">
      <w:pPr>
        <w:pStyle w:val="ListParagraph"/>
        <w:numPr>
          <w:ilvl w:val="0"/>
          <w:numId w:val="44"/>
        </w:numPr>
        <w:rPr>
          <w:lang w:val="en-US" w:eastAsia="ja-JP"/>
        </w:rPr>
      </w:pPr>
      <w:r>
        <w:rPr>
          <w:lang w:val="en-US" w:eastAsia="ja-JP"/>
        </w:rPr>
        <w:t xml:space="preserve">increasing the likelihood that the Applicants will invest in their </w:t>
      </w:r>
      <w:r w:rsidR="00E16D98">
        <w:rPr>
          <w:lang w:val="en-US" w:eastAsia="ja-JP"/>
        </w:rPr>
        <w:t>facilities</w:t>
      </w:r>
      <w:r>
        <w:rPr>
          <w:lang w:val="en-US" w:eastAsia="ja-JP"/>
        </w:rPr>
        <w:t xml:space="preserve"> (services that are competitive on price and able to accommodate customer needs will likely lead to higher utilization, investment may be required to maintain or improve current level of service</w:t>
      </w:r>
      <w:r w:rsidR="00E16D98">
        <w:rPr>
          <w:lang w:val="en-US" w:eastAsia="ja-JP"/>
        </w:rPr>
        <w:t>)</w:t>
      </w:r>
      <w:r>
        <w:rPr>
          <w:lang w:val="en-US" w:eastAsia="ja-JP"/>
        </w:rPr>
        <w:t>.</w:t>
      </w:r>
    </w:p>
    <w:p w:rsidR="005E6C4D" w:rsidRDefault="00533535" w:rsidP="005E6C4D">
      <w:pPr>
        <w:rPr>
          <w:lang w:val="en-US" w:eastAsia="ja-JP"/>
        </w:rPr>
      </w:pPr>
      <w:r>
        <w:rPr>
          <w:lang w:val="en-US" w:eastAsia="ja-JP"/>
        </w:rPr>
        <w:t xml:space="preserve">Accordingly, the ACCC considers that </w:t>
      </w:r>
      <w:r w:rsidR="006D70B1">
        <w:rPr>
          <w:lang w:val="en-US" w:eastAsia="ja-JP"/>
        </w:rPr>
        <w:t xml:space="preserve">the matters considered in having regard to </w:t>
      </w:r>
      <w:proofErr w:type="spellStart"/>
      <w:r w:rsidR="006D70B1">
        <w:rPr>
          <w:lang w:val="en-US" w:eastAsia="ja-JP"/>
        </w:rPr>
        <w:t>subclauses</w:t>
      </w:r>
      <w:proofErr w:type="spellEnd"/>
      <w:r w:rsidR="006D70B1">
        <w:rPr>
          <w:lang w:val="en-US" w:eastAsia="ja-JP"/>
        </w:rPr>
        <w:t xml:space="preserve"> 5(3</w:t>
      </w:r>
      <w:proofErr w:type="gramStart"/>
      <w:r w:rsidR="006D70B1">
        <w:rPr>
          <w:lang w:val="en-US" w:eastAsia="ja-JP"/>
        </w:rPr>
        <w:t>)(</w:t>
      </w:r>
      <w:proofErr w:type="gramEnd"/>
      <w:r w:rsidR="006D70B1">
        <w:rPr>
          <w:lang w:val="en-US" w:eastAsia="ja-JP"/>
        </w:rPr>
        <w:t xml:space="preserve">e) and 5(3)(f) support the </w:t>
      </w:r>
      <w:r w:rsidR="00595F37">
        <w:rPr>
          <w:lang w:val="en-US" w:eastAsia="ja-JP"/>
        </w:rPr>
        <w:t xml:space="preserve">draft position that the </w:t>
      </w:r>
      <w:r w:rsidR="006D70B1">
        <w:rPr>
          <w:lang w:val="en-US" w:eastAsia="ja-JP"/>
        </w:rPr>
        <w:t>Applicants be determined exempt service providers</w:t>
      </w:r>
      <w:r>
        <w:rPr>
          <w:lang w:val="en-US" w:eastAsia="ja-JP"/>
        </w:rPr>
        <w:t>.</w:t>
      </w:r>
    </w:p>
    <w:p w:rsidR="003D7711" w:rsidRDefault="003D7711" w:rsidP="003D7711">
      <w:pPr>
        <w:pStyle w:val="Numbered11"/>
        <w:rPr>
          <w:lang w:val="en-US" w:eastAsia="ja-JP"/>
        </w:rPr>
      </w:pPr>
      <w:r>
        <w:rPr>
          <w:lang w:val="en-US" w:eastAsia="ja-JP"/>
        </w:rPr>
        <w:lastRenderedPageBreak/>
        <w:t>Whether the port terminal service provider is an exporter or an associated entity of an exporter (</w:t>
      </w:r>
      <w:proofErr w:type="spellStart"/>
      <w:r>
        <w:rPr>
          <w:lang w:val="en-US" w:eastAsia="ja-JP"/>
        </w:rPr>
        <w:t>subclause</w:t>
      </w:r>
      <w:proofErr w:type="spellEnd"/>
      <w:r>
        <w:rPr>
          <w:lang w:val="en-US" w:eastAsia="ja-JP"/>
        </w:rPr>
        <w:t xml:space="preserve"> 5(3)(h))</w:t>
      </w:r>
    </w:p>
    <w:p w:rsidR="004F3FB1" w:rsidRDefault="003D7711" w:rsidP="003D7711">
      <w:pPr>
        <w:rPr>
          <w:lang w:val="en-US" w:eastAsia="ja-JP"/>
        </w:rPr>
      </w:pPr>
      <w:r>
        <w:rPr>
          <w:lang w:val="en-US" w:eastAsia="ja-JP"/>
        </w:rPr>
        <w:t xml:space="preserve">A consideration of </w:t>
      </w:r>
      <w:proofErr w:type="spellStart"/>
      <w:r>
        <w:rPr>
          <w:lang w:val="en-US" w:eastAsia="ja-JP"/>
        </w:rPr>
        <w:t>subclause</w:t>
      </w:r>
      <w:proofErr w:type="spellEnd"/>
      <w:r>
        <w:rPr>
          <w:lang w:val="en-US" w:eastAsia="ja-JP"/>
        </w:rPr>
        <w:t xml:space="preserve"> 5(3</w:t>
      </w:r>
      <w:proofErr w:type="gramStart"/>
      <w:r>
        <w:rPr>
          <w:lang w:val="en-US" w:eastAsia="ja-JP"/>
        </w:rPr>
        <w:t>)(</w:t>
      </w:r>
      <w:proofErr w:type="gramEnd"/>
      <w:r>
        <w:rPr>
          <w:lang w:val="en-US" w:eastAsia="ja-JP"/>
        </w:rPr>
        <w:t xml:space="preserve">h) will involve an assessment of whether a PTSP would have the incentive to </w:t>
      </w:r>
      <w:proofErr w:type="spellStart"/>
      <w:r>
        <w:rPr>
          <w:lang w:val="en-US" w:eastAsia="ja-JP"/>
        </w:rPr>
        <w:t>favour</w:t>
      </w:r>
      <w:proofErr w:type="spellEnd"/>
      <w:r>
        <w:rPr>
          <w:lang w:val="en-US" w:eastAsia="ja-JP"/>
        </w:rPr>
        <w:t xml:space="preserve"> its trading business </w:t>
      </w:r>
      <w:r w:rsidR="004F3FB1">
        <w:rPr>
          <w:lang w:val="en-US" w:eastAsia="ja-JP"/>
        </w:rPr>
        <w:t xml:space="preserve">over other parties when deciding who to provide access to. </w:t>
      </w:r>
    </w:p>
    <w:p w:rsidR="004F3FB1" w:rsidRDefault="004F3FB1" w:rsidP="003D7711">
      <w:pPr>
        <w:rPr>
          <w:lang w:val="en-US" w:eastAsia="ja-JP"/>
        </w:rPr>
      </w:pPr>
      <w:proofErr w:type="gramStart"/>
      <w:r>
        <w:rPr>
          <w:lang w:val="en-US" w:eastAsia="ja-JP"/>
        </w:rPr>
        <w:t>Neither NAT or</w:t>
      </w:r>
      <w:proofErr w:type="gramEnd"/>
      <w:r>
        <w:rPr>
          <w:lang w:val="en-US" w:eastAsia="ja-JP"/>
        </w:rPr>
        <w:t xml:space="preserve"> </w:t>
      </w:r>
      <w:proofErr w:type="spellStart"/>
      <w:r>
        <w:rPr>
          <w:lang w:val="en-US" w:eastAsia="ja-JP"/>
        </w:rPr>
        <w:t>Qube</w:t>
      </w:r>
      <w:proofErr w:type="spellEnd"/>
      <w:r>
        <w:rPr>
          <w:lang w:val="en-US" w:eastAsia="ja-JP"/>
        </w:rPr>
        <w:t xml:space="preserve"> are vertically integrated providers of port terminal services</w:t>
      </w:r>
      <w:r w:rsidR="00A256D8">
        <w:rPr>
          <w:lang w:val="en-US" w:eastAsia="ja-JP"/>
        </w:rPr>
        <w:t xml:space="preserve"> (although NAT does have exporter shareholders, and </w:t>
      </w:r>
      <w:proofErr w:type="spellStart"/>
      <w:r w:rsidR="00A256D8">
        <w:rPr>
          <w:lang w:val="en-US" w:eastAsia="ja-JP"/>
        </w:rPr>
        <w:t>Qube</w:t>
      </w:r>
      <w:proofErr w:type="spellEnd"/>
      <w:r w:rsidR="00A256D8">
        <w:rPr>
          <w:lang w:val="en-US" w:eastAsia="ja-JP"/>
        </w:rPr>
        <w:t xml:space="preserve"> has provided port terminal services to Louis Dreyfus to date)</w:t>
      </w:r>
      <w:r>
        <w:rPr>
          <w:lang w:val="en-US" w:eastAsia="ja-JP"/>
        </w:rPr>
        <w:t xml:space="preserve">. The ACCC therefore does not consider that </w:t>
      </w:r>
      <w:proofErr w:type="spellStart"/>
      <w:r>
        <w:rPr>
          <w:lang w:val="en-US" w:eastAsia="ja-JP"/>
        </w:rPr>
        <w:t>subclause</w:t>
      </w:r>
      <w:proofErr w:type="spellEnd"/>
      <w:r>
        <w:rPr>
          <w:lang w:val="en-US" w:eastAsia="ja-JP"/>
        </w:rPr>
        <w:t xml:space="preserve"> 5(3</w:t>
      </w:r>
      <w:proofErr w:type="gramStart"/>
      <w:r>
        <w:rPr>
          <w:lang w:val="en-US" w:eastAsia="ja-JP"/>
        </w:rPr>
        <w:t>)(</w:t>
      </w:r>
      <w:proofErr w:type="gramEnd"/>
      <w:r>
        <w:rPr>
          <w:lang w:val="en-US" w:eastAsia="ja-JP"/>
        </w:rPr>
        <w:t xml:space="preserve">h) is relevant to the assessment of whether it is appropriate to determine the Applicants as exempt service providers. </w:t>
      </w:r>
    </w:p>
    <w:p w:rsidR="004F3FB1" w:rsidRDefault="004F3FB1" w:rsidP="003D7711">
      <w:pPr>
        <w:rPr>
          <w:lang w:val="en-US" w:eastAsia="ja-JP"/>
        </w:rPr>
      </w:pPr>
    </w:p>
    <w:p w:rsidR="00AC1471" w:rsidRDefault="00AC1471" w:rsidP="00AC1471">
      <w:pPr>
        <w:pStyle w:val="Numbered11"/>
        <w:rPr>
          <w:lang w:val="en-US" w:eastAsia="ja-JP"/>
        </w:rPr>
      </w:pPr>
      <w:bookmarkStart w:id="36" w:name="_Ref413336073"/>
      <w:r>
        <w:rPr>
          <w:lang w:val="en-US" w:eastAsia="ja-JP"/>
        </w:rPr>
        <w:t>Whether there is already an exempt service provider within the grain catchment area for the port concerned</w:t>
      </w:r>
      <w:r w:rsidR="00A0100F">
        <w:rPr>
          <w:lang w:val="en-US" w:eastAsia="ja-JP"/>
        </w:rPr>
        <w:t xml:space="preserve"> (</w:t>
      </w:r>
      <w:proofErr w:type="spellStart"/>
      <w:r w:rsidR="00A0100F">
        <w:rPr>
          <w:lang w:val="en-US" w:eastAsia="ja-JP"/>
        </w:rPr>
        <w:t>subclause</w:t>
      </w:r>
      <w:proofErr w:type="spellEnd"/>
      <w:r w:rsidR="00A0100F">
        <w:rPr>
          <w:lang w:val="en-US" w:eastAsia="ja-JP"/>
        </w:rPr>
        <w:t xml:space="preserve"> 5(3)(</w:t>
      </w:r>
      <w:proofErr w:type="spellStart"/>
      <w:r w:rsidR="00A0100F">
        <w:rPr>
          <w:lang w:val="en-US" w:eastAsia="ja-JP"/>
        </w:rPr>
        <w:t>i</w:t>
      </w:r>
      <w:proofErr w:type="spellEnd"/>
      <w:r w:rsidR="00A0100F">
        <w:rPr>
          <w:lang w:val="en-US" w:eastAsia="ja-JP"/>
        </w:rPr>
        <w:t>))</w:t>
      </w:r>
      <w:bookmarkEnd w:id="36"/>
    </w:p>
    <w:p w:rsidR="00CA0268" w:rsidRDefault="00CA0268" w:rsidP="00CA0268">
      <w:r>
        <w:t xml:space="preserve">The ACCC generally considers that, where there is already an exempt service provider within the </w:t>
      </w:r>
      <w:r w:rsidR="005553EF">
        <w:t>same port zone</w:t>
      </w:r>
      <w:r>
        <w:t>, or where the Code does not otherwise apply to a servic</w:t>
      </w:r>
      <w:r w:rsidR="005553EF">
        <w:t>e provider in the port zone</w:t>
      </w:r>
      <w:r>
        <w:t xml:space="preserve">, then this would be one factor to consider in support of an exemption. Generally it is not optimal to have different regulatory arrangements in place for operators co-located at one port as it potentially creates distortions for competition and efficiency across the industry. However, the ACCC will consider this matter on a case by case basis, taking into account the full extent of competitive constraint </w:t>
      </w:r>
      <w:r w:rsidR="00FA684A">
        <w:t>facing</w:t>
      </w:r>
      <w:r>
        <w:t xml:space="preserve"> </w:t>
      </w:r>
      <w:r w:rsidR="00031D0F">
        <w:t xml:space="preserve">operators at </w:t>
      </w:r>
      <w:r>
        <w:t xml:space="preserve">each facility. </w:t>
      </w:r>
    </w:p>
    <w:p w:rsidR="00CA0268" w:rsidRDefault="00CA0268" w:rsidP="00CA0268">
      <w:r>
        <w:t>On 1 October 201</w:t>
      </w:r>
      <w:r w:rsidR="00DD3543">
        <w:t>4</w:t>
      </w:r>
      <w:r>
        <w:t xml:space="preserve"> the ACCC determined that GrainCorp to be an exempt service provider</w:t>
      </w:r>
      <w:r w:rsidR="00031D0F">
        <w:t xml:space="preserve"> in relation to services provided at its Newcastle port </w:t>
      </w:r>
      <w:r w:rsidR="00EB1CC5">
        <w:t xml:space="preserve">terminal </w:t>
      </w:r>
      <w:r w:rsidR="00031D0F">
        <w:t>facility</w:t>
      </w:r>
      <w:r>
        <w:t xml:space="preserve">. </w:t>
      </w:r>
      <w:r w:rsidR="00FA684A" w:rsidRPr="002D3844">
        <w:t xml:space="preserve">As noted </w:t>
      </w:r>
      <w:r w:rsidR="00A256D8">
        <w:t>above,</w:t>
      </w:r>
      <w:r>
        <w:t xml:space="preserve"> the ACCC considers that the Applicants both provide services in the same </w:t>
      </w:r>
      <w:r w:rsidR="00A256D8">
        <w:t xml:space="preserve">grain catchment area </w:t>
      </w:r>
      <w:r>
        <w:t xml:space="preserve">as </w:t>
      </w:r>
      <w:proofErr w:type="spellStart"/>
      <w:r>
        <w:t>GrainCorp</w:t>
      </w:r>
      <w:proofErr w:type="spellEnd"/>
      <w:r>
        <w:t xml:space="preserve"> </w:t>
      </w:r>
      <w:r w:rsidR="00031D0F">
        <w:t>does at its Newcastle facility</w:t>
      </w:r>
      <w:r>
        <w:t>.</w:t>
      </w:r>
    </w:p>
    <w:p w:rsidR="00A0100F" w:rsidRDefault="00CA0268" w:rsidP="00CA0268">
      <w:r>
        <w:t xml:space="preserve">The ACCC considers that the presence of three service providers in the one </w:t>
      </w:r>
      <w:r w:rsidR="00A256D8">
        <w:t xml:space="preserve">area or </w:t>
      </w:r>
      <w:r>
        <w:t>zone supports a determination of the Applica</w:t>
      </w:r>
      <w:r w:rsidR="00A0100F">
        <w:t xml:space="preserve">nts as exempt service providers. </w:t>
      </w:r>
    </w:p>
    <w:p w:rsidR="00CA0268" w:rsidRDefault="00A0100F" w:rsidP="00CA0268">
      <w:r>
        <w:t xml:space="preserve">In its application </w:t>
      </w:r>
      <w:r w:rsidR="00FA684A">
        <w:t xml:space="preserve">to </w:t>
      </w:r>
      <w:r>
        <w:t xml:space="preserve">vary its 2011 Undertaking, GrainCorp submitted that being subject to more regulation at its Carrington facility placed it at a competitive disadvantage to its competitors. The ACCC considers </w:t>
      </w:r>
      <w:r w:rsidR="00A256D8">
        <w:t xml:space="preserve">equally </w:t>
      </w:r>
      <w:r>
        <w:t xml:space="preserve">that the Applicants would be disadvantaged if they were subject to </w:t>
      </w:r>
      <w:r w:rsidR="00595F37">
        <w:t xml:space="preserve">greater </w:t>
      </w:r>
      <w:r>
        <w:t xml:space="preserve">regulation than </w:t>
      </w:r>
      <w:proofErr w:type="spellStart"/>
      <w:r>
        <w:t>GrainCorp</w:t>
      </w:r>
      <w:proofErr w:type="spellEnd"/>
      <w:r>
        <w:t>.</w:t>
      </w:r>
    </w:p>
    <w:p w:rsidR="003D7711" w:rsidRPr="003D7711" w:rsidRDefault="00A0100F" w:rsidP="00121A9C">
      <w:pPr>
        <w:rPr>
          <w:lang w:val="en-US" w:eastAsia="ja-JP"/>
        </w:rPr>
      </w:pPr>
      <w:r>
        <w:t>Having regard to subclause 5.6(3)(</w:t>
      </w:r>
      <w:proofErr w:type="spellStart"/>
      <w:r>
        <w:t>i</w:t>
      </w:r>
      <w:proofErr w:type="spellEnd"/>
      <w:r>
        <w:t xml:space="preserve">), the ACCC’s preliminary view is that </w:t>
      </w:r>
      <w:proofErr w:type="spellStart"/>
      <w:r>
        <w:t>GrainCorp’s</w:t>
      </w:r>
      <w:proofErr w:type="spellEnd"/>
      <w:r>
        <w:t xml:space="preserve"> presence as an exempt service provider in the same zone as the Applicants is a factor in support of the Applicants being determined exempt. </w:t>
      </w:r>
    </w:p>
    <w:p w:rsidR="00AC1471" w:rsidRDefault="00A91939" w:rsidP="00121A9C">
      <w:pPr>
        <w:pStyle w:val="Numbered1"/>
        <w:keepNext/>
        <w:pageBreakBefore/>
        <w:rPr>
          <w:lang w:val="en-US" w:eastAsia="ja-JP"/>
        </w:rPr>
      </w:pPr>
      <w:r>
        <w:rPr>
          <w:lang w:val="en-US" w:eastAsia="ja-JP"/>
        </w:rPr>
        <w:lastRenderedPageBreak/>
        <w:t>ACCC draft determination</w:t>
      </w:r>
      <w:r w:rsidR="008F445A">
        <w:rPr>
          <w:lang w:val="en-US" w:eastAsia="ja-JP"/>
        </w:rPr>
        <w:t>s</w:t>
      </w:r>
    </w:p>
    <w:p w:rsidR="001F529F" w:rsidRDefault="00A91939" w:rsidP="00A91939">
      <w:pPr>
        <w:rPr>
          <w:lang w:val="en-US" w:eastAsia="ja-JP"/>
        </w:rPr>
      </w:pPr>
      <w:r>
        <w:rPr>
          <w:lang w:val="en-US" w:eastAsia="ja-JP"/>
        </w:rPr>
        <w:t>The ACCC’s draft determination</w:t>
      </w:r>
      <w:r w:rsidR="008F445A">
        <w:rPr>
          <w:lang w:val="en-US" w:eastAsia="ja-JP"/>
        </w:rPr>
        <w:t>s</w:t>
      </w:r>
      <w:r>
        <w:rPr>
          <w:lang w:val="en-US" w:eastAsia="ja-JP"/>
        </w:rPr>
        <w:t>, having regard to the matters l</w:t>
      </w:r>
      <w:r w:rsidR="001F529F">
        <w:rPr>
          <w:lang w:val="en-US" w:eastAsia="ja-JP"/>
        </w:rPr>
        <w:t xml:space="preserve">isted at </w:t>
      </w:r>
      <w:proofErr w:type="spellStart"/>
      <w:r w:rsidR="00C60607">
        <w:rPr>
          <w:lang w:val="en-US" w:eastAsia="ja-JP"/>
        </w:rPr>
        <w:t>sub</w:t>
      </w:r>
      <w:r w:rsidR="001F529F">
        <w:rPr>
          <w:lang w:val="en-US" w:eastAsia="ja-JP"/>
        </w:rPr>
        <w:t>clause</w:t>
      </w:r>
      <w:proofErr w:type="spellEnd"/>
      <w:r w:rsidR="001F529F">
        <w:rPr>
          <w:lang w:val="en-US" w:eastAsia="ja-JP"/>
        </w:rPr>
        <w:t xml:space="preserve"> 5(3) of the Code</w:t>
      </w:r>
      <w:r w:rsidR="00F03B2E">
        <w:rPr>
          <w:lang w:val="en-US" w:eastAsia="ja-JP"/>
        </w:rPr>
        <w:t xml:space="preserve"> as discussed above</w:t>
      </w:r>
      <w:r>
        <w:rPr>
          <w:lang w:val="en-US" w:eastAsia="ja-JP"/>
        </w:rPr>
        <w:t xml:space="preserve">, </w:t>
      </w:r>
      <w:r w:rsidR="00595F37">
        <w:rPr>
          <w:lang w:val="en-US" w:eastAsia="ja-JP"/>
        </w:rPr>
        <w:t xml:space="preserve">are </w:t>
      </w:r>
      <w:r>
        <w:rPr>
          <w:lang w:val="en-US" w:eastAsia="ja-JP"/>
        </w:rPr>
        <w:t xml:space="preserve">that </w:t>
      </w:r>
      <w:r w:rsidR="001F529F">
        <w:rPr>
          <w:lang w:val="en-US" w:eastAsia="ja-JP"/>
        </w:rPr>
        <w:t xml:space="preserve">NAT and </w:t>
      </w:r>
      <w:proofErr w:type="spellStart"/>
      <w:r w:rsidR="001F529F">
        <w:rPr>
          <w:lang w:val="en-US" w:eastAsia="ja-JP"/>
        </w:rPr>
        <w:t>Qube</w:t>
      </w:r>
      <w:proofErr w:type="spellEnd"/>
      <w:r w:rsidR="001F529F">
        <w:rPr>
          <w:lang w:val="en-US" w:eastAsia="ja-JP"/>
        </w:rPr>
        <w:t xml:space="preserve"> should be determined exempt service providers of port terminal services </w:t>
      </w:r>
      <w:r w:rsidR="00F03B2E">
        <w:rPr>
          <w:lang w:val="en-US" w:eastAsia="ja-JP"/>
        </w:rPr>
        <w:t xml:space="preserve">provided by means of </w:t>
      </w:r>
      <w:r w:rsidR="001F529F">
        <w:rPr>
          <w:lang w:val="en-US" w:eastAsia="ja-JP"/>
        </w:rPr>
        <w:t>the</w:t>
      </w:r>
      <w:r w:rsidR="00F03B2E">
        <w:rPr>
          <w:lang w:val="en-US" w:eastAsia="ja-JP"/>
        </w:rPr>
        <w:t>ir</w:t>
      </w:r>
      <w:r w:rsidR="001F529F">
        <w:rPr>
          <w:lang w:val="en-US" w:eastAsia="ja-JP"/>
        </w:rPr>
        <w:t xml:space="preserve"> Port of Newcastle</w:t>
      </w:r>
      <w:r w:rsidR="00F03B2E">
        <w:rPr>
          <w:lang w:val="en-US" w:eastAsia="ja-JP"/>
        </w:rPr>
        <w:t xml:space="preserve"> facilities</w:t>
      </w:r>
      <w:r w:rsidR="001F529F">
        <w:rPr>
          <w:lang w:val="en-US" w:eastAsia="ja-JP"/>
        </w:rPr>
        <w:t>.</w:t>
      </w:r>
    </w:p>
    <w:p w:rsidR="00807504" w:rsidRDefault="001F529F" w:rsidP="003D7711">
      <w:pPr>
        <w:rPr>
          <w:lang w:val="en-US" w:eastAsia="ja-JP"/>
        </w:rPr>
      </w:pPr>
      <w:r>
        <w:rPr>
          <w:lang w:val="en-US" w:eastAsia="ja-JP"/>
        </w:rPr>
        <w:t xml:space="preserve">The ACCC invites responses to the </w:t>
      </w:r>
      <w:proofErr w:type="spellStart"/>
      <w:r w:rsidR="003B0F1E">
        <w:rPr>
          <w:lang w:val="en-US" w:eastAsia="ja-JP"/>
        </w:rPr>
        <w:t>the</w:t>
      </w:r>
      <w:proofErr w:type="spellEnd"/>
      <w:r w:rsidR="003B0F1E">
        <w:rPr>
          <w:lang w:val="en-US" w:eastAsia="ja-JP"/>
        </w:rPr>
        <w:t xml:space="preserve"> views expressed in</w:t>
      </w:r>
      <w:r>
        <w:rPr>
          <w:lang w:val="en-US" w:eastAsia="ja-JP"/>
        </w:rPr>
        <w:t xml:space="preserve"> this document and general comments on the merits of NAT and/or </w:t>
      </w:r>
      <w:proofErr w:type="spellStart"/>
      <w:r>
        <w:rPr>
          <w:lang w:val="en-US" w:eastAsia="ja-JP"/>
        </w:rPr>
        <w:t>Qube</w:t>
      </w:r>
      <w:proofErr w:type="spellEnd"/>
      <w:r>
        <w:rPr>
          <w:lang w:val="en-US" w:eastAsia="ja-JP"/>
        </w:rPr>
        <w:t xml:space="preserve"> being determined exempt service providers. The comments will be considered by the ACCC prior to making its final determination</w:t>
      </w:r>
      <w:r w:rsidR="003B0F1E">
        <w:rPr>
          <w:lang w:val="en-US" w:eastAsia="ja-JP"/>
        </w:rPr>
        <w:t>s</w:t>
      </w:r>
      <w:r>
        <w:rPr>
          <w:lang w:val="en-US" w:eastAsia="ja-JP"/>
        </w:rPr>
        <w:t xml:space="preserve">.  </w:t>
      </w:r>
    </w:p>
    <w:p w:rsidR="00AC1471" w:rsidRDefault="00E35BE3" w:rsidP="0093155A">
      <w:pPr>
        <w:pStyle w:val="Heading1"/>
        <w:pageBreakBefore/>
        <w:rPr>
          <w:lang w:val="en-US" w:eastAsia="ja-JP"/>
        </w:rPr>
      </w:pPr>
      <w:r>
        <w:rPr>
          <w:lang w:val="en-US" w:eastAsia="ja-JP"/>
        </w:rPr>
        <w:lastRenderedPageBreak/>
        <w:t xml:space="preserve">Appendix </w:t>
      </w:r>
      <w:r w:rsidR="00A91939">
        <w:rPr>
          <w:lang w:val="en-US" w:eastAsia="ja-JP"/>
        </w:rPr>
        <w:t>A</w:t>
      </w:r>
      <w:r>
        <w:rPr>
          <w:lang w:val="en-US" w:eastAsia="ja-JP"/>
        </w:rPr>
        <w:t>: How to make a submission</w:t>
      </w:r>
    </w:p>
    <w:p w:rsidR="00E35BE3" w:rsidRPr="00E35BE3" w:rsidRDefault="00E35BE3" w:rsidP="00E35BE3">
      <w:pPr>
        <w:rPr>
          <w:lang w:val="en-US" w:eastAsia="ja-JP"/>
        </w:rPr>
      </w:pPr>
      <w:r w:rsidRPr="00E35BE3">
        <w:rPr>
          <w:lang w:val="en-US" w:eastAsia="ja-JP"/>
        </w:rPr>
        <w:t>Please address submissions to:</w:t>
      </w:r>
    </w:p>
    <w:p w:rsidR="00E35BE3" w:rsidRDefault="00E35BE3" w:rsidP="00E35BE3">
      <w:pPr>
        <w:spacing w:before="0"/>
        <w:ind w:left="340"/>
        <w:rPr>
          <w:lang w:val="en-US" w:eastAsia="ja-JP"/>
        </w:rPr>
      </w:pPr>
    </w:p>
    <w:p w:rsidR="00E35BE3" w:rsidRDefault="00E35BE3" w:rsidP="00E35BE3">
      <w:pPr>
        <w:spacing w:before="0"/>
        <w:ind w:left="340"/>
        <w:rPr>
          <w:lang w:val="en-US" w:eastAsia="ja-JP"/>
        </w:rPr>
      </w:pPr>
      <w:r w:rsidRPr="00E35BE3">
        <w:rPr>
          <w:lang w:val="en-US" w:eastAsia="ja-JP"/>
        </w:rPr>
        <w:t>General Manager</w:t>
      </w:r>
    </w:p>
    <w:p w:rsidR="00E35BE3" w:rsidRPr="00E35BE3" w:rsidRDefault="00E35BE3" w:rsidP="00E35BE3">
      <w:pPr>
        <w:spacing w:before="0"/>
        <w:ind w:left="340"/>
        <w:rPr>
          <w:lang w:val="en-US" w:eastAsia="ja-JP"/>
        </w:rPr>
      </w:pPr>
      <w:r w:rsidRPr="00E35BE3">
        <w:rPr>
          <w:lang w:val="en-US" w:eastAsia="ja-JP"/>
        </w:rPr>
        <w:t xml:space="preserve">Infrastructure &amp; Transport - Access &amp; Pricing Branch </w:t>
      </w:r>
    </w:p>
    <w:p w:rsidR="00E35BE3" w:rsidRPr="00E35BE3" w:rsidRDefault="00E35BE3" w:rsidP="00E35BE3">
      <w:pPr>
        <w:spacing w:before="0"/>
        <w:ind w:left="340"/>
        <w:rPr>
          <w:lang w:val="en-US" w:eastAsia="ja-JP"/>
        </w:rPr>
      </w:pPr>
      <w:r w:rsidRPr="00E35BE3">
        <w:rPr>
          <w:lang w:val="en-US" w:eastAsia="ja-JP"/>
        </w:rPr>
        <w:t>ACCC</w:t>
      </w:r>
    </w:p>
    <w:p w:rsidR="00E35BE3" w:rsidRPr="00E35BE3" w:rsidRDefault="00E35BE3" w:rsidP="00E35BE3">
      <w:pPr>
        <w:spacing w:before="0"/>
        <w:ind w:left="340"/>
        <w:rPr>
          <w:lang w:val="en-US" w:eastAsia="ja-JP"/>
        </w:rPr>
      </w:pPr>
      <w:r w:rsidRPr="00E35BE3">
        <w:rPr>
          <w:lang w:val="en-US" w:eastAsia="ja-JP"/>
        </w:rPr>
        <w:t>GPO Box 520</w:t>
      </w:r>
    </w:p>
    <w:p w:rsidR="00E35BE3" w:rsidRPr="00E35BE3" w:rsidRDefault="00E35BE3" w:rsidP="00E35BE3">
      <w:pPr>
        <w:spacing w:before="0"/>
        <w:ind w:left="340"/>
        <w:rPr>
          <w:lang w:val="en-US" w:eastAsia="ja-JP"/>
        </w:rPr>
      </w:pPr>
      <w:r w:rsidRPr="00E35BE3">
        <w:rPr>
          <w:lang w:val="en-US" w:eastAsia="ja-JP"/>
        </w:rPr>
        <w:t>MELBOURNE VIC 3001</w:t>
      </w:r>
    </w:p>
    <w:p w:rsidR="00E35BE3" w:rsidRDefault="00E35BE3" w:rsidP="00E35BE3">
      <w:pPr>
        <w:spacing w:before="0"/>
        <w:ind w:left="340"/>
        <w:rPr>
          <w:lang w:val="en-US" w:eastAsia="ja-JP"/>
        </w:rPr>
      </w:pPr>
      <w:r w:rsidRPr="00E35BE3">
        <w:rPr>
          <w:lang w:val="en-US" w:eastAsia="ja-JP"/>
        </w:rPr>
        <w:t xml:space="preserve">Email: </w:t>
      </w:r>
      <w:hyperlink r:id="rId17" w:history="1">
        <w:r w:rsidR="00A25185" w:rsidRPr="003F11C0">
          <w:rPr>
            <w:rStyle w:val="Hyperlink"/>
            <w:lang w:val="en-US" w:eastAsia="ja-JP"/>
          </w:rPr>
          <w:t>transport@accc.gov.au</w:t>
        </w:r>
      </w:hyperlink>
    </w:p>
    <w:p w:rsidR="00E35BE3" w:rsidRDefault="00E35BE3" w:rsidP="00E35BE3">
      <w:pPr>
        <w:rPr>
          <w:lang w:val="en-US" w:eastAsia="ja-JP"/>
        </w:rPr>
      </w:pPr>
      <w:r w:rsidRPr="00E35BE3">
        <w:rPr>
          <w:lang w:val="en-US" w:eastAsia="ja-JP"/>
        </w:rPr>
        <w:t>The ACCC prefers that submissions be sent via email in Microsoft Word format (although other text readable document formats will be accepted).</w:t>
      </w:r>
    </w:p>
    <w:p w:rsidR="00A256D8" w:rsidRPr="00E35BE3" w:rsidRDefault="00A256D8" w:rsidP="00E35BE3">
      <w:pPr>
        <w:rPr>
          <w:lang w:val="en-US" w:eastAsia="ja-JP"/>
        </w:rPr>
      </w:pPr>
    </w:p>
    <w:p w:rsidR="00E35BE3" w:rsidRPr="00E35BE3" w:rsidRDefault="00E35BE3" w:rsidP="00A25185">
      <w:pPr>
        <w:pStyle w:val="Heading2"/>
        <w:rPr>
          <w:lang w:val="en-US" w:eastAsia="ja-JP"/>
        </w:rPr>
      </w:pPr>
      <w:r w:rsidRPr="00E35BE3">
        <w:rPr>
          <w:lang w:val="en-US" w:eastAsia="ja-JP"/>
        </w:rPr>
        <w:t>Due date for submissions</w:t>
      </w:r>
    </w:p>
    <w:p w:rsidR="00E35BE3" w:rsidRDefault="00E35BE3" w:rsidP="00E35BE3">
      <w:pPr>
        <w:rPr>
          <w:lang w:val="en-US" w:eastAsia="ja-JP"/>
        </w:rPr>
      </w:pPr>
      <w:r w:rsidRPr="00E35BE3">
        <w:rPr>
          <w:lang w:val="en-US" w:eastAsia="ja-JP"/>
        </w:rPr>
        <w:t>Submissions must be re</w:t>
      </w:r>
      <w:r w:rsidR="00A25185">
        <w:rPr>
          <w:lang w:val="en-US" w:eastAsia="ja-JP"/>
        </w:rPr>
        <w:t xml:space="preserve">ceived before 5:00pm (AEDST), </w:t>
      </w:r>
      <w:r w:rsidR="00A256D8">
        <w:rPr>
          <w:lang w:val="en-US" w:eastAsia="ja-JP"/>
        </w:rPr>
        <w:t>2</w:t>
      </w:r>
      <w:r w:rsidR="003B0F1E">
        <w:rPr>
          <w:lang w:val="en-US" w:eastAsia="ja-JP"/>
        </w:rPr>
        <w:t>9</w:t>
      </w:r>
      <w:r w:rsidR="00A256D8">
        <w:rPr>
          <w:lang w:val="en-US" w:eastAsia="ja-JP"/>
        </w:rPr>
        <w:t xml:space="preserve"> May</w:t>
      </w:r>
      <w:r w:rsidRPr="00E35BE3">
        <w:rPr>
          <w:lang w:val="en-US" w:eastAsia="ja-JP"/>
        </w:rPr>
        <w:t xml:space="preserve"> 2015. </w:t>
      </w:r>
    </w:p>
    <w:p w:rsidR="00A256D8" w:rsidRPr="00E35BE3" w:rsidRDefault="00A256D8" w:rsidP="00E35BE3">
      <w:pPr>
        <w:rPr>
          <w:lang w:val="en-US" w:eastAsia="ja-JP"/>
        </w:rPr>
      </w:pPr>
    </w:p>
    <w:p w:rsidR="00E35BE3" w:rsidRPr="00E35BE3" w:rsidRDefault="00E35BE3" w:rsidP="00F16DF7">
      <w:pPr>
        <w:pStyle w:val="Heading2"/>
        <w:rPr>
          <w:lang w:val="en-US" w:eastAsia="ja-JP"/>
        </w:rPr>
      </w:pPr>
      <w:r w:rsidRPr="00E35BE3">
        <w:rPr>
          <w:lang w:val="en-US" w:eastAsia="ja-JP"/>
        </w:rPr>
        <w:t>Confidentiality of information provided to the ACCC</w:t>
      </w:r>
    </w:p>
    <w:p w:rsidR="00E35BE3" w:rsidRPr="00E35BE3" w:rsidRDefault="00E35BE3" w:rsidP="00E35BE3">
      <w:pPr>
        <w:rPr>
          <w:lang w:val="en-US" w:eastAsia="ja-JP"/>
        </w:rPr>
      </w:pPr>
      <w:r w:rsidRPr="00E35BE3">
        <w:rPr>
          <w:lang w:val="en-US" w:eastAsia="ja-JP"/>
        </w:rPr>
        <w:t xml:space="preserve">The ACCC strongly encourages public submissions. Unless a submission, or part of a submission, is marked confidential, it will be published on the ACCC’s website and may be made available to any person or </w:t>
      </w:r>
      <w:proofErr w:type="spellStart"/>
      <w:r w:rsidRPr="00E35BE3">
        <w:rPr>
          <w:lang w:val="en-US" w:eastAsia="ja-JP"/>
        </w:rPr>
        <w:t>organisation</w:t>
      </w:r>
      <w:proofErr w:type="spellEnd"/>
      <w:r w:rsidRPr="00E35BE3">
        <w:rPr>
          <w:lang w:val="en-US" w:eastAsia="ja-JP"/>
        </w:rPr>
        <w:t xml:space="preserve"> upon request.</w:t>
      </w:r>
    </w:p>
    <w:p w:rsidR="00E35BE3" w:rsidRPr="00E35BE3" w:rsidRDefault="00E35BE3" w:rsidP="00E35BE3">
      <w:pPr>
        <w:rPr>
          <w:lang w:val="en-US" w:eastAsia="ja-JP"/>
        </w:rPr>
      </w:pPr>
      <w:r w:rsidRPr="00E35BE3">
        <w:rPr>
          <w:lang w:val="en-US" w:eastAsia="ja-JP"/>
        </w:rPr>
        <w:t>Sections of submissions that are claimed to be confidential should be clearly identified. The ACCC will consider each claim of confidentiality on a case by case basis. If the ACCC refuses a request for confidentiality, the submitting party will be given the opportunity to withdraw the submission in whole or in part. The ACCC will then assess the Application to vary in the absence of that information.</w:t>
      </w:r>
    </w:p>
    <w:p w:rsidR="00E35BE3" w:rsidRDefault="00E35BE3" w:rsidP="00E35BE3">
      <w:pPr>
        <w:rPr>
          <w:lang w:val="en-US" w:eastAsia="ja-JP"/>
        </w:rPr>
      </w:pPr>
      <w:r w:rsidRPr="00E35BE3">
        <w:rPr>
          <w:lang w:val="en-US" w:eastAsia="ja-JP"/>
        </w:rPr>
        <w:t xml:space="preserve">For further information about the collection, use and disclosure of information provided to the ACCC, please refer to the ACCC </w:t>
      </w:r>
      <w:r w:rsidRPr="00BC5AF3">
        <w:rPr>
          <w:lang w:val="en-US" w:eastAsia="ja-JP"/>
        </w:rPr>
        <w:t xml:space="preserve">publication </w:t>
      </w:r>
      <w:r w:rsidRPr="006F78B9">
        <w:rPr>
          <w:i/>
          <w:lang w:val="en-US" w:eastAsia="ja-JP"/>
        </w:rPr>
        <w:t>Australian Competition and Consumer Commission / Australian Energy Regulator Information Policy - the collection, use and disclosure of information</w:t>
      </w:r>
      <w:r w:rsidRPr="00E35BE3">
        <w:rPr>
          <w:lang w:val="en-US" w:eastAsia="ja-JP"/>
        </w:rPr>
        <w:t>, available on the ACCC website.</w:t>
      </w:r>
    </w:p>
    <w:p w:rsidR="00A256D8" w:rsidRPr="00E35BE3" w:rsidRDefault="00A256D8" w:rsidP="00E35BE3">
      <w:pPr>
        <w:rPr>
          <w:lang w:val="en-US" w:eastAsia="ja-JP"/>
        </w:rPr>
      </w:pPr>
    </w:p>
    <w:p w:rsidR="00E35BE3" w:rsidRPr="00E35BE3" w:rsidRDefault="00E35BE3" w:rsidP="00F16DF7">
      <w:pPr>
        <w:pStyle w:val="Heading2"/>
        <w:rPr>
          <w:lang w:val="en-US" w:eastAsia="ja-JP"/>
        </w:rPr>
      </w:pPr>
      <w:r w:rsidRPr="00E35BE3">
        <w:rPr>
          <w:lang w:val="en-US" w:eastAsia="ja-JP"/>
        </w:rPr>
        <w:t>Further information</w:t>
      </w:r>
    </w:p>
    <w:p w:rsidR="00E35BE3" w:rsidRPr="00E35BE3" w:rsidRDefault="00E35BE3" w:rsidP="00E35BE3">
      <w:pPr>
        <w:rPr>
          <w:lang w:val="en-US" w:eastAsia="ja-JP"/>
        </w:rPr>
      </w:pPr>
      <w:r w:rsidRPr="00E35BE3">
        <w:rPr>
          <w:lang w:val="en-US" w:eastAsia="ja-JP"/>
        </w:rPr>
        <w:t>If you have any queries about any matters raised in this document, please contact:</w:t>
      </w:r>
    </w:p>
    <w:p w:rsidR="00F16DF7" w:rsidRDefault="00F16DF7" w:rsidP="00F16DF7">
      <w:pPr>
        <w:spacing w:before="0"/>
        <w:rPr>
          <w:lang w:val="en-US" w:eastAsia="ja-JP"/>
        </w:rPr>
      </w:pPr>
    </w:p>
    <w:p w:rsidR="00F16DF7" w:rsidRDefault="00F16DF7" w:rsidP="00F16DF7">
      <w:pPr>
        <w:spacing w:before="0"/>
        <w:ind w:left="340"/>
        <w:rPr>
          <w:lang w:val="en-US" w:eastAsia="ja-JP"/>
        </w:rPr>
      </w:pPr>
      <w:proofErr w:type="spellStart"/>
      <w:r>
        <w:rPr>
          <w:lang w:val="en-US" w:eastAsia="ja-JP"/>
        </w:rPr>
        <w:t>Mr</w:t>
      </w:r>
      <w:proofErr w:type="spellEnd"/>
      <w:r>
        <w:rPr>
          <w:lang w:val="en-US" w:eastAsia="ja-JP"/>
        </w:rPr>
        <w:t xml:space="preserve"> Michael Eady </w:t>
      </w:r>
    </w:p>
    <w:p w:rsidR="00E35BE3" w:rsidRPr="00E35BE3" w:rsidRDefault="00E35BE3" w:rsidP="00F16DF7">
      <w:pPr>
        <w:spacing w:before="0"/>
        <w:ind w:left="340"/>
        <w:rPr>
          <w:lang w:val="en-US" w:eastAsia="ja-JP"/>
        </w:rPr>
      </w:pPr>
      <w:r w:rsidRPr="00E35BE3">
        <w:rPr>
          <w:lang w:val="en-US" w:eastAsia="ja-JP"/>
        </w:rPr>
        <w:t xml:space="preserve">Director </w:t>
      </w:r>
    </w:p>
    <w:p w:rsidR="00E35BE3" w:rsidRPr="00E35BE3" w:rsidRDefault="00E35BE3" w:rsidP="00F16DF7">
      <w:pPr>
        <w:spacing w:before="0"/>
        <w:ind w:left="340"/>
        <w:rPr>
          <w:lang w:val="en-US" w:eastAsia="ja-JP"/>
        </w:rPr>
      </w:pPr>
      <w:r w:rsidRPr="00E35BE3">
        <w:rPr>
          <w:lang w:val="en-US" w:eastAsia="ja-JP"/>
        </w:rPr>
        <w:t xml:space="preserve">Infrastructure &amp; Transport - Access &amp; Pricing Branch </w:t>
      </w:r>
    </w:p>
    <w:p w:rsidR="00E35BE3" w:rsidRPr="00E35BE3" w:rsidRDefault="00E35BE3" w:rsidP="00F16DF7">
      <w:pPr>
        <w:spacing w:before="0"/>
        <w:ind w:left="340"/>
        <w:rPr>
          <w:lang w:val="en-US" w:eastAsia="ja-JP"/>
        </w:rPr>
      </w:pPr>
      <w:r w:rsidRPr="00E35BE3">
        <w:rPr>
          <w:lang w:val="en-US" w:eastAsia="ja-JP"/>
        </w:rPr>
        <w:t>ACCC</w:t>
      </w:r>
    </w:p>
    <w:p w:rsidR="00E35BE3" w:rsidRPr="00E35BE3" w:rsidRDefault="00E35BE3" w:rsidP="00F16DF7">
      <w:pPr>
        <w:spacing w:before="0"/>
        <w:ind w:left="340"/>
        <w:rPr>
          <w:lang w:val="en-US" w:eastAsia="ja-JP"/>
        </w:rPr>
      </w:pPr>
      <w:r w:rsidRPr="00E35BE3">
        <w:rPr>
          <w:lang w:val="en-US" w:eastAsia="ja-JP"/>
        </w:rPr>
        <w:t>GPO Box 520</w:t>
      </w:r>
    </w:p>
    <w:p w:rsidR="00E35BE3" w:rsidRPr="00E35BE3" w:rsidRDefault="00E35BE3" w:rsidP="00F16DF7">
      <w:pPr>
        <w:spacing w:before="0"/>
        <w:ind w:left="340"/>
        <w:rPr>
          <w:lang w:val="en-US" w:eastAsia="ja-JP"/>
        </w:rPr>
      </w:pPr>
      <w:r w:rsidRPr="00E35BE3">
        <w:rPr>
          <w:lang w:val="en-US" w:eastAsia="ja-JP"/>
        </w:rPr>
        <w:t>MELBOURNE VIC 3001</w:t>
      </w:r>
    </w:p>
    <w:p w:rsidR="00E35BE3" w:rsidRDefault="00F16DF7" w:rsidP="00F16DF7">
      <w:pPr>
        <w:spacing w:before="0"/>
        <w:ind w:left="340"/>
        <w:rPr>
          <w:lang w:val="en-US" w:eastAsia="ja-JP"/>
        </w:rPr>
      </w:pPr>
      <w:proofErr w:type="spellStart"/>
      <w:r>
        <w:rPr>
          <w:lang w:val="en-US" w:eastAsia="ja-JP"/>
        </w:rPr>
        <w:t>Ph</w:t>
      </w:r>
      <w:proofErr w:type="spellEnd"/>
      <w:r>
        <w:rPr>
          <w:lang w:val="en-US" w:eastAsia="ja-JP"/>
        </w:rPr>
        <w:t>: 03 9290 1945</w:t>
      </w:r>
    </w:p>
    <w:p w:rsidR="00B72DCB" w:rsidRPr="00E35BE3" w:rsidRDefault="00B72DCB" w:rsidP="00F16DF7">
      <w:pPr>
        <w:spacing w:before="0"/>
        <w:ind w:left="340"/>
        <w:rPr>
          <w:lang w:val="en-US" w:eastAsia="ja-JP"/>
        </w:rPr>
      </w:pPr>
    </w:p>
    <w:p w:rsidR="003B0F1E" w:rsidRPr="002D3844" w:rsidRDefault="00F16DF7" w:rsidP="007E33C6">
      <w:pPr>
        <w:spacing w:before="0"/>
        <w:ind w:left="340"/>
        <w:rPr>
          <w:lang w:val="en-US" w:eastAsia="ja-JP"/>
        </w:rPr>
      </w:pPr>
      <w:r>
        <w:rPr>
          <w:lang w:val="en-US" w:eastAsia="ja-JP"/>
        </w:rPr>
        <w:t xml:space="preserve">Email: </w:t>
      </w:r>
      <w:hyperlink r:id="rId18" w:history="1">
        <w:r w:rsidRPr="003B0F1E">
          <w:rPr>
            <w:rStyle w:val="Hyperlink"/>
          </w:rPr>
          <w:t>michael.eady@accc.gov.au</w:t>
        </w:r>
      </w:hyperlink>
    </w:p>
    <w:sectPr w:rsidR="003B0F1E" w:rsidRPr="002D3844" w:rsidSect="00664FE2">
      <w:footerReference w:type="default" r:id="rId19"/>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1E" w:rsidRDefault="003B0F1E" w:rsidP="004B4412">
      <w:pPr>
        <w:spacing w:before="0"/>
      </w:pPr>
      <w:r>
        <w:separator/>
      </w:r>
    </w:p>
  </w:endnote>
  <w:endnote w:type="continuationSeparator" w:id="0">
    <w:p w:rsidR="003B0F1E" w:rsidRDefault="003B0F1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11" w:rsidRDefault="00C62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7585"/>
      <w:docPartObj>
        <w:docPartGallery w:val="Page Numbers (Bottom of Page)"/>
        <w:docPartUnique/>
      </w:docPartObj>
    </w:sdtPr>
    <w:sdtEndPr>
      <w:rPr>
        <w:noProof/>
      </w:rPr>
    </w:sdtEndPr>
    <w:sdtContent>
      <w:p w:rsidR="003B0F1E" w:rsidRDefault="003B0F1E" w:rsidP="007E33C6">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11" w:rsidRDefault="00C620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17129"/>
      <w:docPartObj>
        <w:docPartGallery w:val="Page Numbers (Bottom of Page)"/>
        <w:docPartUnique/>
      </w:docPartObj>
    </w:sdtPr>
    <w:sdtEndPr>
      <w:rPr>
        <w:noProof/>
      </w:rPr>
    </w:sdtEndPr>
    <w:sdtContent>
      <w:p w:rsidR="003B0F1E" w:rsidRDefault="003B0F1E">
        <w:pPr>
          <w:pStyle w:val="Footer"/>
          <w:jc w:val="center"/>
        </w:pPr>
        <w:r>
          <w:fldChar w:fldCharType="begin"/>
        </w:r>
        <w:r>
          <w:instrText xml:space="preserve"> PAGE   \* MERGEFORMAT </w:instrText>
        </w:r>
        <w:r>
          <w:fldChar w:fldCharType="separate"/>
        </w:r>
        <w:r w:rsidR="009D30AD">
          <w:rPr>
            <w:noProof/>
          </w:rPr>
          <w:t>2</w:t>
        </w:r>
        <w:r>
          <w:rPr>
            <w:noProof/>
          </w:rPr>
          <w:fldChar w:fldCharType="end"/>
        </w:r>
      </w:p>
    </w:sdtContent>
  </w:sdt>
  <w:p w:rsidR="003B0F1E" w:rsidRDefault="003B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1E" w:rsidRDefault="003B0F1E" w:rsidP="004B4412">
      <w:pPr>
        <w:spacing w:before="0"/>
      </w:pPr>
      <w:r>
        <w:separator/>
      </w:r>
    </w:p>
  </w:footnote>
  <w:footnote w:type="continuationSeparator" w:id="0">
    <w:p w:rsidR="003B0F1E" w:rsidRDefault="003B0F1E" w:rsidP="004B4412">
      <w:pPr>
        <w:spacing w:before="0"/>
      </w:pPr>
      <w:r>
        <w:continuationSeparator/>
      </w:r>
    </w:p>
  </w:footnote>
  <w:footnote w:id="1">
    <w:p w:rsidR="003B0F1E" w:rsidRPr="00BE3034" w:rsidRDefault="003B0F1E">
      <w:pPr>
        <w:pStyle w:val="FootnoteText"/>
      </w:pPr>
      <w:r>
        <w:rPr>
          <w:rStyle w:val="FootnoteReference"/>
        </w:rPr>
        <w:footnoteRef/>
      </w:r>
      <w:r>
        <w:t xml:space="preserve"> ACCC, </w:t>
      </w:r>
      <w:r>
        <w:rPr>
          <w:i/>
        </w:rPr>
        <w:t xml:space="preserve">Decision to Accept, - </w:t>
      </w:r>
      <w:proofErr w:type="spellStart"/>
      <w:r>
        <w:rPr>
          <w:i/>
        </w:rPr>
        <w:t>GrainCorp</w:t>
      </w:r>
      <w:proofErr w:type="spellEnd"/>
      <w:r>
        <w:rPr>
          <w:i/>
        </w:rPr>
        <w:t xml:space="preserve"> Operations Limited’s Application to Vary the 2011 Port Terminal Services Access Undertaking</w:t>
      </w:r>
      <w:r>
        <w:t xml:space="preserve">, 18 June 2014; ACCC Determination – Exemption in respect of </w:t>
      </w:r>
      <w:proofErr w:type="spellStart"/>
      <w:r>
        <w:t>GrainCorp’s</w:t>
      </w:r>
      <w:proofErr w:type="spellEnd"/>
      <w:r>
        <w:t xml:space="preserve"> Carrington (Newcastle) Port Terminal Facility, 1 </w:t>
      </w:r>
      <w:proofErr w:type="spellStart"/>
      <w:r>
        <w:t>Octboer</w:t>
      </w:r>
      <w:proofErr w:type="spellEnd"/>
      <w:r>
        <w:t xml:space="preserve"> 2014.</w:t>
      </w:r>
    </w:p>
  </w:footnote>
  <w:footnote w:id="2">
    <w:p w:rsidR="003B0F1E" w:rsidRPr="00602781" w:rsidRDefault="003B0F1E" w:rsidP="00AC42FF">
      <w:pPr>
        <w:pStyle w:val="Footnotes"/>
      </w:pPr>
      <w:r w:rsidRPr="00602781">
        <w:rPr>
          <w:rStyle w:val="FootnoteReference"/>
        </w:rPr>
        <w:footnoteRef/>
      </w:r>
      <w:r w:rsidRPr="00602781">
        <w:t xml:space="preserve"> </w:t>
      </w:r>
      <w:proofErr w:type="gramStart"/>
      <w:r w:rsidRPr="00602781">
        <w:t>Clause 2 of the Code</w:t>
      </w:r>
      <w:r>
        <w:t>.</w:t>
      </w:r>
      <w:proofErr w:type="gramEnd"/>
      <w:r w:rsidRPr="00602781">
        <w:t xml:space="preserve"> </w:t>
      </w:r>
    </w:p>
  </w:footnote>
  <w:footnote w:id="3">
    <w:p w:rsidR="003B0F1E" w:rsidRDefault="003B0F1E">
      <w:pPr>
        <w:pStyle w:val="FootnoteText"/>
      </w:pPr>
      <w:r>
        <w:rPr>
          <w:rStyle w:val="FootnoteReference"/>
        </w:rPr>
        <w:footnoteRef/>
      </w:r>
      <w:r>
        <w:t xml:space="preserve"> </w:t>
      </w:r>
      <w:proofErr w:type="gramStart"/>
      <w:r>
        <w:t>Clause 3 of the Code.</w:t>
      </w:r>
      <w:proofErr w:type="gramEnd"/>
      <w:r>
        <w:t xml:space="preserve"> </w:t>
      </w:r>
    </w:p>
  </w:footnote>
  <w:footnote w:id="4">
    <w:p w:rsidR="003B0F1E" w:rsidRDefault="003B0F1E">
      <w:pPr>
        <w:pStyle w:val="FootnoteText"/>
      </w:pPr>
      <w:r>
        <w:rPr>
          <w:rStyle w:val="FootnoteReference"/>
        </w:rPr>
        <w:footnoteRef/>
      </w:r>
      <w:r>
        <w:t xml:space="preserve"> </w:t>
      </w:r>
      <w:proofErr w:type="gramStart"/>
      <w:r>
        <w:t>ibid.</w:t>
      </w:r>
      <w:proofErr w:type="gramEnd"/>
      <w:r>
        <w:t xml:space="preserve"> </w:t>
      </w:r>
    </w:p>
  </w:footnote>
  <w:footnote w:id="5">
    <w:p w:rsidR="003B0F1E" w:rsidRDefault="003B0F1E">
      <w:pPr>
        <w:pStyle w:val="FootnoteText"/>
      </w:pPr>
      <w:r>
        <w:rPr>
          <w:rStyle w:val="FootnoteReference"/>
        </w:rPr>
        <w:footnoteRef/>
      </w:r>
      <w:r>
        <w:t xml:space="preserve"> Australian </w:t>
      </w:r>
      <w:proofErr w:type="gramStart"/>
      <w:r>
        <w:t>Competition  and</w:t>
      </w:r>
      <w:proofErr w:type="gramEnd"/>
      <w:r>
        <w:t xml:space="preserve"> Consumer </w:t>
      </w:r>
      <w:proofErr w:type="spellStart"/>
      <w:r>
        <w:t>Comission</w:t>
      </w:r>
      <w:proofErr w:type="spellEnd"/>
      <w:r>
        <w:t>,</w:t>
      </w:r>
      <w:r w:rsidRPr="00121A9C">
        <w:rPr>
          <w:i/>
        </w:rPr>
        <w:t xml:space="preserve"> Determination – Exemption in respect of GrainCorp’s Carrington (Newcastle) Port Terminal Facility</w:t>
      </w:r>
      <w:r>
        <w:t>, 1 October 2014; Appendix A.</w:t>
      </w:r>
    </w:p>
  </w:footnote>
  <w:footnote w:id="6">
    <w:p w:rsidR="003B0F1E" w:rsidRDefault="003B0F1E" w:rsidP="00C02A63">
      <w:pPr>
        <w:pStyle w:val="Footnotes"/>
      </w:pPr>
      <w:r>
        <w:rPr>
          <w:rStyle w:val="FootnoteReference"/>
        </w:rPr>
        <w:footnoteRef/>
      </w:r>
      <w:r>
        <w:t xml:space="preserve"> Exemptions are made under clause 5 of the Code</w:t>
      </w:r>
    </w:p>
  </w:footnote>
  <w:footnote w:id="7">
    <w:p w:rsidR="003B0F1E" w:rsidRPr="007E33C6" w:rsidRDefault="003B0F1E">
      <w:pPr>
        <w:pStyle w:val="FootnoteText"/>
      </w:pPr>
      <w:r>
        <w:rPr>
          <w:rStyle w:val="FootnoteReference"/>
        </w:rPr>
        <w:footnoteRef/>
      </w:r>
      <w:r>
        <w:t xml:space="preserve"> The </w:t>
      </w:r>
      <w:proofErr w:type="spellStart"/>
      <w:r>
        <w:t>Hon</w:t>
      </w:r>
      <w:proofErr w:type="spellEnd"/>
      <w:r>
        <w:t xml:space="preserve"> Barnaby Joyce (Minister for Agriculture), </w:t>
      </w:r>
      <w:r>
        <w:rPr>
          <w:i/>
        </w:rPr>
        <w:t>Notice of Determination of Exemption</w:t>
      </w:r>
      <w:r>
        <w:t>, 17 November 2014.</w:t>
      </w:r>
    </w:p>
  </w:footnote>
  <w:footnote w:id="8">
    <w:p w:rsidR="003B0F1E" w:rsidRDefault="003B0F1E">
      <w:pPr>
        <w:pStyle w:val="FootnoteText"/>
      </w:pPr>
      <w:r>
        <w:rPr>
          <w:rStyle w:val="FootnoteReference"/>
        </w:rPr>
        <w:footnoteRef/>
      </w:r>
      <w:r>
        <w:t xml:space="preserve"> </w:t>
      </w:r>
      <w:proofErr w:type="gramStart"/>
      <w:r>
        <w:t xml:space="preserve">Available at </w:t>
      </w:r>
      <w:hyperlink r:id="rId1" w:history="1">
        <w:r w:rsidRPr="003F11C0">
          <w:rPr>
            <w:rStyle w:val="Hyperlink"/>
            <w:sz w:val="16"/>
          </w:rPr>
          <w:t>http://accc.gov.au/publications/process-guidelines-for-making-revoking-exemption-determinations</w:t>
        </w:r>
      </w:hyperlink>
      <w:r>
        <w:t>.</w:t>
      </w:r>
      <w:proofErr w:type="gramEnd"/>
      <w:r>
        <w:t xml:space="preserve"> </w:t>
      </w:r>
    </w:p>
  </w:footnote>
  <w:footnote w:id="9">
    <w:p w:rsidR="003B0F1E" w:rsidRDefault="003B0F1E">
      <w:pPr>
        <w:pStyle w:val="FootnoteText"/>
      </w:pPr>
      <w:r>
        <w:rPr>
          <w:rStyle w:val="FootnoteReference"/>
        </w:rPr>
        <w:footnoteRef/>
      </w:r>
      <w:r>
        <w:t xml:space="preserve"> </w:t>
      </w:r>
      <w:proofErr w:type="gramStart"/>
      <w:r>
        <w:t>ACCC.</w:t>
      </w:r>
      <w:proofErr w:type="gramEnd"/>
      <w:r>
        <w:t xml:space="preserve"> Determination – Exemption in respect of GrainCorp’s Carrington (Newcastle) Port Terminal Facility, 1 October 2014; available at: </w:t>
      </w:r>
      <w:r w:rsidRPr="00C03139">
        <w:t>http://www.accc.gov.au/regulated-infrastructure/wheat-export/graincorp-newcastle-exemption/determination</w:t>
      </w:r>
      <w:r>
        <w:t>.</w:t>
      </w:r>
    </w:p>
  </w:footnote>
  <w:footnote w:id="10">
    <w:p w:rsidR="003B0F1E" w:rsidRDefault="003B0F1E" w:rsidP="00C03139">
      <w:pPr>
        <w:pStyle w:val="FootnoteText"/>
      </w:pPr>
      <w:r>
        <w:rPr>
          <w:rStyle w:val="FootnoteReference"/>
        </w:rPr>
        <w:footnoteRef/>
      </w:r>
      <w:r>
        <w:t xml:space="preserve"> ACCC, Decision to accept – GrainCorp Operations Limited’s Application to Vary the 2011 Port Terminal Services Access Undertaking, 18 June 2014.</w:t>
      </w:r>
    </w:p>
  </w:footnote>
  <w:footnote w:id="11">
    <w:p w:rsidR="00C2674F" w:rsidRDefault="00C2674F">
      <w:pPr>
        <w:pStyle w:val="FootnoteText"/>
      </w:pPr>
      <w:r>
        <w:rPr>
          <w:rStyle w:val="FootnoteReference"/>
        </w:rPr>
        <w:footnoteRef/>
      </w:r>
      <w:r>
        <w:t xml:space="preserve"> ACCC, Determination – Exemption in respect of </w:t>
      </w:r>
      <w:proofErr w:type="spellStart"/>
      <w:r>
        <w:t>GrainCorp’s</w:t>
      </w:r>
      <w:proofErr w:type="spellEnd"/>
      <w:r>
        <w:t xml:space="preserve"> Carrington (Newcastle) Port Terminal Facility, 1 October 2014.</w:t>
      </w:r>
    </w:p>
  </w:footnote>
  <w:footnote w:id="12">
    <w:p w:rsidR="003B0F1E" w:rsidRDefault="003B0F1E">
      <w:pPr>
        <w:pStyle w:val="FootnoteText"/>
      </w:pPr>
      <w:r>
        <w:rPr>
          <w:rStyle w:val="FootnoteReference"/>
        </w:rPr>
        <w:footnoteRef/>
      </w:r>
      <w:r>
        <w:t xml:space="preserve"> </w:t>
      </w:r>
      <w:proofErr w:type="gramStart"/>
      <w:r w:rsidR="00C2674F">
        <w:t>ibid</w:t>
      </w:r>
      <w:r>
        <w:t>; Appendix A and B.</w:t>
      </w:r>
      <w:proofErr w:type="gramEnd"/>
    </w:p>
  </w:footnote>
  <w:footnote w:id="13">
    <w:p w:rsidR="003B0F1E" w:rsidRDefault="003B0F1E" w:rsidP="00F2486B">
      <w:pPr>
        <w:pStyle w:val="FootnoteText"/>
      </w:pPr>
      <w:r>
        <w:rPr>
          <w:rStyle w:val="FootnoteReference"/>
        </w:rPr>
        <w:footnoteRef/>
      </w:r>
      <w:r>
        <w:t xml:space="preserve"> ACCC, 18 June 2014, p. 37.</w:t>
      </w:r>
    </w:p>
  </w:footnote>
  <w:footnote w:id="14">
    <w:p w:rsidR="003B0F1E" w:rsidRDefault="003B0F1E" w:rsidP="00F2486B">
      <w:pPr>
        <w:pStyle w:val="FootnoteText"/>
      </w:pPr>
      <w:r>
        <w:rPr>
          <w:rStyle w:val="FootnoteReference"/>
        </w:rPr>
        <w:footnoteRef/>
      </w:r>
      <w:r>
        <w:t xml:space="preserve"> ibid.</w:t>
      </w:r>
    </w:p>
  </w:footnote>
  <w:footnote w:id="15">
    <w:p w:rsidR="003B0F1E" w:rsidRDefault="003B0F1E">
      <w:pPr>
        <w:pStyle w:val="FootnoteText"/>
      </w:pPr>
      <w:r>
        <w:rPr>
          <w:rStyle w:val="FootnoteReference"/>
        </w:rPr>
        <w:footnoteRef/>
      </w:r>
      <w:r>
        <w:t xml:space="preserve"> </w:t>
      </w:r>
      <w:proofErr w:type="gramStart"/>
      <w:r>
        <w:t>ACCC June 2014 decision, page 35-7 and 61-4.</w:t>
      </w:r>
      <w:proofErr w:type="gramEnd"/>
    </w:p>
  </w:footnote>
  <w:footnote w:id="16">
    <w:p w:rsidR="003B0F1E" w:rsidRDefault="003B0F1E" w:rsidP="00F2486B">
      <w:pPr>
        <w:pStyle w:val="FootnoteText"/>
      </w:pPr>
      <w:r>
        <w:rPr>
          <w:rStyle w:val="FootnoteReference"/>
        </w:rPr>
        <w:footnoteRef/>
      </w:r>
      <w:r>
        <w:t xml:space="preserve"> ACCC June 2014 decision, Appendix B.</w:t>
      </w:r>
    </w:p>
  </w:footnote>
  <w:footnote w:id="17">
    <w:p w:rsidR="003B0F1E" w:rsidRDefault="003B0F1E">
      <w:pPr>
        <w:pStyle w:val="FootnoteText"/>
      </w:pPr>
      <w:r>
        <w:rPr>
          <w:rStyle w:val="FootnoteReference"/>
        </w:rPr>
        <w:footnoteRef/>
      </w:r>
      <w:r>
        <w:t xml:space="preserve"> </w:t>
      </w:r>
      <w:proofErr w:type="gramStart"/>
      <w:r>
        <w:t>ACCC June 2014 decision, page 61.</w:t>
      </w:r>
      <w:proofErr w:type="gramEnd"/>
    </w:p>
  </w:footnote>
  <w:footnote w:id="18">
    <w:p w:rsidR="003B0F1E" w:rsidRDefault="003B0F1E">
      <w:pPr>
        <w:pStyle w:val="FootnoteText"/>
      </w:pPr>
      <w:r>
        <w:rPr>
          <w:rStyle w:val="FootnoteReference"/>
        </w:rPr>
        <w:footnoteRef/>
      </w:r>
      <w:r>
        <w:t xml:space="preserve"> Australian Crop Forecasters, </w:t>
      </w:r>
      <w:r w:rsidRPr="007E33C6">
        <w:rPr>
          <w:i/>
        </w:rPr>
        <w:t>ACF Shipping Stem &amp; Market Share Report</w:t>
      </w:r>
      <w:r>
        <w:t>, 22 Apr 2015.</w:t>
      </w:r>
    </w:p>
  </w:footnote>
  <w:footnote w:id="19">
    <w:p w:rsidR="003B0F1E" w:rsidRDefault="003B0F1E">
      <w:pPr>
        <w:pStyle w:val="FootnoteText"/>
      </w:pPr>
      <w:r>
        <w:rPr>
          <w:rStyle w:val="FootnoteReference"/>
        </w:rPr>
        <w:footnoteRef/>
      </w:r>
      <w:r>
        <w:t xml:space="preserve"> </w:t>
      </w:r>
      <w:proofErr w:type="spellStart"/>
      <w:proofErr w:type="gramStart"/>
      <w:r>
        <w:t>GrainCorp</w:t>
      </w:r>
      <w:proofErr w:type="spellEnd"/>
      <w:r>
        <w:t>, supporting submission, November 2013, p.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11" w:rsidRDefault="00C62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11" w:rsidRDefault="00C62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11" w:rsidRDefault="00C6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CEFE0"/>
    <w:lvl w:ilvl="0">
      <w:start w:val="1"/>
      <w:numFmt w:val="decimal"/>
      <w:pStyle w:val="ListNumber3"/>
      <w:lvlText w:val="%1."/>
      <w:lvlJc w:val="left"/>
      <w:pPr>
        <w:ind w:left="1040" w:hanging="360"/>
      </w:pPr>
      <w:rPr>
        <w:rFonts w:hint="default"/>
      </w:rPr>
    </w:lvl>
  </w:abstractNum>
  <w:abstractNum w:abstractNumId="3">
    <w:nsid w:val="FFFFFF7F"/>
    <w:multiLevelType w:val="singleLevel"/>
    <w:tmpl w:val="50BCAA18"/>
    <w:lvl w:ilvl="0">
      <w:start w:val="1"/>
      <w:numFmt w:val="decimal"/>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985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8C328"/>
    <w:lvl w:ilvl="0">
      <w:start w:val="1"/>
      <w:numFmt w:val="bullet"/>
      <w:lvlText w:val=""/>
      <w:lvlJc w:val="left"/>
      <w:pPr>
        <w:tabs>
          <w:tab w:val="num" w:pos="360"/>
        </w:tabs>
        <w:ind w:left="360" w:hanging="360"/>
      </w:pPr>
      <w:rPr>
        <w:rFonts w:ascii="Symbol" w:hAnsi="Symbol" w:hint="default"/>
      </w:rPr>
    </w:lvl>
  </w:abstractNum>
  <w:abstractNum w:abstractNumId="10">
    <w:nsid w:val="05A11FFB"/>
    <w:multiLevelType w:val="hybridMultilevel"/>
    <w:tmpl w:val="45C63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2A6F4F"/>
    <w:multiLevelType w:val="hybridMultilevel"/>
    <w:tmpl w:val="E612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CD56C2"/>
    <w:multiLevelType w:val="hybridMultilevel"/>
    <w:tmpl w:val="4A96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1E081E"/>
    <w:multiLevelType w:val="hybridMultilevel"/>
    <w:tmpl w:val="76A4F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7">
    <w:nsid w:val="153E2104"/>
    <w:multiLevelType w:val="hybridMultilevel"/>
    <w:tmpl w:val="93DE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753D9D"/>
    <w:multiLevelType w:val="hybridMultilevel"/>
    <w:tmpl w:val="E79A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6C66F44"/>
    <w:multiLevelType w:val="hybridMultilevel"/>
    <w:tmpl w:val="CAE2EBD2"/>
    <w:lvl w:ilvl="0" w:tplc="42F874E0">
      <w:start w:val="1"/>
      <w:numFmt w:val="lowerRoman"/>
      <w:pStyle w:val="ListLegal5"/>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0">
    <w:nsid w:val="1B8046CC"/>
    <w:multiLevelType w:val="hybridMultilevel"/>
    <w:tmpl w:val="6C9E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13"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2">
    <w:nsid w:val="21544391"/>
    <w:multiLevelType w:val="hybridMultilevel"/>
    <w:tmpl w:val="8C7E5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2C17A87"/>
    <w:multiLevelType w:val="hybridMultilevel"/>
    <w:tmpl w:val="5F383DDE"/>
    <w:lvl w:ilvl="0" w:tplc="A61605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5E757A7"/>
    <w:multiLevelType w:val="hybridMultilevel"/>
    <w:tmpl w:val="DA0C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CA69B1"/>
    <w:multiLevelType w:val="hybridMultilevel"/>
    <w:tmpl w:val="FDB4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2F4189"/>
    <w:multiLevelType w:val="hybridMultilevel"/>
    <w:tmpl w:val="B194F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351BA6"/>
    <w:multiLevelType w:val="hybridMultilevel"/>
    <w:tmpl w:val="C0007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51B0D99"/>
    <w:multiLevelType w:val="hybridMultilevel"/>
    <w:tmpl w:val="F3247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6AB0989"/>
    <w:multiLevelType w:val="hybridMultilevel"/>
    <w:tmpl w:val="81F658EE"/>
    <w:lvl w:ilvl="0" w:tplc="2780E06E">
      <w:start w:val="1"/>
      <w:numFmt w:val="lowerLetter"/>
      <w:pStyle w:val="Listalphabet2"/>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nsid w:val="37A156AB"/>
    <w:multiLevelType w:val="hybridMultilevel"/>
    <w:tmpl w:val="32F89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8E02E2C"/>
    <w:multiLevelType w:val="hybridMultilevel"/>
    <w:tmpl w:val="303E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ABC70A7"/>
    <w:multiLevelType w:val="hybridMultilevel"/>
    <w:tmpl w:val="F05E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0654CA"/>
    <w:multiLevelType w:val="hybridMultilevel"/>
    <w:tmpl w:val="1854BC22"/>
    <w:lvl w:ilvl="0" w:tplc="A38E0C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9E52C90"/>
    <w:multiLevelType w:val="hybridMultilevel"/>
    <w:tmpl w:val="A498CB6A"/>
    <w:lvl w:ilvl="0" w:tplc="2E749D7E">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A4D3143"/>
    <w:multiLevelType w:val="hybridMultilevel"/>
    <w:tmpl w:val="22B2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C1160C"/>
    <w:multiLevelType w:val="hybridMultilevel"/>
    <w:tmpl w:val="C38A2B92"/>
    <w:lvl w:ilvl="0" w:tplc="15804A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03E28C6"/>
    <w:multiLevelType w:val="hybridMultilevel"/>
    <w:tmpl w:val="F982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2B6292"/>
    <w:multiLevelType w:val="hybridMultilevel"/>
    <w:tmpl w:val="190A1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8574E17"/>
    <w:multiLevelType w:val="hybridMultilevel"/>
    <w:tmpl w:val="1E32BAF8"/>
    <w:lvl w:ilvl="0" w:tplc="4D1209C8">
      <w:start w:val="1"/>
      <w:numFmt w:val="lowerLetter"/>
      <w:lvlText w:val="(%1)"/>
      <w:lvlJc w:val="left"/>
      <w:pPr>
        <w:ind w:left="420" w:hanging="360"/>
      </w:pPr>
      <w:rPr>
        <w:rFonts w:hint="default"/>
      </w:rPr>
    </w:lvl>
    <w:lvl w:ilvl="1" w:tplc="0C09001B">
      <w:start w:val="1"/>
      <w:numFmt w:val="lowerRoman"/>
      <w:lvlText w:val="%2."/>
      <w:lvlJc w:val="righ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1">
    <w:nsid w:val="593B625D"/>
    <w:multiLevelType w:val="hybridMultilevel"/>
    <w:tmpl w:val="C43A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3">
    <w:nsid w:val="61124A8F"/>
    <w:multiLevelType w:val="hybridMultilevel"/>
    <w:tmpl w:val="33943FE6"/>
    <w:lvl w:ilvl="0" w:tplc="B5701F4A">
      <w:start w:val="1"/>
      <w:numFmt w:val="lowerLetter"/>
      <w:pStyle w:val="Listalphabe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5">
    <w:nsid w:val="71052EFE"/>
    <w:multiLevelType w:val="hybridMultilevel"/>
    <w:tmpl w:val="C6261462"/>
    <w:lvl w:ilvl="0" w:tplc="76785A98">
      <w:start w:val="1"/>
      <w:numFmt w:val="lowerRoman"/>
      <w:pStyle w:val="ListLegal3"/>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20C0E22"/>
    <w:multiLevelType w:val="hybridMultilevel"/>
    <w:tmpl w:val="DFF0AF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nsid w:val="760C7082"/>
    <w:multiLevelType w:val="hybridMultilevel"/>
    <w:tmpl w:val="E10C4A04"/>
    <w:lvl w:ilvl="0" w:tplc="3AB49724">
      <w:start w:val="1"/>
      <w:numFmt w:val="lowerRoman"/>
      <w:pStyle w:val="ListLegal4"/>
      <w:lvlText w:val="%1."/>
      <w:lvlJc w:val="righ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48">
    <w:nsid w:val="775D0C14"/>
    <w:multiLevelType w:val="hybridMultilevel"/>
    <w:tmpl w:val="2DF69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ACB7F6B"/>
    <w:multiLevelType w:val="hybridMultilevel"/>
    <w:tmpl w:val="01C402C2"/>
    <w:lvl w:ilvl="0" w:tplc="F86A82EC">
      <w:start w:val="1"/>
      <w:numFmt w:val="lowerRoman"/>
      <w:pStyle w:val="ListLegal2"/>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0">
    <w:nsid w:val="7D64266B"/>
    <w:multiLevelType w:val="hybridMultilevel"/>
    <w:tmpl w:val="A93CE1E2"/>
    <w:lvl w:ilvl="0" w:tplc="FD0E8A42">
      <w:start w:val="1"/>
      <w:numFmt w:val="lowerLetter"/>
      <w:lvlText w:val="(%1)"/>
      <w:lvlJc w:val="left"/>
      <w:pPr>
        <w:ind w:left="1030" w:hanging="360"/>
      </w:pPr>
      <w:rPr>
        <w:rFonts w:hint="default"/>
      </w:rPr>
    </w:lvl>
    <w:lvl w:ilvl="1" w:tplc="0C090019" w:tentative="1">
      <w:start w:val="1"/>
      <w:numFmt w:val="lowerLetter"/>
      <w:lvlText w:val="%2."/>
      <w:lvlJc w:val="left"/>
      <w:pPr>
        <w:ind w:left="1750" w:hanging="360"/>
      </w:pPr>
    </w:lvl>
    <w:lvl w:ilvl="2" w:tplc="0C09001B" w:tentative="1">
      <w:start w:val="1"/>
      <w:numFmt w:val="lowerRoman"/>
      <w:lvlText w:val="%3."/>
      <w:lvlJc w:val="right"/>
      <w:pPr>
        <w:ind w:left="2470" w:hanging="180"/>
      </w:pPr>
    </w:lvl>
    <w:lvl w:ilvl="3" w:tplc="0C09000F" w:tentative="1">
      <w:start w:val="1"/>
      <w:numFmt w:val="decimal"/>
      <w:lvlText w:val="%4."/>
      <w:lvlJc w:val="left"/>
      <w:pPr>
        <w:ind w:left="3190" w:hanging="360"/>
      </w:pPr>
    </w:lvl>
    <w:lvl w:ilvl="4" w:tplc="0C090019" w:tentative="1">
      <w:start w:val="1"/>
      <w:numFmt w:val="lowerLetter"/>
      <w:lvlText w:val="%5."/>
      <w:lvlJc w:val="left"/>
      <w:pPr>
        <w:ind w:left="3910" w:hanging="360"/>
      </w:pPr>
    </w:lvl>
    <w:lvl w:ilvl="5" w:tplc="0C09001B" w:tentative="1">
      <w:start w:val="1"/>
      <w:numFmt w:val="lowerRoman"/>
      <w:lvlText w:val="%6."/>
      <w:lvlJc w:val="right"/>
      <w:pPr>
        <w:ind w:left="4630" w:hanging="180"/>
      </w:pPr>
    </w:lvl>
    <w:lvl w:ilvl="6" w:tplc="0C09000F" w:tentative="1">
      <w:start w:val="1"/>
      <w:numFmt w:val="decimal"/>
      <w:lvlText w:val="%7."/>
      <w:lvlJc w:val="left"/>
      <w:pPr>
        <w:ind w:left="5350" w:hanging="360"/>
      </w:pPr>
    </w:lvl>
    <w:lvl w:ilvl="7" w:tplc="0C090019" w:tentative="1">
      <w:start w:val="1"/>
      <w:numFmt w:val="lowerLetter"/>
      <w:lvlText w:val="%8."/>
      <w:lvlJc w:val="left"/>
      <w:pPr>
        <w:ind w:left="6070" w:hanging="360"/>
      </w:pPr>
    </w:lvl>
    <w:lvl w:ilvl="8" w:tplc="0C09001B" w:tentative="1">
      <w:start w:val="1"/>
      <w:numFmt w:val="lowerRoman"/>
      <w:lvlText w:val="%9."/>
      <w:lvlJc w:val="right"/>
      <w:pPr>
        <w:ind w:left="6790" w:hanging="180"/>
      </w:pPr>
    </w:lvl>
  </w:abstractNum>
  <w:abstractNum w:abstractNumId="51">
    <w:nsid w:val="7DD07351"/>
    <w:multiLevelType w:val="hybridMultilevel"/>
    <w:tmpl w:val="6BA2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E2819EC"/>
    <w:multiLevelType w:val="multilevel"/>
    <w:tmpl w:val="A91894C8"/>
    <w:lvl w:ilvl="0">
      <w:start w:val="1"/>
      <w:numFmt w:val="bullet"/>
      <w:pStyle w:val="Bulletpoin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FC44598"/>
    <w:multiLevelType w:val="hybridMultilevel"/>
    <w:tmpl w:val="5C5C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2"/>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44"/>
  </w:num>
  <w:num w:numId="12">
    <w:abstractNumId w:val="32"/>
  </w:num>
  <w:num w:numId="13">
    <w:abstractNumId w:val="14"/>
  </w:num>
  <w:num w:numId="14">
    <w:abstractNumId w:val="21"/>
  </w:num>
  <w:num w:numId="15">
    <w:abstractNumId w:val="29"/>
  </w:num>
  <w:num w:numId="16">
    <w:abstractNumId w:val="43"/>
  </w:num>
  <w:num w:numId="17">
    <w:abstractNumId w:val="2"/>
  </w:num>
  <w:num w:numId="18">
    <w:abstractNumId w:val="35"/>
  </w:num>
  <w:num w:numId="19">
    <w:abstractNumId w:val="45"/>
  </w:num>
  <w:num w:numId="20">
    <w:abstractNumId w:val="49"/>
  </w:num>
  <w:num w:numId="21">
    <w:abstractNumId w:val="47"/>
  </w:num>
  <w:num w:numId="22">
    <w:abstractNumId w:val="19"/>
  </w:num>
  <w:num w:numId="23">
    <w:abstractNumId w:val="42"/>
  </w:num>
  <w:num w:numId="24">
    <w:abstractNumId w:val="48"/>
  </w:num>
  <w:num w:numId="25">
    <w:abstractNumId w:val="17"/>
  </w:num>
  <w:num w:numId="26">
    <w:abstractNumId w:val="50"/>
  </w:num>
  <w:num w:numId="27">
    <w:abstractNumId w:val="30"/>
  </w:num>
  <w:num w:numId="28">
    <w:abstractNumId w:val="28"/>
  </w:num>
  <w:num w:numId="29">
    <w:abstractNumId w:val="10"/>
  </w:num>
  <w:num w:numId="30">
    <w:abstractNumId w:val="34"/>
  </w:num>
  <w:num w:numId="31">
    <w:abstractNumId w:val="22"/>
  </w:num>
  <w:num w:numId="32">
    <w:abstractNumId w:val="41"/>
  </w:num>
  <w:num w:numId="33">
    <w:abstractNumId w:val="24"/>
  </w:num>
  <w:num w:numId="34">
    <w:abstractNumId w:val="39"/>
  </w:num>
  <w:num w:numId="35">
    <w:abstractNumId w:val="26"/>
  </w:num>
  <w:num w:numId="36">
    <w:abstractNumId w:val="11"/>
  </w:num>
  <w:num w:numId="37">
    <w:abstractNumId w:val="33"/>
  </w:num>
  <w:num w:numId="38">
    <w:abstractNumId w:val="20"/>
  </w:num>
  <w:num w:numId="39">
    <w:abstractNumId w:val="51"/>
  </w:num>
  <w:num w:numId="40">
    <w:abstractNumId w:val="36"/>
  </w:num>
  <w:num w:numId="41">
    <w:abstractNumId w:val="27"/>
  </w:num>
  <w:num w:numId="42">
    <w:abstractNumId w:val="37"/>
  </w:num>
  <w:num w:numId="43">
    <w:abstractNumId w:val="25"/>
  </w:num>
  <w:num w:numId="44">
    <w:abstractNumId w:val="18"/>
  </w:num>
  <w:num w:numId="45">
    <w:abstractNumId w:val="12"/>
  </w:num>
  <w:num w:numId="46">
    <w:abstractNumId w:val="53"/>
  </w:num>
  <w:num w:numId="47">
    <w:abstractNumId w:val="23"/>
  </w:num>
  <w:num w:numId="48">
    <w:abstractNumId w:val="15"/>
  </w:num>
  <w:num w:numId="49">
    <w:abstractNumId w:val="9"/>
  </w:num>
  <w:num w:numId="50">
    <w:abstractNumId w:val="40"/>
  </w:num>
  <w:num w:numId="51">
    <w:abstractNumId w:val="38"/>
  </w:num>
  <w:num w:numId="52">
    <w:abstractNumId w:val="21"/>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46"/>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scsan\rawp - 20150507 - wheat code exemption applications - newcastle draft determination current (D2015-00058111).docx"/>
  </w:docVars>
  <w:rsids>
    <w:rsidRoot w:val="00A04168"/>
    <w:rsid w:val="0002115F"/>
    <w:rsid w:val="00021202"/>
    <w:rsid w:val="00031D0F"/>
    <w:rsid w:val="00034F27"/>
    <w:rsid w:val="0003578C"/>
    <w:rsid w:val="00063247"/>
    <w:rsid w:val="0006797A"/>
    <w:rsid w:val="00070F9F"/>
    <w:rsid w:val="0007137B"/>
    <w:rsid w:val="000772A9"/>
    <w:rsid w:val="00085663"/>
    <w:rsid w:val="00085EBF"/>
    <w:rsid w:val="00097444"/>
    <w:rsid w:val="000B761F"/>
    <w:rsid w:val="000D122C"/>
    <w:rsid w:val="000E1819"/>
    <w:rsid w:val="000E2615"/>
    <w:rsid w:val="000E6C72"/>
    <w:rsid w:val="000E7C91"/>
    <w:rsid w:val="000F2402"/>
    <w:rsid w:val="000F2590"/>
    <w:rsid w:val="0010456A"/>
    <w:rsid w:val="00116EB2"/>
    <w:rsid w:val="00121A9C"/>
    <w:rsid w:val="0012390D"/>
    <w:rsid w:val="00124609"/>
    <w:rsid w:val="001446BE"/>
    <w:rsid w:val="00147FAB"/>
    <w:rsid w:val="001573E4"/>
    <w:rsid w:val="00160756"/>
    <w:rsid w:val="0017007A"/>
    <w:rsid w:val="0017232E"/>
    <w:rsid w:val="0017246C"/>
    <w:rsid w:val="001729D0"/>
    <w:rsid w:val="00174102"/>
    <w:rsid w:val="00180157"/>
    <w:rsid w:val="00181223"/>
    <w:rsid w:val="001817B9"/>
    <w:rsid w:val="00186CEA"/>
    <w:rsid w:val="00186F77"/>
    <w:rsid w:val="001926A4"/>
    <w:rsid w:val="001B45A0"/>
    <w:rsid w:val="001B62C4"/>
    <w:rsid w:val="001B6DD0"/>
    <w:rsid w:val="001C01C9"/>
    <w:rsid w:val="001C6DD1"/>
    <w:rsid w:val="001D055E"/>
    <w:rsid w:val="001D13B4"/>
    <w:rsid w:val="001E15E6"/>
    <w:rsid w:val="001E2B37"/>
    <w:rsid w:val="001E5D9D"/>
    <w:rsid w:val="001F2437"/>
    <w:rsid w:val="001F492E"/>
    <w:rsid w:val="001F529F"/>
    <w:rsid w:val="001F6DA3"/>
    <w:rsid w:val="002035A2"/>
    <w:rsid w:val="0020402C"/>
    <w:rsid w:val="00207448"/>
    <w:rsid w:val="00212737"/>
    <w:rsid w:val="00212D79"/>
    <w:rsid w:val="00212F2B"/>
    <w:rsid w:val="00215920"/>
    <w:rsid w:val="00220816"/>
    <w:rsid w:val="00224DB9"/>
    <w:rsid w:val="00235EBA"/>
    <w:rsid w:val="00247A0E"/>
    <w:rsid w:val="00251745"/>
    <w:rsid w:val="00262736"/>
    <w:rsid w:val="00263AC0"/>
    <w:rsid w:val="0026772D"/>
    <w:rsid w:val="00275A63"/>
    <w:rsid w:val="00286874"/>
    <w:rsid w:val="002875FD"/>
    <w:rsid w:val="00291237"/>
    <w:rsid w:val="00296B65"/>
    <w:rsid w:val="002A06CC"/>
    <w:rsid w:val="002A0846"/>
    <w:rsid w:val="002A0E06"/>
    <w:rsid w:val="002A7DEF"/>
    <w:rsid w:val="002B727D"/>
    <w:rsid w:val="002C0A45"/>
    <w:rsid w:val="002C7CF5"/>
    <w:rsid w:val="002D3844"/>
    <w:rsid w:val="002E2AEA"/>
    <w:rsid w:val="002E3186"/>
    <w:rsid w:val="002E54E6"/>
    <w:rsid w:val="002F48B3"/>
    <w:rsid w:val="002F7986"/>
    <w:rsid w:val="00307F6D"/>
    <w:rsid w:val="00311BB9"/>
    <w:rsid w:val="00315A03"/>
    <w:rsid w:val="00315FAB"/>
    <w:rsid w:val="003177A2"/>
    <w:rsid w:val="003217F0"/>
    <w:rsid w:val="00326EDE"/>
    <w:rsid w:val="003271B5"/>
    <w:rsid w:val="00331264"/>
    <w:rsid w:val="00334C8D"/>
    <w:rsid w:val="00340655"/>
    <w:rsid w:val="00342C59"/>
    <w:rsid w:val="003430B4"/>
    <w:rsid w:val="00343750"/>
    <w:rsid w:val="00350EED"/>
    <w:rsid w:val="003513A6"/>
    <w:rsid w:val="003518B3"/>
    <w:rsid w:val="003757D9"/>
    <w:rsid w:val="00381104"/>
    <w:rsid w:val="003846F1"/>
    <w:rsid w:val="00393858"/>
    <w:rsid w:val="003A50B6"/>
    <w:rsid w:val="003A59F1"/>
    <w:rsid w:val="003A673F"/>
    <w:rsid w:val="003B0F1E"/>
    <w:rsid w:val="003B5A70"/>
    <w:rsid w:val="003C10E1"/>
    <w:rsid w:val="003C3483"/>
    <w:rsid w:val="003D1387"/>
    <w:rsid w:val="003D142C"/>
    <w:rsid w:val="003D3812"/>
    <w:rsid w:val="003D3FB9"/>
    <w:rsid w:val="003D6DD1"/>
    <w:rsid w:val="003D7711"/>
    <w:rsid w:val="003E35DA"/>
    <w:rsid w:val="003E5C8D"/>
    <w:rsid w:val="003E6066"/>
    <w:rsid w:val="003E716F"/>
    <w:rsid w:val="004077A6"/>
    <w:rsid w:val="00411AB8"/>
    <w:rsid w:val="00422F77"/>
    <w:rsid w:val="00426781"/>
    <w:rsid w:val="00457B9C"/>
    <w:rsid w:val="00464C98"/>
    <w:rsid w:val="004745D5"/>
    <w:rsid w:val="00475DDE"/>
    <w:rsid w:val="00480B4B"/>
    <w:rsid w:val="0048144B"/>
    <w:rsid w:val="00483519"/>
    <w:rsid w:val="00483BF0"/>
    <w:rsid w:val="00485DC4"/>
    <w:rsid w:val="00492421"/>
    <w:rsid w:val="00493F9C"/>
    <w:rsid w:val="00497452"/>
    <w:rsid w:val="004A19D6"/>
    <w:rsid w:val="004A5744"/>
    <w:rsid w:val="004A5923"/>
    <w:rsid w:val="004B4412"/>
    <w:rsid w:val="004B6004"/>
    <w:rsid w:val="004C295A"/>
    <w:rsid w:val="004C348C"/>
    <w:rsid w:val="004C49D0"/>
    <w:rsid w:val="004C4ACE"/>
    <w:rsid w:val="004D2EF6"/>
    <w:rsid w:val="004D55BA"/>
    <w:rsid w:val="004E1B87"/>
    <w:rsid w:val="004E5A6C"/>
    <w:rsid w:val="004F3FB1"/>
    <w:rsid w:val="005276D4"/>
    <w:rsid w:val="00530128"/>
    <w:rsid w:val="00531658"/>
    <w:rsid w:val="00532467"/>
    <w:rsid w:val="00533535"/>
    <w:rsid w:val="005420B1"/>
    <w:rsid w:val="005442E7"/>
    <w:rsid w:val="005462EB"/>
    <w:rsid w:val="00547CCF"/>
    <w:rsid w:val="00550586"/>
    <w:rsid w:val="00554D63"/>
    <w:rsid w:val="005553EF"/>
    <w:rsid w:val="005644A2"/>
    <w:rsid w:val="00564A4D"/>
    <w:rsid w:val="00571B35"/>
    <w:rsid w:val="00571C9F"/>
    <w:rsid w:val="00572271"/>
    <w:rsid w:val="00577A09"/>
    <w:rsid w:val="00582B3A"/>
    <w:rsid w:val="0058362A"/>
    <w:rsid w:val="00584D8F"/>
    <w:rsid w:val="00591ABF"/>
    <w:rsid w:val="0059208F"/>
    <w:rsid w:val="00595F37"/>
    <w:rsid w:val="00597160"/>
    <w:rsid w:val="005A21D3"/>
    <w:rsid w:val="005A404D"/>
    <w:rsid w:val="005A5AA1"/>
    <w:rsid w:val="005B1720"/>
    <w:rsid w:val="005B1E3C"/>
    <w:rsid w:val="005C26CC"/>
    <w:rsid w:val="005C5E62"/>
    <w:rsid w:val="005D62ED"/>
    <w:rsid w:val="005E2BEF"/>
    <w:rsid w:val="005E6C0E"/>
    <w:rsid w:val="005E6C4D"/>
    <w:rsid w:val="005F01FD"/>
    <w:rsid w:val="005F11BA"/>
    <w:rsid w:val="00600D8D"/>
    <w:rsid w:val="00604542"/>
    <w:rsid w:val="006102C1"/>
    <w:rsid w:val="00612D90"/>
    <w:rsid w:val="00613A44"/>
    <w:rsid w:val="00614350"/>
    <w:rsid w:val="00614B63"/>
    <w:rsid w:val="00615C6B"/>
    <w:rsid w:val="00632D6D"/>
    <w:rsid w:val="00642C3E"/>
    <w:rsid w:val="0065451D"/>
    <w:rsid w:val="00663DAD"/>
    <w:rsid w:val="00664FE2"/>
    <w:rsid w:val="006678DA"/>
    <w:rsid w:val="0067278B"/>
    <w:rsid w:val="0067586F"/>
    <w:rsid w:val="00676679"/>
    <w:rsid w:val="0067797B"/>
    <w:rsid w:val="0068035D"/>
    <w:rsid w:val="00682E12"/>
    <w:rsid w:val="006B4CF9"/>
    <w:rsid w:val="006B5E68"/>
    <w:rsid w:val="006B78AC"/>
    <w:rsid w:val="006B7AC8"/>
    <w:rsid w:val="006C0F34"/>
    <w:rsid w:val="006C56A3"/>
    <w:rsid w:val="006D11EE"/>
    <w:rsid w:val="006D16D7"/>
    <w:rsid w:val="006D550F"/>
    <w:rsid w:val="006D70B1"/>
    <w:rsid w:val="006D77F3"/>
    <w:rsid w:val="006E1A7C"/>
    <w:rsid w:val="006E1CAD"/>
    <w:rsid w:val="006F77AF"/>
    <w:rsid w:val="006F78B9"/>
    <w:rsid w:val="00701CAB"/>
    <w:rsid w:val="00703831"/>
    <w:rsid w:val="007054C5"/>
    <w:rsid w:val="00707563"/>
    <w:rsid w:val="00720ACD"/>
    <w:rsid w:val="0072348C"/>
    <w:rsid w:val="00724843"/>
    <w:rsid w:val="00724A37"/>
    <w:rsid w:val="00725145"/>
    <w:rsid w:val="00726331"/>
    <w:rsid w:val="007277CE"/>
    <w:rsid w:val="007303C3"/>
    <w:rsid w:val="007345AC"/>
    <w:rsid w:val="00743223"/>
    <w:rsid w:val="00746868"/>
    <w:rsid w:val="00746E01"/>
    <w:rsid w:val="00754BC5"/>
    <w:rsid w:val="00757B42"/>
    <w:rsid w:val="00763D56"/>
    <w:rsid w:val="00763E5D"/>
    <w:rsid w:val="00767740"/>
    <w:rsid w:val="007775A8"/>
    <w:rsid w:val="00777EE6"/>
    <w:rsid w:val="00782EEA"/>
    <w:rsid w:val="007852A5"/>
    <w:rsid w:val="00791215"/>
    <w:rsid w:val="007927FC"/>
    <w:rsid w:val="007B2C72"/>
    <w:rsid w:val="007B607E"/>
    <w:rsid w:val="007C039F"/>
    <w:rsid w:val="007C1C53"/>
    <w:rsid w:val="007C49D2"/>
    <w:rsid w:val="007C784E"/>
    <w:rsid w:val="007E33C6"/>
    <w:rsid w:val="007E4904"/>
    <w:rsid w:val="007E4CB5"/>
    <w:rsid w:val="007F066B"/>
    <w:rsid w:val="007F10F1"/>
    <w:rsid w:val="007F4008"/>
    <w:rsid w:val="008033C4"/>
    <w:rsid w:val="00806C88"/>
    <w:rsid w:val="00807504"/>
    <w:rsid w:val="0081034E"/>
    <w:rsid w:val="008128CE"/>
    <w:rsid w:val="0082622C"/>
    <w:rsid w:val="008344F6"/>
    <w:rsid w:val="0083510F"/>
    <w:rsid w:val="008360E1"/>
    <w:rsid w:val="008362B5"/>
    <w:rsid w:val="00836CF7"/>
    <w:rsid w:val="008479DE"/>
    <w:rsid w:val="00851209"/>
    <w:rsid w:val="00873832"/>
    <w:rsid w:val="008740A8"/>
    <w:rsid w:val="008748F1"/>
    <w:rsid w:val="00875685"/>
    <w:rsid w:val="008837AC"/>
    <w:rsid w:val="00887173"/>
    <w:rsid w:val="00893BB8"/>
    <w:rsid w:val="008945B4"/>
    <w:rsid w:val="00895F05"/>
    <w:rsid w:val="00896ED7"/>
    <w:rsid w:val="008A587D"/>
    <w:rsid w:val="008A6DEC"/>
    <w:rsid w:val="008B4295"/>
    <w:rsid w:val="008C0D3B"/>
    <w:rsid w:val="008C20E8"/>
    <w:rsid w:val="008C5486"/>
    <w:rsid w:val="008D6F9F"/>
    <w:rsid w:val="008E7031"/>
    <w:rsid w:val="008E7D62"/>
    <w:rsid w:val="008F0001"/>
    <w:rsid w:val="008F3D8E"/>
    <w:rsid w:val="008F445A"/>
    <w:rsid w:val="0091207C"/>
    <w:rsid w:val="009233EE"/>
    <w:rsid w:val="00923ACC"/>
    <w:rsid w:val="0093155A"/>
    <w:rsid w:val="009331D0"/>
    <w:rsid w:val="009459F9"/>
    <w:rsid w:val="00951CDE"/>
    <w:rsid w:val="00964925"/>
    <w:rsid w:val="009651D7"/>
    <w:rsid w:val="009661DE"/>
    <w:rsid w:val="00967F0C"/>
    <w:rsid w:val="00973D36"/>
    <w:rsid w:val="00975166"/>
    <w:rsid w:val="009856B7"/>
    <w:rsid w:val="0098602B"/>
    <w:rsid w:val="009962BA"/>
    <w:rsid w:val="009A303C"/>
    <w:rsid w:val="009B19B4"/>
    <w:rsid w:val="009B4089"/>
    <w:rsid w:val="009B74B0"/>
    <w:rsid w:val="009C0CC6"/>
    <w:rsid w:val="009C5A1E"/>
    <w:rsid w:val="009D1408"/>
    <w:rsid w:val="009D30AD"/>
    <w:rsid w:val="009D6B46"/>
    <w:rsid w:val="009F4940"/>
    <w:rsid w:val="009F6585"/>
    <w:rsid w:val="00A0100F"/>
    <w:rsid w:val="00A04168"/>
    <w:rsid w:val="00A052FF"/>
    <w:rsid w:val="00A05BF3"/>
    <w:rsid w:val="00A146AD"/>
    <w:rsid w:val="00A16B59"/>
    <w:rsid w:val="00A218F2"/>
    <w:rsid w:val="00A25185"/>
    <w:rsid w:val="00A256D8"/>
    <w:rsid w:val="00A31308"/>
    <w:rsid w:val="00A33823"/>
    <w:rsid w:val="00A414DC"/>
    <w:rsid w:val="00A4478A"/>
    <w:rsid w:val="00A44852"/>
    <w:rsid w:val="00A57D04"/>
    <w:rsid w:val="00A60A26"/>
    <w:rsid w:val="00A61598"/>
    <w:rsid w:val="00A6310E"/>
    <w:rsid w:val="00A75954"/>
    <w:rsid w:val="00A84F46"/>
    <w:rsid w:val="00A871F4"/>
    <w:rsid w:val="00A915C0"/>
    <w:rsid w:val="00A91939"/>
    <w:rsid w:val="00A93B85"/>
    <w:rsid w:val="00AA101D"/>
    <w:rsid w:val="00AB37D0"/>
    <w:rsid w:val="00AB6719"/>
    <w:rsid w:val="00AC1471"/>
    <w:rsid w:val="00AC1B2C"/>
    <w:rsid w:val="00AC20A2"/>
    <w:rsid w:val="00AC2AF9"/>
    <w:rsid w:val="00AC2F16"/>
    <w:rsid w:val="00AC3264"/>
    <w:rsid w:val="00AC42FF"/>
    <w:rsid w:val="00AD3D8E"/>
    <w:rsid w:val="00AD3F63"/>
    <w:rsid w:val="00AD70B8"/>
    <w:rsid w:val="00AE0FE2"/>
    <w:rsid w:val="00AE1BF1"/>
    <w:rsid w:val="00AF03CB"/>
    <w:rsid w:val="00AF0DD2"/>
    <w:rsid w:val="00B05CEB"/>
    <w:rsid w:val="00B06663"/>
    <w:rsid w:val="00B0686A"/>
    <w:rsid w:val="00B10314"/>
    <w:rsid w:val="00B13048"/>
    <w:rsid w:val="00B15998"/>
    <w:rsid w:val="00B1716D"/>
    <w:rsid w:val="00B17A1D"/>
    <w:rsid w:val="00B207A0"/>
    <w:rsid w:val="00B51107"/>
    <w:rsid w:val="00B51ECA"/>
    <w:rsid w:val="00B53CE9"/>
    <w:rsid w:val="00B53DE6"/>
    <w:rsid w:val="00B56E03"/>
    <w:rsid w:val="00B60F5D"/>
    <w:rsid w:val="00B67E91"/>
    <w:rsid w:val="00B72DCB"/>
    <w:rsid w:val="00B757C4"/>
    <w:rsid w:val="00B77C78"/>
    <w:rsid w:val="00B8080B"/>
    <w:rsid w:val="00B853AD"/>
    <w:rsid w:val="00B87C39"/>
    <w:rsid w:val="00B9015E"/>
    <w:rsid w:val="00BA2873"/>
    <w:rsid w:val="00BA34AD"/>
    <w:rsid w:val="00BA4665"/>
    <w:rsid w:val="00BB2FB2"/>
    <w:rsid w:val="00BB3304"/>
    <w:rsid w:val="00BB333B"/>
    <w:rsid w:val="00BC5AF3"/>
    <w:rsid w:val="00BD2311"/>
    <w:rsid w:val="00BD3446"/>
    <w:rsid w:val="00BE1F1B"/>
    <w:rsid w:val="00BE3034"/>
    <w:rsid w:val="00BE47B5"/>
    <w:rsid w:val="00BE63E9"/>
    <w:rsid w:val="00C02A63"/>
    <w:rsid w:val="00C03139"/>
    <w:rsid w:val="00C0411B"/>
    <w:rsid w:val="00C058AB"/>
    <w:rsid w:val="00C06739"/>
    <w:rsid w:val="00C132A4"/>
    <w:rsid w:val="00C24CF7"/>
    <w:rsid w:val="00C25140"/>
    <w:rsid w:val="00C26325"/>
    <w:rsid w:val="00C2674F"/>
    <w:rsid w:val="00C33603"/>
    <w:rsid w:val="00C44838"/>
    <w:rsid w:val="00C52522"/>
    <w:rsid w:val="00C53239"/>
    <w:rsid w:val="00C538A9"/>
    <w:rsid w:val="00C53B5A"/>
    <w:rsid w:val="00C54F5A"/>
    <w:rsid w:val="00C60607"/>
    <w:rsid w:val="00C62011"/>
    <w:rsid w:val="00C64068"/>
    <w:rsid w:val="00C676FB"/>
    <w:rsid w:val="00C71866"/>
    <w:rsid w:val="00C755AD"/>
    <w:rsid w:val="00C770E8"/>
    <w:rsid w:val="00C771F8"/>
    <w:rsid w:val="00C86679"/>
    <w:rsid w:val="00C90E9A"/>
    <w:rsid w:val="00C90F9B"/>
    <w:rsid w:val="00C9530B"/>
    <w:rsid w:val="00CA0268"/>
    <w:rsid w:val="00CA5224"/>
    <w:rsid w:val="00CA5E33"/>
    <w:rsid w:val="00CA6DEE"/>
    <w:rsid w:val="00CB666B"/>
    <w:rsid w:val="00CC3BA7"/>
    <w:rsid w:val="00CC4156"/>
    <w:rsid w:val="00CC4DF8"/>
    <w:rsid w:val="00CE0281"/>
    <w:rsid w:val="00CF0BBF"/>
    <w:rsid w:val="00CF16E2"/>
    <w:rsid w:val="00CF7A09"/>
    <w:rsid w:val="00D01CF0"/>
    <w:rsid w:val="00D0442A"/>
    <w:rsid w:val="00D0524C"/>
    <w:rsid w:val="00D0669F"/>
    <w:rsid w:val="00D075E4"/>
    <w:rsid w:val="00D16A62"/>
    <w:rsid w:val="00D203E1"/>
    <w:rsid w:val="00D2172D"/>
    <w:rsid w:val="00D31400"/>
    <w:rsid w:val="00D32801"/>
    <w:rsid w:val="00D373F5"/>
    <w:rsid w:val="00D4299B"/>
    <w:rsid w:val="00D47EE2"/>
    <w:rsid w:val="00D544B8"/>
    <w:rsid w:val="00D5570E"/>
    <w:rsid w:val="00D61388"/>
    <w:rsid w:val="00D61A54"/>
    <w:rsid w:val="00D64DEA"/>
    <w:rsid w:val="00D65765"/>
    <w:rsid w:val="00D752CA"/>
    <w:rsid w:val="00D80893"/>
    <w:rsid w:val="00D86900"/>
    <w:rsid w:val="00D902F8"/>
    <w:rsid w:val="00D92CF1"/>
    <w:rsid w:val="00D92D38"/>
    <w:rsid w:val="00D950F5"/>
    <w:rsid w:val="00DB0F93"/>
    <w:rsid w:val="00DB5A44"/>
    <w:rsid w:val="00DC7981"/>
    <w:rsid w:val="00DD1457"/>
    <w:rsid w:val="00DD3543"/>
    <w:rsid w:val="00DE00FE"/>
    <w:rsid w:val="00DE2D0A"/>
    <w:rsid w:val="00DE48C7"/>
    <w:rsid w:val="00DE4EFA"/>
    <w:rsid w:val="00DE5520"/>
    <w:rsid w:val="00DF0B12"/>
    <w:rsid w:val="00E03C07"/>
    <w:rsid w:val="00E04818"/>
    <w:rsid w:val="00E04B68"/>
    <w:rsid w:val="00E06442"/>
    <w:rsid w:val="00E16D98"/>
    <w:rsid w:val="00E17807"/>
    <w:rsid w:val="00E228AE"/>
    <w:rsid w:val="00E23993"/>
    <w:rsid w:val="00E25B8C"/>
    <w:rsid w:val="00E275B7"/>
    <w:rsid w:val="00E35BE3"/>
    <w:rsid w:val="00E37EE8"/>
    <w:rsid w:val="00E455A7"/>
    <w:rsid w:val="00E46286"/>
    <w:rsid w:val="00E4674F"/>
    <w:rsid w:val="00E46A94"/>
    <w:rsid w:val="00E502CF"/>
    <w:rsid w:val="00E52AE5"/>
    <w:rsid w:val="00E57066"/>
    <w:rsid w:val="00E62934"/>
    <w:rsid w:val="00E634D5"/>
    <w:rsid w:val="00E65C85"/>
    <w:rsid w:val="00E66199"/>
    <w:rsid w:val="00E73B36"/>
    <w:rsid w:val="00E755EC"/>
    <w:rsid w:val="00E75AE8"/>
    <w:rsid w:val="00E7624D"/>
    <w:rsid w:val="00E814A4"/>
    <w:rsid w:val="00E86CD2"/>
    <w:rsid w:val="00E976D8"/>
    <w:rsid w:val="00EA3D42"/>
    <w:rsid w:val="00EA4C3E"/>
    <w:rsid w:val="00EA5B07"/>
    <w:rsid w:val="00EA6B1B"/>
    <w:rsid w:val="00EB1CC5"/>
    <w:rsid w:val="00EB65C2"/>
    <w:rsid w:val="00EC4B52"/>
    <w:rsid w:val="00EC63EF"/>
    <w:rsid w:val="00ED5BAC"/>
    <w:rsid w:val="00ED776B"/>
    <w:rsid w:val="00EE28F3"/>
    <w:rsid w:val="00EE34AB"/>
    <w:rsid w:val="00EF1CFE"/>
    <w:rsid w:val="00EF4F50"/>
    <w:rsid w:val="00EF5110"/>
    <w:rsid w:val="00EF77E0"/>
    <w:rsid w:val="00F01B69"/>
    <w:rsid w:val="00F03B2E"/>
    <w:rsid w:val="00F03BF4"/>
    <w:rsid w:val="00F15882"/>
    <w:rsid w:val="00F16DF7"/>
    <w:rsid w:val="00F17481"/>
    <w:rsid w:val="00F20BD3"/>
    <w:rsid w:val="00F21908"/>
    <w:rsid w:val="00F2486B"/>
    <w:rsid w:val="00F2656F"/>
    <w:rsid w:val="00F30F39"/>
    <w:rsid w:val="00F33FCC"/>
    <w:rsid w:val="00F345C4"/>
    <w:rsid w:val="00F373A5"/>
    <w:rsid w:val="00F41E48"/>
    <w:rsid w:val="00F47559"/>
    <w:rsid w:val="00F50EA5"/>
    <w:rsid w:val="00F553D0"/>
    <w:rsid w:val="00F55C62"/>
    <w:rsid w:val="00F61B84"/>
    <w:rsid w:val="00F64C7B"/>
    <w:rsid w:val="00F673DD"/>
    <w:rsid w:val="00F67660"/>
    <w:rsid w:val="00F676DD"/>
    <w:rsid w:val="00F67FAD"/>
    <w:rsid w:val="00F75A26"/>
    <w:rsid w:val="00F83FAD"/>
    <w:rsid w:val="00F842FF"/>
    <w:rsid w:val="00F90810"/>
    <w:rsid w:val="00F94BA8"/>
    <w:rsid w:val="00F952A0"/>
    <w:rsid w:val="00F97AA4"/>
    <w:rsid w:val="00FA3C7F"/>
    <w:rsid w:val="00FA684A"/>
    <w:rsid w:val="00FB1C35"/>
    <w:rsid w:val="00FB74E2"/>
    <w:rsid w:val="00FC0ABE"/>
    <w:rsid w:val="00FD5614"/>
    <w:rsid w:val="00FD66F9"/>
    <w:rsid w:val="00FE06D8"/>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4"/>
      </w:numPr>
      <w:tabs>
        <w:tab w:val="left" w:pos="680"/>
      </w:tabs>
      <w:ind w:left="680" w:hanging="680"/>
    </w:pPr>
  </w:style>
  <w:style w:type="paragraph" w:customStyle="1" w:styleId="Numbered11">
    <w:name w:val="Numbered 1.1"/>
    <w:basedOn w:val="Heading2"/>
    <w:next w:val="Normal"/>
    <w:qFormat/>
    <w:rsid w:val="00F61B84"/>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4"/>
      </w:numPr>
      <w:tabs>
        <w:tab w:val="left" w:pos="1361"/>
      </w:tabs>
      <w:ind w:left="1224"/>
      <w:contextualSpacing/>
    </w:pPr>
  </w:style>
  <w:style w:type="paragraph" w:customStyle="1" w:styleId="Numbered1111">
    <w:name w:val="Numbered 1.1.1.1"/>
    <w:basedOn w:val="Heading4"/>
    <w:next w:val="Normal"/>
    <w:rsid w:val="00F61B84"/>
    <w:pPr>
      <w:numPr>
        <w:ilvl w:val="3"/>
        <w:numId w:val="14"/>
      </w:numPr>
      <w:tabs>
        <w:tab w:val="left" w:pos="1361"/>
      </w:tabs>
      <w:ind w:left="1361" w:hanging="1361"/>
    </w:pPr>
  </w:style>
  <w:style w:type="paragraph" w:customStyle="1" w:styleId="Numbered11111">
    <w:name w:val="Numbered 1.1.1.1.1"/>
    <w:basedOn w:val="Heading5"/>
    <w:next w:val="Normal"/>
    <w:uiPriority w:val="2"/>
    <w:rsid w:val="00F61B84"/>
    <w:pPr>
      <w:numPr>
        <w:ilvl w:val="4"/>
        <w:numId w:val="14"/>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4"/>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qFormat/>
    <w:rsid w:val="00B8080B"/>
  </w:style>
  <w:style w:type="character" w:customStyle="1" w:styleId="FootnotesChar">
    <w:name w:val="Footnotes Char"/>
    <w:basedOn w:val="DefaultParagraphFont"/>
    <w:link w:val="Footnotes"/>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547CCF"/>
    <w:pPr>
      <w:numPr>
        <w:numId w:val="12"/>
      </w:numPr>
      <w:tabs>
        <w:tab w:val="left" w:pos="340"/>
      </w:tabs>
      <w:spacing w:before="120"/>
      <w:ind w:left="340" w:hanging="340"/>
    </w:pPr>
  </w:style>
  <w:style w:type="paragraph" w:customStyle="1" w:styleId="Bulletpoint2">
    <w:name w:val="Bullet point 2"/>
    <w:basedOn w:val="ListBullet2"/>
    <w:uiPriority w:val="1"/>
    <w:qFormat/>
    <w:rsid w:val="00E4674F"/>
    <w:pPr>
      <w:numPr>
        <w:numId w:val="11"/>
      </w:numPr>
      <w:tabs>
        <w:tab w:val="left" w:pos="680"/>
      </w:tabs>
      <w:ind w:left="680" w:hanging="340"/>
    </w:pPr>
  </w:style>
  <w:style w:type="paragraph" w:styleId="ListNumber">
    <w:name w:val="List Number"/>
    <w:basedOn w:val="Normal"/>
    <w:uiPriority w:val="99"/>
    <w:rsid w:val="00547CCF"/>
    <w:pPr>
      <w:numPr>
        <w:numId w:val="7"/>
      </w:numPr>
      <w:tabs>
        <w:tab w:val="clear" w:pos="360"/>
        <w:tab w:val="num" w:pos="340"/>
      </w:tabs>
      <w:spacing w:before="120"/>
      <w:ind w:left="340" w:hanging="340"/>
    </w:pPr>
    <w:rPr>
      <w:color w:val="000000" w:themeColor="text1" w:themeShade="BF"/>
    </w:rPr>
  </w:style>
  <w:style w:type="paragraph" w:styleId="ListBullet2">
    <w:name w:val="List Bullet 2"/>
    <w:basedOn w:val="Normal"/>
    <w:uiPriority w:val="99"/>
    <w:rsid w:val="00181223"/>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181223"/>
    <w:pPr>
      <w:numPr>
        <w:numId w:val="8"/>
      </w:numPr>
      <w:tabs>
        <w:tab w:val="left" w:pos="680"/>
      </w:tabs>
      <w:spacing w:before="120"/>
      <w:ind w:left="680" w:hanging="34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3"/>
      </w:numPr>
      <w:tabs>
        <w:tab w:val="left" w:pos="340"/>
      </w:tabs>
      <w:spacing w:before="120"/>
      <w:ind w:left="340" w:hanging="34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4"/>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4"/>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NECG) Footnote Reference1,(NECG) Footnote Reference2,o,Style 3,Style 12,fr,Appel note de bas de p,Style 124,Style 6 + 12 pt,Appel n,(NECG) Footnote Reference3,(NECG) Footnote Reference4,Footnote Reference 1"/>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4"/>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547CCF"/>
    <w:pPr>
      <w:tabs>
        <w:tab w:val="left" w:pos="1361"/>
      </w:tabs>
      <w:spacing w:before="120"/>
      <w:ind w:left="1361"/>
    </w:pPr>
  </w:style>
  <w:style w:type="paragraph" w:styleId="ListNumber3">
    <w:name w:val="List Number 3"/>
    <w:basedOn w:val="Normal"/>
    <w:uiPriority w:val="99"/>
    <w:rsid w:val="00B67E91"/>
    <w:pPr>
      <w:numPr>
        <w:numId w:val="17"/>
      </w:numPr>
      <w:tabs>
        <w:tab w:val="left" w:pos="1021"/>
      </w:tabs>
      <w:spacing w:before="120"/>
      <w:ind w:left="1020" w:hanging="340"/>
    </w:pPr>
  </w:style>
  <w:style w:type="paragraph" w:styleId="ListNumber4">
    <w:name w:val="List Number 4"/>
    <w:basedOn w:val="Normal"/>
    <w:uiPriority w:val="99"/>
    <w:rsid w:val="008945B4"/>
    <w:pPr>
      <w:numPr>
        <w:numId w:val="9"/>
      </w:numPr>
      <w:tabs>
        <w:tab w:val="clear" w:pos="1209"/>
        <w:tab w:val="num" w:pos="1361"/>
        <w:tab w:val="left" w:pos="1701"/>
      </w:tabs>
      <w:spacing w:before="120"/>
      <w:ind w:left="1361" w:hanging="340"/>
    </w:pPr>
  </w:style>
  <w:style w:type="paragraph" w:styleId="ListNumber5">
    <w:name w:val="List Number 5"/>
    <w:basedOn w:val="Normal"/>
    <w:uiPriority w:val="99"/>
    <w:rsid w:val="00181223"/>
    <w:pPr>
      <w:numPr>
        <w:numId w:val="10"/>
      </w:numPr>
      <w:tabs>
        <w:tab w:val="clear" w:pos="1492"/>
        <w:tab w:val="num" w:pos="1701"/>
      </w:tabs>
      <w:spacing w:before="120"/>
      <w:ind w:left="1701" w:hanging="34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475DDE"/>
    <w:pPr>
      <w:numPr>
        <w:numId w:val="15"/>
      </w:numPr>
      <w:tabs>
        <w:tab w:val="left" w:pos="680"/>
      </w:tabs>
      <w:ind w:left="680" w:hanging="340"/>
    </w:pPr>
    <w:rPr>
      <w:rFonts w:ascii="Arial" w:hAnsi="Arial"/>
    </w:rPr>
  </w:style>
  <w:style w:type="paragraph" w:customStyle="1" w:styleId="Listalphabet3">
    <w:name w:val="List alphabet 3"/>
    <w:basedOn w:val="Listalphabet2"/>
    <w:rsid w:val="00547CCF"/>
    <w:pPr>
      <w:tabs>
        <w:tab w:val="clear" w:pos="680"/>
        <w:tab w:val="left" w:pos="1021"/>
      </w:tabs>
      <w:ind w:left="1020"/>
    </w:pPr>
  </w:style>
  <w:style w:type="paragraph" w:customStyle="1" w:styleId="Listalphabet4">
    <w:name w:val="List alphabet 4"/>
    <w:basedOn w:val="Listalphabet3"/>
    <w:rsid w:val="00547CCF"/>
    <w:pPr>
      <w:tabs>
        <w:tab w:val="clear" w:pos="1021"/>
        <w:tab w:val="left" w:pos="1361"/>
      </w:tabs>
      <w:ind w:left="1361"/>
    </w:pPr>
  </w:style>
  <w:style w:type="paragraph" w:customStyle="1" w:styleId="Listalphabet5">
    <w:name w:val="List alphabet 5"/>
    <w:basedOn w:val="Listalphabet4"/>
    <w:rsid w:val="00475DDE"/>
    <w:pPr>
      <w:tabs>
        <w:tab w:val="clear" w:pos="1361"/>
        <w:tab w:val="left" w:pos="1701"/>
      </w:tabs>
      <w:ind w:left="1701"/>
    </w:pPr>
  </w:style>
  <w:style w:type="paragraph" w:styleId="ListContinue5">
    <w:name w:val="List Continue 5"/>
    <w:basedOn w:val="Normal"/>
    <w:uiPriority w:val="99"/>
    <w:rsid w:val="00547CCF"/>
    <w:pPr>
      <w:tabs>
        <w:tab w:val="left" w:pos="1701"/>
      </w:tabs>
      <w:spacing w:after="120"/>
      <w:ind w:left="1701"/>
      <w:contextualSpacing/>
    </w:pPr>
  </w:style>
  <w:style w:type="paragraph" w:customStyle="1" w:styleId="Listalphabet">
    <w:name w:val="List alphabet"/>
    <w:qFormat/>
    <w:rsid w:val="00475DDE"/>
    <w:pPr>
      <w:numPr>
        <w:numId w:val="16"/>
      </w:numPr>
      <w:tabs>
        <w:tab w:val="left" w:pos="340"/>
      </w:tabs>
      <w:ind w:left="340" w:hanging="34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06739"/>
    <w:pPr>
      <w:numPr>
        <w:numId w:val="18"/>
      </w:numPr>
      <w:tabs>
        <w:tab w:val="clear" w:pos="340"/>
        <w:tab w:val="left" w:pos="680"/>
      </w:tabs>
      <w:ind w:left="680" w:hanging="340"/>
    </w:pPr>
  </w:style>
  <w:style w:type="paragraph" w:customStyle="1" w:styleId="ListLegal2">
    <w:name w:val="List Legal 2"/>
    <w:basedOn w:val="ListLegal"/>
    <w:rsid w:val="00C06739"/>
    <w:pPr>
      <w:numPr>
        <w:numId w:val="20"/>
      </w:numPr>
      <w:tabs>
        <w:tab w:val="clear" w:pos="680"/>
        <w:tab w:val="left" w:pos="1021"/>
      </w:tabs>
      <w:ind w:left="1020" w:hanging="340"/>
    </w:pPr>
  </w:style>
  <w:style w:type="paragraph" w:customStyle="1" w:styleId="ListLegal3">
    <w:name w:val="List Legal 3"/>
    <w:basedOn w:val="ListNumber3"/>
    <w:rsid w:val="00D203E1"/>
    <w:pPr>
      <w:numPr>
        <w:numId w:val="19"/>
      </w:numPr>
      <w:tabs>
        <w:tab w:val="clear" w:pos="1021"/>
        <w:tab w:val="left" w:pos="1361"/>
      </w:tabs>
      <w:spacing w:line="276" w:lineRule="auto"/>
      <w:ind w:left="1361" w:hanging="340"/>
    </w:pPr>
  </w:style>
  <w:style w:type="paragraph" w:customStyle="1" w:styleId="ListLegal4">
    <w:name w:val="List Legal 4"/>
    <w:basedOn w:val="ListLegal3"/>
    <w:rsid w:val="00C06739"/>
    <w:pPr>
      <w:numPr>
        <w:numId w:val="21"/>
      </w:numPr>
      <w:tabs>
        <w:tab w:val="clear" w:pos="1361"/>
        <w:tab w:val="left" w:pos="1701"/>
      </w:tabs>
      <w:spacing w:line="240" w:lineRule="auto"/>
      <w:ind w:left="1701" w:hanging="340"/>
    </w:pPr>
  </w:style>
  <w:style w:type="paragraph" w:customStyle="1" w:styleId="ListLegal5">
    <w:name w:val="List Legal 5"/>
    <w:basedOn w:val="ListLegal4"/>
    <w:rsid w:val="00C06739"/>
    <w:pPr>
      <w:numPr>
        <w:numId w:val="22"/>
      </w:numPr>
      <w:tabs>
        <w:tab w:val="clear" w:pos="1701"/>
        <w:tab w:val="left" w:pos="2041"/>
      </w:tabs>
      <w:ind w:left="2041" w:hanging="340"/>
    </w:pPr>
  </w:style>
  <w:style w:type="paragraph" w:customStyle="1" w:styleId="LegalNumbering">
    <w:name w:val="Legal Numbering"/>
    <w:basedOn w:val="Normal"/>
    <w:qFormat/>
    <w:rsid w:val="0002115F"/>
    <w:pPr>
      <w:numPr>
        <w:numId w:val="23"/>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9459F9"/>
    <w:rPr>
      <w:sz w:val="16"/>
      <w:szCs w:val="16"/>
    </w:rPr>
  </w:style>
  <w:style w:type="paragraph" w:styleId="CommentText">
    <w:name w:val="annotation text"/>
    <w:basedOn w:val="Normal"/>
    <w:link w:val="CommentTextChar"/>
    <w:uiPriority w:val="99"/>
    <w:unhideWhenUsed/>
    <w:rsid w:val="009459F9"/>
    <w:rPr>
      <w:sz w:val="20"/>
      <w:szCs w:val="20"/>
    </w:rPr>
  </w:style>
  <w:style w:type="character" w:customStyle="1" w:styleId="CommentTextChar">
    <w:name w:val="Comment Text Char"/>
    <w:basedOn w:val="DefaultParagraphFont"/>
    <w:link w:val="CommentText"/>
    <w:uiPriority w:val="99"/>
    <w:rsid w:val="00945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59F9"/>
    <w:rPr>
      <w:b/>
      <w:bCs/>
    </w:rPr>
  </w:style>
  <w:style w:type="character" w:customStyle="1" w:styleId="CommentSubjectChar">
    <w:name w:val="Comment Subject Char"/>
    <w:basedOn w:val="CommentTextChar"/>
    <w:link w:val="CommentSubject"/>
    <w:uiPriority w:val="99"/>
    <w:semiHidden/>
    <w:rsid w:val="009459F9"/>
    <w:rPr>
      <w:rFonts w:ascii="Arial" w:hAnsi="Arial"/>
      <w:b/>
      <w:bCs/>
      <w:sz w:val="20"/>
      <w:szCs w:val="20"/>
    </w:rPr>
  </w:style>
  <w:style w:type="paragraph" w:customStyle="1" w:styleId="Headingnumbered11">
    <w:name w:val="Heading numbered 1.1"/>
    <w:basedOn w:val="Normal"/>
    <w:qFormat/>
    <w:rsid w:val="008E7D62"/>
    <w:pPr>
      <w:numPr>
        <w:ilvl w:val="1"/>
        <w:numId w:val="48"/>
      </w:numPr>
      <w:spacing w:before="520" w:after="240"/>
      <w:ind w:left="958" w:hanging="958"/>
      <w:contextualSpacing/>
      <w:outlineLvl w:val="2"/>
    </w:pPr>
    <w:rPr>
      <w:b/>
      <w:color w:val="51626F"/>
      <w:sz w:val="28"/>
      <w:szCs w:val="24"/>
    </w:rPr>
  </w:style>
  <w:style w:type="paragraph" w:customStyle="1" w:styleId="Normalparagraph">
    <w:name w:val="Normal paragraph"/>
    <w:basedOn w:val="Normal"/>
    <w:qFormat/>
    <w:rsid w:val="008E7D62"/>
    <w:pPr>
      <w:tabs>
        <w:tab w:val="left" w:pos="426"/>
      </w:tabs>
      <w:spacing w:before="240" w:after="240"/>
    </w:pPr>
    <w:rPr>
      <w:rFonts w:eastAsia="Times New Roman" w:cs="Times New Roman"/>
    </w:rPr>
  </w:style>
  <w:style w:type="paragraph" w:styleId="Revision">
    <w:name w:val="Revision"/>
    <w:hidden/>
    <w:uiPriority w:val="99"/>
    <w:semiHidden/>
    <w:rsid w:val="00CC4156"/>
    <w:pPr>
      <w:spacing w:before="0"/>
    </w:pPr>
    <w:rPr>
      <w:rFonts w:ascii="Arial" w:hAnsi="Arial"/>
    </w:rPr>
  </w:style>
  <w:style w:type="paragraph" w:customStyle="1" w:styleId="ACCCcopyrighttext">
    <w:name w:val="ACCC copyright text"/>
    <w:basedOn w:val="Normal"/>
    <w:autoRedefine/>
    <w:qFormat/>
    <w:rsid w:val="00BE3034"/>
    <w:pPr>
      <w:spacing w:before="0" w:after="2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4"/>
      </w:numPr>
      <w:tabs>
        <w:tab w:val="left" w:pos="680"/>
      </w:tabs>
      <w:ind w:left="680" w:hanging="680"/>
    </w:pPr>
  </w:style>
  <w:style w:type="paragraph" w:customStyle="1" w:styleId="Numbered11">
    <w:name w:val="Numbered 1.1"/>
    <w:basedOn w:val="Heading2"/>
    <w:next w:val="Normal"/>
    <w:qFormat/>
    <w:rsid w:val="00F61B84"/>
    <w:pPr>
      <w:numPr>
        <w:ilvl w:val="1"/>
        <w:numId w:val="14"/>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4"/>
      </w:numPr>
      <w:tabs>
        <w:tab w:val="left" w:pos="1361"/>
      </w:tabs>
      <w:ind w:left="1224"/>
      <w:contextualSpacing/>
    </w:pPr>
  </w:style>
  <w:style w:type="paragraph" w:customStyle="1" w:styleId="Numbered1111">
    <w:name w:val="Numbered 1.1.1.1"/>
    <w:basedOn w:val="Heading4"/>
    <w:next w:val="Normal"/>
    <w:rsid w:val="00F61B84"/>
    <w:pPr>
      <w:numPr>
        <w:ilvl w:val="3"/>
        <w:numId w:val="14"/>
      </w:numPr>
      <w:tabs>
        <w:tab w:val="left" w:pos="1361"/>
      </w:tabs>
      <w:ind w:left="1361" w:hanging="1361"/>
    </w:pPr>
  </w:style>
  <w:style w:type="paragraph" w:customStyle="1" w:styleId="Numbered11111">
    <w:name w:val="Numbered 1.1.1.1.1"/>
    <w:basedOn w:val="Heading5"/>
    <w:next w:val="Normal"/>
    <w:uiPriority w:val="2"/>
    <w:rsid w:val="00F61B84"/>
    <w:pPr>
      <w:numPr>
        <w:ilvl w:val="4"/>
        <w:numId w:val="14"/>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4"/>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qFormat/>
    <w:rsid w:val="00B8080B"/>
  </w:style>
  <w:style w:type="character" w:customStyle="1" w:styleId="FootnotesChar">
    <w:name w:val="Footnotes Char"/>
    <w:basedOn w:val="DefaultParagraphFont"/>
    <w:link w:val="Footnotes"/>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547CCF"/>
    <w:pPr>
      <w:numPr>
        <w:numId w:val="12"/>
      </w:numPr>
      <w:tabs>
        <w:tab w:val="left" w:pos="340"/>
      </w:tabs>
      <w:spacing w:before="120"/>
      <w:ind w:left="340" w:hanging="340"/>
    </w:pPr>
  </w:style>
  <w:style w:type="paragraph" w:customStyle="1" w:styleId="Bulletpoint2">
    <w:name w:val="Bullet point 2"/>
    <w:basedOn w:val="ListBullet2"/>
    <w:uiPriority w:val="1"/>
    <w:qFormat/>
    <w:rsid w:val="00E4674F"/>
    <w:pPr>
      <w:numPr>
        <w:numId w:val="11"/>
      </w:numPr>
      <w:tabs>
        <w:tab w:val="left" w:pos="680"/>
      </w:tabs>
      <w:ind w:left="680" w:hanging="340"/>
    </w:pPr>
  </w:style>
  <w:style w:type="paragraph" w:styleId="ListNumber">
    <w:name w:val="List Number"/>
    <w:basedOn w:val="Normal"/>
    <w:uiPriority w:val="99"/>
    <w:rsid w:val="00547CCF"/>
    <w:pPr>
      <w:numPr>
        <w:numId w:val="7"/>
      </w:numPr>
      <w:tabs>
        <w:tab w:val="clear" w:pos="360"/>
        <w:tab w:val="num" w:pos="340"/>
      </w:tabs>
      <w:spacing w:before="120"/>
      <w:ind w:left="340" w:hanging="340"/>
    </w:pPr>
    <w:rPr>
      <w:color w:val="000000" w:themeColor="text1" w:themeShade="BF"/>
    </w:rPr>
  </w:style>
  <w:style w:type="paragraph" w:styleId="ListBullet2">
    <w:name w:val="List Bullet 2"/>
    <w:basedOn w:val="Normal"/>
    <w:uiPriority w:val="99"/>
    <w:rsid w:val="00181223"/>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181223"/>
    <w:pPr>
      <w:numPr>
        <w:numId w:val="8"/>
      </w:numPr>
      <w:tabs>
        <w:tab w:val="left" w:pos="680"/>
      </w:tabs>
      <w:spacing w:before="120"/>
      <w:ind w:left="680" w:hanging="34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3"/>
      </w:numPr>
      <w:tabs>
        <w:tab w:val="left" w:pos="340"/>
      </w:tabs>
      <w:spacing w:before="120"/>
      <w:ind w:left="340" w:hanging="34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F61B84"/>
    <w:pPr>
      <w:numPr>
        <w:ilvl w:val="6"/>
        <w:numId w:val="14"/>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4"/>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aliases w:val="(NECG) Footnote Reference,(NECG) Footnote Reference1,(NECG) Footnote Reference2,o,Style 3,Style 12,fr,Appel note de bas de p,Style 124,Style 6 + 12 pt,Appel n,(NECG) Footnote Reference3,(NECG) Footnote Reference4,Footnote Reference 1"/>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4"/>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547CCF"/>
    <w:pPr>
      <w:tabs>
        <w:tab w:val="left" w:pos="1361"/>
      </w:tabs>
      <w:spacing w:before="120"/>
      <w:ind w:left="1361"/>
    </w:pPr>
  </w:style>
  <w:style w:type="paragraph" w:styleId="ListNumber3">
    <w:name w:val="List Number 3"/>
    <w:basedOn w:val="Normal"/>
    <w:uiPriority w:val="99"/>
    <w:rsid w:val="00B67E91"/>
    <w:pPr>
      <w:numPr>
        <w:numId w:val="17"/>
      </w:numPr>
      <w:tabs>
        <w:tab w:val="left" w:pos="1021"/>
      </w:tabs>
      <w:spacing w:before="120"/>
      <w:ind w:left="1020" w:hanging="340"/>
    </w:pPr>
  </w:style>
  <w:style w:type="paragraph" w:styleId="ListNumber4">
    <w:name w:val="List Number 4"/>
    <w:basedOn w:val="Normal"/>
    <w:uiPriority w:val="99"/>
    <w:rsid w:val="008945B4"/>
    <w:pPr>
      <w:numPr>
        <w:numId w:val="9"/>
      </w:numPr>
      <w:tabs>
        <w:tab w:val="clear" w:pos="1209"/>
        <w:tab w:val="num" w:pos="1361"/>
        <w:tab w:val="left" w:pos="1701"/>
      </w:tabs>
      <w:spacing w:before="120"/>
      <w:ind w:left="1361" w:hanging="340"/>
    </w:pPr>
  </w:style>
  <w:style w:type="paragraph" w:styleId="ListNumber5">
    <w:name w:val="List Number 5"/>
    <w:basedOn w:val="Normal"/>
    <w:uiPriority w:val="99"/>
    <w:rsid w:val="00181223"/>
    <w:pPr>
      <w:numPr>
        <w:numId w:val="10"/>
      </w:numPr>
      <w:tabs>
        <w:tab w:val="clear" w:pos="1492"/>
        <w:tab w:val="num" w:pos="1701"/>
      </w:tabs>
      <w:spacing w:before="120"/>
      <w:ind w:left="1701" w:hanging="34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475DDE"/>
    <w:pPr>
      <w:numPr>
        <w:numId w:val="15"/>
      </w:numPr>
      <w:tabs>
        <w:tab w:val="left" w:pos="680"/>
      </w:tabs>
      <w:ind w:left="680" w:hanging="340"/>
    </w:pPr>
    <w:rPr>
      <w:rFonts w:ascii="Arial" w:hAnsi="Arial"/>
    </w:rPr>
  </w:style>
  <w:style w:type="paragraph" w:customStyle="1" w:styleId="Listalphabet3">
    <w:name w:val="List alphabet 3"/>
    <w:basedOn w:val="Listalphabet2"/>
    <w:rsid w:val="00547CCF"/>
    <w:pPr>
      <w:tabs>
        <w:tab w:val="clear" w:pos="680"/>
        <w:tab w:val="left" w:pos="1021"/>
      </w:tabs>
      <w:ind w:left="1020"/>
    </w:pPr>
  </w:style>
  <w:style w:type="paragraph" w:customStyle="1" w:styleId="Listalphabet4">
    <w:name w:val="List alphabet 4"/>
    <w:basedOn w:val="Listalphabet3"/>
    <w:rsid w:val="00547CCF"/>
    <w:pPr>
      <w:tabs>
        <w:tab w:val="clear" w:pos="1021"/>
        <w:tab w:val="left" w:pos="1361"/>
      </w:tabs>
      <w:ind w:left="1361"/>
    </w:pPr>
  </w:style>
  <w:style w:type="paragraph" w:customStyle="1" w:styleId="Listalphabet5">
    <w:name w:val="List alphabet 5"/>
    <w:basedOn w:val="Listalphabet4"/>
    <w:rsid w:val="00475DDE"/>
    <w:pPr>
      <w:tabs>
        <w:tab w:val="clear" w:pos="1361"/>
        <w:tab w:val="left" w:pos="1701"/>
      </w:tabs>
      <w:ind w:left="1701"/>
    </w:pPr>
  </w:style>
  <w:style w:type="paragraph" w:styleId="ListContinue5">
    <w:name w:val="List Continue 5"/>
    <w:basedOn w:val="Normal"/>
    <w:uiPriority w:val="99"/>
    <w:rsid w:val="00547CCF"/>
    <w:pPr>
      <w:tabs>
        <w:tab w:val="left" w:pos="1701"/>
      </w:tabs>
      <w:spacing w:after="120"/>
      <w:ind w:left="1701"/>
      <w:contextualSpacing/>
    </w:pPr>
  </w:style>
  <w:style w:type="paragraph" w:customStyle="1" w:styleId="Listalphabet">
    <w:name w:val="List alphabet"/>
    <w:qFormat/>
    <w:rsid w:val="00475DDE"/>
    <w:pPr>
      <w:numPr>
        <w:numId w:val="16"/>
      </w:numPr>
      <w:tabs>
        <w:tab w:val="left" w:pos="340"/>
      </w:tabs>
      <w:ind w:left="340" w:hanging="34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06739"/>
    <w:pPr>
      <w:numPr>
        <w:numId w:val="18"/>
      </w:numPr>
      <w:tabs>
        <w:tab w:val="clear" w:pos="340"/>
        <w:tab w:val="left" w:pos="680"/>
      </w:tabs>
      <w:ind w:left="680" w:hanging="340"/>
    </w:pPr>
  </w:style>
  <w:style w:type="paragraph" w:customStyle="1" w:styleId="ListLegal2">
    <w:name w:val="List Legal 2"/>
    <w:basedOn w:val="ListLegal"/>
    <w:rsid w:val="00C06739"/>
    <w:pPr>
      <w:numPr>
        <w:numId w:val="20"/>
      </w:numPr>
      <w:tabs>
        <w:tab w:val="clear" w:pos="680"/>
        <w:tab w:val="left" w:pos="1021"/>
      </w:tabs>
      <w:ind w:left="1020" w:hanging="340"/>
    </w:pPr>
  </w:style>
  <w:style w:type="paragraph" w:customStyle="1" w:styleId="ListLegal3">
    <w:name w:val="List Legal 3"/>
    <w:basedOn w:val="ListNumber3"/>
    <w:rsid w:val="00D203E1"/>
    <w:pPr>
      <w:numPr>
        <w:numId w:val="19"/>
      </w:numPr>
      <w:tabs>
        <w:tab w:val="clear" w:pos="1021"/>
        <w:tab w:val="left" w:pos="1361"/>
      </w:tabs>
      <w:spacing w:line="276" w:lineRule="auto"/>
      <w:ind w:left="1361" w:hanging="340"/>
    </w:pPr>
  </w:style>
  <w:style w:type="paragraph" w:customStyle="1" w:styleId="ListLegal4">
    <w:name w:val="List Legal 4"/>
    <w:basedOn w:val="ListLegal3"/>
    <w:rsid w:val="00C06739"/>
    <w:pPr>
      <w:numPr>
        <w:numId w:val="21"/>
      </w:numPr>
      <w:tabs>
        <w:tab w:val="clear" w:pos="1361"/>
        <w:tab w:val="left" w:pos="1701"/>
      </w:tabs>
      <w:spacing w:line="240" w:lineRule="auto"/>
      <w:ind w:left="1701" w:hanging="340"/>
    </w:pPr>
  </w:style>
  <w:style w:type="paragraph" w:customStyle="1" w:styleId="ListLegal5">
    <w:name w:val="List Legal 5"/>
    <w:basedOn w:val="ListLegal4"/>
    <w:rsid w:val="00C06739"/>
    <w:pPr>
      <w:numPr>
        <w:numId w:val="22"/>
      </w:numPr>
      <w:tabs>
        <w:tab w:val="clear" w:pos="1701"/>
        <w:tab w:val="left" w:pos="2041"/>
      </w:tabs>
      <w:ind w:left="2041" w:hanging="340"/>
    </w:pPr>
  </w:style>
  <w:style w:type="paragraph" w:customStyle="1" w:styleId="LegalNumbering">
    <w:name w:val="Legal Numbering"/>
    <w:basedOn w:val="Normal"/>
    <w:qFormat/>
    <w:rsid w:val="0002115F"/>
    <w:pPr>
      <w:numPr>
        <w:numId w:val="23"/>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9459F9"/>
    <w:rPr>
      <w:sz w:val="16"/>
      <w:szCs w:val="16"/>
    </w:rPr>
  </w:style>
  <w:style w:type="paragraph" w:styleId="CommentText">
    <w:name w:val="annotation text"/>
    <w:basedOn w:val="Normal"/>
    <w:link w:val="CommentTextChar"/>
    <w:uiPriority w:val="99"/>
    <w:unhideWhenUsed/>
    <w:rsid w:val="009459F9"/>
    <w:rPr>
      <w:sz w:val="20"/>
      <w:szCs w:val="20"/>
    </w:rPr>
  </w:style>
  <w:style w:type="character" w:customStyle="1" w:styleId="CommentTextChar">
    <w:name w:val="Comment Text Char"/>
    <w:basedOn w:val="DefaultParagraphFont"/>
    <w:link w:val="CommentText"/>
    <w:uiPriority w:val="99"/>
    <w:rsid w:val="00945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59F9"/>
    <w:rPr>
      <w:b/>
      <w:bCs/>
    </w:rPr>
  </w:style>
  <w:style w:type="character" w:customStyle="1" w:styleId="CommentSubjectChar">
    <w:name w:val="Comment Subject Char"/>
    <w:basedOn w:val="CommentTextChar"/>
    <w:link w:val="CommentSubject"/>
    <w:uiPriority w:val="99"/>
    <w:semiHidden/>
    <w:rsid w:val="009459F9"/>
    <w:rPr>
      <w:rFonts w:ascii="Arial" w:hAnsi="Arial"/>
      <w:b/>
      <w:bCs/>
      <w:sz w:val="20"/>
      <w:szCs w:val="20"/>
    </w:rPr>
  </w:style>
  <w:style w:type="paragraph" w:customStyle="1" w:styleId="Headingnumbered11">
    <w:name w:val="Heading numbered 1.1"/>
    <w:basedOn w:val="Normal"/>
    <w:qFormat/>
    <w:rsid w:val="008E7D62"/>
    <w:pPr>
      <w:numPr>
        <w:ilvl w:val="1"/>
        <w:numId w:val="48"/>
      </w:numPr>
      <w:spacing w:before="520" w:after="240"/>
      <w:ind w:left="958" w:hanging="958"/>
      <w:contextualSpacing/>
      <w:outlineLvl w:val="2"/>
    </w:pPr>
    <w:rPr>
      <w:b/>
      <w:color w:val="51626F"/>
      <w:sz w:val="28"/>
      <w:szCs w:val="24"/>
    </w:rPr>
  </w:style>
  <w:style w:type="paragraph" w:customStyle="1" w:styleId="Normalparagraph">
    <w:name w:val="Normal paragraph"/>
    <w:basedOn w:val="Normal"/>
    <w:qFormat/>
    <w:rsid w:val="008E7D62"/>
    <w:pPr>
      <w:tabs>
        <w:tab w:val="left" w:pos="426"/>
      </w:tabs>
      <w:spacing w:before="240" w:after="240"/>
    </w:pPr>
    <w:rPr>
      <w:rFonts w:eastAsia="Times New Roman" w:cs="Times New Roman"/>
    </w:rPr>
  </w:style>
  <w:style w:type="paragraph" w:styleId="Revision">
    <w:name w:val="Revision"/>
    <w:hidden/>
    <w:uiPriority w:val="99"/>
    <w:semiHidden/>
    <w:rsid w:val="00CC4156"/>
    <w:pPr>
      <w:spacing w:before="0"/>
    </w:pPr>
    <w:rPr>
      <w:rFonts w:ascii="Arial" w:hAnsi="Arial"/>
    </w:rPr>
  </w:style>
  <w:style w:type="paragraph" w:customStyle="1" w:styleId="ACCCcopyrighttext">
    <w:name w:val="ACCC copyright text"/>
    <w:basedOn w:val="Normal"/>
    <w:autoRedefine/>
    <w:qFormat/>
    <w:rsid w:val="00BE3034"/>
    <w:pPr>
      <w:spacing w:before="0"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ichael.eady@accc.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transport@acc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ccc.gov.au/publications/process-guidelines-for-making-revoking-exemption-determination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16040-8D08-49FB-87AD-E91B0865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4B511205</Template>
  <TotalTime>0</TotalTime>
  <Pages>19</Pages>
  <Words>6728</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2015-05-07T01:26:00Z</dcterms:created>
  <dcterms:modified xsi:type="dcterms:W3CDTF">2015-05-07T01:26:00Z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\\cdchnas-evs02\home$\scsan\rawp - 20150507 - wheat code exemption applications - newcastle draft determination current (D2015-00058111).docx</vt:lpwstr>
  </property>
</Properties>
</file>