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01BF" w:rsidRPr="0070707F" w:rsidRDefault="00355661" w:rsidP="0070707F">
      <w:pPr>
        <w:jc w:val="right"/>
        <w:rPr>
          <w:b/>
          <w:sz w:val="56"/>
          <w:szCs w:val="56"/>
        </w:rPr>
      </w:pPr>
      <w:bookmarkStart w:id="0" w:name="_Toc329070112"/>
      <w:bookmarkStart w:id="1" w:name="_Toc329070774"/>
      <w:bookmarkStart w:id="2" w:name="_Toc329264222"/>
      <w:bookmarkStart w:id="3" w:name="_Toc330462886"/>
      <w:bookmarkStart w:id="4" w:name="_Toc330463132"/>
      <w:bookmarkStart w:id="5" w:name="_Toc393960254"/>
      <w:bookmarkStart w:id="6" w:name="_Toc393965964"/>
      <w:bookmarkStart w:id="7" w:name="_Toc394051555"/>
      <w:bookmarkStart w:id="8" w:name="_Toc398563230"/>
      <w:bookmarkStart w:id="9" w:name="_Toc329009336"/>
      <w:bookmarkStart w:id="10" w:name="_Toc329070114"/>
      <w:bookmarkStart w:id="11" w:name="_Toc329070776"/>
      <w:bookmarkStart w:id="12" w:name="_Toc330462888"/>
      <w:bookmarkStart w:id="13" w:name="_Toc330463134"/>
      <w:bookmarkStart w:id="14" w:name="_Toc357500205"/>
      <w:bookmarkStart w:id="15" w:name="_Toc357502520"/>
      <w:bookmarkStart w:id="16" w:name="_Toc387240622"/>
      <w:bookmarkStart w:id="17" w:name="_Toc320114395"/>
      <w:bookmarkStart w:id="18" w:name="_Toc330462891"/>
      <w:bookmarkStart w:id="19" w:name="_Toc330463137"/>
      <w:bookmarkStart w:id="20" w:name="_Toc333416458"/>
      <w:bookmarkStart w:id="21" w:name="_GoBack"/>
      <w:bookmarkEnd w:id="21"/>
      <w:r w:rsidRPr="0070707F">
        <w:rPr>
          <w:b/>
          <w:sz w:val="56"/>
          <w:szCs w:val="56"/>
        </w:rPr>
        <w:t xml:space="preserve">ACCC </w:t>
      </w:r>
      <w:r w:rsidR="00940D37">
        <w:rPr>
          <w:b/>
          <w:sz w:val="56"/>
          <w:szCs w:val="56"/>
        </w:rPr>
        <w:t xml:space="preserve">Draft </w:t>
      </w:r>
      <w:r w:rsidR="0015715C" w:rsidRPr="0070707F">
        <w:rPr>
          <w:b/>
          <w:sz w:val="56"/>
          <w:szCs w:val="56"/>
        </w:rPr>
        <w:t>Determination</w:t>
      </w:r>
      <w:bookmarkEnd w:id="0"/>
      <w:bookmarkEnd w:id="1"/>
      <w:bookmarkEnd w:id="2"/>
      <w:bookmarkEnd w:id="3"/>
      <w:bookmarkEnd w:id="4"/>
      <w:bookmarkEnd w:id="5"/>
      <w:bookmarkEnd w:id="6"/>
      <w:bookmarkEnd w:id="7"/>
      <w:bookmarkEnd w:id="8"/>
      <w:r w:rsidR="00325FD1">
        <w:rPr>
          <w:b/>
          <w:sz w:val="56"/>
          <w:szCs w:val="56"/>
        </w:rPr>
        <w:t>s</w:t>
      </w:r>
    </w:p>
    <w:p w:rsidR="001C36EA" w:rsidRDefault="008F31D5" w:rsidP="001C36EA">
      <w:pPr>
        <w:spacing w:before="0"/>
        <w:jc w:val="right"/>
        <w:rPr>
          <w:rFonts w:eastAsia="Times New Roman" w:cs="Times New Roman"/>
          <w:sz w:val="36"/>
          <w:szCs w:val="24"/>
          <w:lang w:val="en-US"/>
        </w:rPr>
      </w:pPr>
      <w:bookmarkStart w:id="22" w:name="_Toc330462887"/>
      <w:bookmarkStart w:id="23" w:name="_Toc330463133"/>
      <w:bookmarkStart w:id="24" w:name="_Toc329070113"/>
      <w:bookmarkStart w:id="25" w:name="_Toc329070775"/>
      <w:bookmarkStart w:id="26" w:name="_Toc329264223"/>
      <w:r>
        <w:rPr>
          <w:rFonts w:eastAsia="Times New Roman" w:cs="Times New Roman"/>
          <w:sz w:val="36"/>
          <w:szCs w:val="24"/>
          <w:lang w:val="en-US"/>
        </w:rPr>
        <w:t>Exemption</w:t>
      </w:r>
      <w:r w:rsidR="003E2C60">
        <w:rPr>
          <w:rFonts w:eastAsia="Times New Roman" w:cs="Times New Roman"/>
          <w:sz w:val="36"/>
          <w:szCs w:val="24"/>
          <w:lang w:val="en-US"/>
        </w:rPr>
        <w:t>s</w:t>
      </w:r>
      <w:r>
        <w:rPr>
          <w:rFonts w:eastAsia="Times New Roman" w:cs="Times New Roman"/>
          <w:sz w:val="36"/>
          <w:szCs w:val="24"/>
          <w:lang w:val="en-US"/>
        </w:rPr>
        <w:t xml:space="preserve"> </w:t>
      </w:r>
      <w:r w:rsidR="003701BF" w:rsidRPr="003701BF">
        <w:rPr>
          <w:rFonts w:eastAsia="Times New Roman" w:cs="Times New Roman"/>
          <w:sz w:val="36"/>
          <w:szCs w:val="24"/>
          <w:lang w:val="en-US"/>
        </w:rPr>
        <w:t>in respect of</w:t>
      </w:r>
    </w:p>
    <w:p w:rsidR="008811FA" w:rsidRDefault="003701BF" w:rsidP="001C36EA">
      <w:pPr>
        <w:spacing w:before="0"/>
        <w:jc w:val="right"/>
        <w:rPr>
          <w:rFonts w:eastAsia="Times New Roman" w:cs="Times New Roman"/>
          <w:sz w:val="36"/>
          <w:szCs w:val="24"/>
          <w:lang w:val="en-US"/>
        </w:rPr>
      </w:pPr>
      <w:r w:rsidRPr="003701BF">
        <w:rPr>
          <w:rFonts w:eastAsia="Times New Roman" w:cs="Times New Roman"/>
          <w:sz w:val="36"/>
          <w:szCs w:val="24"/>
          <w:lang w:val="en-US"/>
        </w:rPr>
        <w:br/>
      </w:r>
      <w:r w:rsidR="00FC04E4">
        <w:rPr>
          <w:rFonts w:eastAsia="Times New Roman" w:cs="Times New Roman"/>
          <w:sz w:val="36"/>
          <w:szCs w:val="24"/>
          <w:lang w:val="en-US"/>
        </w:rPr>
        <w:t>Emerald</w:t>
      </w:r>
      <w:r w:rsidR="00325FD1">
        <w:rPr>
          <w:rFonts w:eastAsia="Times New Roman" w:cs="Times New Roman"/>
          <w:sz w:val="36"/>
          <w:szCs w:val="24"/>
          <w:lang w:val="en-US"/>
        </w:rPr>
        <w:t>’s</w:t>
      </w:r>
      <w:r w:rsidR="00FC04E4">
        <w:rPr>
          <w:rFonts w:eastAsia="Times New Roman" w:cs="Times New Roman"/>
          <w:sz w:val="36"/>
          <w:szCs w:val="24"/>
          <w:lang w:val="en-US"/>
        </w:rPr>
        <w:t xml:space="preserve"> </w:t>
      </w:r>
      <w:r w:rsidR="00325FD1">
        <w:rPr>
          <w:rFonts w:eastAsia="Times New Roman" w:cs="Times New Roman"/>
          <w:sz w:val="36"/>
          <w:szCs w:val="24"/>
          <w:lang w:val="en-US"/>
        </w:rPr>
        <w:t>Melbourne Port Terminal Facility</w:t>
      </w:r>
    </w:p>
    <w:p w:rsidR="00325FD1" w:rsidRDefault="00325FD1" w:rsidP="001C36EA">
      <w:pPr>
        <w:spacing w:before="0"/>
        <w:jc w:val="right"/>
        <w:rPr>
          <w:rFonts w:eastAsia="Times New Roman" w:cs="Times New Roman"/>
          <w:sz w:val="36"/>
          <w:szCs w:val="24"/>
          <w:lang w:val="en-US"/>
        </w:rPr>
      </w:pPr>
      <w:r>
        <w:rPr>
          <w:rFonts w:eastAsia="Times New Roman" w:cs="Times New Roman"/>
          <w:sz w:val="36"/>
          <w:szCs w:val="24"/>
          <w:lang w:val="en-US"/>
        </w:rPr>
        <w:t>GrainCorp’s Geelong Port Terminal Facility</w:t>
      </w:r>
    </w:p>
    <w:p w:rsidR="001C36EA" w:rsidRPr="003701BF" w:rsidRDefault="00325FD1" w:rsidP="001C36EA">
      <w:pPr>
        <w:spacing w:before="0"/>
        <w:jc w:val="right"/>
        <w:rPr>
          <w:rFonts w:eastAsia="Times New Roman" w:cs="Times New Roman"/>
          <w:sz w:val="36"/>
          <w:szCs w:val="24"/>
          <w:lang w:val="en-US"/>
        </w:rPr>
      </w:pPr>
      <w:r>
        <w:rPr>
          <w:rFonts w:eastAsia="Times New Roman" w:cs="Times New Roman"/>
          <w:sz w:val="36"/>
          <w:szCs w:val="24"/>
          <w:lang w:val="en-US"/>
        </w:rPr>
        <w:t>GrainCorp’s Portland Port Terminal</w:t>
      </w:r>
      <w:r w:rsidR="001C36EA" w:rsidRPr="001C36EA">
        <w:rPr>
          <w:rFonts w:eastAsia="Times New Roman" w:cs="Times New Roman"/>
          <w:sz w:val="36"/>
          <w:szCs w:val="24"/>
          <w:lang w:val="en-US"/>
        </w:rPr>
        <w:t xml:space="preserve"> </w:t>
      </w:r>
      <w:r>
        <w:rPr>
          <w:rFonts w:eastAsia="Times New Roman" w:cs="Times New Roman"/>
          <w:sz w:val="36"/>
          <w:szCs w:val="24"/>
          <w:lang w:val="en-US"/>
        </w:rPr>
        <w:t>Facility</w:t>
      </w:r>
    </w:p>
    <w:p w:rsidR="003701BF" w:rsidRDefault="003701BF" w:rsidP="001C36EA">
      <w:pPr>
        <w:spacing w:before="0"/>
        <w:jc w:val="right"/>
        <w:rPr>
          <w:rFonts w:eastAsia="Times New Roman" w:cs="Times New Roman"/>
          <w:sz w:val="24"/>
          <w:szCs w:val="28"/>
          <w:lang w:val="en-US"/>
        </w:rPr>
      </w:pPr>
      <w:r w:rsidRPr="003701BF">
        <w:rPr>
          <w:rFonts w:eastAsia="Times New Roman" w:cs="Times New Roman"/>
          <w:sz w:val="36"/>
          <w:szCs w:val="24"/>
          <w:lang w:val="en-US"/>
        </w:rPr>
        <w:br/>
        <w:t xml:space="preserve">Date: </w:t>
      </w:r>
      <w:r w:rsidR="00292FC5">
        <w:rPr>
          <w:rFonts w:eastAsia="Times New Roman" w:cs="Times New Roman"/>
          <w:sz w:val="36"/>
          <w:szCs w:val="24"/>
          <w:lang w:val="en-US"/>
        </w:rPr>
        <w:t>10</w:t>
      </w:r>
      <w:r w:rsidR="001C36EA" w:rsidRPr="00F2549B">
        <w:rPr>
          <w:rFonts w:eastAsia="Times New Roman" w:cs="Times New Roman"/>
          <w:sz w:val="36"/>
          <w:szCs w:val="24"/>
          <w:lang w:val="en-US"/>
        </w:rPr>
        <w:t xml:space="preserve"> </w:t>
      </w:r>
      <w:r w:rsidR="0046101A">
        <w:rPr>
          <w:rFonts w:eastAsia="Times New Roman" w:cs="Times New Roman"/>
          <w:sz w:val="36"/>
          <w:szCs w:val="24"/>
          <w:lang w:val="en-US"/>
        </w:rPr>
        <w:t>April</w:t>
      </w:r>
      <w:r w:rsidR="00325FD1">
        <w:rPr>
          <w:rFonts w:eastAsia="Times New Roman" w:cs="Times New Roman"/>
          <w:sz w:val="36"/>
          <w:szCs w:val="24"/>
          <w:lang w:val="en-US"/>
        </w:rPr>
        <w:t xml:space="preserve"> </w:t>
      </w:r>
      <w:r w:rsidR="001C36EA">
        <w:rPr>
          <w:rFonts w:eastAsia="Times New Roman" w:cs="Times New Roman"/>
          <w:sz w:val="36"/>
          <w:szCs w:val="24"/>
          <w:lang w:val="en-US"/>
        </w:rPr>
        <w:t>201</w:t>
      </w:r>
      <w:r w:rsidR="00325FD1">
        <w:rPr>
          <w:rFonts w:eastAsia="Times New Roman" w:cs="Times New Roman"/>
          <w:sz w:val="36"/>
          <w:szCs w:val="24"/>
          <w:lang w:val="en-US"/>
        </w:rPr>
        <w:t>5</w:t>
      </w:r>
      <w:r w:rsidRPr="003701BF">
        <w:rPr>
          <w:rFonts w:eastAsia="Times New Roman" w:cs="Times New Roman"/>
          <w:sz w:val="36"/>
          <w:szCs w:val="24"/>
          <w:lang w:val="en-US"/>
        </w:rPr>
        <w:br/>
      </w:r>
      <w:bookmarkEnd w:id="22"/>
      <w:bookmarkEnd w:id="23"/>
    </w:p>
    <w:p w:rsidR="007B00A1" w:rsidRDefault="007B00A1" w:rsidP="007B00A1"/>
    <w:p w:rsidR="00200CD6" w:rsidRDefault="00200CD6" w:rsidP="007B00A1"/>
    <w:p w:rsidR="00200CD6" w:rsidRDefault="00200CD6" w:rsidP="007B00A1"/>
    <w:p w:rsidR="00200CD6" w:rsidRDefault="00200CD6" w:rsidP="007B00A1"/>
    <w:p w:rsidR="007B00A1" w:rsidRDefault="007B00A1" w:rsidP="007B00A1">
      <w:pPr>
        <w:pStyle w:val="Copyrighttext"/>
        <w:ind w:left="0" w:firstLine="720"/>
      </w:pPr>
    </w:p>
    <w:p w:rsidR="00325FD1" w:rsidRDefault="00325FD1" w:rsidP="007B00A1">
      <w:pPr>
        <w:pStyle w:val="Copyrighttext"/>
        <w:ind w:left="0" w:firstLine="720"/>
      </w:pPr>
    </w:p>
    <w:p w:rsidR="007B00A1" w:rsidRDefault="007B00A1" w:rsidP="007B00A1">
      <w:pPr>
        <w:pStyle w:val="Copyrighttext"/>
        <w:ind w:left="0" w:firstLine="720"/>
      </w:pPr>
    </w:p>
    <w:p w:rsidR="007B00A1" w:rsidRDefault="007B00A1" w:rsidP="007B00A1">
      <w:pPr>
        <w:pStyle w:val="Copyrighttext"/>
        <w:ind w:left="0" w:firstLine="720"/>
      </w:pPr>
    </w:p>
    <w:p w:rsidR="007B00A1" w:rsidRDefault="007B00A1" w:rsidP="007B00A1">
      <w:pPr>
        <w:pStyle w:val="Copyrighttext"/>
        <w:ind w:left="0" w:firstLine="720"/>
      </w:pPr>
    </w:p>
    <w:p w:rsidR="00325FD1" w:rsidRDefault="00325FD1" w:rsidP="007B00A1">
      <w:pPr>
        <w:pStyle w:val="Copyrighttext"/>
        <w:ind w:left="0" w:firstLine="720"/>
      </w:pPr>
    </w:p>
    <w:p w:rsidR="00325FD1" w:rsidRDefault="00325FD1" w:rsidP="007B00A1">
      <w:pPr>
        <w:pStyle w:val="Copyrighttext"/>
        <w:ind w:left="0" w:firstLine="720"/>
      </w:pPr>
    </w:p>
    <w:p w:rsidR="00325FD1" w:rsidRDefault="00325FD1" w:rsidP="007B00A1">
      <w:pPr>
        <w:pStyle w:val="Copyrighttext"/>
        <w:ind w:left="0" w:firstLine="720"/>
      </w:pPr>
    </w:p>
    <w:p w:rsidR="007B00A1" w:rsidRDefault="007B00A1" w:rsidP="007B00A1">
      <w:pPr>
        <w:pStyle w:val="Copyrighttext"/>
        <w:ind w:left="0" w:firstLine="720"/>
      </w:pPr>
    </w:p>
    <w:p w:rsidR="00CF01BE" w:rsidRDefault="00CF01BE" w:rsidP="00CF01BE">
      <w:pPr>
        <w:pStyle w:val="ACCCcopyrighttext"/>
      </w:pPr>
    </w:p>
    <w:p w:rsidR="00CF01BE" w:rsidRDefault="00CF01BE" w:rsidP="00CF01BE">
      <w:pPr>
        <w:pStyle w:val="ACCCcopyrighttext"/>
      </w:pPr>
      <w:r w:rsidRPr="00FC04E4">
        <w:rPr>
          <w:rFonts w:cs="Arial"/>
          <w:noProof/>
          <w:color w:val="0000FF"/>
          <w:lang w:eastAsia="en-AU"/>
        </w:rPr>
        <w:drawing>
          <wp:inline distT="0" distB="0" distL="0" distR="0" wp14:anchorId="1846B367" wp14:editId="6B5D3A3A">
            <wp:extent cx="1181100" cy="9144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1181100" cy="914400"/>
                    </a:xfrm>
                    <a:prstGeom prst="rect">
                      <a:avLst/>
                    </a:prstGeom>
                    <a:noFill/>
                    <a:ln w="9525">
                      <a:noFill/>
                      <a:miter lim="800000"/>
                      <a:headEnd/>
                      <a:tailEnd/>
                    </a:ln>
                  </pic:spPr>
                </pic:pic>
              </a:graphicData>
            </a:graphic>
          </wp:inline>
        </w:drawing>
      </w:r>
    </w:p>
    <w:p w:rsidR="00CF01BE" w:rsidRPr="0070707F" w:rsidRDefault="00CF01BE" w:rsidP="0070707F">
      <w:pPr>
        <w:pStyle w:val="ACCCcopyrighttext"/>
      </w:pPr>
      <w:r w:rsidRPr="0070707F">
        <w:t>Australian Competition and Consumer Commission</w:t>
      </w:r>
      <w:r w:rsidR="003F6AB6">
        <w:br/>
      </w:r>
      <w:r w:rsidRPr="0070707F">
        <w:t>23 Marcus Clarke Street, Canberra, Australian Capital Territory, 2601</w:t>
      </w:r>
    </w:p>
    <w:p w:rsidR="00CF01BE" w:rsidRPr="0070707F" w:rsidRDefault="00CF01BE" w:rsidP="0070707F">
      <w:pPr>
        <w:pStyle w:val="ACCCcopyrighttext"/>
      </w:pPr>
      <w:r w:rsidRPr="0070707F">
        <w:t>© Commonwealth of Australia 2014</w:t>
      </w:r>
    </w:p>
    <w:p w:rsidR="007B00A1" w:rsidRPr="00325FD1" w:rsidRDefault="00CF01BE" w:rsidP="00325FD1">
      <w:pPr>
        <w:pStyle w:val="ACCCcopyrighttext"/>
      </w:pPr>
      <w:r w:rsidRPr="0070707F">
        <w:t>This work is copyright. Apart from any use permitted by the Copyright Act 1968, no part may be reproduced without prior written permission from the Commonwealth available through the Australian Competition and Consumer Commission. Requests and inquiries concerning reproduction and rights should be addressed to the Director Publishing, Australian Competition and Consumer Commission, GPO Box 3131, Canberra ACT 2601.</w:t>
      </w:r>
    </w:p>
    <w:bookmarkEnd w:id="24"/>
    <w:bookmarkEnd w:id="25"/>
    <w:bookmarkEnd w:id="26"/>
    <w:p w:rsidR="003701BF" w:rsidRPr="003701BF" w:rsidRDefault="003701BF" w:rsidP="003701BF">
      <w:pPr>
        <w:keepNext/>
        <w:tabs>
          <w:tab w:val="left" w:pos="720"/>
        </w:tabs>
        <w:spacing w:before="0"/>
        <w:ind w:left="720" w:hanging="720"/>
        <w:outlineLvl w:val="0"/>
        <w:rPr>
          <w:rFonts w:eastAsia="Times New Roman" w:cs="Times New Roman"/>
          <w:b/>
          <w:kern w:val="28"/>
          <w:sz w:val="34"/>
          <w:szCs w:val="34"/>
          <w:lang w:val="en-US" w:eastAsia="en-AU"/>
        </w:rPr>
        <w:sectPr w:rsidR="003701BF" w:rsidRPr="003701BF" w:rsidSect="005949F4">
          <w:headerReference w:type="even" r:id="rId9"/>
          <w:headerReference w:type="default" r:id="rId10"/>
          <w:footerReference w:type="even" r:id="rId11"/>
          <w:footerReference w:type="default" r:id="rId12"/>
          <w:headerReference w:type="first" r:id="rId13"/>
          <w:footerReference w:type="first" r:id="rId14"/>
          <w:pgSz w:w="11920" w:h="16840"/>
          <w:pgMar w:top="1559" w:right="1678" w:bottom="278" w:left="1678" w:header="720" w:footer="720" w:gutter="0"/>
          <w:cols w:space="1638"/>
          <w:noEndnote/>
          <w:titlePg/>
          <w:docGrid w:linePitch="299"/>
        </w:sectPr>
      </w:pPr>
    </w:p>
    <w:p w:rsidR="001A6FD2" w:rsidRPr="00506181" w:rsidRDefault="001A6FD2" w:rsidP="00506181">
      <w:pPr>
        <w:rPr>
          <w:rFonts w:ascii="Lucida Fax" w:hAnsi="Lucida Fax"/>
          <w:sz w:val="48"/>
          <w:szCs w:val="48"/>
        </w:rPr>
      </w:pPr>
      <w:bookmarkStart w:id="27" w:name="_Toc393960255"/>
      <w:bookmarkStart w:id="28" w:name="_Toc393965965"/>
      <w:r w:rsidRPr="00506181">
        <w:rPr>
          <w:rFonts w:ascii="Lucida Fax" w:hAnsi="Lucida Fax"/>
          <w:sz w:val="48"/>
          <w:szCs w:val="48"/>
        </w:rPr>
        <w:lastRenderedPageBreak/>
        <w:t>Summary</w:t>
      </w:r>
      <w:bookmarkEnd w:id="27"/>
      <w:bookmarkEnd w:id="28"/>
    </w:p>
    <w:p w:rsidR="00157BBE" w:rsidRPr="00EC0717" w:rsidRDefault="009E5092" w:rsidP="00E35F06">
      <w:r w:rsidRPr="00EC0717">
        <w:t>Under</w:t>
      </w:r>
      <w:r w:rsidR="009252D8" w:rsidRPr="00EC0717">
        <w:t xml:space="preserve"> the </w:t>
      </w:r>
      <w:r w:rsidR="0001361F" w:rsidRPr="00EC0717">
        <w:t>Port Terminal Access (Bulk Wheat) Code of Conduct</w:t>
      </w:r>
      <w:r w:rsidR="009252D8" w:rsidRPr="00EC0717">
        <w:t xml:space="preserve"> (the Code), t</w:t>
      </w:r>
      <w:r w:rsidR="00C854F3" w:rsidRPr="00EC0717">
        <w:t xml:space="preserve">he </w:t>
      </w:r>
      <w:r w:rsidR="003701BF" w:rsidRPr="00EC0717">
        <w:t xml:space="preserve">ACCC has </w:t>
      </w:r>
      <w:r w:rsidR="008811FA" w:rsidRPr="00EC0717">
        <w:t>made draft determination</w:t>
      </w:r>
      <w:r w:rsidR="00251E7E" w:rsidRPr="00EC0717">
        <w:t>s</w:t>
      </w:r>
      <w:r w:rsidR="008811FA" w:rsidRPr="00EC0717">
        <w:t xml:space="preserve"> </w:t>
      </w:r>
      <w:r w:rsidR="002844EF" w:rsidRPr="00EC0717">
        <w:t>that</w:t>
      </w:r>
      <w:r w:rsidR="003701BF" w:rsidRPr="00EC0717">
        <w:t xml:space="preserve"> </w:t>
      </w:r>
      <w:r w:rsidR="00E30291" w:rsidRPr="00E30291">
        <w:t xml:space="preserve">Emerald Logistics Pty Ltd </w:t>
      </w:r>
      <w:r w:rsidR="00E30291">
        <w:t>(</w:t>
      </w:r>
      <w:r w:rsidR="007D43B5" w:rsidRPr="00EC0717">
        <w:t>Emerald</w:t>
      </w:r>
      <w:r w:rsidR="00E30291">
        <w:t>)</w:t>
      </w:r>
      <w:r w:rsidR="007D43B5" w:rsidRPr="00EC0717">
        <w:t xml:space="preserve"> and </w:t>
      </w:r>
      <w:r w:rsidR="00E30291" w:rsidRPr="00E30291">
        <w:t>GrainCorp Operations Limited</w:t>
      </w:r>
      <w:r w:rsidR="00E30291">
        <w:t xml:space="preserve"> (</w:t>
      </w:r>
      <w:r w:rsidR="007D43B5" w:rsidRPr="00EC0717">
        <w:t>GrainCorp</w:t>
      </w:r>
      <w:r w:rsidR="00E30291">
        <w:t>)</w:t>
      </w:r>
      <w:r w:rsidR="007D43B5" w:rsidRPr="00EC0717">
        <w:t xml:space="preserve"> </w:t>
      </w:r>
      <w:r w:rsidR="008811FA" w:rsidRPr="00EC0717">
        <w:t xml:space="preserve">are </w:t>
      </w:r>
      <w:r w:rsidR="00407F3F" w:rsidRPr="00EC0717">
        <w:t>exempt service provider</w:t>
      </w:r>
      <w:r w:rsidR="008811FA" w:rsidRPr="00EC0717">
        <w:t>s</w:t>
      </w:r>
      <w:r w:rsidR="00407F3F" w:rsidRPr="00EC0717">
        <w:t xml:space="preserve"> of port terminal services provided by means of </w:t>
      </w:r>
      <w:r w:rsidR="008811FA" w:rsidRPr="00EC0717">
        <w:t xml:space="preserve">their </w:t>
      </w:r>
      <w:r w:rsidR="007D43B5" w:rsidRPr="00EC0717">
        <w:t xml:space="preserve">respective </w:t>
      </w:r>
      <w:r w:rsidR="00FC0690" w:rsidRPr="00EC0717">
        <w:t xml:space="preserve">bulk wheat </w:t>
      </w:r>
      <w:r w:rsidR="007D43B5" w:rsidRPr="00EC0717">
        <w:t>terminals</w:t>
      </w:r>
      <w:r w:rsidR="008811FA" w:rsidRPr="00EC0717">
        <w:t xml:space="preserve"> at </w:t>
      </w:r>
      <w:r w:rsidR="007D43B5" w:rsidRPr="00EC0717">
        <w:t>Melbourne and Geelong.</w:t>
      </w:r>
    </w:p>
    <w:p w:rsidR="00251E7E" w:rsidRPr="00EC0717" w:rsidRDefault="008D7E66" w:rsidP="00D12FD7">
      <w:r w:rsidRPr="00EC0717">
        <w:t>If</w:t>
      </w:r>
      <w:r w:rsidR="009C1B45">
        <w:t xml:space="preserve"> the ACCC makes a final determination to grant such exemptions</w:t>
      </w:r>
      <w:r w:rsidR="00030CBA">
        <w:t>,</w:t>
      </w:r>
      <w:r w:rsidR="009C1B45">
        <w:t xml:space="preserve"> </w:t>
      </w:r>
      <w:r w:rsidR="008811FA" w:rsidRPr="00EC0717">
        <w:t xml:space="preserve">these port operators </w:t>
      </w:r>
      <w:r w:rsidR="009252D8" w:rsidRPr="00EC0717">
        <w:t>will be subject to a lower level of regulation</w:t>
      </w:r>
      <w:r w:rsidR="006F1BD4">
        <w:t>,</w:t>
      </w:r>
      <w:r w:rsidR="009252D8" w:rsidRPr="00EC0717">
        <w:t xml:space="preserve"> </w:t>
      </w:r>
      <w:r w:rsidR="002E3E86">
        <w:t>as p</w:t>
      </w:r>
      <w:r w:rsidR="007F2DD2">
        <w:t xml:space="preserve">arts 3 to 6 of the Code will not apply in relation to the port terminal services provided by means of the </w:t>
      </w:r>
      <w:r w:rsidR="0022630B">
        <w:t>Melbourne and Geelong</w:t>
      </w:r>
      <w:r w:rsidR="007F2DD2">
        <w:t xml:space="preserve"> port terminal facilities</w:t>
      </w:r>
      <w:r w:rsidR="009252D8" w:rsidRPr="00EC0717">
        <w:t xml:space="preserve">. </w:t>
      </w:r>
    </w:p>
    <w:p w:rsidR="008700BD" w:rsidRPr="00EC0717" w:rsidRDefault="008700BD" w:rsidP="00D12FD7">
      <w:r w:rsidRPr="00EC0717">
        <w:t xml:space="preserve">The ACCC </w:t>
      </w:r>
      <w:r w:rsidR="003E2C60" w:rsidRPr="00EC0717">
        <w:t xml:space="preserve">has </w:t>
      </w:r>
      <w:r w:rsidRPr="00EC0717">
        <w:t xml:space="preserve">also made a draft determination that GrainCorp should not be an exempt </w:t>
      </w:r>
      <w:r w:rsidR="002E3E86">
        <w:t xml:space="preserve">service provider in relation to the </w:t>
      </w:r>
      <w:r w:rsidRPr="00EC0717">
        <w:t xml:space="preserve">port terminal </w:t>
      </w:r>
      <w:r w:rsidR="002E3E86">
        <w:t xml:space="preserve">services offered at its Portland port terminal </w:t>
      </w:r>
      <w:r w:rsidRPr="00EC0717">
        <w:t xml:space="preserve">at this </w:t>
      </w:r>
      <w:r w:rsidR="003E2C60" w:rsidRPr="00EC0717">
        <w:t>time</w:t>
      </w:r>
      <w:r w:rsidRPr="00EC0717">
        <w:t>.</w:t>
      </w:r>
    </w:p>
    <w:p w:rsidR="0033663C" w:rsidRPr="00EC0717" w:rsidRDefault="0015715C" w:rsidP="00D12FD7">
      <w:r w:rsidRPr="00EC0717">
        <w:t xml:space="preserve">In </w:t>
      </w:r>
      <w:r w:rsidR="00251E7E" w:rsidRPr="00EC0717">
        <w:t xml:space="preserve">making these </w:t>
      </w:r>
      <w:r w:rsidR="00AB5656">
        <w:t xml:space="preserve">three </w:t>
      </w:r>
      <w:r w:rsidR="00251E7E" w:rsidRPr="00EC0717">
        <w:t>draft determinations</w:t>
      </w:r>
      <w:r w:rsidR="00C854F3" w:rsidRPr="00EC0717">
        <w:t xml:space="preserve">, </w:t>
      </w:r>
      <w:r w:rsidRPr="00EC0717">
        <w:t xml:space="preserve">the ACCC has had regard to the matters listed at subclause </w:t>
      </w:r>
      <w:r w:rsidR="00C854F3" w:rsidRPr="00EC0717">
        <w:t xml:space="preserve">5(3) </w:t>
      </w:r>
      <w:r w:rsidRPr="00EC0717">
        <w:t xml:space="preserve">of the Code. </w:t>
      </w:r>
      <w:r w:rsidR="003E2C60" w:rsidRPr="00EC0717">
        <w:t>T</w:t>
      </w:r>
      <w:r w:rsidR="00FC0690" w:rsidRPr="00EC0717">
        <w:t xml:space="preserve">he ACCC has </w:t>
      </w:r>
      <w:r w:rsidR="003E2C60">
        <w:t>formed the preliminary view that</w:t>
      </w:r>
      <w:r w:rsidR="0033663C" w:rsidRPr="00EC0717">
        <w:t>:</w:t>
      </w:r>
    </w:p>
    <w:p w:rsidR="00933F42" w:rsidRDefault="00933F42" w:rsidP="00933F42">
      <w:pPr>
        <w:pStyle w:val="Normalparagraph"/>
        <w:numPr>
          <w:ilvl w:val="0"/>
          <w:numId w:val="34"/>
        </w:numPr>
      </w:pPr>
      <w:r>
        <w:t>Emerald’s Melbourne Port Terminal</w:t>
      </w:r>
      <w:r w:rsidR="00F54E6E">
        <w:t xml:space="preserve"> (MPT)</w:t>
      </w:r>
      <w:r>
        <w:t xml:space="preserve"> faces significant competition from GrainCorp’s Geelong port terminal as well as from </w:t>
      </w:r>
      <w:r w:rsidR="0062600E">
        <w:t xml:space="preserve">significant </w:t>
      </w:r>
      <w:r>
        <w:t>container</w:t>
      </w:r>
      <w:r w:rsidR="0062600E">
        <w:t xml:space="preserve">ised grain </w:t>
      </w:r>
      <w:r>
        <w:t>export</w:t>
      </w:r>
      <w:r w:rsidR="0062600E">
        <w:t>s</w:t>
      </w:r>
      <w:r>
        <w:t xml:space="preserve"> </w:t>
      </w:r>
      <w:r w:rsidR="0062600E">
        <w:t>from the Port of Melbourne</w:t>
      </w:r>
      <w:r>
        <w:t>.</w:t>
      </w:r>
    </w:p>
    <w:p w:rsidR="00933F42" w:rsidRDefault="00933F42" w:rsidP="00933F42">
      <w:pPr>
        <w:pStyle w:val="Normalparagraph"/>
        <w:numPr>
          <w:ilvl w:val="0"/>
          <w:numId w:val="34"/>
        </w:numPr>
      </w:pPr>
      <w:r>
        <w:t xml:space="preserve">GrainCorp’s Geelong port terminal faces competition from Emerald’s </w:t>
      </w:r>
      <w:r w:rsidR="006F1BD4">
        <w:t>MPT</w:t>
      </w:r>
      <w:r>
        <w:t xml:space="preserve"> as well as from </w:t>
      </w:r>
      <w:r w:rsidR="0062600E">
        <w:t xml:space="preserve">significant containerised grain exports from the Port of Melbourne </w:t>
      </w:r>
      <w:r>
        <w:t>and</w:t>
      </w:r>
      <w:r w:rsidR="005D35D6">
        <w:t xml:space="preserve">, to a lesser extent, </w:t>
      </w:r>
      <w:r>
        <w:t>the threat of new competing port</w:t>
      </w:r>
      <w:r w:rsidR="005D35D6">
        <w:t xml:space="preserve"> terminals </w:t>
      </w:r>
      <w:r w:rsidR="0062600E">
        <w:t>at the Port of Geelong</w:t>
      </w:r>
      <w:r w:rsidR="00823BCD">
        <w:t>.</w:t>
      </w:r>
    </w:p>
    <w:p w:rsidR="00933F42" w:rsidRDefault="00702C37" w:rsidP="00933F42">
      <w:pPr>
        <w:pStyle w:val="Normalparagraph"/>
        <w:numPr>
          <w:ilvl w:val="0"/>
          <w:numId w:val="34"/>
        </w:numPr>
      </w:pPr>
      <w:r>
        <w:t>I</w:t>
      </w:r>
      <w:r w:rsidR="00933F42">
        <w:t xml:space="preserve">n contrast to </w:t>
      </w:r>
      <w:r w:rsidR="00533B27">
        <w:t xml:space="preserve">MPT and GrainCorp’s </w:t>
      </w:r>
      <w:r w:rsidR="00933F42">
        <w:t xml:space="preserve">Geelong </w:t>
      </w:r>
      <w:r w:rsidR="00533B27">
        <w:t>facility</w:t>
      </w:r>
      <w:r w:rsidR="00933F42">
        <w:t xml:space="preserve">, there does not appear to be a clear competing </w:t>
      </w:r>
      <w:r w:rsidR="00AE0889">
        <w:t xml:space="preserve">port terminal </w:t>
      </w:r>
      <w:r w:rsidR="00933F42">
        <w:t xml:space="preserve">facility which would amount to a </w:t>
      </w:r>
      <w:r w:rsidR="00942633">
        <w:t>significant</w:t>
      </w:r>
      <w:r w:rsidR="00933F42">
        <w:t xml:space="preserve"> competit</w:t>
      </w:r>
      <w:r w:rsidR="00823BCD">
        <w:t xml:space="preserve">ive constraint </w:t>
      </w:r>
      <w:r w:rsidR="006F1BD4">
        <w:t>at</w:t>
      </w:r>
      <w:r w:rsidR="00823BCD">
        <w:t xml:space="preserve"> the </w:t>
      </w:r>
      <w:r w:rsidR="00533B27">
        <w:t xml:space="preserve">Portland port </w:t>
      </w:r>
      <w:r w:rsidR="00823BCD">
        <w:t>terminal.</w:t>
      </w:r>
    </w:p>
    <w:p w:rsidR="006F1BD4" w:rsidRPr="00702C37" w:rsidRDefault="00702C37" w:rsidP="00E35F06">
      <w:r w:rsidRPr="00702C37">
        <w:t xml:space="preserve">These preliminary views are based on the ACCC’s analysis of capacity constraints and usage at the three port terminal facilities and the extent to which each of the port terminals </w:t>
      </w:r>
      <w:r>
        <w:t>compete with each other for bulk wheat in overlapping catchment areas. The ACCC has also considered the extent of any competitive constraint imposed by container exports and domestic demand for wheat</w:t>
      </w:r>
      <w:r w:rsidRPr="00702C37">
        <w:t xml:space="preserve">. </w:t>
      </w:r>
      <w:r w:rsidR="006F1BD4" w:rsidRPr="00702C37">
        <w:t xml:space="preserve"> </w:t>
      </w:r>
    </w:p>
    <w:p w:rsidR="003E2C60" w:rsidRPr="00EC0717" w:rsidRDefault="009B5797" w:rsidP="00E35F06">
      <w:r w:rsidRPr="00EC0717">
        <w:t>The ACCC</w:t>
      </w:r>
      <w:r w:rsidR="00533B27">
        <w:t xml:space="preserve">’s preliminary view is </w:t>
      </w:r>
      <w:r w:rsidRPr="00EC0717">
        <w:t xml:space="preserve">that </w:t>
      </w:r>
      <w:r w:rsidR="002E3E86">
        <w:t xml:space="preserve">exempting </w:t>
      </w:r>
      <w:r w:rsidR="008700BD" w:rsidRPr="00EC0717">
        <w:t xml:space="preserve">Emerald and GrainCorp </w:t>
      </w:r>
      <w:r w:rsidR="002E3E86">
        <w:t xml:space="preserve">from </w:t>
      </w:r>
      <w:r w:rsidR="006F1BD4">
        <w:t xml:space="preserve">parts 3 to 6 of </w:t>
      </w:r>
      <w:r w:rsidR="002E3E86">
        <w:t xml:space="preserve">the Code in relation to port terminal services at </w:t>
      </w:r>
      <w:r w:rsidR="008A1251">
        <w:t>M</w:t>
      </w:r>
      <w:r w:rsidR="00AC141F">
        <w:t>elbourne</w:t>
      </w:r>
      <w:r w:rsidR="008A1251">
        <w:t xml:space="preserve"> </w:t>
      </w:r>
      <w:r w:rsidR="002E3E86">
        <w:t xml:space="preserve">and </w:t>
      </w:r>
      <w:r w:rsidR="008700BD" w:rsidRPr="00EC0717">
        <w:t xml:space="preserve">Geelong </w:t>
      </w:r>
      <w:r w:rsidR="002E3E86">
        <w:t>respectively</w:t>
      </w:r>
      <w:r w:rsidRPr="00EC0717">
        <w:t xml:space="preserve"> </w:t>
      </w:r>
      <w:r w:rsidR="008700BD" w:rsidRPr="00EC0717">
        <w:t xml:space="preserve">provides them with the opportunity to compete with each other on commercial terms, </w:t>
      </w:r>
      <w:r w:rsidRPr="00EC0717">
        <w:t>give</w:t>
      </w:r>
      <w:r w:rsidR="002E3E86">
        <w:t>s</w:t>
      </w:r>
      <w:r w:rsidRPr="00EC0717">
        <w:t xml:space="preserve"> them </w:t>
      </w:r>
      <w:r w:rsidR="001E37BF" w:rsidRPr="00EC0717">
        <w:t>the flexibility to better match competitor services and reduce</w:t>
      </w:r>
      <w:r w:rsidR="002E3E86">
        <w:t>s</w:t>
      </w:r>
      <w:r w:rsidR="001E37BF" w:rsidRPr="00EC0717">
        <w:t xml:space="preserve"> </w:t>
      </w:r>
      <w:r w:rsidRPr="00EC0717">
        <w:t xml:space="preserve">their </w:t>
      </w:r>
      <w:r w:rsidR="001E37BF" w:rsidRPr="00EC0717">
        <w:t xml:space="preserve">regulatory costs. </w:t>
      </w:r>
    </w:p>
    <w:p w:rsidR="003E2C60" w:rsidRPr="00EC0717" w:rsidRDefault="00426152" w:rsidP="00E35F06">
      <w:r>
        <w:t>I</w:t>
      </w:r>
      <w:r w:rsidR="005C4CEC">
        <w:t>f the exemptions are granted</w:t>
      </w:r>
      <w:r>
        <w:t>, the ACCC considers that</w:t>
      </w:r>
      <w:r w:rsidR="005C4CEC">
        <w:t xml:space="preserve"> </w:t>
      </w:r>
      <w:r w:rsidR="003E2C60" w:rsidRPr="00EC0717">
        <w:t xml:space="preserve">it is likely that exporters of bulk wheat will have fair and transparent access to port terminal services at GrainCorp’s Geelong </w:t>
      </w:r>
      <w:r w:rsidR="00AC141F">
        <w:t>port terminal</w:t>
      </w:r>
      <w:r w:rsidR="00AC141F" w:rsidRPr="00EC0717">
        <w:t xml:space="preserve"> </w:t>
      </w:r>
      <w:r w:rsidR="003E2C60" w:rsidRPr="00EC0717">
        <w:t xml:space="preserve">and Emerald’s </w:t>
      </w:r>
      <w:r w:rsidR="00F54E6E">
        <w:t>MPT</w:t>
      </w:r>
      <w:r w:rsidR="003E2C60" w:rsidRPr="00EC0717">
        <w:t xml:space="preserve">. </w:t>
      </w:r>
      <w:r w:rsidR="00B52E73">
        <w:t>C</w:t>
      </w:r>
      <w:r w:rsidR="003E2C60" w:rsidRPr="00EC0717">
        <w:t xml:space="preserve">ompetition between </w:t>
      </w:r>
      <w:r w:rsidR="00F54E6E">
        <w:t>MPT</w:t>
      </w:r>
      <w:r w:rsidR="00F54E6E" w:rsidRPr="00EC0717">
        <w:t xml:space="preserve"> </w:t>
      </w:r>
      <w:r w:rsidR="003E2C60" w:rsidRPr="00EC0717">
        <w:t xml:space="preserve">and </w:t>
      </w:r>
      <w:r w:rsidR="00F54E6E">
        <w:t xml:space="preserve">the </w:t>
      </w:r>
      <w:r w:rsidR="003E2C60" w:rsidRPr="00EC0717">
        <w:t xml:space="preserve">Geelong terminal will also likely drive the more efficient operation and use of both facilities in the absence of </w:t>
      </w:r>
      <w:r w:rsidR="006F1BD4">
        <w:t>full</w:t>
      </w:r>
      <w:r w:rsidR="006F1BD4" w:rsidRPr="00EC0717">
        <w:t xml:space="preserve"> </w:t>
      </w:r>
      <w:r w:rsidR="003E2C60" w:rsidRPr="00EC0717">
        <w:t>regulation under the Code.</w:t>
      </w:r>
    </w:p>
    <w:p w:rsidR="00325FD1" w:rsidRDefault="0015715C" w:rsidP="00E35F06">
      <w:r w:rsidRPr="00EC0717">
        <w:t xml:space="preserve">The ACCC’s full </w:t>
      </w:r>
      <w:r w:rsidR="00275533" w:rsidRPr="00EC0717">
        <w:t xml:space="preserve">assessment </w:t>
      </w:r>
      <w:r w:rsidR="00EB791D" w:rsidRPr="00EC0717">
        <w:t>of the matters at subclause 5(3)</w:t>
      </w:r>
      <w:r w:rsidRPr="00EC0717">
        <w:t xml:space="preserve"> of the Code is set out </w:t>
      </w:r>
      <w:r w:rsidR="008700BD" w:rsidRPr="00EC0717">
        <w:t>in chapters</w:t>
      </w:r>
      <w:r w:rsidRPr="00EC0717">
        <w:t xml:space="preserve"> </w:t>
      </w:r>
      <w:r w:rsidR="008700BD" w:rsidRPr="00EC0717">
        <w:t>4 to 6</w:t>
      </w:r>
      <w:r w:rsidRPr="00EC0717">
        <w:t xml:space="preserve"> of this document. </w:t>
      </w:r>
    </w:p>
    <w:p w:rsidR="005949F4" w:rsidRDefault="00426152" w:rsidP="00F2549B">
      <w:pPr>
        <w:spacing w:before="0" w:after="200"/>
      </w:pPr>
      <w:r w:rsidRPr="00426152">
        <w:t>The ACCC invites public submissions on the draft determinations set out in this document.</w:t>
      </w:r>
      <w:r>
        <w:t xml:space="preserve"> </w:t>
      </w:r>
      <w:r w:rsidRPr="00426152">
        <w:t xml:space="preserve">Submissions must be received before 5:00pm (AEST), </w:t>
      </w:r>
      <w:r w:rsidRPr="00F2549B">
        <w:rPr>
          <w:b/>
        </w:rPr>
        <w:t>24 April 2015</w:t>
      </w:r>
      <w:r w:rsidRPr="00426152">
        <w:t xml:space="preserve">. </w:t>
      </w:r>
      <w:r>
        <w:t>Further details about making a submission can be found in section 1.7 of this document.</w:t>
      </w:r>
      <w:r w:rsidR="005949F4">
        <w:rPr>
          <w:b/>
          <w:bCs/>
        </w:rPr>
        <w:br w:type="page"/>
      </w:r>
    </w:p>
    <w:sdt>
      <w:sdtPr>
        <w:rPr>
          <w:rFonts w:ascii="Arial" w:eastAsiaTheme="minorHAnsi" w:hAnsi="Arial" w:cstheme="minorBidi"/>
          <w:b w:val="0"/>
          <w:bCs w:val="0"/>
          <w:color w:val="auto"/>
          <w:sz w:val="22"/>
          <w:szCs w:val="22"/>
          <w:lang w:val="en-AU" w:eastAsia="en-US"/>
        </w:rPr>
        <w:id w:val="1843206947"/>
        <w:docPartObj>
          <w:docPartGallery w:val="Table of Contents"/>
          <w:docPartUnique/>
        </w:docPartObj>
      </w:sdtPr>
      <w:sdtEndPr>
        <w:rPr>
          <w:noProof/>
        </w:rPr>
      </w:sdtEndPr>
      <w:sdtContent>
        <w:p w:rsidR="002E6359" w:rsidRDefault="002E6359" w:rsidP="002E6359">
          <w:pPr>
            <w:pStyle w:val="TOCHeading"/>
            <w:numPr>
              <w:ilvl w:val="0"/>
              <w:numId w:val="0"/>
            </w:numPr>
            <w:spacing w:before="0" w:after="0" w:line="240" w:lineRule="auto"/>
            <w:ind w:left="431" w:hanging="431"/>
            <w:rPr>
              <w:rFonts w:ascii="Arial" w:eastAsiaTheme="minorHAnsi" w:hAnsi="Arial" w:cstheme="minorBidi"/>
              <w:b w:val="0"/>
              <w:bCs w:val="0"/>
              <w:color w:val="auto"/>
              <w:sz w:val="22"/>
              <w:szCs w:val="22"/>
              <w:lang w:val="en-AU" w:eastAsia="en-US"/>
            </w:rPr>
          </w:pPr>
        </w:p>
        <w:p w:rsidR="005217BA" w:rsidRPr="002E6359" w:rsidRDefault="005217BA" w:rsidP="002E6359">
          <w:pPr>
            <w:pStyle w:val="TOCHeading"/>
            <w:numPr>
              <w:ilvl w:val="0"/>
              <w:numId w:val="0"/>
            </w:numPr>
            <w:spacing w:before="0" w:line="240" w:lineRule="auto"/>
            <w:ind w:left="431" w:hanging="431"/>
            <w:rPr>
              <w:rFonts w:ascii="Lucida Fax" w:hAnsi="Lucida Fax"/>
              <w:b w:val="0"/>
              <w:sz w:val="32"/>
            </w:rPr>
          </w:pPr>
          <w:r w:rsidRPr="002E6359">
            <w:rPr>
              <w:rFonts w:ascii="Lucida Fax" w:hAnsi="Lucida Fax"/>
              <w:b w:val="0"/>
              <w:sz w:val="32"/>
            </w:rPr>
            <w:t>Contents</w:t>
          </w:r>
        </w:p>
        <w:p w:rsidR="00E221E8" w:rsidRPr="00E221E8" w:rsidRDefault="002E6359">
          <w:pPr>
            <w:pStyle w:val="TOC1"/>
            <w:tabs>
              <w:tab w:val="left" w:pos="1276"/>
            </w:tabs>
            <w:rPr>
              <w:rFonts w:asciiTheme="minorHAnsi" w:eastAsiaTheme="minorEastAsia" w:hAnsiTheme="minorHAnsi"/>
              <w:noProof/>
              <w:sz w:val="20"/>
              <w:szCs w:val="20"/>
              <w:lang w:eastAsia="en-AU"/>
            </w:rPr>
          </w:pPr>
          <w:r w:rsidRPr="00E221E8">
            <w:rPr>
              <w:sz w:val="20"/>
              <w:szCs w:val="20"/>
            </w:rPr>
            <w:fldChar w:fldCharType="begin"/>
          </w:r>
          <w:r w:rsidRPr="00E221E8">
            <w:rPr>
              <w:sz w:val="20"/>
              <w:szCs w:val="20"/>
            </w:rPr>
            <w:instrText xml:space="preserve"> TOC \o "1-2" \h \z \u </w:instrText>
          </w:r>
          <w:r w:rsidRPr="00E221E8">
            <w:rPr>
              <w:sz w:val="20"/>
              <w:szCs w:val="20"/>
            </w:rPr>
            <w:fldChar w:fldCharType="separate"/>
          </w:r>
          <w:hyperlink w:anchor="_Toc416360480" w:history="1">
            <w:r w:rsidR="00E221E8" w:rsidRPr="00E221E8">
              <w:rPr>
                <w:rStyle w:val="Hyperlink"/>
                <w:noProof/>
                <w:sz w:val="20"/>
                <w:szCs w:val="20"/>
              </w:rPr>
              <w:t>1</w:t>
            </w:r>
            <w:r w:rsidR="00E221E8" w:rsidRPr="00E221E8">
              <w:rPr>
                <w:rFonts w:asciiTheme="minorHAnsi" w:eastAsiaTheme="minorEastAsia" w:hAnsiTheme="minorHAnsi"/>
                <w:noProof/>
                <w:sz w:val="20"/>
                <w:szCs w:val="20"/>
                <w:lang w:eastAsia="en-AU"/>
              </w:rPr>
              <w:tab/>
            </w:r>
            <w:r w:rsidR="00E221E8" w:rsidRPr="00E221E8">
              <w:rPr>
                <w:rStyle w:val="Hyperlink"/>
                <w:noProof/>
                <w:sz w:val="20"/>
                <w:szCs w:val="20"/>
              </w:rPr>
              <w:t>Introduction</w:t>
            </w:r>
            <w:r w:rsidR="00E221E8" w:rsidRPr="00E221E8">
              <w:rPr>
                <w:noProof/>
                <w:webHidden/>
                <w:sz w:val="20"/>
                <w:szCs w:val="20"/>
              </w:rPr>
              <w:tab/>
            </w:r>
            <w:r w:rsidR="00E221E8" w:rsidRPr="00E221E8">
              <w:rPr>
                <w:noProof/>
                <w:webHidden/>
                <w:sz w:val="20"/>
                <w:szCs w:val="20"/>
              </w:rPr>
              <w:fldChar w:fldCharType="begin"/>
            </w:r>
            <w:r w:rsidR="00E221E8" w:rsidRPr="00E221E8">
              <w:rPr>
                <w:noProof/>
                <w:webHidden/>
                <w:sz w:val="20"/>
                <w:szCs w:val="20"/>
              </w:rPr>
              <w:instrText xml:space="preserve"> PAGEREF _Toc416360480 \h </w:instrText>
            </w:r>
            <w:r w:rsidR="00E221E8" w:rsidRPr="00E221E8">
              <w:rPr>
                <w:noProof/>
                <w:webHidden/>
                <w:sz w:val="20"/>
                <w:szCs w:val="20"/>
              </w:rPr>
            </w:r>
            <w:r w:rsidR="00E221E8" w:rsidRPr="00E221E8">
              <w:rPr>
                <w:noProof/>
                <w:webHidden/>
                <w:sz w:val="20"/>
                <w:szCs w:val="20"/>
              </w:rPr>
              <w:fldChar w:fldCharType="separate"/>
            </w:r>
            <w:r w:rsidR="00E221E8" w:rsidRPr="00E221E8">
              <w:rPr>
                <w:noProof/>
                <w:webHidden/>
                <w:sz w:val="20"/>
                <w:szCs w:val="20"/>
              </w:rPr>
              <w:t>1</w:t>
            </w:r>
            <w:r w:rsidR="00E221E8" w:rsidRPr="00E221E8">
              <w:rPr>
                <w:noProof/>
                <w:webHidden/>
                <w:sz w:val="20"/>
                <w:szCs w:val="20"/>
              </w:rPr>
              <w:fldChar w:fldCharType="end"/>
            </w:r>
          </w:hyperlink>
        </w:p>
        <w:p w:rsidR="00E221E8" w:rsidRPr="00E221E8" w:rsidRDefault="008F4EAC">
          <w:pPr>
            <w:pStyle w:val="TOC2"/>
            <w:tabs>
              <w:tab w:val="left" w:pos="1276"/>
              <w:tab w:val="right" w:leader="dot" w:pos="9016"/>
            </w:tabs>
            <w:rPr>
              <w:rFonts w:asciiTheme="minorHAnsi" w:eastAsiaTheme="minorEastAsia" w:hAnsiTheme="minorHAnsi"/>
              <w:noProof/>
              <w:sz w:val="20"/>
              <w:szCs w:val="20"/>
              <w:lang w:eastAsia="en-AU"/>
            </w:rPr>
          </w:pPr>
          <w:hyperlink w:anchor="_Toc416360481" w:history="1">
            <w:r w:rsidR="00E221E8" w:rsidRPr="00E221E8">
              <w:rPr>
                <w:rStyle w:val="Hyperlink"/>
                <w:noProof/>
                <w:sz w:val="20"/>
                <w:szCs w:val="20"/>
              </w:rPr>
              <w:t>1.1</w:t>
            </w:r>
            <w:r w:rsidR="00E221E8" w:rsidRPr="00E221E8">
              <w:rPr>
                <w:rFonts w:asciiTheme="minorHAnsi" w:eastAsiaTheme="minorEastAsia" w:hAnsiTheme="minorHAnsi"/>
                <w:noProof/>
                <w:sz w:val="20"/>
                <w:szCs w:val="20"/>
                <w:lang w:eastAsia="en-AU"/>
              </w:rPr>
              <w:tab/>
            </w:r>
            <w:r w:rsidR="00E221E8" w:rsidRPr="00E221E8">
              <w:rPr>
                <w:rStyle w:val="Hyperlink"/>
                <w:noProof/>
                <w:sz w:val="20"/>
                <w:szCs w:val="20"/>
              </w:rPr>
              <w:t>The Code</w:t>
            </w:r>
            <w:r w:rsidR="00E221E8" w:rsidRPr="00E221E8">
              <w:rPr>
                <w:noProof/>
                <w:webHidden/>
                <w:sz w:val="20"/>
                <w:szCs w:val="20"/>
              </w:rPr>
              <w:tab/>
            </w:r>
            <w:r w:rsidR="00E221E8" w:rsidRPr="00E221E8">
              <w:rPr>
                <w:noProof/>
                <w:webHidden/>
                <w:sz w:val="20"/>
                <w:szCs w:val="20"/>
              </w:rPr>
              <w:fldChar w:fldCharType="begin"/>
            </w:r>
            <w:r w:rsidR="00E221E8" w:rsidRPr="00E221E8">
              <w:rPr>
                <w:noProof/>
                <w:webHidden/>
                <w:sz w:val="20"/>
                <w:szCs w:val="20"/>
              </w:rPr>
              <w:instrText xml:space="preserve"> PAGEREF _Toc416360481 \h </w:instrText>
            </w:r>
            <w:r w:rsidR="00E221E8" w:rsidRPr="00E221E8">
              <w:rPr>
                <w:noProof/>
                <w:webHidden/>
                <w:sz w:val="20"/>
                <w:szCs w:val="20"/>
              </w:rPr>
            </w:r>
            <w:r w:rsidR="00E221E8" w:rsidRPr="00E221E8">
              <w:rPr>
                <w:noProof/>
                <w:webHidden/>
                <w:sz w:val="20"/>
                <w:szCs w:val="20"/>
              </w:rPr>
              <w:fldChar w:fldCharType="separate"/>
            </w:r>
            <w:r w:rsidR="00E221E8" w:rsidRPr="00E221E8">
              <w:rPr>
                <w:noProof/>
                <w:webHidden/>
                <w:sz w:val="20"/>
                <w:szCs w:val="20"/>
              </w:rPr>
              <w:t>1</w:t>
            </w:r>
            <w:r w:rsidR="00E221E8" w:rsidRPr="00E221E8">
              <w:rPr>
                <w:noProof/>
                <w:webHidden/>
                <w:sz w:val="20"/>
                <w:szCs w:val="20"/>
              </w:rPr>
              <w:fldChar w:fldCharType="end"/>
            </w:r>
          </w:hyperlink>
        </w:p>
        <w:p w:rsidR="00E221E8" w:rsidRPr="00E221E8" w:rsidRDefault="008F4EAC">
          <w:pPr>
            <w:pStyle w:val="TOC2"/>
            <w:tabs>
              <w:tab w:val="left" w:pos="1276"/>
              <w:tab w:val="right" w:leader="dot" w:pos="9016"/>
            </w:tabs>
            <w:rPr>
              <w:rFonts w:asciiTheme="minorHAnsi" w:eastAsiaTheme="minorEastAsia" w:hAnsiTheme="minorHAnsi"/>
              <w:noProof/>
              <w:sz w:val="20"/>
              <w:szCs w:val="20"/>
              <w:lang w:eastAsia="en-AU"/>
            </w:rPr>
          </w:pPr>
          <w:hyperlink w:anchor="_Toc416360482" w:history="1">
            <w:r w:rsidR="00E221E8" w:rsidRPr="00E221E8">
              <w:rPr>
                <w:rStyle w:val="Hyperlink"/>
                <w:noProof/>
                <w:sz w:val="20"/>
                <w:szCs w:val="20"/>
              </w:rPr>
              <w:t>1.2</w:t>
            </w:r>
            <w:r w:rsidR="00E221E8" w:rsidRPr="00E221E8">
              <w:rPr>
                <w:rFonts w:asciiTheme="minorHAnsi" w:eastAsiaTheme="minorEastAsia" w:hAnsiTheme="minorHAnsi"/>
                <w:noProof/>
                <w:sz w:val="20"/>
                <w:szCs w:val="20"/>
                <w:lang w:eastAsia="en-AU"/>
              </w:rPr>
              <w:tab/>
            </w:r>
            <w:r w:rsidR="00E221E8" w:rsidRPr="00E221E8">
              <w:rPr>
                <w:rStyle w:val="Hyperlink"/>
                <w:noProof/>
                <w:sz w:val="20"/>
                <w:szCs w:val="20"/>
              </w:rPr>
              <w:t>Exemption from the Code</w:t>
            </w:r>
            <w:r w:rsidR="00E221E8" w:rsidRPr="00E221E8">
              <w:rPr>
                <w:noProof/>
                <w:webHidden/>
                <w:sz w:val="20"/>
                <w:szCs w:val="20"/>
              </w:rPr>
              <w:tab/>
            </w:r>
            <w:r w:rsidR="00E221E8" w:rsidRPr="00E221E8">
              <w:rPr>
                <w:noProof/>
                <w:webHidden/>
                <w:sz w:val="20"/>
                <w:szCs w:val="20"/>
              </w:rPr>
              <w:fldChar w:fldCharType="begin"/>
            </w:r>
            <w:r w:rsidR="00E221E8" w:rsidRPr="00E221E8">
              <w:rPr>
                <w:noProof/>
                <w:webHidden/>
                <w:sz w:val="20"/>
                <w:szCs w:val="20"/>
              </w:rPr>
              <w:instrText xml:space="preserve"> PAGEREF _Toc416360482 \h </w:instrText>
            </w:r>
            <w:r w:rsidR="00E221E8" w:rsidRPr="00E221E8">
              <w:rPr>
                <w:noProof/>
                <w:webHidden/>
                <w:sz w:val="20"/>
                <w:szCs w:val="20"/>
              </w:rPr>
            </w:r>
            <w:r w:rsidR="00E221E8" w:rsidRPr="00E221E8">
              <w:rPr>
                <w:noProof/>
                <w:webHidden/>
                <w:sz w:val="20"/>
                <w:szCs w:val="20"/>
              </w:rPr>
              <w:fldChar w:fldCharType="separate"/>
            </w:r>
            <w:r w:rsidR="00E221E8" w:rsidRPr="00E221E8">
              <w:rPr>
                <w:noProof/>
                <w:webHidden/>
                <w:sz w:val="20"/>
                <w:szCs w:val="20"/>
              </w:rPr>
              <w:t>2</w:t>
            </w:r>
            <w:r w:rsidR="00E221E8" w:rsidRPr="00E221E8">
              <w:rPr>
                <w:noProof/>
                <w:webHidden/>
                <w:sz w:val="20"/>
                <w:szCs w:val="20"/>
              </w:rPr>
              <w:fldChar w:fldCharType="end"/>
            </w:r>
          </w:hyperlink>
        </w:p>
        <w:p w:rsidR="00E221E8" w:rsidRPr="00E221E8" w:rsidRDefault="008F4EAC">
          <w:pPr>
            <w:pStyle w:val="TOC2"/>
            <w:tabs>
              <w:tab w:val="left" w:pos="1276"/>
              <w:tab w:val="right" w:leader="dot" w:pos="9016"/>
            </w:tabs>
            <w:rPr>
              <w:rFonts w:asciiTheme="minorHAnsi" w:eastAsiaTheme="minorEastAsia" w:hAnsiTheme="minorHAnsi"/>
              <w:noProof/>
              <w:sz w:val="20"/>
              <w:szCs w:val="20"/>
              <w:lang w:eastAsia="en-AU"/>
            </w:rPr>
          </w:pPr>
          <w:hyperlink w:anchor="_Toc416360483" w:history="1">
            <w:r w:rsidR="00E221E8" w:rsidRPr="00E221E8">
              <w:rPr>
                <w:rStyle w:val="Hyperlink"/>
                <w:noProof/>
                <w:sz w:val="20"/>
                <w:szCs w:val="20"/>
              </w:rPr>
              <w:t>1.3</w:t>
            </w:r>
            <w:r w:rsidR="00E221E8" w:rsidRPr="00E221E8">
              <w:rPr>
                <w:rFonts w:asciiTheme="minorHAnsi" w:eastAsiaTheme="minorEastAsia" w:hAnsiTheme="minorHAnsi"/>
                <w:noProof/>
                <w:sz w:val="20"/>
                <w:szCs w:val="20"/>
                <w:lang w:eastAsia="en-AU"/>
              </w:rPr>
              <w:tab/>
            </w:r>
            <w:r w:rsidR="00E221E8" w:rsidRPr="00E221E8">
              <w:rPr>
                <w:rStyle w:val="Hyperlink"/>
                <w:noProof/>
                <w:sz w:val="20"/>
                <w:szCs w:val="20"/>
              </w:rPr>
              <w:t>GrainCorp’s exemption application</w:t>
            </w:r>
            <w:r w:rsidR="00E221E8" w:rsidRPr="00E221E8">
              <w:rPr>
                <w:noProof/>
                <w:webHidden/>
                <w:sz w:val="20"/>
                <w:szCs w:val="20"/>
              </w:rPr>
              <w:tab/>
            </w:r>
            <w:r w:rsidR="00E221E8" w:rsidRPr="00E221E8">
              <w:rPr>
                <w:noProof/>
                <w:webHidden/>
                <w:sz w:val="20"/>
                <w:szCs w:val="20"/>
              </w:rPr>
              <w:fldChar w:fldCharType="begin"/>
            </w:r>
            <w:r w:rsidR="00E221E8" w:rsidRPr="00E221E8">
              <w:rPr>
                <w:noProof/>
                <w:webHidden/>
                <w:sz w:val="20"/>
                <w:szCs w:val="20"/>
              </w:rPr>
              <w:instrText xml:space="preserve"> PAGEREF _Toc416360483 \h </w:instrText>
            </w:r>
            <w:r w:rsidR="00E221E8" w:rsidRPr="00E221E8">
              <w:rPr>
                <w:noProof/>
                <w:webHidden/>
                <w:sz w:val="20"/>
                <w:szCs w:val="20"/>
              </w:rPr>
            </w:r>
            <w:r w:rsidR="00E221E8" w:rsidRPr="00E221E8">
              <w:rPr>
                <w:noProof/>
                <w:webHidden/>
                <w:sz w:val="20"/>
                <w:szCs w:val="20"/>
              </w:rPr>
              <w:fldChar w:fldCharType="separate"/>
            </w:r>
            <w:r w:rsidR="00E221E8" w:rsidRPr="00E221E8">
              <w:rPr>
                <w:noProof/>
                <w:webHidden/>
                <w:sz w:val="20"/>
                <w:szCs w:val="20"/>
              </w:rPr>
              <w:t>3</w:t>
            </w:r>
            <w:r w:rsidR="00E221E8" w:rsidRPr="00E221E8">
              <w:rPr>
                <w:noProof/>
                <w:webHidden/>
                <w:sz w:val="20"/>
                <w:szCs w:val="20"/>
              </w:rPr>
              <w:fldChar w:fldCharType="end"/>
            </w:r>
          </w:hyperlink>
        </w:p>
        <w:p w:rsidR="00E221E8" w:rsidRPr="00E221E8" w:rsidRDefault="008F4EAC">
          <w:pPr>
            <w:pStyle w:val="TOC2"/>
            <w:tabs>
              <w:tab w:val="left" w:pos="1276"/>
              <w:tab w:val="right" w:leader="dot" w:pos="9016"/>
            </w:tabs>
            <w:rPr>
              <w:rFonts w:asciiTheme="minorHAnsi" w:eastAsiaTheme="minorEastAsia" w:hAnsiTheme="minorHAnsi"/>
              <w:noProof/>
              <w:sz w:val="20"/>
              <w:szCs w:val="20"/>
              <w:lang w:eastAsia="en-AU"/>
            </w:rPr>
          </w:pPr>
          <w:hyperlink w:anchor="_Toc416360484" w:history="1">
            <w:r w:rsidR="00E221E8" w:rsidRPr="00E221E8">
              <w:rPr>
                <w:rStyle w:val="Hyperlink"/>
                <w:noProof/>
                <w:sz w:val="20"/>
                <w:szCs w:val="20"/>
              </w:rPr>
              <w:t>1.4</w:t>
            </w:r>
            <w:r w:rsidR="00E221E8" w:rsidRPr="00E221E8">
              <w:rPr>
                <w:rFonts w:asciiTheme="minorHAnsi" w:eastAsiaTheme="minorEastAsia" w:hAnsiTheme="minorHAnsi"/>
                <w:noProof/>
                <w:sz w:val="20"/>
                <w:szCs w:val="20"/>
                <w:lang w:eastAsia="en-AU"/>
              </w:rPr>
              <w:tab/>
            </w:r>
            <w:r w:rsidR="00E221E8" w:rsidRPr="00E221E8">
              <w:rPr>
                <w:rStyle w:val="Hyperlink"/>
                <w:noProof/>
                <w:sz w:val="20"/>
                <w:szCs w:val="20"/>
              </w:rPr>
              <w:t>Emerald’s exemption application</w:t>
            </w:r>
            <w:r w:rsidR="00E221E8" w:rsidRPr="00E221E8">
              <w:rPr>
                <w:noProof/>
                <w:webHidden/>
                <w:sz w:val="20"/>
                <w:szCs w:val="20"/>
              </w:rPr>
              <w:tab/>
            </w:r>
            <w:r w:rsidR="00E221E8" w:rsidRPr="00E221E8">
              <w:rPr>
                <w:noProof/>
                <w:webHidden/>
                <w:sz w:val="20"/>
                <w:szCs w:val="20"/>
              </w:rPr>
              <w:fldChar w:fldCharType="begin"/>
            </w:r>
            <w:r w:rsidR="00E221E8" w:rsidRPr="00E221E8">
              <w:rPr>
                <w:noProof/>
                <w:webHidden/>
                <w:sz w:val="20"/>
                <w:szCs w:val="20"/>
              </w:rPr>
              <w:instrText xml:space="preserve"> PAGEREF _Toc416360484 \h </w:instrText>
            </w:r>
            <w:r w:rsidR="00E221E8" w:rsidRPr="00E221E8">
              <w:rPr>
                <w:noProof/>
                <w:webHidden/>
                <w:sz w:val="20"/>
                <w:szCs w:val="20"/>
              </w:rPr>
            </w:r>
            <w:r w:rsidR="00E221E8" w:rsidRPr="00E221E8">
              <w:rPr>
                <w:noProof/>
                <w:webHidden/>
                <w:sz w:val="20"/>
                <w:szCs w:val="20"/>
              </w:rPr>
              <w:fldChar w:fldCharType="separate"/>
            </w:r>
            <w:r w:rsidR="00E221E8" w:rsidRPr="00E221E8">
              <w:rPr>
                <w:noProof/>
                <w:webHidden/>
                <w:sz w:val="20"/>
                <w:szCs w:val="20"/>
              </w:rPr>
              <w:t>4</w:t>
            </w:r>
            <w:r w:rsidR="00E221E8" w:rsidRPr="00E221E8">
              <w:rPr>
                <w:noProof/>
                <w:webHidden/>
                <w:sz w:val="20"/>
                <w:szCs w:val="20"/>
              </w:rPr>
              <w:fldChar w:fldCharType="end"/>
            </w:r>
          </w:hyperlink>
        </w:p>
        <w:p w:rsidR="00E221E8" w:rsidRPr="00E221E8" w:rsidRDefault="008F4EAC">
          <w:pPr>
            <w:pStyle w:val="TOC2"/>
            <w:tabs>
              <w:tab w:val="left" w:pos="1276"/>
              <w:tab w:val="right" w:leader="dot" w:pos="9016"/>
            </w:tabs>
            <w:rPr>
              <w:rFonts w:asciiTheme="minorHAnsi" w:eastAsiaTheme="minorEastAsia" w:hAnsiTheme="minorHAnsi"/>
              <w:noProof/>
              <w:sz w:val="20"/>
              <w:szCs w:val="20"/>
              <w:lang w:eastAsia="en-AU"/>
            </w:rPr>
          </w:pPr>
          <w:hyperlink w:anchor="_Toc416360485" w:history="1">
            <w:r w:rsidR="00E221E8" w:rsidRPr="00E221E8">
              <w:rPr>
                <w:rStyle w:val="Hyperlink"/>
                <w:noProof/>
                <w:sz w:val="20"/>
                <w:szCs w:val="20"/>
              </w:rPr>
              <w:t>1.5</w:t>
            </w:r>
            <w:r w:rsidR="00E221E8" w:rsidRPr="00E221E8">
              <w:rPr>
                <w:rFonts w:asciiTheme="minorHAnsi" w:eastAsiaTheme="minorEastAsia" w:hAnsiTheme="minorHAnsi"/>
                <w:noProof/>
                <w:sz w:val="20"/>
                <w:szCs w:val="20"/>
                <w:lang w:eastAsia="en-AU"/>
              </w:rPr>
              <w:tab/>
            </w:r>
            <w:r w:rsidR="00E221E8" w:rsidRPr="00E221E8">
              <w:rPr>
                <w:rStyle w:val="Hyperlink"/>
                <w:noProof/>
                <w:sz w:val="20"/>
                <w:szCs w:val="20"/>
              </w:rPr>
              <w:t>ACCC exemption assessment process</w:t>
            </w:r>
            <w:r w:rsidR="00E221E8" w:rsidRPr="00E221E8">
              <w:rPr>
                <w:noProof/>
                <w:webHidden/>
                <w:sz w:val="20"/>
                <w:szCs w:val="20"/>
              </w:rPr>
              <w:tab/>
            </w:r>
            <w:r w:rsidR="00E221E8" w:rsidRPr="00E221E8">
              <w:rPr>
                <w:noProof/>
                <w:webHidden/>
                <w:sz w:val="20"/>
                <w:szCs w:val="20"/>
              </w:rPr>
              <w:fldChar w:fldCharType="begin"/>
            </w:r>
            <w:r w:rsidR="00E221E8" w:rsidRPr="00E221E8">
              <w:rPr>
                <w:noProof/>
                <w:webHidden/>
                <w:sz w:val="20"/>
                <w:szCs w:val="20"/>
              </w:rPr>
              <w:instrText xml:space="preserve"> PAGEREF _Toc416360485 \h </w:instrText>
            </w:r>
            <w:r w:rsidR="00E221E8" w:rsidRPr="00E221E8">
              <w:rPr>
                <w:noProof/>
                <w:webHidden/>
                <w:sz w:val="20"/>
                <w:szCs w:val="20"/>
              </w:rPr>
            </w:r>
            <w:r w:rsidR="00E221E8" w:rsidRPr="00E221E8">
              <w:rPr>
                <w:noProof/>
                <w:webHidden/>
                <w:sz w:val="20"/>
                <w:szCs w:val="20"/>
              </w:rPr>
              <w:fldChar w:fldCharType="separate"/>
            </w:r>
            <w:r w:rsidR="00E221E8" w:rsidRPr="00E221E8">
              <w:rPr>
                <w:noProof/>
                <w:webHidden/>
                <w:sz w:val="20"/>
                <w:szCs w:val="20"/>
              </w:rPr>
              <w:t>5</w:t>
            </w:r>
            <w:r w:rsidR="00E221E8" w:rsidRPr="00E221E8">
              <w:rPr>
                <w:noProof/>
                <w:webHidden/>
                <w:sz w:val="20"/>
                <w:szCs w:val="20"/>
              </w:rPr>
              <w:fldChar w:fldCharType="end"/>
            </w:r>
          </w:hyperlink>
        </w:p>
        <w:p w:rsidR="00E221E8" w:rsidRPr="00E221E8" w:rsidRDefault="008F4EAC">
          <w:pPr>
            <w:pStyle w:val="TOC2"/>
            <w:tabs>
              <w:tab w:val="left" w:pos="1276"/>
              <w:tab w:val="right" w:leader="dot" w:pos="9016"/>
            </w:tabs>
            <w:rPr>
              <w:rFonts w:asciiTheme="minorHAnsi" w:eastAsiaTheme="minorEastAsia" w:hAnsiTheme="minorHAnsi"/>
              <w:noProof/>
              <w:sz w:val="20"/>
              <w:szCs w:val="20"/>
              <w:lang w:eastAsia="en-AU"/>
            </w:rPr>
          </w:pPr>
          <w:hyperlink w:anchor="_Toc416360486" w:history="1">
            <w:r w:rsidR="00E221E8" w:rsidRPr="00E221E8">
              <w:rPr>
                <w:rStyle w:val="Hyperlink"/>
                <w:noProof/>
                <w:sz w:val="20"/>
                <w:szCs w:val="20"/>
              </w:rPr>
              <w:t>1.6</w:t>
            </w:r>
            <w:r w:rsidR="00E221E8" w:rsidRPr="00E221E8">
              <w:rPr>
                <w:rFonts w:asciiTheme="minorHAnsi" w:eastAsiaTheme="minorEastAsia" w:hAnsiTheme="minorHAnsi"/>
                <w:noProof/>
                <w:sz w:val="20"/>
                <w:szCs w:val="20"/>
                <w:lang w:eastAsia="en-AU"/>
              </w:rPr>
              <w:tab/>
            </w:r>
            <w:r w:rsidR="00E221E8" w:rsidRPr="00E221E8">
              <w:rPr>
                <w:rStyle w:val="Hyperlink"/>
                <w:noProof/>
                <w:sz w:val="20"/>
                <w:szCs w:val="20"/>
              </w:rPr>
              <w:t>Public consultation undertaken to date</w:t>
            </w:r>
            <w:r w:rsidR="00E221E8" w:rsidRPr="00E221E8">
              <w:rPr>
                <w:noProof/>
                <w:webHidden/>
                <w:sz w:val="20"/>
                <w:szCs w:val="20"/>
              </w:rPr>
              <w:tab/>
            </w:r>
            <w:r w:rsidR="00E221E8" w:rsidRPr="00E221E8">
              <w:rPr>
                <w:noProof/>
                <w:webHidden/>
                <w:sz w:val="20"/>
                <w:szCs w:val="20"/>
              </w:rPr>
              <w:fldChar w:fldCharType="begin"/>
            </w:r>
            <w:r w:rsidR="00E221E8" w:rsidRPr="00E221E8">
              <w:rPr>
                <w:noProof/>
                <w:webHidden/>
                <w:sz w:val="20"/>
                <w:szCs w:val="20"/>
              </w:rPr>
              <w:instrText xml:space="preserve"> PAGEREF _Toc416360486 \h </w:instrText>
            </w:r>
            <w:r w:rsidR="00E221E8" w:rsidRPr="00E221E8">
              <w:rPr>
                <w:noProof/>
                <w:webHidden/>
                <w:sz w:val="20"/>
                <w:szCs w:val="20"/>
              </w:rPr>
            </w:r>
            <w:r w:rsidR="00E221E8" w:rsidRPr="00E221E8">
              <w:rPr>
                <w:noProof/>
                <w:webHidden/>
                <w:sz w:val="20"/>
                <w:szCs w:val="20"/>
              </w:rPr>
              <w:fldChar w:fldCharType="separate"/>
            </w:r>
            <w:r w:rsidR="00E221E8" w:rsidRPr="00E221E8">
              <w:rPr>
                <w:noProof/>
                <w:webHidden/>
                <w:sz w:val="20"/>
                <w:szCs w:val="20"/>
              </w:rPr>
              <w:t>6</w:t>
            </w:r>
            <w:r w:rsidR="00E221E8" w:rsidRPr="00E221E8">
              <w:rPr>
                <w:noProof/>
                <w:webHidden/>
                <w:sz w:val="20"/>
                <w:szCs w:val="20"/>
              </w:rPr>
              <w:fldChar w:fldCharType="end"/>
            </w:r>
          </w:hyperlink>
        </w:p>
        <w:p w:rsidR="00E221E8" w:rsidRPr="00E221E8" w:rsidRDefault="008F4EAC">
          <w:pPr>
            <w:pStyle w:val="TOC2"/>
            <w:tabs>
              <w:tab w:val="left" w:pos="1276"/>
              <w:tab w:val="right" w:leader="dot" w:pos="9016"/>
            </w:tabs>
            <w:rPr>
              <w:rFonts w:asciiTheme="minorHAnsi" w:eastAsiaTheme="minorEastAsia" w:hAnsiTheme="minorHAnsi"/>
              <w:noProof/>
              <w:sz w:val="20"/>
              <w:szCs w:val="20"/>
              <w:lang w:eastAsia="en-AU"/>
            </w:rPr>
          </w:pPr>
          <w:hyperlink w:anchor="_Toc416360487" w:history="1">
            <w:r w:rsidR="00E221E8" w:rsidRPr="00E221E8">
              <w:rPr>
                <w:rStyle w:val="Hyperlink"/>
                <w:noProof/>
                <w:sz w:val="20"/>
                <w:szCs w:val="20"/>
              </w:rPr>
              <w:t>1.7</w:t>
            </w:r>
            <w:r w:rsidR="00E221E8" w:rsidRPr="00E221E8">
              <w:rPr>
                <w:rFonts w:asciiTheme="minorHAnsi" w:eastAsiaTheme="minorEastAsia" w:hAnsiTheme="minorHAnsi"/>
                <w:noProof/>
                <w:sz w:val="20"/>
                <w:szCs w:val="20"/>
                <w:lang w:eastAsia="en-AU"/>
              </w:rPr>
              <w:tab/>
            </w:r>
            <w:r w:rsidR="00E221E8" w:rsidRPr="00E221E8">
              <w:rPr>
                <w:rStyle w:val="Hyperlink"/>
                <w:noProof/>
                <w:sz w:val="20"/>
                <w:szCs w:val="20"/>
              </w:rPr>
              <w:t>Consultation on these draft determinations</w:t>
            </w:r>
            <w:r w:rsidR="00E221E8" w:rsidRPr="00E221E8">
              <w:rPr>
                <w:noProof/>
                <w:webHidden/>
                <w:sz w:val="20"/>
                <w:szCs w:val="20"/>
              </w:rPr>
              <w:tab/>
            </w:r>
            <w:r w:rsidR="00E221E8" w:rsidRPr="00E221E8">
              <w:rPr>
                <w:noProof/>
                <w:webHidden/>
                <w:sz w:val="20"/>
                <w:szCs w:val="20"/>
              </w:rPr>
              <w:fldChar w:fldCharType="begin"/>
            </w:r>
            <w:r w:rsidR="00E221E8" w:rsidRPr="00E221E8">
              <w:rPr>
                <w:noProof/>
                <w:webHidden/>
                <w:sz w:val="20"/>
                <w:szCs w:val="20"/>
              </w:rPr>
              <w:instrText xml:space="preserve"> PAGEREF _Toc416360487 \h </w:instrText>
            </w:r>
            <w:r w:rsidR="00E221E8" w:rsidRPr="00E221E8">
              <w:rPr>
                <w:noProof/>
                <w:webHidden/>
                <w:sz w:val="20"/>
                <w:szCs w:val="20"/>
              </w:rPr>
            </w:r>
            <w:r w:rsidR="00E221E8" w:rsidRPr="00E221E8">
              <w:rPr>
                <w:noProof/>
                <w:webHidden/>
                <w:sz w:val="20"/>
                <w:szCs w:val="20"/>
              </w:rPr>
              <w:fldChar w:fldCharType="separate"/>
            </w:r>
            <w:r w:rsidR="00E221E8" w:rsidRPr="00E221E8">
              <w:rPr>
                <w:noProof/>
                <w:webHidden/>
                <w:sz w:val="20"/>
                <w:szCs w:val="20"/>
              </w:rPr>
              <w:t>7</w:t>
            </w:r>
            <w:r w:rsidR="00E221E8" w:rsidRPr="00E221E8">
              <w:rPr>
                <w:noProof/>
                <w:webHidden/>
                <w:sz w:val="20"/>
                <w:szCs w:val="20"/>
              </w:rPr>
              <w:fldChar w:fldCharType="end"/>
            </w:r>
          </w:hyperlink>
        </w:p>
        <w:p w:rsidR="00E221E8" w:rsidRPr="00E221E8" w:rsidRDefault="008F4EAC">
          <w:pPr>
            <w:pStyle w:val="TOC2"/>
            <w:tabs>
              <w:tab w:val="left" w:pos="1276"/>
              <w:tab w:val="right" w:leader="dot" w:pos="9016"/>
            </w:tabs>
            <w:rPr>
              <w:rFonts w:asciiTheme="minorHAnsi" w:eastAsiaTheme="minorEastAsia" w:hAnsiTheme="minorHAnsi"/>
              <w:noProof/>
              <w:sz w:val="20"/>
              <w:szCs w:val="20"/>
              <w:lang w:eastAsia="en-AU"/>
            </w:rPr>
          </w:pPr>
          <w:hyperlink w:anchor="_Toc416360488" w:history="1">
            <w:r w:rsidR="00E221E8" w:rsidRPr="00E221E8">
              <w:rPr>
                <w:rStyle w:val="Hyperlink"/>
                <w:noProof/>
                <w:sz w:val="20"/>
                <w:szCs w:val="20"/>
              </w:rPr>
              <w:t>1.8</w:t>
            </w:r>
            <w:r w:rsidR="00E221E8" w:rsidRPr="00E221E8">
              <w:rPr>
                <w:rFonts w:asciiTheme="minorHAnsi" w:eastAsiaTheme="minorEastAsia" w:hAnsiTheme="minorHAnsi"/>
                <w:noProof/>
                <w:sz w:val="20"/>
                <w:szCs w:val="20"/>
                <w:lang w:eastAsia="en-AU"/>
              </w:rPr>
              <w:tab/>
            </w:r>
            <w:r w:rsidR="00E221E8" w:rsidRPr="00E221E8">
              <w:rPr>
                <w:rStyle w:val="Hyperlink"/>
                <w:noProof/>
                <w:sz w:val="20"/>
                <w:szCs w:val="20"/>
              </w:rPr>
              <w:t>Outline of this document</w:t>
            </w:r>
            <w:r w:rsidR="00E221E8" w:rsidRPr="00E221E8">
              <w:rPr>
                <w:noProof/>
                <w:webHidden/>
                <w:sz w:val="20"/>
                <w:szCs w:val="20"/>
              </w:rPr>
              <w:tab/>
            </w:r>
            <w:r w:rsidR="00E221E8" w:rsidRPr="00E221E8">
              <w:rPr>
                <w:noProof/>
                <w:webHidden/>
                <w:sz w:val="20"/>
                <w:szCs w:val="20"/>
              </w:rPr>
              <w:fldChar w:fldCharType="begin"/>
            </w:r>
            <w:r w:rsidR="00E221E8" w:rsidRPr="00E221E8">
              <w:rPr>
                <w:noProof/>
                <w:webHidden/>
                <w:sz w:val="20"/>
                <w:szCs w:val="20"/>
              </w:rPr>
              <w:instrText xml:space="preserve"> PAGEREF _Toc416360488 \h </w:instrText>
            </w:r>
            <w:r w:rsidR="00E221E8" w:rsidRPr="00E221E8">
              <w:rPr>
                <w:noProof/>
                <w:webHidden/>
                <w:sz w:val="20"/>
                <w:szCs w:val="20"/>
              </w:rPr>
            </w:r>
            <w:r w:rsidR="00E221E8" w:rsidRPr="00E221E8">
              <w:rPr>
                <w:noProof/>
                <w:webHidden/>
                <w:sz w:val="20"/>
                <w:szCs w:val="20"/>
              </w:rPr>
              <w:fldChar w:fldCharType="separate"/>
            </w:r>
            <w:r w:rsidR="00E221E8" w:rsidRPr="00E221E8">
              <w:rPr>
                <w:noProof/>
                <w:webHidden/>
                <w:sz w:val="20"/>
                <w:szCs w:val="20"/>
              </w:rPr>
              <w:t>9</w:t>
            </w:r>
            <w:r w:rsidR="00E221E8" w:rsidRPr="00E221E8">
              <w:rPr>
                <w:noProof/>
                <w:webHidden/>
                <w:sz w:val="20"/>
                <w:szCs w:val="20"/>
              </w:rPr>
              <w:fldChar w:fldCharType="end"/>
            </w:r>
          </w:hyperlink>
        </w:p>
        <w:p w:rsidR="00E221E8" w:rsidRPr="00E221E8" w:rsidRDefault="008F4EAC">
          <w:pPr>
            <w:pStyle w:val="TOC1"/>
            <w:tabs>
              <w:tab w:val="left" w:pos="1276"/>
            </w:tabs>
            <w:rPr>
              <w:rFonts w:asciiTheme="minorHAnsi" w:eastAsiaTheme="minorEastAsia" w:hAnsiTheme="minorHAnsi"/>
              <w:noProof/>
              <w:sz w:val="20"/>
              <w:szCs w:val="20"/>
              <w:lang w:eastAsia="en-AU"/>
            </w:rPr>
          </w:pPr>
          <w:hyperlink w:anchor="_Toc416360489" w:history="1">
            <w:r w:rsidR="00E221E8" w:rsidRPr="00E221E8">
              <w:rPr>
                <w:rStyle w:val="Hyperlink"/>
                <w:noProof/>
                <w:sz w:val="20"/>
                <w:szCs w:val="20"/>
              </w:rPr>
              <w:t>2</w:t>
            </w:r>
            <w:r w:rsidR="00E221E8" w:rsidRPr="00E221E8">
              <w:rPr>
                <w:rFonts w:asciiTheme="minorHAnsi" w:eastAsiaTheme="minorEastAsia" w:hAnsiTheme="minorHAnsi"/>
                <w:noProof/>
                <w:sz w:val="20"/>
                <w:szCs w:val="20"/>
                <w:lang w:eastAsia="en-AU"/>
              </w:rPr>
              <w:tab/>
            </w:r>
            <w:r w:rsidR="00E221E8" w:rsidRPr="00E221E8">
              <w:rPr>
                <w:rStyle w:val="Hyperlink"/>
                <w:noProof/>
                <w:sz w:val="20"/>
                <w:szCs w:val="20"/>
              </w:rPr>
              <w:t>Victorian bulk wheat port terminal services</w:t>
            </w:r>
            <w:r w:rsidR="00E221E8" w:rsidRPr="00E221E8">
              <w:rPr>
                <w:noProof/>
                <w:webHidden/>
                <w:sz w:val="20"/>
                <w:szCs w:val="20"/>
              </w:rPr>
              <w:tab/>
            </w:r>
            <w:r w:rsidR="00E221E8" w:rsidRPr="00E221E8">
              <w:rPr>
                <w:noProof/>
                <w:webHidden/>
                <w:sz w:val="20"/>
                <w:szCs w:val="20"/>
              </w:rPr>
              <w:fldChar w:fldCharType="begin"/>
            </w:r>
            <w:r w:rsidR="00E221E8" w:rsidRPr="00E221E8">
              <w:rPr>
                <w:noProof/>
                <w:webHidden/>
                <w:sz w:val="20"/>
                <w:szCs w:val="20"/>
              </w:rPr>
              <w:instrText xml:space="preserve"> PAGEREF _Toc416360489 \h </w:instrText>
            </w:r>
            <w:r w:rsidR="00E221E8" w:rsidRPr="00E221E8">
              <w:rPr>
                <w:noProof/>
                <w:webHidden/>
                <w:sz w:val="20"/>
                <w:szCs w:val="20"/>
              </w:rPr>
            </w:r>
            <w:r w:rsidR="00E221E8" w:rsidRPr="00E221E8">
              <w:rPr>
                <w:noProof/>
                <w:webHidden/>
                <w:sz w:val="20"/>
                <w:szCs w:val="20"/>
              </w:rPr>
              <w:fldChar w:fldCharType="separate"/>
            </w:r>
            <w:r w:rsidR="00E221E8" w:rsidRPr="00E221E8">
              <w:rPr>
                <w:noProof/>
                <w:webHidden/>
                <w:sz w:val="20"/>
                <w:szCs w:val="20"/>
              </w:rPr>
              <w:t>10</w:t>
            </w:r>
            <w:r w:rsidR="00E221E8" w:rsidRPr="00E221E8">
              <w:rPr>
                <w:noProof/>
                <w:webHidden/>
                <w:sz w:val="20"/>
                <w:szCs w:val="20"/>
              </w:rPr>
              <w:fldChar w:fldCharType="end"/>
            </w:r>
          </w:hyperlink>
        </w:p>
        <w:p w:rsidR="00E221E8" w:rsidRPr="00E221E8" w:rsidRDefault="008F4EAC">
          <w:pPr>
            <w:pStyle w:val="TOC2"/>
            <w:tabs>
              <w:tab w:val="left" w:pos="1276"/>
              <w:tab w:val="right" w:leader="dot" w:pos="9016"/>
            </w:tabs>
            <w:rPr>
              <w:rFonts w:asciiTheme="minorHAnsi" w:eastAsiaTheme="minorEastAsia" w:hAnsiTheme="minorHAnsi"/>
              <w:noProof/>
              <w:sz w:val="20"/>
              <w:szCs w:val="20"/>
              <w:lang w:eastAsia="en-AU"/>
            </w:rPr>
          </w:pPr>
          <w:hyperlink w:anchor="_Toc416360490" w:history="1">
            <w:r w:rsidR="00E221E8" w:rsidRPr="00E221E8">
              <w:rPr>
                <w:rStyle w:val="Hyperlink"/>
                <w:noProof/>
                <w:sz w:val="20"/>
                <w:szCs w:val="20"/>
              </w:rPr>
              <w:t>2.1</w:t>
            </w:r>
            <w:r w:rsidR="00E221E8" w:rsidRPr="00E221E8">
              <w:rPr>
                <w:rFonts w:asciiTheme="minorHAnsi" w:eastAsiaTheme="minorEastAsia" w:hAnsiTheme="minorHAnsi"/>
                <w:noProof/>
                <w:sz w:val="20"/>
                <w:szCs w:val="20"/>
                <w:lang w:eastAsia="en-AU"/>
              </w:rPr>
              <w:tab/>
            </w:r>
            <w:r w:rsidR="00E221E8" w:rsidRPr="00E221E8">
              <w:rPr>
                <w:rStyle w:val="Hyperlink"/>
                <w:noProof/>
                <w:sz w:val="20"/>
                <w:szCs w:val="20"/>
              </w:rPr>
              <w:t>Port terminal facilities and capacity</w:t>
            </w:r>
            <w:r w:rsidR="00E221E8" w:rsidRPr="00E221E8">
              <w:rPr>
                <w:noProof/>
                <w:webHidden/>
                <w:sz w:val="20"/>
                <w:szCs w:val="20"/>
              </w:rPr>
              <w:tab/>
            </w:r>
            <w:r w:rsidR="00E221E8" w:rsidRPr="00E221E8">
              <w:rPr>
                <w:noProof/>
                <w:webHidden/>
                <w:sz w:val="20"/>
                <w:szCs w:val="20"/>
              </w:rPr>
              <w:fldChar w:fldCharType="begin"/>
            </w:r>
            <w:r w:rsidR="00E221E8" w:rsidRPr="00E221E8">
              <w:rPr>
                <w:noProof/>
                <w:webHidden/>
                <w:sz w:val="20"/>
                <w:szCs w:val="20"/>
              </w:rPr>
              <w:instrText xml:space="preserve"> PAGEREF _Toc416360490 \h </w:instrText>
            </w:r>
            <w:r w:rsidR="00E221E8" w:rsidRPr="00E221E8">
              <w:rPr>
                <w:noProof/>
                <w:webHidden/>
                <w:sz w:val="20"/>
                <w:szCs w:val="20"/>
              </w:rPr>
            </w:r>
            <w:r w:rsidR="00E221E8" w:rsidRPr="00E221E8">
              <w:rPr>
                <w:noProof/>
                <w:webHidden/>
                <w:sz w:val="20"/>
                <w:szCs w:val="20"/>
              </w:rPr>
              <w:fldChar w:fldCharType="separate"/>
            </w:r>
            <w:r w:rsidR="00E221E8" w:rsidRPr="00E221E8">
              <w:rPr>
                <w:noProof/>
                <w:webHidden/>
                <w:sz w:val="20"/>
                <w:szCs w:val="20"/>
              </w:rPr>
              <w:t>10</w:t>
            </w:r>
            <w:r w:rsidR="00E221E8" w:rsidRPr="00E221E8">
              <w:rPr>
                <w:noProof/>
                <w:webHidden/>
                <w:sz w:val="20"/>
                <w:szCs w:val="20"/>
              </w:rPr>
              <w:fldChar w:fldCharType="end"/>
            </w:r>
          </w:hyperlink>
        </w:p>
        <w:p w:rsidR="00E221E8" w:rsidRPr="00E221E8" w:rsidRDefault="008F4EAC">
          <w:pPr>
            <w:pStyle w:val="TOC2"/>
            <w:tabs>
              <w:tab w:val="left" w:pos="1276"/>
              <w:tab w:val="right" w:leader="dot" w:pos="9016"/>
            </w:tabs>
            <w:rPr>
              <w:rFonts w:asciiTheme="minorHAnsi" w:eastAsiaTheme="minorEastAsia" w:hAnsiTheme="minorHAnsi"/>
              <w:noProof/>
              <w:sz w:val="20"/>
              <w:szCs w:val="20"/>
              <w:lang w:eastAsia="en-AU"/>
            </w:rPr>
          </w:pPr>
          <w:hyperlink w:anchor="_Toc416360491" w:history="1">
            <w:r w:rsidR="00E221E8" w:rsidRPr="00E221E8">
              <w:rPr>
                <w:rStyle w:val="Hyperlink"/>
                <w:noProof/>
                <w:sz w:val="20"/>
                <w:szCs w:val="20"/>
              </w:rPr>
              <w:t>2.2</w:t>
            </w:r>
            <w:r w:rsidR="00E221E8" w:rsidRPr="00E221E8">
              <w:rPr>
                <w:rFonts w:asciiTheme="minorHAnsi" w:eastAsiaTheme="minorEastAsia" w:hAnsiTheme="minorHAnsi"/>
                <w:noProof/>
                <w:sz w:val="20"/>
                <w:szCs w:val="20"/>
                <w:lang w:eastAsia="en-AU"/>
              </w:rPr>
              <w:tab/>
            </w:r>
            <w:r w:rsidR="00E221E8" w:rsidRPr="00E221E8">
              <w:rPr>
                <w:rStyle w:val="Hyperlink"/>
                <w:noProof/>
                <w:sz w:val="20"/>
                <w:szCs w:val="20"/>
              </w:rPr>
              <w:t>Exports and exporters</w:t>
            </w:r>
            <w:r w:rsidR="00E221E8" w:rsidRPr="00E221E8">
              <w:rPr>
                <w:noProof/>
                <w:webHidden/>
                <w:sz w:val="20"/>
                <w:szCs w:val="20"/>
              </w:rPr>
              <w:tab/>
            </w:r>
            <w:r w:rsidR="00E221E8" w:rsidRPr="00E221E8">
              <w:rPr>
                <w:noProof/>
                <w:webHidden/>
                <w:sz w:val="20"/>
                <w:szCs w:val="20"/>
              </w:rPr>
              <w:fldChar w:fldCharType="begin"/>
            </w:r>
            <w:r w:rsidR="00E221E8" w:rsidRPr="00E221E8">
              <w:rPr>
                <w:noProof/>
                <w:webHidden/>
                <w:sz w:val="20"/>
                <w:szCs w:val="20"/>
              </w:rPr>
              <w:instrText xml:space="preserve"> PAGEREF _Toc416360491 \h </w:instrText>
            </w:r>
            <w:r w:rsidR="00E221E8" w:rsidRPr="00E221E8">
              <w:rPr>
                <w:noProof/>
                <w:webHidden/>
                <w:sz w:val="20"/>
                <w:szCs w:val="20"/>
              </w:rPr>
            </w:r>
            <w:r w:rsidR="00E221E8" w:rsidRPr="00E221E8">
              <w:rPr>
                <w:noProof/>
                <w:webHidden/>
                <w:sz w:val="20"/>
                <w:szCs w:val="20"/>
              </w:rPr>
              <w:fldChar w:fldCharType="separate"/>
            </w:r>
            <w:r w:rsidR="00E221E8" w:rsidRPr="00E221E8">
              <w:rPr>
                <w:noProof/>
                <w:webHidden/>
                <w:sz w:val="20"/>
                <w:szCs w:val="20"/>
              </w:rPr>
              <w:t>14</w:t>
            </w:r>
            <w:r w:rsidR="00E221E8" w:rsidRPr="00E221E8">
              <w:rPr>
                <w:noProof/>
                <w:webHidden/>
                <w:sz w:val="20"/>
                <w:szCs w:val="20"/>
              </w:rPr>
              <w:fldChar w:fldCharType="end"/>
            </w:r>
          </w:hyperlink>
        </w:p>
        <w:p w:rsidR="00E221E8" w:rsidRPr="00E221E8" w:rsidRDefault="008F4EAC">
          <w:pPr>
            <w:pStyle w:val="TOC1"/>
            <w:tabs>
              <w:tab w:val="left" w:pos="1276"/>
            </w:tabs>
            <w:rPr>
              <w:rFonts w:asciiTheme="minorHAnsi" w:eastAsiaTheme="minorEastAsia" w:hAnsiTheme="minorHAnsi"/>
              <w:noProof/>
              <w:sz w:val="20"/>
              <w:szCs w:val="20"/>
              <w:lang w:eastAsia="en-AU"/>
            </w:rPr>
          </w:pPr>
          <w:hyperlink w:anchor="_Toc416360492" w:history="1">
            <w:r w:rsidR="00E221E8" w:rsidRPr="00E221E8">
              <w:rPr>
                <w:rStyle w:val="Hyperlink"/>
                <w:noProof/>
                <w:sz w:val="20"/>
                <w:szCs w:val="20"/>
              </w:rPr>
              <w:t>3</w:t>
            </w:r>
            <w:r w:rsidR="00E221E8" w:rsidRPr="00E221E8">
              <w:rPr>
                <w:rFonts w:asciiTheme="minorHAnsi" w:eastAsiaTheme="minorEastAsia" w:hAnsiTheme="minorHAnsi"/>
                <w:noProof/>
                <w:sz w:val="20"/>
                <w:szCs w:val="20"/>
                <w:lang w:eastAsia="en-AU"/>
              </w:rPr>
              <w:tab/>
            </w:r>
            <w:r w:rsidR="00E221E8" w:rsidRPr="00E221E8">
              <w:rPr>
                <w:rStyle w:val="Hyperlink"/>
                <w:noProof/>
                <w:sz w:val="20"/>
                <w:szCs w:val="20"/>
              </w:rPr>
              <w:t xml:space="preserve">Competition across the bulk wheat supply chain, container exports and domestic </w:t>
            </w:r>
            <w:r w:rsidR="00E221E8">
              <w:rPr>
                <w:rStyle w:val="Hyperlink"/>
                <w:noProof/>
                <w:sz w:val="20"/>
                <w:szCs w:val="20"/>
              </w:rPr>
              <w:tab/>
            </w:r>
            <w:r w:rsidR="00E221E8" w:rsidRPr="00E221E8">
              <w:rPr>
                <w:rStyle w:val="Hyperlink"/>
                <w:noProof/>
                <w:sz w:val="20"/>
                <w:szCs w:val="20"/>
              </w:rPr>
              <w:t>demand</w:t>
            </w:r>
            <w:r w:rsidR="00E221E8" w:rsidRPr="00E221E8">
              <w:rPr>
                <w:noProof/>
                <w:webHidden/>
                <w:sz w:val="20"/>
                <w:szCs w:val="20"/>
              </w:rPr>
              <w:tab/>
            </w:r>
            <w:r w:rsidR="00E221E8" w:rsidRPr="00E221E8">
              <w:rPr>
                <w:noProof/>
                <w:webHidden/>
                <w:sz w:val="20"/>
                <w:szCs w:val="20"/>
              </w:rPr>
              <w:fldChar w:fldCharType="begin"/>
            </w:r>
            <w:r w:rsidR="00E221E8" w:rsidRPr="00E221E8">
              <w:rPr>
                <w:noProof/>
                <w:webHidden/>
                <w:sz w:val="20"/>
                <w:szCs w:val="20"/>
              </w:rPr>
              <w:instrText xml:space="preserve"> PAGEREF _Toc416360492 \h </w:instrText>
            </w:r>
            <w:r w:rsidR="00E221E8" w:rsidRPr="00E221E8">
              <w:rPr>
                <w:noProof/>
                <w:webHidden/>
                <w:sz w:val="20"/>
                <w:szCs w:val="20"/>
              </w:rPr>
            </w:r>
            <w:r w:rsidR="00E221E8" w:rsidRPr="00E221E8">
              <w:rPr>
                <w:noProof/>
                <w:webHidden/>
                <w:sz w:val="20"/>
                <w:szCs w:val="20"/>
              </w:rPr>
              <w:fldChar w:fldCharType="separate"/>
            </w:r>
            <w:r w:rsidR="00E221E8" w:rsidRPr="00E221E8">
              <w:rPr>
                <w:noProof/>
                <w:webHidden/>
                <w:sz w:val="20"/>
                <w:szCs w:val="20"/>
              </w:rPr>
              <w:t>26</w:t>
            </w:r>
            <w:r w:rsidR="00E221E8" w:rsidRPr="00E221E8">
              <w:rPr>
                <w:noProof/>
                <w:webHidden/>
                <w:sz w:val="20"/>
                <w:szCs w:val="20"/>
              </w:rPr>
              <w:fldChar w:fldCharType="end"/>
            </w:r>
          </w:hyperlink>
        </w:p>
        <w:p w:rsidR="00E221E8" w:rsidRPr="00E221E8" w:rsidRDefault="008F4EAC">
          <w:pPr>
            <w:pStyle w:val="TOC2"/>
            <w:tabs>
              <w:tab w:val="left" w:pos="1276"/>
              <w:tab w:val="right" w:leader="dot" w:pos="9016"/>
            </w:tabs>
            <w:rPr>
              <w:rFonts w:asciiTheme="minorHAnsi" w:eastAsiaTheme="minorEastAsia" w:hAnsiTheme="minorHAnsi"/>
              <w:noProof/>
              <w:sz w:val="20"/>
              <w:szCs w:val="20"/>
              <w:lang w:eastAsia="en-AU"/>
            </w:rPr>
          </w:pPr>
          <w:hyperlink w:anchor="_Toc416360493" w:history="1">
            <w:r w:rsidR="00E221E8" w:rsidRPr="00E221E8">
              <w:rPr>
                <w:rStyle w:val="Hyperlink"/>
                <w:noProof/>
                <w:sz w:val="20"/>
                <w:szCs w:val="20"/>
              </w:rPr>
              <w:t>3.1</w:t>
            </w:r>
            <w:r w:rsidR="00E221E8" w:rsidRPr="00E221E8">
              <w:rPr>
                <w:rFonts w:asciiTheme="minorHAnsi" w:eastAsiaTheme="minorEastAsia" w:hAnsiTheme="minorHAnsi"/>
                <w:noProof/>
                <w:sz w:val="20"/>
                <w:szCs w:val="20"/>
                <w:lang w:eastAsia="en-AU"/>
              </w:rPr>
              <w:tab/>
            </w:r>
            <w:r w:rsidR="00E221E8" w:rsidRPr="00E221E8">
              <w:rPr>
                <w:rStyle w:val="Hyperlink"/>
                <w:noProof/>
                <w:sz w:val="20"/>
                <w:szCs w:val="20"/>
              </w:rPr>
              <w:t>Victorian port terminals’ upcountry links</w:t>
            </w:r>
            <w:r w:rsidR="00E221E8" w:rsidRPr="00E221E8">
              <w:rPr>
                <w:noProof/>
                <w:webHidden/>
                <w:sz w:val="20"/>
                <w:szCs w:val="20"/>
              </w:rPr>
              <w:tab/>
            </w:r>
            <w:r w:rsidR="00E221E8" w:rsidRPr="00E221E8">
              <w:rPr>
                <w:noProof/>
                <w:webHidden/>
                <w:sz w:val="20"/>
                <w:szCs w:val="20"/>
              </w:rPr>
              <w:fldChar w:fldCharType="begin"/>
            </w:r>
            <w:r w:rsidR="00E221E8" w:rsidRPr="00E221E8">
              <w:rPr>
                <w:noProof/>
                <w:webHidden/>
                <w:sz w:val="20"/>
                <w:szCs w:val="20"/>
              </w:rPr>
              <w:instrText xml:space="preserve"> PAGEREF _Toc416360493 \h </w:instrText>
            </w:r>
            <w:r w:rsidR="00E221E8" w:rsidRPr="00E221E8">
              <w:rPr>
                <w:noProof/>
                <w:webHidden/>
                <w:sz w:val="20"/>
                <w:szCs w:val="20"/>
              </w:rPr>
            </w:r>
            <w:r w:rsidR="00E221E8" w:rsidRPr="00E221E8">
              <w:rPr>
                <w:noProof/>
                <w:webHidden/>
                <w:sz w:val="20"/>
                <w:szCs w:val="20"/>
              </w:rPr>
              <w:fldChar w:fldCharType="separate"/>
            </w:r>
            <w:r w:rsidR="00E221E8" w:rsidRPr="00E221E8">
              <w:rPr>
                <w:noProof/>
                <w:webHidden/>
                <w:sz w:val="20"/>
                <w:szCs w:val="20"/>
              </w:rPr>
              <w:t>26</w:t>
            </w:r>
            <w:r w:rsidR="00E221E8" w:rsidRPr="00E221E8">
              <w:rPr>
                <w:noProof/>
                <w:webHidden/>
                <w:sz w:val="20"/>
                <w:szCs w:val="20"/>
              </w:rPr>
              <w:fldChar w:fldCharType="end"/>
            </w:r>
          </w:hyperlink>
        </w:p>
        <w:p w:rsidR="00E221E8" w:rsidRPr="00E221E8" w:rsidRDefault="008F4EAC">
          <w:pPr>
            <w:pStyle w:val="TOC2"/>
            <w:tabs>
              <w:tab w:val="left" w:pos="1276"/>
              <w:tab w:val="right" w:leader="dot" w:pos="9016"/>
            </w:tabs>
            <w:rPr>
              <w:rFonts w:asciiTheme="minorHAnsi" w:eastAsiaTheme="minorEastAsia" w:hAnsiTheme="minorHAnsi"/>
              <w:noProof/>
              <w:sz w:val="20"/>
              <w:szCs w:val="20"/>
              <w:lang w:eastAsia="en-AU"/>
            </w:rPr>
          </w:pPr>
          <w:hyperlink w:anchor="_Toc416360494" w:history="1">
            <w:r w:rsidR="00E221E8" w:rsidRPr="00E221E8">
              <w:rPr>
                <w:rStyle w:val="Hyperlink"/>
                <w:noProof/>
                <w:sz w:val="20"/>
                <w:szCs w:val="20"/>
              </w:rPr>
              <w:t>3.2</w:t>
            </w:r>
            <w:r w:rsidR="00E221E8" w:rsidRPr="00E221E8">
              <w:rPr>
                <w:rFonts w:asciiTheme="minorHAnsi" w:eastAsiaTheme="minorEastAsia" w:hAnsiTheme="minorHAnsi"/>
                <w:noProof/>
                <w:sz w:val="20"/>
                <w:szCs w:val="20"/>
                <w:lang w:eastAsia="en-AU"/>
              </w:rPr>
              <w:tab/>
            </w:r>
            <w:r w:rsidR="00E221E8" w:rsidRPr="00E221E8">
              <w:rPr>
                <w:rStyle w:val="Hyperlink"/>
                <w:noProof/>
                <w:sz w:val="20"/>
                <w:szCs w:val="20"/>
              </w:rPr>
              <w:t>Grain catchment areas by port</w:t>
            </w:r>
            <w:r w:rsidR="00E221E8" w:rsidRPr="00E221E8">
              <w:rPr>
                <w:noProof/>
                <w:webHidden/>
                <w:sz w:val="20"/>
                <w:szCs w:val="20"/>
              </w:rPr>
              <w:tab/>
            </w:r>
            <w:r w:rsidR="00E221E8" w:rsidRPr="00E221E8">
              <w:rPr>
                <w:noProof/>
                <w:webHidden/>
                <w:sz w:val="20"/>
                <w:szCs w:val="20"/>
              </w:rPr>
              <w:fldChar w:fldCharType="begin"/>
            </w:r>
            <w:r w:rsidR="00E221E8" w:rsidRPr="00E221E8">
              <w:rPr>
                <w:noProof/>
                <w:webHidden/>
                <w:sz w:val="20"/>
                <w:szCs w:val="20"/>
              </w:rPr>
              <w:instrText xml:space="preserve"> PAGEREF _Toc416360494 \h </w:instrText>
            </w:r>
            <w:r w:rsidR="00E221E8" w:rsidRPr="00E221E8">
              <w:rPr>
                <w:noProof/>
                <w:webHidden/>
                <w:sz w:val="20"/>
                <w:szCs w:val="20"/>
              </w:rPr>
            </w:r>
            <w:r w:rsidR="00E221E8" w:rsidRPr="00E221E8">
              <w:rPr>
                <w:noProof/>
                <w:webHidden/>
                <w:sz w:val="20"/>
                <w:szCs w:val="20"/>
              </w:rPr>
              <w:fldChar w:fldCharType="separate"/>
            </w:r>
            <w:r w:rsidR="00E221E8" w:rsidRPr="00E221E8">
              <w:rPr>
                <w:noProof/>
                <w:webHidden/>
                <w:sz w:val="20"/>
                <w:szCs w:val="20"/>
              </w:rPr>
              <w:t>34</w:t>
            </w:r>
            <w:r w:rsidR="00E221E8" w:rsidRPr="00E221E8">
              <w:rPr>
                <w:noProof/>
                <w:webHidden/>
                <w:sz w:val="20"/>
                <w:szCs w:val="20"/>
              </w:rPr>
              <w:fldChar w:fldCharType="end"/>
            </w:r>
          </w:hyperlink>
        </w:p>
        <w:p w:rsidR="00E221E8" w:rsidRPr="00E221E8" w:rsidRDefault="008F4EAC">
          <w:pPr>
            <w:pStyle w:val="TOC2"/>
            <w:tabs>
              <w:tab w:val="left" w:pos="1276"/>
              <w:tab w:val="right" w:leader="dot" w:pos="9016"/>
            </w:tabs>
            <w:rPr>
              <w:rFonts w:asciiTheme="minorHAnsi" w:eastAsiaTheme="minorEastAsia" w:hAnsiTheme="minorHAnsi"/>
              <w:noProof/>
              <w:sz w:val="20"/>
              <w:szCs w:val="20"/>
              <w:lang w:eastAsia="en-AU"/>
            </w:rPr>
          </w:pPr>
          <w:hyperlink w:anchor="_Toc416360495" w:history="1">
            <w:r w:rsidR="00E221E8" w:rsidRPr="00E221E8">
              <w:rPr>
                <w:rStyle w:val="Hyperlink"/>
                <w:noProof/>
                <w:sz w:val="20"/>
                <w:szCs w:val="20"/>
              </w:rPr>
              <w:t>3.3</w:t>
            </w:r>
            <w:r w:rsidR="00E221E8" w:rsidRPr="00E221E8">
              <w:rPr>
                <w:rFonts w:asciiTheme="minorHAnsi" w:eastAsiaTheme="minorEastAsia" w:hAnsiTheme="minorHAnsi"/>
                <w:noProof/>
                <w:sz w:val="20"/>
                <w:szCs w:val="20"/>
                <w:lang w:eastAsia="en-AU"/>
              </w:rPr>
              <w:tab/>
            </w:r>
            <w:r w:rsidR="00E221E8" w:rsidRPr="00E221E8">
              <w:rPr>
                <w:rStyle w:val="Hyperlink"/>
                <w:noProof/>
                <w:sz w:val="20"/>
                <w:szCs w:val="20"/>
              </w:rPr>
              <w:t>Containerised exports</w:t>
            </w:r>
            <w:r w:rsidR="00E221E8" w:rsidRPr="00E221E8">
              <w:rPr>
                <w:noProof/>
                <w:webHidden/>
                <w:sz w:val="20"/>
                <w:szCs w:val="20"/>
              </w:rPr>
              <w:tab/>
            </w:r>
            <w:r w:rsidR="00E221E8" w:rsidRPr="00E221E8">
              <w:rPr>
                <w:noProof/>
                <w:webHidden/>
                <w:sz w:val="20"/>
                <w:szCs w:val="20"/>
              </w:rPr>
              <w:fldChar w:fldCharType="begin"/>
            </w:r>
            <w:r w:rsidR="00E221E8" w:rsidRPr="00E221E8">
              <w:rPr>
                <w:noProof/>
                <w:webHidden/>
                <w:sz w:val="20"/>
                <w:szCs w:val="20"/>
              </w:rPr>
              <w:instrText xml:space="preserve"> PAGEREF _Toc416360495 \h </w:instrText>
            </w:r>
            <w:r w:rsidR="00E221E8" w:rsidRPr="00E221E8">
              <w:rPr>
                <w:noProof/>
                <w:webHidden/>
                <w:sz w:val="20"/>
                <w:szCs w:val="20"/>
              </w:rPr>
            </w:r>
            <w:r w:rsidR="00E221E8" w:rsidRPr="00E221E8">
              <w:rPr>
                <w:noProof/>
                <w:webHidden/>
                <w:sz w:val="20"/>
                <w:szCs w:val="20"/>
              </w:rPr>
              <w:fldChar w:fldCharType="separate"/>
            </w:r>
            <w:r w:rsidR="00E221E8" w:rsidRPr="00E221E8">
              <w:rPr>
                <w:noProof/>
                <w:webHidden/>
                <w:sz w:val="20"/>
                <w:szCs w:val="20"/>
              </w:rPr>
              <w:t>42</w:t>
            </w:r>
            <w:r w:rsidR="00E221E8" w:rsidRPr="00E221E8">
              <w:rPr>
                <w:noProof/>
                <w:webHidden/>
                <w:sz w:val="20"/>
                <w:szCs w:val="20"/>
              </w:rPr>
              <w:fldChar w:fldCharType="end"/>
            </w:r>
          </w:hyperlink>
        </w:p>
        <w:p w:rsidR="00E221E8" w:rsidRPr="00E221E8" w:rsidRDefault="008F4EAC">
          <w:pPr>
            <w:pStyle w:val="TOC2"/>
            <w:tabs>
              <w:tab w:val="left" w:pos="1276"/>
              <w:tab w:val="right" w:leader="dot" w:pos="9016"/>
            </w:tabs>
            <w:rPr>
              <w:rFonts w:asciiTheme="minorHAnsi" w:eastAsiaTheme="minorEastAsia" w:hAnsiTheme="minorHAnsi"/>
              <w:noProof/>
              <w:sz w:val="20"/>
              <w:szCs w:val="20"/>
              <w:lang w:eastAsia="en-AU"/>
            </w:rPr>
          </w:pPr>
          <w:hyperlink w:anchor="_Toc416360496" w:history="1">
            <w:r w:rsidR="00E221E8" w:rsidRPr="00E221E8">
              <w:rPr>
                <w:rStyle w:val="Hyperlink"/>
                <w:noProof/>
                <w:sz w:val="20"/>
                <w:szCs w:val="20"/>
              </w:rPr>
              <w:t>3.4</w:t>
            </w:r>
            <w:r w:rsidR="00E221E8" w:rsidRPr="00E221E8">
              <w:rPr>
                <w:rFonts w:asciiTheme="minorHAnsi" w:eastAsiaTheme="minorEastAsia" w:hAnsiTheme="minorHAnsi"/>
                <w:noProof/>
                <w:sz w:val="20"/>
                <w:szCs w:val="20"/>
                <w:lang w:eastAsia="en-AU"/>
              </w:rPr>
              <w:tab/>
            </w:r>
            <w:r w:rsidR="00E221E8" w:rsidRPr="00E221E8">
              <w:rPr>
                <w:rStyle w:val="Hyperlink"/>
                <w:noProof/>
                <w:sz w:val="20"/>
                <w:szCs w:val="20"/>
              </w:rPr>
              <w:t>Domestic demand for grain</w:t>
            </w:r>
            <w:r w:rsidR="00E221E8" w:rsidRPr="00E221E8">
              <w:rPr>
                <w:noProof/>
                <w:webHidden/>
                <w:sz w:val="20"/>
                <w:szCs w:val="20"/>
              </w:rPr>
              <w:tab/>
            </w:r>
            <w:r w:rsidR="00E221E8" w:rsidRPr="00E221E8">
              <w:rPr>
                <w:noProof/>
                <w:webHidden/>
                <w:sz w:val="20"/>
                <w:szCs w:val="20"/>
              </w:rPr>
              <w:fldChar w:fldCharType="begin"/>
            </w:r>
            <w:r w:rsidR="00E221E8" w:rsidRPr="00E221E8">
              <w:rPr>
                <w:noProof/>
                <w:webHidden/>
                <w:sz w:val="20"/>
                <w:szCs w:val="20"/>
              </w:rPr>
              <w:instrText xml:space="preserve"> PAGEREF _Toc416360496 \h </w:instrText>
            </w:r>
            <w:r w:rsidR="00E221E8" w:rsidRPr="00E221E8">
              <w:rPr>
                <w:noProof/>
                <w:webHidden/>
                <w:sz w:val="20"/>
                <w:szCs w:val="20"/>
              </w:rPr>
            </w:r>
            <w:r w:rsidR="00E221E8" w:rsidRPr="00E221E8">
              <w:rPr>
                <w:noProof/>
                <w:webHidden/>
                <w:sz w:val="20"/>
                <w:szCs w:val="20"/>
              </w:rPr>
              <w:fldChar w:fldCharType="separate"/>
            </w:r>
            <w:r w:rsidR="00E221E8" w:rsidRPr="00E221E8">
              <w:rPr>
                <w:noProof/>
                <w:webHidden/>
                <w:sz w:val="20"/>
                <w:szCs w:val="20"/>
              </w:rPr>
              <w:t>45</w:t>
            </w:r>
            <w:r w:rsidR="00E221E8" w:rsidRPr="00E221E8">
              <w:rPr>
                <w:noProof/>
                <w:webHidden/>
                <w:sz w:val="20"/>
                <w:szCs w:val="20"/>
              </w:rPr>
              <w:fldChar w:fldCharType="end"/>
            </w:r>
          </w:hyperlink>
        </w:p>
        <w:p w:rsidR="00E221E8" w:rsidRPr="00E221E8" w:rsidRDefault="008F4EAC">
          <w:pPr>
            <w:pStyle w:val="TOC1"/>
            <w:tabs>
              <w:tab w:val="left" w:pos="1276"/>
            </w:tabs>
            <w:rPr>
              <w:rFonts w:asciiTheme="minorHAnsi" w:eastAsiaTheme="minorEastAsia" w:hAnsiTheme="minorHAnsi"/>
              <w:noProof/>
              <w:sz w:val="20"/>
              <w:szCs w:val="20"/>
              <w:lang w:eastAsia="en-AU"/>
            </w:rPr>
          </w:pPr>
          <w:hyperlink w:anchor="_Toc416360497" w:history="1">
            <w:r w:rsidR="00E221E8" w:rsidRPr="00E221E8">
              <w:rPr>
                <w:rStyle w:val="Hyperlink"/>
                <w:noProof/>
                <w:sz w:val="20"/>
                <w:szCs w:val="20"/>
              </w:rPr>
              <w:t>4</w:t>
            </w:r>
            <w:r w:rsidR="00E221E8" w:rsidRPr="00E221E8">
              <w:rPr>
                <w:rFonts w:asciiTheme="minorHAnsi" w:eastAsiaTheme="minorEastAsia" w:hAnsiTheme="minorHAnsi"/>
                <w:noProof/>
                <w:sz w:val="20"/>
                <w:szCs w:val="20"/>
                <w:lang w:eastAsia="en-AU"/>
              </w:rPr>
              <w:tab/>
            </w:r>
            <w:r w:rsidR="00E221E8" w:rsidRPr="00E221E8">
              <w:rPr>
                <w:rStyle w:val="Hyperlink"/>
                <w:noProof/>
                <w:sz w:val="20"/>
                <w:szCs w:val="20"/>
              </w:rPr>
              <w:t>ACCC’s preliminary exemption assessment of Emerald’s Melbourne Port Terminal</w:t>
            </w:r>
            <w:r w:rsidR="00E221E8" w:rsidRPr="00E221E8">
              <w:rPr>
                <w:noProof/>
                <w:webHidden/>
                <w:sz w:val="20"/>
                <w:szCs w:val="20"/>
              </w:rPr>
              <w:tab/>
            </w:r>
            <w:r w:rsidR="00E221E8" w:rsidRPr="00E221E8">
              <w:rPr>
                <w:noProof/>
                <w:webHidden/>
                <w:sz w:val="20"/>
                <w:szCs w:val="20"/>
              </w:rPr>
              <w:fldChar w:fldCharType="begin"/>
            </w:r>
            <w:r w:rsidR="00E221E8" w:rsidRPr="00E221E8">
              <w:rPr>
                <w:noProof/>
                <w:webHidden/>
                <w:sz w:val="20"/>
                <w:szCs w:val="20"/>
              </w:rPr>
              <w:instrText xml:space="preserve"> PAGEREF _Toc416360497 \h </w:instrText>
            </w:r>
            <w:r w:rsidR="00E221E8" w:rsidRPr="00E221E8">
              <w:rPr>
                <w:noProof/>
                <w:webHidden/>
                <w:sz w:val="20"/>
                <w:szCs w:val="20"/>
              </w:rPr>
            </w:r>
            <w:r w:rsidR="00E221E8" w:rsidRPr="00E221E8">
              <w:rPr>
                <w:noProof/>
                <w:webHidden/>
                <w:sz w:val="20"/>
                <w:szCs w:val="20"/>
              </w:rPr>
              <w:fldChar w:fldCharType="separate"/>
            </w:r>
            <w:r w:rsidR="00E221E8" w:rsidRPr="00E221E8">
              <w:rPr>
                <w:noProof/>
                <w:webHidden/>
                <w:sz w:val="20"/>
                <w:szCs w:val="20"/>
              </w:rPr>
              <w:t>47</w:t>
            </w:r>
            <w:r w:rsidR="00E221E8" w:rsidRPr="00E221E8">
              <w:rPr>
                <w:noProof/>
                <w:webHidden/>
                <w:sz w:val="20"/>
                <w:szCs w:val="20"/>
              </w:rPr>
              <w:fldChar w:fldCharType="end"/>
            </w:r>
          </w:hyperlink>
        </w:p>
        <w:p w:rsidR="00E221E8" w:rsidRPr="00E221E8" w:rsidRDefault="008F4EAC">
          <w:pPr>
            <w:pStyle w:val="TOC1"/>
            <w:tabs>
              <w:tab w:val="left" w:pos="1276"/>
            </w:tabs>
            <w:rPr>
              <w:rFonts w:asciiTheme="minorHAnsi" w:eastAsiaTheme="minorEastAsia" w:hAnsiTheme="minorHAnsi"/>
              <w:noProof/>
              <w:sz w:val="20"/>
              <w:szCs w:val="20"/>
              <w:lang w:eastAsia="en-AU"/>
            </w:rPr>
          </w:pPr>
          <w:hyperlink w:anchor="_Toc416360498" w:history="1">
            <w:r w:rsidR="00E221E8" w:rsidRPr="00E221E8">
              <w:rPr>
                <w:rStyle w:val="Hyperlink"/>
                <w:noProof/>
                <w:sz w:val="20"/>
                <w:szCs w:val="20"/>
              </w:rPr>
              <w:t>5</w:t>
            </w:r>
            <w:r w:rsidR="00E221E8" w:rsidRPr="00E221E8">
              <w:rPr>
                <w:rFonts w:asciiTheme="minorHAnsi" w:eastAsiaTheme="minorEastAsia" w:hAnsiTheme="minorHAnsi"/>
                <w:noProof/>
                <w:sz w:val="20"/>
                <w:szCs w:val="20"/>
                <w:lang w:eastAsia="en-AU"/>
              </w:rPr>
              <w:tab/>
            </w:r>
            <w:r w:rsidR="00E221E8" w:rsidRPr="00E221E8">
              <w:rPr>
                <w:rStyle w:val="Hyperlink"/>
                <w:noProof/>
                <w:sz w:val="20"/>
                <w:szCs w:val="20"/>
              </w:rPr>
              <w:t>ACCC’s preliminary exemption assessment of GrainCorp’s Geelong port terminal</w:t>
            </w:r>
            <w:r w:rsidR="00E221E8" w:rsidRPr="00E221E8">
              <w:rPr>
                <w:noProof/>
                <w:webHidden/>
                <w:sz w:val="20"/>
                <w:szCs w:val="20"/>
              </w:rPr>
              <w:tab/>
            </w:r>
            <w:r w:rsidR="00E221E8" w:rsidRPr="00E221E8">
              <w:rPr>
                <w:noProof/>
                <w:webHidden/>
                <w:sz w:val="20"/>
                <w:szCs w:val="20"/>
              </w:rPr>
              <w:fldChar w:fldCharType="begin"/>
            </w:r>
            <w:r w:rsidR="00E221E8" w:rsidRPr="00E221E8">
              <w:rPr>
                <w:noProof/>
                <w:webHidden/>
                <w:sz w:val="20"/>
                <w:szCs w:val="20"/>
              </w:rPr>
              <w:instrText xml:space="preserve"> PAGEREF _Toc416360498 \h </w:instrText>
            </w:r>
            <w:r w:rsidR="00E221E8" w:rsidRPr="00E221E8">
              <w:rPr>
                <w:noProof/>
                <w:webHidden/>
                <w:sz w:val="20"/>
                <w:szCs w:val="20"/>
              </w:rPr>
            </w:r>
            <w:r w:rsidR="00E221E8" w:rsidRPr="00E221E8">
              <w:rPr>
                <w:noProof/>
                <w:webHidden/>
                <w:sz w:val="20"/>
                <w:szCs w:val="20"/>
              </w:rPr>
              <w:fldChar w:fldCharType="separate"/>
            </w:r>
            <w:r w:rsidR="00E221E8" w:rsidRPr="00E221E8">
              <w:rPr>
                <w:noProof/>
                <w:webHidden/>
                <w:sz w:val="20"/>
                <w:szCs w:val="20"/>
              </w:rPr>
              <w:t>54</w:t>
            </w:r>
            <w:r w:rsidR="00E221E8" w:rsidRPr="00E221E8">
              <w:rPr>
                <w:noProof/>
                <w:webHidden/>
                <w:sz w:val="20"/>
                <w:szCs w:val="20"/>
              </w:rPr>
              <w:fldChar w:fldCharType="end"/>
            </w:r>
          </w:hyperlink>
        </w:p>
        <w:p w:rsidR="00E221E8" w:rsidRPr="00E221E8" w:rsidRDefault="008F4EAC">
          <w:pPr>
            <w:pStyle w:val="TOC1"/>
            <w:tabs>
              <w:tab w:val="left" w:pos="1276"/>
            </w:tabs>
            <w:rPr>
              <w:rFonts w:asciiTheme="minorHAnsi" w:eastAsiaTheme="minorEastAsia" w:hAnsiTheme="minorHAnsi"/>
              <w:noProof/>
              <w:sz w:val="20"/>
              <w:szCs w:val="20"/>
              <w:lang w:eastAsia="en-AU"/>
            </w:rPr>
          </w:pPr>
          <w:hyperlink w:anchor="_Toc416360499" w:history="1">
            <w:r w:rsidR="00E221E8" w:rsidRPr="00E221E8">
              <w:rPr>
                <w:rStyle w:val="Hyperlink"/>
                <w:noProof/>
                <w:sz w:val="20"/>
                <w:szCs w:val="20"/>
              </w:rPr>
              <w:t>6</w:t>
            </w:r>
            <w:r w:rsidR="00E221E8" w:rsidRPr="00E221E8">
              <w:rPr>
                <w:rFonts w:asciiTheme="minorHAnsi" w:eastAsiaTheme="minorEastAsia" w:hAnsiTheme="minorHAnsi"/>
                <w:noProof/>
                <w:sz w:val="20"/>
                <w:szCs w:val="20"/>
                <w:lang w:eastAsia="en-AU"/>
              </w:rPr>
              <w:tab/>
            </w:r>
            <w:r w:rsidR="00E221E8" w:rsidRPr="00E221E8">
              <w:rPr>
                <w:rStyle w:val="Hyperlink"/>
                <w:noProof/>
                <w:sz w:val="20"/>
                <w:szCs w:val="20"/>
              </w:rPr>
              <w:t>ACCC’s preliminary exemption assessment of GrainCorp’s Portland port terminal</w:t>
            </w:r>
            <w:r w:rsidR="00E221E8" w:rsidRPr="00E221E8">
              <w:rPr>
                <w:noProof/>
                <w:webHidden/>
                <w:sz w:val="20"/>
                <w:szCs w:val="20"/>
              </w:rPr>
              <w:tab/>
            </w:r>
            <w:r w:rsidR="00E221E8" w:rsidRPr="00E221E8">
              <w:rPr>
                <w:noProof/>
                <w:webHidden/>
                <w:sz w:val="20"/>
                <w:szCs w:val="20"/>
              </w:rPr>
              <w:fldChar w:fldCharType="begin"/>
            </w:r>
            <w:r w:rsidR="00E221E8" w:rsidRPr="00E221E8">
              <w:rPr>
                <w:noProof/>
                <w:webHidden/>
                <w:sz w:val="20"/>
                <w:szCs w:val="20"/>
              </w:rPr>
              <w:instrText xml:space="preserve"> PAGEREF _Toc416360499 \h </w:instrText>
            </w:r>
            <w:r w:rsidR="00E221E8" w:rsidRPr="00E221E8">
              <w:rPr>
                <w:noProof/>
                <w:webHidden/>
                <w:sz w:val="20"/>
                <w:szCs w:val="20"/>
              </w:rPr>
            </w:r>
            <w:r w:rsidR="00E221E8" w:rsidRPr="00E221E8">
              <w:rPr>
                <w:noProof/>
                <w:webHidden/>
                <w:sz w:val="20"/>
                <w:szCs w:val="20"/>
              </w:rPr>
              <w:fldChar w:fldCharType="separate"/>
            </w:r>
            <w:r w:rsidR="00E221E8" w:rsidRPr="00E221E8">
              <w:rPr>
                <w:noProof/>
                <w:webHidden/>
                <w:sz w:val="20"/>
                <w:szCs w:val="20"/>
              </w:rPr>
              <w:t>61</w:t>
            </w:r>
            <w:r w:rsidR="00E221E8" w:rsidRPr="00E221E8">
              <w:rPr>
                <w:noProof/>
                <w:webHidden/>
                <w:sz w:val="20"/>
                <w:szCs w:val="20"/>
              </w:rPr>
              <w:fldChar w:fldCharType="end"/>
            </w:r>
          </w:hyperlink>
        </w:p>
        <w:p w:rsidR="00E221E8" w:rsidRPr="00E221E8" w:rsidRDefault="008F4EAC">
          <w:pPr>
            <w:pStyle w:val="TOC1"/>
            <w:tabs>
              <w:tab w:val="left" w:pos="1276"/>
            </w:tabs>
            <w:rPr>
              <w:rFonts w:asciiTheme="minorHAnsi" w:eastAsiaTheme="minorEastAsia" w:hAnsiTheme="minorHAnsi"/>
              <w:noProof/>
              <w:sz w:val="20"/>
              <w:szCs w:val="20"/>
              <w:lang w:eastAsia="en-AU"/>
            </w:rPr>
          </w:pPr>
          <w:hyperlink w:anchor="_Toc416360500" w:history="1">
            <w:r w:rsidR="00E221E8" w:rsidRPr="00E221E8">
              <w:rPr>
                <w:rStyle w:val="Hyperlink"/>
                <w:noProof/>
                <w:sz w:val="20"/>
                <w:szCs w:val="20"/>
              </w:rPr>
              <w:t>7</w:t>
            </w:r>
            <w:r w:rsidR="00E221E8" w:rsidRPr="00E221E8">
              <w:rPr>
                <w:rFonts w:asciiTheme="minorHAnsi" w:eastAsiaTheme="minorEastAsia" w:hAnsiTheme="minorHAnsi"/>
                <w:noProof/>
                <w:sz w:val="20"/>
                <w:szCs w:val="20"/>
                <w:lang w:eastAsia="en-AU"/>
              </w:rPr>
              <w:tab/>
            </w:r>
            <w:r w:rsidR="00E221E8" w:rsidRPr="00E221E8">
              <w:rPr>
                <w:rStyle w:val="Hyperlink"/>
                <w:noProof/>
                <w:sz w:val="20"/>
                <w:szCs w:val="20"/>
              </w:rPr>
              <w:t>ACCC’s draft determinations</w:t>
            </w:r>
            <w:r w:rsidR="00E221E8" w:rsidRPr="00E221E8">
              <w:rPr>
                <w:noProof/>
                <w:webHidden/>
                <w:sz w:val="20"/>
                <w:szCs w:val="20"/>
              </w:rPr>
              <w:tab/>
            </w:r>
            <w:r w:rsidR="00E221E8" w:rsidRPr="00E221E8">
              <w:rPr>
                <w:noProof/>
                <w:webHidden/>
                <w:sz w:val="20"/>
                <w:szCs w:val="20"/>
              </w:rPr>
              <w:fldChar w:fldCharType="begin"/>
            </w:r>
            <w:r w:rsidR="00E221E8" w:rsidRPr="00E221E8">
              <w:rPr>
                <w:noProof/>
                <w:webHidden/>
                <w:sz w:val="20"/>
                <w:szCs w:val="20"/>
              </w:rPr>
              <w:instrText xml:space="preserve"> PAGEREF _Toc416360500 \h </w:instrText>
            </w:r>
            <w:r w:rsidR="00E221E8" w:rsidRPr="00E221E8">
              <w:rPr>
                <w:noProof/>
                <w:webHidden/>
                <w:sz w:val="20"/>
                <w:szCs w:val="20"/>
              </w:rPr>
            </w:r>
            <w:r w:rsidR="00E221E8" w:rsidRPr="00E221E8">
              <w:rPr>
                <w:noProof/>
                <w:webHidden/>
                <w:sz w:val="20"/>
                <w:szCs w:val="20"/>
              </w:rPr>
              <w:fldChar w:fldCharType="separate"/>
            </w:r>
            <w:r w:rsidR="00E221E8" w:rsidRPr="00E221E8">
              <w:rPr>
                <w:noProof/>
                <w:webHidden/>
                <w:sz w:val="20"/>
                <w:szCs w:val="20"/>
              </w:rPr>
              <w:t>68</w:t>
            </w:r>
            <w:r w:rsidR="00E221E8" w:rsidRPr="00E221E8">
              <w:rPr>
                <w:noProof/>
                <w:webHidden/>
                <w:sz w:val="20"/>
                <w:szCs w:val="20"/>
              </w:rPr>
              <w:fldChar w:fldCharType="end"/>
            </w:r>
          </w:hyperlink>
        </w:p>
        <w:p w:rsidR="005217BA" w:rsidRDefault="002E6359">
          <w:r w:rsidRPr="00E221E8">
            <w:rPr>
              <w:sz w:val="20"/>
              <w:szCs w:val="20"/>
            </w:rPr>
            <w:fldChar w:fldCharType="end"/>
          </w:r>
        </w:p>
      </w:sdtContent>
    </w:sdt>
    <w:p w:rsidR="008A1251" w:rsidRDefault="008A1251" w:rsidP="00B77B94">
      <w:pPr>
        <w:pStyle w:val="Heading1"/>
        <w:rPr>
          <w:rFonts w:eastAsia="Times New Roman" w:cs="Times New Roman"/>
          <w:b/>
          <w:iCs/>
          <w:sz w:val="28"/>
        </w:rPr>
        <w:sectPr w:rsidR="008A1251" w:rsidSect="00702C37">
          <w:pgSz w:w="11906" w:h="16838"/>
          <w:pgMar w:top="1440" w:right="1440" w:bottom="1440" w:left="1440" w:header="708" w:footer="708" w:gutter="0"/>
          <w:pgNumType w:fmt="lowerRoman" w:start="1"/>
          <w:cols w:space="708"/>
          <w:docGrid w:linePitch="360"/>
        </w:sectPr>
      </w:pPr>
      <w:bookmarkStart w:id="29" w:name="_Toc406090278"/>
      <w:bookmarkStart w:id="30" w:name="_Toc330462894"/>
      <w:bookmarkStart w:id="31" w:name="_Toc330463140"/>
      <w:bookmarkStart w:id="32" w:name="_Toc357500208"/>
      <w:bookmarkStart w:id="33" w:name="_Toc357502523"/>
      <w:bookmarkStart w:id="34" w:name="_Toc387240625"/>
      <w:bookmarkStart w:id="35" w:name="_Toc393960262"/>
      <w:bookmarkEnd w:id="9"/>
      <w:bookmarkEnd w:id="10"/>
      <w:bookmarkEnd w:id="11"/>
      <w:bookmarkEnd w:id="12"/>
      <w:bookmarkEnd w:id="13"/>
      <w:bookmarkEnd w:id="14"/>
      <w:bookmarkEnd w:id="15"/>
      <w:bookmarkEnd w:id="16"/>
      <w:bookmarkEnd w:id="17"/>
      <w:bookmarkEnd w:id="18"/>
      <w:bookmarkEnd w:id="19"/>
      <w:bookmarkEnd w:id="20"/>
    </w:p>
    <w:p w:rsidR="008339F4" w:rsidRDefault="008339F4" w:rsidP="00B77B94">
      <w:pPr>
        <w:pStyle w:val="Heading1"/>
      </w:pPr>
      <w:bookmarkStart w:id="36" w:name="_Toc416360480"/>
      <w:r>
        <w:lastRenderedPageBreak/>
        <w:t>Introduction</w:t>
      </w:r>
      <w:bookmarkEnd w:id="29"/>
      <w:bookmarkEnd w:id="36"/>
    </w:p>
    <w:p w:rsidR="008339F4" w:rsidRDefault="008339F4" w:rsidP="008339F4">
      <w:pPr>
        <w:spacing w:before="240"/>
      </w:pPr>
      <w:r>
        <w:t xml:space="preserve">The </w:t>
      </w:r>
      <w:r w:rsidRPr="004A4FF5">
        <w:t>Port Terminal Access (Bulk Wheat) Code of Conduct</w:t>
      </w:r>
      <w:r>
        <w:t xml:space="preserve"> (the Code) was made under section 51AE of the Competition and Consumer Act 2010 (CCA). It commenced on 30 September 2014 and regulates the conduct of bulk wheat port terminal service providers. The Code replaced the previous regulatory framework under the </w:t>
      </w:r>
      <w:r w:rsidRPr="00542469">
        <w:rPr>
          <w:i/>
        </w:rPr>
        <w:t>Wheat Export Marketing Act 2008</w:t>
      </w:r>
      <w:r>
        <w:t xml:space="preserve"> (WEMA) where four port terminal service providers (including GrainCorp and Emerald) were subject </w:t>
      </w:r>
      <w:r w:rsidRPr="00542469">
        <w:t>to ACCC-approved access undertakings</w:t>
      </w:r>
      <w:r>
        <w:t>.</w:t>
      </w:r>
    </w:p>
    <w:p w:rsidR="008339F4" w:rsidRDefault="008339F4" w:rsidP="008339F4">
      <w:pPr>
        <w:spacing w:before="240"/>
      </w:pPr>
      <w:r w:rsidRPr="006C5FF5">
        <w:t xml:space="preserve">The purpose of the Code is to regulate the conduct of port terminal service providers </w:t>
      </w:r>
      <w:r>
        <w:t xml:space="preserve">(as defined in the Code) </w:t>
      </w:r>
      <w:r w:rsidRPr="006C5FF5">
        <w:t>to ensure that exporters of bulk wheat have fair and transparent ac</w:t>
      </w:r>
      <w:r>
        <w:t>cess to port terminal services.</w:t>
      </w:r>
      <w:r>
        <w:rPr>
          <w:rStyle w:val="FootnoteReference"/>
        </w:rPr>
        <w:footnoteReference w:id="1"/>
      </w:r>
    </w:p>
    <w:p w:rsidR="008339F4" w:rsidRDefault="008339F4" w:rsidP="002E0669">
      <w:pPr>
        <w:pStyle w:val="Heading2"/>
      </w:pPr>
      <w:bookmarkStart w:id="37" w:name="_Toc406090279"/>
      <w:bookmarkStart w:id="38" w:name="_Toc416360481"/>
      <w:r>
        <w:t>The Code</w:t>
      </w:r>
      <w:bookmarkEnd w:id="37"/>
      <w:bookmarkEnd w:id="38"/>
    </w:p>
    <w:p w:rsidR="008339F4" w:rsidRDefault="008339F4" w:rsidP="008339F4">
      <w:pPr>
        <w:spacing w:before="240"/>
      </w:pPr>
      <w:r>
        <w:t>The Code applies to port terminal service providers. A port terminal service provider is defined as:</w:t>
      </w:r>
    </w:p>
    <w:p w:rsidR="008339F4" w:rsidRDefault="008339F4" w:rsidP="008339F4">
      <w:pPr>
        <w:spacing w:before="240"/>
        <w:ind w:left="720"/>
      </w:pPr>
      <w:r>
        <w:t>the owner or operator of a port terminal facility that is used, or is to be used, to provide a port terminal service.</w:t>
      </w:r>
    </w:p>
    <w:p w:rsidR="008339F4" w:rsidRDefault="008339F4" w:rsidP="008339F4">
      <w:pPr>
        <w:pStyle w:val="ListNumber"/>
        <w:numPr>
          <w:ilvl w:val="0"/>
          <w:numId w:val="0"/>
        </w:numPr>
        <w:ind w:left="360"/>
      </w:pPr>
      <w:r>
        <w:t xml:space="preserve">where: </w:t>
      </w:r>
    </w:p>
    <w:p w:rsidR="008339F4" w:rsidRDefault="008339F4" w:rsidP="008339F4">
      <w:pPr>
        <w:pStyle w:val="ListNumber"/>
        <w:numPr>
          <w:ilvl w:val="0"/>
          <w:numId w:val="0"/>
        </w:numPr>
        <w:ind w:left="360"/>
      </w:pPr>
    </w:p>
    <w:p w:rsidR="008339F4" w:rsidRDefault="008339F4" w:rsidP="008339F4">
      <w:pPr>
        <w:pStyle w:val="ListNumber"/>
        <w:numPr>
          <w:ilvl w:val="0"/>
          <w:numId w:val="0"/>
        </w:numPr>
        <w:ind w:left="720"/>
      </w:pPr>
      <w:r w:rsidRPr="00CC419A">
        <w:rPr>
          <w:b/>
        </w:rPr>
        <w:t>port terminal service</w:t>
      </w:r>
      <w:r w:rsidRPr="007940C6">
        <w:t xml:space="preserve"> means a service (within the meaning of Part IIIA of the </w:t>
      </w:r>
      <w:r w:rsidRPr="005422AE">
        <w:t>CCA</w:t>
      </w:r>
      <w:r>
        <w:t>)</w:t>
      </w:r>
      <w:r w:rsidRPr="007940C6">
        <w:t xml:space="preserve"> provided by means of a port terminal facility, and includes the use of a port terminal facility.</w:t>
      </w:r>
      <w:r>
        <w:t xml:space="preserve"> </w:t>
      </w:r>
    </w:p>
    <w:p w:rsidR="008339F4" w:rsidRDefault="008339F4" w:rsidP="008339F4">
      <w:pPr>
        <w:pStyle w:val="ListNumber"/>
        <w:numPr>
          <w:ilvl w:val="0"/>
          <w:numId w:val="0"/>
        </w:numPr>
        <w:ind w:left="360"/>
      </w:pPr>
    </w:p>
    <w:p w:rsidR="008339F4" w:rsidRDefault="008339F4" w:rsidP="008339F4">
      <w:pPr>
        <w:pStyle w:val="ListNumber"/>
        <w:numPr>
          <w:ilvl w:val="0"/>
          <w:numId w:val="0"/>
        </w:numPr>
        <w:ind w:left="360"/>
      </w:pPr>
      <w:r>
        <w:t xml:space="preserve">and: </w:t>
      </w:r>
    </w:p>
    <w:p w:rsidR="008339F4" w:rsidRPr="000677D8" w:rsidRDefault="008339F4" w:rsidP="008339F4">
      <w:pPr>
        <w:pStyle w:val="FootnoteText"/>
        <w:ind w:firstLine="720"/>
        <w:rPr>
          <w:sz w:val="22"/>
          <w:szCs w:val="22"/>
        </w:rPr>
      </w:pPr>
      <w:r w:rsidRPr="000677D8">
        <w:rPr>
          <w:b/>
          <w:sz w:val="22"/>
          <w:szCs w:val="22"/>
        </w:rPr>
        <w:t>port terminal facility</w:t>
      </w:r>
      <w:r w:rsidRPr="000677D8">
        <w:rPr>
          <w:sz w:val="22"/>
          <w:szCs w:val="22"/>
        </w:rPr>
        <w:t xml:space="preserve"> means a ship loader that is:</w:t>
      </w:r>
    </w:p>
    <w:p w:rsidR="008339F4" w:rsidRPr="005422AE" w:rsidRDefault="008339F4" w:rsidP="00BA477D">
      <w:pPr>
        <w:pStyle w:val="FootnoteText"/>
        <w:spacing w:after="0"/>
        <w:ind w:left="720" w:firstLine="720"/>
        <w:rPr>
          <w:sz w:val="22"/>
          <w:szCs w:val="22"/>
        </w:rPr>
      </w:pPr>
      <w:r w:rsidRPr="005422AE">
        <w:rPr>
          <w:sz w:val="22"/>
          <w:szCs w:val="22"/>
        </w:rPr>
        <w:t>(a)</w:t>
      </w:r>
      <w:r w:rsidRPr="005422AE">
        <w:rPr>
          <w:sz w:val="22"/>
          <w:szCs w:val="22"/>
        </w:rPr>
        <w:tab/>
        <w:t>at a port; and</w:t>
      </w:r>
    </w:p>
    <w:p w:rsidR="008339F4" w:rsidRPr="005422AE" w:rsidRDefault="008339F4" w:rsidP="00BA477D">
      <w:pPr>
        <w:pStyle w:val="FootnoteText"/>
        <w:spacing w:after="0"/>
        <w:rPr>
          <w:sz w:val="22"/>
          <w:szCs w:val="22"/>
        </w:rPr>
      </w:pPr>
      <w:r w:rsidRPr="005422AE">
        <w:rPr>
          <w:sz w:val="22"/>
          <w:szCs w:val="22"/>
        </w:rPr>
        <w:tab/>
      </w:r>
      <w:r w:rsidRPr="005422AE">
        <w:rPr>
          <w:sz w:val="22"/>
          <w:szCs w:val="22"/>
        </w:rPr>
        <w:tab/>
        <w:t>(b)</w:t>
      </w:r>
      <w:r w:rsidRPr="005422AE">
        <w:rPr>
          <w:sz w:val="22"/>
          <w:szCs w:val="22"/>
        </w:rPr>
        <w:tab/>
        <w:t xml:space="preserve">capable of handling bulk wheat; </w:t>
      </w:r>
    </w:p>
    <w:p w:rsidR="008339F4" w:rsidRPr="005422AE" w:rsidRDefault="008339F4" w:rsidP="00BA477D">
      <w:pPr>
        <w:pStyle w:val="FootnoteText"/>
        <w:spacing w:after="0"/>
        <w:ind w:left="720"/>
        <w:rPr>
          <w:sz w:val="22"/>
          <w:szCs w:val="22"/>
        </w:rPr>
      </w:pPr>
      <w:r w:rsidRPr="005422AE">
        <w:rPr>
          <w:sz w:val="22"/>
          <w:szCs w:val="22"/>
        </w:rPr>
        <w:t>and includes any of the following facilities, situated at the port and associated with the ship loader, that are capable of handling bulk wheat:</w:t>
      </w:r>
    </w:p>
    <w:p w:rsidR="008339F4" w:rsidRPr="005422AE" w:rsidRDefault="008339F4" w:rsidP="00BA477D">
      <w:pPr>
        <w:pStyle w:val="FootnoteText"/>
        <w:spacing w:after="0"/>
        <w:rPr>
          <w:sz w:val="22"/>
          <w:szCs w:val="22"/>
        </w:rPr>
      </w:pPr>
      <w:r w:rsidRPr="005422AE">
        <w:rPr>
          <w:sz w:val="22"/>
          <w:szCs w:val="22"/>
        </w:rPr>
        <w:tab/>
      </w:r>
      <w:r w:rsidRPr="005422AE">
        <w:rPr>
          <w:sz w:val="22"/>
          <w:szCs w:val="22"/>
        </w:rPr>
        <w:tab/>
        <w:t>(c)</w:t>
      </w:r>
      <w:r w:rsidRPr="005422AE">
        <w:rPr>
          <w:sz w:val="22"/>
          <w:szCs w:val="22"/>
        </w:rPr>
        <w:tab/>
        <w:t>an intake/receival facility;</w:t>
      </w:r>
    </w:p>
    <w:p w:rsidR="008339F4" w:rsidRPr="005422AE" w:rsidRDefault="008339F4" w:rsidP="00BA477D">
      <w:pPr>
        <w:pStyle w:val="FootnoteText"/>
        <w:spacing w:after="0"/>
        <w:rPr>
          <w:sz w:val="22"/>
          <w:szCs w:val="22"/>
        </w:rPr>
      </w:pPr>
      <w:r w:rsidRPr="005422AE">
        <w:rPr>
          <w:sz w:val="22"/>
          <w:szCs w:val="22"/>
        </w:rPr>
        <w:tab/>
      </w:r>
      <w:r w:rsidRPr="005422AE">
        <w:rPr>
          <w:sz w:val="22"/>
          <w:szCs w:val="22"/>
        </w:rPr>
        <w:tab/>
        <w:t>(d)</w:t>
      </w:r>
      <w:r w:rsidRPr="005422AE">
        <w:rPr>
          <w:sz w:val="22"/>
          <w:szCs w:val="22"/>
        </w:rPr>
        <w:tab/>
        <w:t>a grain storage facility;</w:t>
      </w:r>
    </w:p>
    <w:p w:rsidR="008339F4" w:rsidRPr="005422AE" w:rsidRDefault="008339F4" w:rsidP="00BA477D">
      <w:pPr>
        <w:pStyle w:val="FootnoteText"/>
        <w:spacing w:after="0"/>
        <w:rPr>
          <w:sz w:val="22"/>
          <w:szCs w:val="22"/>
        </w:rPr>
      </w:pPr>
      <w:r w:rsidRPr="005422AE">
        <w:rPr>
          <w:sz w:val="22"/>
          <w:szCs w:val="22"/>
        </w:rPr>
        <w:tab/>
      </w:r>
      <w:r w:rsidRPr="005422AE">
        <w:rPr>
          <w:sz w:val="22"/>
          <w:szCs w:val="22"/>
        </w:rPr>
        <w:tab/>
        <w:t>(e)</w:t>
      </w:r>
      <w:r w:rsidRPr="005422AE">
        <w:rPr>
          <w:sz w:val="22"/>
          <w:szCs w:val="22"/>
        </w:rPr>
        <w:tab/>
        <w:t>a weighing facility;</w:t>
      </w:r>
    </w:p>
    <w:p w:rsidR="008339F4" w:rsidRPr="000677D8" w:rsidRDefault="008339F4" w:rsidP="00BA477D">
      <w:pPr>
        <w:pStyle w:val="FootnoteText"/>
        <w:spacing w:after="0"/>
        <w:rPr>
          <w:sz w:val="22"/>
          <w:szCs w:val="22"/>
        </w:rPr>
      </w:pPr>
      <w:r w:rsidRPr="000677D8">
        <w:rPr>
          <w:sz w:val="22"/>
          <w:szCs w:val="22"/>
        </w:rPr>
        <w:tab/>
      </w:r>
      <w:r w:rsidRPr="000677D8">
        <w:rPr>
          <w:sz w:val="22"/>
          <w:szCs w:val="22"/>
        </w:rPr>
        <w:tab/>
        <w:t>(f)</w:t>
      </w:r>
      <w:r w:rsidRPr="000677D8">
        <w:rPr>
          <w:sz w:val="22"/>
          <w:szCs w:val="22"/>
        </w:rPr>
        <w:tab/>
        <w:t>a shipping belt.</w:t>
      </w:r>
    </w:p>
    <w:p w:rsidR="008339F4" w:rsidRDefault="008339F4" w:rsidP="008339F4">
      <w:pPr>
        <w:spacing w:before="240"/>
      </w:pPr>
      <w:r>
        <w:t xml:space="preserve">The Code has six </w:t>
      </w:r>
      <w:r w:rsidR="009B423B">
        <w:t>p</w:t>
      </w:r>
      <w:r>
        <w:t>arts which apply to a</w:t>
      </w:r>
      <w:r w:rsidRPr="00DB4E54">
        <w:t>ll port terminal service providers</w:t>
      </w:r>
      <w:r>
        <w:t xml:space="preserve"> </w:t>
      </w:r>
      <w:r w:rsidR="00DA6AD9">
        <w:t>(in the absence of any exemption being granted):</w:t>
      </w:r>
      <w:r>
        <w:t xml:space="preserve"> </w:t>
      </w:r>
    </w:p>
    <w:p w:rsidR="008339F4" w:rsidRDefault="008339F4" w:rsidP="000059D2">
      <w:pPr>
        <w:pStyle w:val="ListParagraph"/>
        <w:numPr>
          <w:ilvl w:val="0"/>
          <w:numId w:val="11"/>
        </w:numPr>
        <w:spacing w:before="240"/>
        <w:ind w:left="714" w:hanging="357"/>
        <w:contextualSpacing w:val="0"/>
      </w:pPr>
      <w:r>
        <w:t>Part 1 of the Code contains general provisions about the Code</w:t>
      </w:r>
      <w:r w:rsidR="0053703A">
        <w:t xml:space="preserve"> and its application</w:t>
      </w:r>
      <w:r>
        <w:t>.</w:t>
      </w:r>
    </w:p>
    <w:p w:rsidR="008339F4" w:rsidRDefault="008339F4" w:rsidP="000059D2">
      <w:pPr>
        <w:pStyle w:val="ListParagraph"/>
        <w:numPr>
          <w:ilvl w:val="0"/>
          <w:numId w:val="11"/>
        </w:numPr>
        <w:spacing w:before="240"/>
        <w:ind w:left="714" w:hanging="357"/>
        <w:contextualSpacing w:val="0"/>
      </w:pPr>
      <w:r>
        <w:t>Part 2 of the Code requires all port terminal service providers to deal with exporters in good faith, publish a port loading statement and policies and procedures for managing demand for their services, and make current standard terms and reference prices for each port terminal facility publically available on their website.</w:t>
      </w:r>
    </w:p>
    <w:p w:rsidR="008339F4" w:rsidRDefault="008339F4" w:rsidP="000059D2">
      <w:pPr>
        <w:pStyle w:val="ListParagraph"/>
        <w:keepNext/>
        <w:numPr>
          <w:ilvl w:val="0"/>
          <w:numId w:val="11"/>
        </w:numPr>
        <w:spacing w:before="240"/>
        <w:ind w:left="714" w:hanging="357"/>
        <w:contextualSpacing w:val="0"/>
      </w:pPr>
      <w:r>
        <w:lastRenderedPageBreak/>
        <w:t xml:space="preserve">Part 3 of the Code </w:t>
      </w:r>
      <w:r w:rsidR="00F424B8">
        <w:t xml:space="preserve">places a number of </w:t>
      </w:r>
      <w:r>
        <w:t>require</w:t>
      </w:r>
      <w:r w:rsidR="00F424B8">
        <w:t xml:space="preserve">ments on </w:t>
      </w:r>
      <w:r>
        <w:t>a port terminal service provider</w:t>
      </w:r>
      <w:r w:rsidR="00F424B8">
        <w:t xml:space="preserve"> including</w:t>
      </w:r>
      <w:r>
        <w:t>:</w:t>
      </w:r>
    </w:p>
    <w:p w:rsidR="008339F4" w:rsidRDefault="008339F4" w:rsidP="000059D2">
      <w:pPr>
        <w:pStyle w:val="ListParagraph"/>
        <w:numPr>
          <w:ilvl w:val="0"/>
          <w:numId w:val="10"/>
        </w:numPr>
        <w:spacing w:before="240"/>
        <w:ind w:left="1134" w:hanging="425"/>
        <w:contextualSpacing w:val="0"/>
      </w:pPr>
      <w:r>
        <w:t>not to discriminate in favour of itself or its trading business</w:t>
      </w:r>
      <w:r w:rsidR="00F424B8">
        <w:t>,</w:t>
      </w:r>
      <w:r>
        <w:t xml:space="preserve"> or hinder third party exporters’ access to port terminal services</w:t>
      </w:r>
    </w:p>
    <w:p w:rsidR="008339F4" w:rsidRDefault="008339F4" w:rsidP="000059D2">
      <w:pPr>
        <w:pStyle w:val="ListParagraph"/>
        <w:numPr>
          <w:ilvl w:val="0"/>
          <w:numId w:val="10"/>
        </w:numPr>
        <w:spacing w:before="240"/>
        <w:ind w:left="1134" w:hanging="425"/>
        <w:contextualSpacing w:val="0"/>
      </w:pPr>
      <w:r>
        <w:t>to enter into an access agreement or negotiate the terms of an access agreement with an exporter to provide services if an exporter has applied to enter into an access agreement and certain criteria are satisfied</w:t>
      </w:r>
    </w:p>
    <w:p w:rsidR="008339F4" w:rsidRDefault="008339F4" w:rsidP="000059D2">
      <w:pPr>
        <w:pStyle w:val="ListParagraph"/>
        <w:numPr>
          <w:ilvl w:val="0"/>
          <w:numId w:val="10"/>
        </w:numPr>
        <w:spacing w:before="240"/>
        <w:ind w:left="1134" w:hanging="425"/>
        <w:contextualSpacing w:val="0"/>
      </w:pPr>
      <w:r>
        <w:t>to deal with disputes during negotiation via specified dispute resolution processes including mediation and arbitration.</w:t>
      </w:r>
    </w:p>
    <w:p w:rsidR="008339F4" w:rsidRDefault="008339F4" w:rsidP="000059D2">
      <w:pPr>
        <w:pStyle w:val="ListParagraph"/>
        <w:numPr>
          <w:ilvl w:val="0"/>
          <w:numId w:val="11"/>
        </w:numPr>
        <w:spacing w:before="240"/>
        <w:ind w:left="714" w:hanging="357"/>
        <w:contextualSpacing w:val="0"/>
      </w:pPr>
      <w:r>
        <w:t xml:space="preserve">Part 4 of the Code requires a port terminal service provider to have, publish and comply with a port loading protocol which includes an ACCC approved capacity allocation system. </w:t>
      </w:r>
    </w:p>
    <w:p w:rsidR="008339F4" w:rsidRDefault="008339F4" w:rsidP="000059D2">
      <w:pPr>
        <w:pStyle w:val="ListParagraph"/>
        <w:numPr>
          <w:ilvl w:val="0"/>
          <w:numId w:val="11"/>
        </w:numPr>
        <w:spacing w:before="240"/>
        <w:ind w:left="714" w:hanging="357"/>
        <w:contextualSpacing w:val="0"/>
      </w:pPr>
      <w:r>
        <w:t xml:space="preserve">Part 5 of the Code requires port terminal service providers to regularly publish expected capacity, stock information and key performance indicators. </w:t>
      </w:r>
    </w:p>
    <w:p w:rsidR="008339F4" w:rsidRDefault="008339F4" w:rsidP="000059D2">
      <w:pPr>
        <w:pStyle w:val="ListParagraph"/>
        <w:numPr>
          <w:ilvl w:val="0"/>
          <w:numId w:val="11"/>
        </w:numPr>
        <w:spacing w:before="240"/>
      </w:pPr>
      <w:r>
        <w:t xml:space="preserve">Part 6 </w:t>
      </w:r>
      <w:r w:rsidR="006150F7">
        <w:t xml:space="preserve">of the Code sets out requirements relating to </w:t>
      </w:r>
      <w:r>
        <w:t>retaining records such as access agreements and variations to those agreements.</w:t>
      </w:r>
    </w:p>
    <w:p w:rsidR="008339F4" w:rsidRDefault="008339F4" w:rsidP="002E0669">
      <w:pPr>
        <w:pStyle w:val="Heading2"/>
      </w:pPr>
      <w:bookmarkStart w:id="39" w:name="_Toc406090280"/>
      <w:bookmarkStart w:id="40" w:name="_Toc416360482"/>
      <w:r>
        <w:t>Exemption from the Code</w:t>
      </w:r>
      <w:bookmarkEnd w:id="39"/>
      <w:bookmarkEnd w:id="40"/>
    </w:p>
    <w:p w:rsidR="008339F4" w:rsidRDefault="008339F4" w:rsidP="008339F4">
      <w:pPr>
        <w:spacing w:before="240"/>
      </w:pPr>
      <w:r>
        <w:t xml:space="preserve">The Code provides for processes whereby the ACCC or the Minister for Agriculture may exempt </w:t>
      </w:r>
      <w:r w:rsidRPr="004E12DE">
        <w:t xml:space="preserve">a port terminal service provider from </w:t>
      </w:r>
      <w:r w:rsidR="00EB131B">
        <w:t>p</w:t>
      </w:r>
      <w:r>
        <w:t xml:space="preserve">arts 3 </w:t>
      </w:r>
      <w:r w:rsidR="007C129D">
        <w:t>to</w:t>
      </w:r>
      <w:r>
        <w:t xml:space="preserve"> 6 of the Code </w:t>
      </w:r>
      <w:r w:rsidRPr="004E12DE">
        <w:t xml:space="preserve">in relation to </w:t>
      </w:r>
      <w:r w:rsidR="006150F7">
        <w:t xml:space="preserve">port terminal services provided by means of </w:t>
      </w:r>
      <w:r w:rsidRPr="004E12DE">
        <w:t>a specified port terminal facility.</w:t>
      </w:r>
      <w:r>
        <w:t xml:space="preserve"> Exempt service providers face a lower level of regulation as they remain subject to only Parts 1 and 2 of the Code.</w:t>
      </w:r>
    </w:p>
    <w:p w:rsidR="008339F4" w:rsidRDefault="008339F4" w:rsidP="000059D2">
      <w:pPr>
        <w:pStyle w:val="Heading3"/>
      </w:pPr>
      <w:bookmarkStart w:id="41" w:name="_Toc406090281"/>
      <w:r>
        <w:t>ACCC exemption from the Code</w:t>
      </w:r>
      <w:bookmarkEnd w:id="41"/>
    </w:p>
    <w:p w:rsidR="008339F4" w:rsidDel="00BA472A" w:rsidRDefault="008339F4" w:rsidP="008339F4">
      <w:pPr>
        <w:spacing w:before="240"/>
      </w:pPr>
      <w:r w:rsidRPr="009F5F59">
        <w:t xml:space="preserve">Under clause 5(2) of the Code, the ACCC </w:t>
      </w:r>
      <w:r>
        <w:t>may make a determination to</w:t>
      </w:r>
      <w:r w:rsidRPr="009F5F59">
        <w:t xml:space="preserve"> exempt </w:t>
      </w:r>
      <w:r w:rsidR="00BC000F">
        <w:t xml:space="preserve">port terminal </w:t>
      </w:r>
      <w:r w:rsidRPr="009F5F59">
        <w:t xml:space="preserve">service providers in relation to </w:t>
      </w:r>
      <w:r w:rsidR="00BC000F">
        <w:t xml:space="preserve">port terminal </w:t>
      </w:r>
      <w:r w:rsidR="006150F7">
        <w:t>services provided by means</w:t>
      </w:r>
      <w:r w:rsidR="00BC000F">
        <w:t xml:space="preserve"> </w:t>
      </w:r>
      <w:r w:rsidR="006150F7">
        <w:t xml:space="preserve">of </w:t>
      </w:r>
      <w:r w:rsidRPr="009F5F59">
        <w:t>spec</w:t>
      </w:r>
      <w:r>
        <w:t>ified port terminal facilities (an exemption determination)</w:t>
      </w:r>
      <w:r w:rsidRPr="009F5F59">
        <w:t>.</w:t>
      </w:r>
      <w:r>
        <w:t xml:space="preserve"> In doing so </w:t>
      </w:r>
      <w:r w:rsidRPr="007E5AFD">
        <w:t xml:space="preserve">the ACCC must have regard to matters listed at subclause 5(3) of the Code </w:t>
      </w:r>
      <w:r>
        <w:t xml:space="preserve">(see section 1.5). </w:t>
      </w:r>
      <w:r w:rsidDel="00BA472A">
        <w:t>The ACCC can also revoke an exemption determination under subclause 5(6) of the Code.</w:t>
      </w:r>
    </w:p>
    <w:p w:rsidR="009B423B" w:rsidRDefault="008339F4" w:rsidP="008339F4">
      <w:pPr>
        <w:spacing w:before="240"/>
      </w:pPr>
      <w:r>
        <w:t xml:space="preserve">On 1 October 2014 the ACCC determined </w:t>
      </w:r>
      <w:r w:rsidR="00BC000F">
        <w:t xml:space="preserve">that </w:t>
      </w:r>
      <w:r>
        <w:t xml:space="preserve">GrainCorp </w:t>
      </w:r>
      <w:r w:rsidR="00BC000F">
        <w:t xml:space="preserve">is an </w:t>
      </w:r>
      <w:r>
        <w:t>exempt service provider in relation to</w:t>
      </w:r>
      <w:r w:rsidRPr="00BB56DF">
        <w:t xml:space="preserve"> its Carrington (Newcastle) Port Terminal Facility.</w:t>
      </w:r>
      <w:r>
        <w:t xml:space="preserve"> The ACCC determined that although </w:t>
      </w:r>
      <w:r w:rsidRPr="00BB56DF">
        <w:t xml:space="preserve">GrainCorp is vertically integrated as a port terminal service provider and an exporter, it would have limited ability to exercise market power at the </w:t>
      </w:r>
      <w:r>
        <w:t>Carrington facility due, in part, to effective competition in the provision of bulk grain port terminal services at the Port of Newcastle.</w:t>
      </w:r>
      <w:r>
        <w:rPr>
          <w:rStyle w:val="FootnoteReference"/>
        </w:rPr>
        <w:footnoteReference w:id="2"/>
      </w:r>
      <w:r>
        <w:t xml:space="preserve"> This determination followed the ACCC’s earlier decision, under the previous </w:t>
      </w:r>
      <w:r>
        <w:lastRenderedPageBreak/>
        <w:t>access undertakings regime, to reduce GrainCorp’s regulatory obligations regarding its Carrington facility.</w:t>
      </w:r>
      <w:r>
        <w:rPr>
          <w:rStyle w:val="FootnoteReference"/>
        </w:rPr>
        <w:footnoteReference w:id="3"/>
      </w:r>
    </w:p>
    <w:p w:rsidR="008339F4" w:rsidRDefault="008339F4" w:rsidP="000059D2">
      <w:pPr>
        <w:pStyle w:val="Heading3"/>
      </w:pPr>
      <w:bookmarkStart w:id="42" w:name="_Toc406090282"/>
      <w:r>
        <w:t>Ministerial exemption from the Code</w:t>
      </w:r>
      <w:bookmarkEnd w:id="42"/>
    </w:p>
    <w:p w:rsidR="008339F4" w:rsidRDefault="008339F4" w:rsidP="008339F4">
      <w:pPr>
        <w:spacing w:before="240"/>
      </w:pPr>
      <w:r>
        <w:t>Clause 5(1) of the Code provides that the Minister for Agriculture may determine that a port terminal service provider is an exempt service provider</w:t>
      </w:r>
      <w:r w:rsidR="00F32BE1">
        <w:t xml:space="preserve"> of services supplied by means of a specified port terminal facility</w:t>
      </w:r>
      <w:r>
        <w:t xml:space="preserve"> if the Minister is satisfied that the provider is a cooperative that has:</w:t>
      </w:r>
    </w:p>
    <w:p w:rsidR="008339F4" w:rsidRDefault="008339F4" w:rsidP="008339F4">
      <w:pPr>
        <w:spacing w:before="240"/>
      </w:pPr>
      <w:r>
        <w:t>(a)</w:t>
      </w:r>
      <w:r>
        <w:tab/>
        <w:t>grain-producer members who represent at least a two-thirds majority of grain-</w:t>
      </w:r>
      <w:r>
        <w:tab/>
        <w:t>producers within the grain catchment area for the port concerned; and</w:t>
      </w:r>
    </w:p>
    <w:p w:rsidR="008339F4" w:rsidRDefault="008339F4" w:rsidP="008339F4">
      <w:pPr>
        <w:spacing w:before="240"/>
      </w:pPr>
      <w:r>
        <w:t>(b)</w:t>
      </w:r>
      <w:r>
        <w:tab/>
        <w:t xml:space="preserve">sound governance arrangements that ensure the business functions efficiently and </w:t>
      </w:r>
      <w:r>
        <w:tab/>
        <w:t xml:space="preserve">that allow its members to influence the management decisions of the cooperative. </w:t>
      </w:r>
    </w:p>
    <w:p w:rsidR="008339F4" w:rsidRDefault="008339F4" w:rsidP="008339F4">
      <w:pPr>
        <w:spacing w:before="240"/>
      </w:pPr>
      <w:r>
        <w:t>The ACCC does not have any role in exemptions under subclause 5(1).</w:t>
      </w:r>
    </w:p>
    <w:p w:rsidR="008339F4" w:rsidRDefault="008339F4" w:rsidP="008339F4">
      <w:pPr>
        <w:spacing w:before="240"/>
      </w:pPr>
      <w:r>
        <w:t xml:space="preserve">On 17 November 2014 the Minister for Agriculture found that Co-operative Bulk Handling Limited’s (CBH) port terminal facilities located at Albany, Esperance, Geraldton and Kwinana satisfactorily meet the criteria for exemption under clause 5(1) of the Code. The Minister therefore determined </w:t>
      </w:r>
      <w:r w:rsidR="008A1251">
        <w:t xml:space="preserve">that </w:t>
      </w:r>
      <w:r w:rsidR="00F32BE1">
        <w:t xml:space="preserve">CBH </w:t>
      </w:r>
      <w:r w:rsidR="008A1251">
        <w:t xml:space="preserve">is </w:t>
      </w:r>
      <w:r>
        <w:t xml:space="preserve">exempt from </w:t>
      </w:r>
      <w:r w:rsidR="00EB131B">
        <w:t>p</w:t>
      </w:r>
      <w:r>
        <w:t xml:space="preserve">arts 3 </w:t>
      </w:r>
      <w:r w:rsidR="007C129D">
        <w:t>to</w:t>
      </w:r>
      <w:r>
        <w:t xml:space="preserve"> 6 of the Code</w:t>
      </w:r>
      <w:r w:rsidR="00F32BE1">
        <w:t xml:space="preserve"> in relation to services provided by means of those facilities</w:t>
      </w:r>
      <w:r>
        <w:t xml:space="preserve">. </w:t>
      </w:r>
    </w:p>
    <w:p w:rsidR="008339F4" w:rsidRDefault="008339F4" w:rsidP="002E0669">
      <w:pPr>
        <w:pStyle w:val="Heading2"/>
      </w:pPr>
      <w:bookmarkStart w:id="43" w:name="_Toc406090283"/>
      <w:bookmarkStart w:id="44" w:name="_Toc416360483"/>
      <w:r>
        <w:t>GrainCorp’s exemption application</w:t>
      </w:r>
      <w:bookmarkEnd w:id="43"/>
      <w:bookmarkEnd w:id="44"/>
    </w:p>
    <w:p w:rsidR="008339F4" w:rsidRDefault="00F32BE1" w:rsidP="008339F4">
      <w:pPr>
        <w:spacing w:before="240"/>
      </w:pPr>
      <w:r>
        <w:t xml:space="preserve">Currently, parts 1 </w:t>
      </w:r>
      <w:r w:rsidR="007C129D">
        <w:t>to</w:t>
      </w:r>
      <w:r>
        <w:t xml:space="preserve"> 6 of the Code apply to </w:t>
      </w:r>
      <w:r w:rsidR="008339F4">
        <w:t xml:space="preserve">GrainCorp’s </w:t>
      </w:r>
      <w:r>
        <w:t xml:space="preserve">provision of port terminal services at its </w:t>
      </w:r>
      <w:r w:rsidR="008339F4">
        <w:t>Geelong and Portland bulk wheat port terminal facilities.</w:t>
      </w:r>
      <w:r w:rsidR="008339F4">
        <w:rPr>
          <w:rStyle w:val="FootnoteReference"/>
        </w:rPr>
        <w:footnoteReference w:id="4"/>
      </w:r>
      <w:r w:rsidR="008339F4">
        <w:t xml:space="preserve"> </w:t>
      </w:r>
    </w:p>
    <w:p w:rsidR="008339F4" w:rsidRDefault="008339F4" w:rsidP="008339F4">
      <w:pPr>
        <w:spacing w:before="240"/>
      </w:pPr>
      <w:r>
        <w:t>Prior to the Code commencing and from September 2009, access arrangements at GrainCorp’s Geelong and Portland facilities were governed by an access undertaking.</w:t>
      </w:r>
      <w:r w:rsidRPr="005C4C77">
        <w:t xml:space="preserve"> </w:t>
      </w:r>
      <w:r>
        <w:t xml:space="preserve">Under this regime, GrainCorp’s Geelong and Portland facilities were subject to a range of provisions, some of which are similar to those contained in the Code. From 30 September 2014 the Code has applied to GrainCorp’s </w:t>
      </w:r>
      <w:r w:rsidR="002F3545">
        <w:t xml:space="preserve">provision of </w:t>
      </w:r>
      <w:r w:rsidR="00EB131B">
        <w:t xml:space="preserve">port terminal </w:t>
      </w:r>
      <w:r w:rsidR="002F3545">
        <w:t xml:space="preserve">services at the </w:t>
      </w:r>
      <w:r>
        <w:t>Geelong and Portland facilities.</w:t>
      </w:r>
      <w:r>
        <w:rPr>
          <w:rStyle w:val="FootnoteReference"/>
        </w:rPr>
        <w:footnoteReference w:id="5"/>
      </w:r>
    </w:p>
    <w:p w:rsidR="008339F4" w:rsidRDefault="008339F4" w:rsidP="008339F4">
      <w:pPr>
        <w:spacing w:before="240"/>
      </w:pPr>
      <w:r>
        <w:t>On 5 December 2014 GrainCorp submitted an application to the ACCC seeking</w:t>
      </w:r>
      <w:r w:rsidR="001172A0">
        <w:t xml:space="preserve"> to be an exempt port terminal service provider in relation to services provide at </w:t>
      </w:r>
      <w:r>
        <w:t>its Geelong and Portland facilities</w:t>
      </w:r>
      <w:r w:rsidR="00EB131B">
        <w:t>.</w:t>
      </w:r>
      <w:r>
        <w:t xml:space="preserve"> .</w:t>
      </w:r>
    </w:p>
    <w:p w:rsidR="008339F4" w:rsidRDefault="008339F4" w:rsidP="00F2549B">
      <w:pPr>
        <w:keepNext/>
        <w:spacing w:before="240"/>
      </w:pPr>
      <w:r>
        <w:lastRenderedPageBreak/>
        <w:t>GrainCorp submits that:</w:t>
      </w:r>
    </w:p>
    <w:p w:rsidR="008339F4" w:rsidRPr="00945314" w:rsidRDefault="008339F4" w:rsidP="008339F4">
      <w:pPr>
        <w:spacing w:before="240" w:after="120"/>
        <w:ind w:left="425" w:right="380"/>
        <w:rPr>
          <w:sz w:val="20"/>
        </w:rPr>
      </w:pPr>
      <w:r>
        <w:rPr>
          <w:sz w:val="20"/>
        </w:rPr>
        <w:t>GrainCorp</w:t>
      </w:r>
      <w:r w:rsidRPr="00945314">
        <w:rPr>
          <w:sz w:val="20"/>
        </w:rPr>
        <w:t xml:space="preserve"> is vertically integrated </w:t>
      </w:r>
      <w:r>
        <w:rPr>
          <w:sz w:val="20"/>
        </w:rPr>
        <w:t xml:space="preserve">as a </w:t>
      </w:r>
      <w:r w:rsidRPr="00945314">
        <w:rPr>
          <w:sz w:val="20"/>
        </w:rPr>
        <w:t>port service provider and an exporter of grain in Victoria</w:t>
      </w:r>
      <w:r>
        <w:rPr>
          <w:sz w:val="20"/>
        </w:rPr>
        <w:t>. However, GrainCorp’s</w:t>
      </w:r>
      <w:r w:rsidRPr="00945314">
        <w:rPr>
          <w:sz w:val="20"/>
        </w:rPr>
        <w:t xml:space="preserve">, ability to exercise market power in Victoria is limited </w:t>
      </w:r>
      <w:r>
        <w:rPr>
          <w:sz w:val="20"/>
        </w:rPr>
        <w:t>given</w:t>
      </w:r>
      <w:r w:rsidRPr="00945314">
        <w:rPr>
          <w:sz w:val="20"/>
        </w:rPr>
        <w:t>:</w:t>
      </w:r>
    </w:p>
    <w:p w:rsidR="008339F4" w:rsidRPr="00945314" w:rsidRDefault="008339F4" w:rsidP="000059D2">
      <w:pPr>
        <w:pStyle w:val="ListParagraph"/>
        <w:numPr>
          <w:ilvl w:val="0"/>
          <w:numId w:val="10"/>
        </w:numPr>
        <w:spacing w:after="120"/>
        <w:ind w:left="425" w:right="380" w:firstLine="0"/>
        <w:contextualSpacing w:val="0"/>
        <w:rPr>
          <w:sz w:val="20"/>
        </w:rPr>
      </w:pPr>
      <w:r>
        <w:rPr>
          <w:sz w:val="20"/>
        </w:rPr>
        <w:t>Strong c</w:t>
      </w:r>
      <w:r w:rsidRPr="00945314">
        <w:rPr>
          <w:sz w:val="20"/>
        </w:rPr>
        <w:t>ompetition from competing alternative domestic and container packing markets</w:t>
      </w:r>
      <w:r>
        <w:rPr>
          <w:sz w:val="20"/>
        </w:rPr>
        <w:t xml:space="preserve">, </w:t>
      </w:r>
      <w:r>
        <w:rPr>
          <w:sz w:val="20"/>
        </w:rPr>
        <w:tab/>
        <w:t>combined with excess country and packing capacity, for the majority of Victorian grain</w:t>
      </w:r>
    </w:p>
    <w:p w:rsidR="008339F4" w:rsidRPr="00945314" w:rsidRDefault="008339F4" w:rsidP="000059D2">
      <w:pPr>
        <w:pStyle w:val="ListParagraph"/>
        <w:numPr>
          <w:ilvl w:val="0"/>
          <w:numId w:val="10"/>
        </w:numPr>
        <w:spacing w:after="120"/>
        <w:ind w:left="425" w:right="380" w:firstLine="0"/>
        <w:contextualSpacing w:val="0"/>
        <w:rPr>
          <w:sz w:val="20"/>
        </w:rPr>
      </w:pPr>
      <w:r>
        <w:rPr>
          <w:sz w:val="20"/>
        </w:rPr>
        <w:t>Strong c</w:t>
      </w:r>
      <w:r w:rsidRPr="00945314">
        <w:rPr>
          <w:sz w:val="20"/>
        </w:rPr>
        <w:t xml:space="preserve">ompetition in </w:t>
      </w:r>
      <w:r>
        <w:rPr>
          <w:sz w:val="20"/>
        </w:rPr>
        <w:t xml:space="preserve">the </w:t>
      </w:r>
      <w:r w:rsidRPr="00945314">
        <w:rPr>
          <w:sz w:val="20"/>
        </w:rPr>
        <w:t>provi</w:t>
      </w:r>
      <w:r>
        <w:rPr>
          <w:sz w:val="20"/>
        </w:rPr>
        <w:t xml:space="preserve">sion of </w:t>
      </w:r>
      <w:r w:rsidRPr="00945314">
        <w:rPr>
          <w:sz w:val="20"/>
        </w:rPr>
        <w:t xml:space="preserve">port elevation services for bulk grain from </w:t>
      </w:r>
      <w:r>
        <w:rPr>
          <w:sz w:val="20"/>
        </w:rPr>
        <w:tab/>
      </w:r>
      <w:r w:rsidRPr="00945314">
        <w:rPr>
          <w:sz w:val="20"/>
        </w:rPr>
        <w:t xml:space="preserve">Emerald’s Melbourne Port Terminal and the planned Bunge Terminal at Geelong, </w:t>
      </w:r>
      <w:r>
        <w:rPr>
          <w:sz w:val="20"/>
        </w:rPr>
        <w:tab/>
      </w:r>
      <w:r w:rsidRPr="00945314">
        <w:rPr>
          <w:sz w:val="20"/>
        </w:rPr>
        <w:t>combined with competition from Glencore</w:t>
      </w:r>
      <w:r>
        <w:rPr>
          <w:sz w:val="20"/>
        </w:rPr>
        <w:t xml:space="preserve"> </w:t>
      </w:r>
      <w:r w:rsidRPr="00945314">
        <w:rPr>
          <w:sz w:val="20"/>
        </w:rPr>
        <w:t>port terminals in Adelaide</w:t>
      </w:r>
    </w:p>
    <w:p w:rsidR="008339F4" w:rsidRPr="00945314" w:rsidRDefault="008339F4" w:rsidP="000059D2">
      <w:pPr>
        <w:pStyle w:val="ListParagraph"/>
        <w:numPr>
          <w:ilvl w:val="0"/>
          <w:numId w:val="10"/>
        </w:numPr>
        <w:spacing w:after="120"/>
        <w:ind w:left="425" w:right="380" w:firstLine="0"/>
        <w:contextualSpacing w:val="0"/>
        <w:rPr>
          <w:sz w:val="20"/>
        </w:rPr>
      </w:pPr>
      <w:r w:rsidRPr="00945314">
        <w:rPr>
          <w:sz w:val="20"/>
        </w:rPr>
        <w:t xml:space="preserve">Excess port elevation capacity, and excess country storage capacity, </w:t>
      </w:r>
      <w:r>
        <w:rPr>
          <w:sz w:val="20"/>
        </w:rPr>
        <w:t>where</w:t>
      </w:r>
      <w:r w:rsidRPr="00945314">
        <w:rPr>
          <w:sz w:val="20"/>
        </w:rPr>
        <w:t xml:space="preserve"> GrainCorp is </w:t>
      </w:r>
      <w:r>
        <w:rPr>
          <w:sz w:val="20"/>
        </w:rPr>
        <w:tab/>
      </w:r>
      <w:r w:rsidRPr="00945314">
        <w:rPr>
          <w:sz w:val="20"/>
        </w:rPr>
        <w:t>commercially incentivised to maximise throughput at its Victorian port terminals.</w:t>
      </w:r>
    </w:p>
    <w:p w:rsidR="008339F4" w:rsidRPr="00945314" w:rsidRDefault="008339F4" w:rsidP="008339F4">
      <w:pPr>
        <w:spacing w:before="240" w:after="120"/>
        <w:ind w:left="425" w:right="380"/>
        <w:rPr>
          <w:sz w:val="20"/>
        </w:rPr>
      </w:pPr>
      <w:r w:rsidRPr="00114E95">
        <w:rPr>
          <w:sz w:val="20"/>
        </w:rPr>
        <w:t>GrainCorp</w:t>
      </w:r>
      <w:r w:rsidRPr="00945314">
        <w:rPr>
          <w:sz w:val="20"/>
        </w:rPr>
        <w:t xml:space="preserve"> </w:t>
      </w:r>
      <w:r>
        <w:rPr>
          <w:sz w:val="20"/>
        </w:rPr>
        <w:t xml:space="preserve">contends that granting </w:t>
      </w:r>
      <w:r w:rsidRPr="00945314">
        <w:rPr>
          <w:sz w:val="20"/>
        </w:rPr>
        <w:t xml:space="preserve">an exemption </w:t>
      </w:r>
      <w:r>
        <w:rPr>
          <w:sz w:val="20"/>
        </w:rPr>
        <w:t xml:space="preserve">for </w:t>
      </w:r>
      <w:r w:rsidRPr="00945314">
        <w:rPr>
          <w:sz w:val="20"/>
        </w:rPr>
        <w:t>its Geelong and Portland port terminals w</w:t>
      </w:r>
      <w:r>
        <w:rPr>
          <w:sz w:val="20"/>
        </w:rPr>
        <w:t>ill</w:t>
      </w:r>
      <w:r w:rsidRPr="00945314">
        <w:rPr>
          <w:sz w:val="20"/>
        </w:rPr>
        <w:t>:</w:t>
      </w:r>
    </w:p>
    <w:p w:rsidR="008339F4" w:rsidRPr="00945314" w:rsidRDefault="008339F4" w:rsidP="000059D2">
      <w:pPr>
        <w:pStyle w:val="ListParagraph"/>
        <w:numPr>
          <w:ilvl w:val="0"/>
          <w:numId w:val="10"/>
        </w:numPr>
        <w:spacing w:after="120"/>
        <w:ind w:left="425" w:right="380" w:firstLine="0"/>
        <w:contextualSpacing w:val="0"/>
        <w:rPr>
          <w:sz w:val="20"/>
        </w:rPr>
      </w:pPr>
      <w:r w:rsidRPr="00945314">
        <w:rPr>
          <w:sz w:val="20"/>
        </w:rPr>
        <w:t xml:space="preserve">Place GrainCorp on a level playing field with alternative and competing markets that are </w:t>
      </w:r>
      <w:r>
        <w:rPr>
          <w:sz w:val="20"/>
        </w:rPr>
        <w:tab/>
      </w:r>
      <w:r w:rsidRPr="00945314">
        <w:rPr>
          <w:sz w:val="20"/>
        </w:rPr>
        <w:t>not subject to regulation.</w:t>
      </w:r>
    </w:p>
    <w:p w:rsidR="008339F4" w:rsidRPr="00945314" w:rsidRDefault="008339F4" w:rsidP="000059D2">
      <w:pPr>
        <w:pStyle w:val="ListParagraph"/>
        <w:numPr>
          <w:ilvl w:val="0"/>
          <w:numId w:val="10"/>
        </w:numPr>
        <w:spacing w:after="120"/>
        <w:ind w:left="425" w:right="380" w:firstLine="0"/>
        <w:contextualSpacing w:val="0"/>
        <w:rPr>
          <w:sz w:val="20"/>
        </w:rPr>
      </w:pPr>
      <w:r w:rsidRPr="00945314">
        <w:rPr>
          <w:sz w:val="20"/>
        </w:rPr>
        <w:t xml:space="preserve">Promote grain industry competition by allowing GrainCorp to provide competitive services </w:t>
      </w:r>
      <w:r>
        <w:rPr>
          <w:sz w:val="20"/>
        </w:rPr>
        <w:tab/>
      </w:r>
      <w:r w:rsidRPr="00945314">
        <w:rPr>
          <w:sz w:val="20"/>
        </w:rPr>
        <w:t>to exporters for bulk grain exports.</w:t>
      </w:r>
    </w:p>
    <w:p w:rsidR="008339F4" w:rsidRPr="00945314" w:rsidRDefault="008339F4" w:rsidP="000059D2">
      <w:pPr>
        <w:pStyle w:val="ListParagraph"/>
        <w:numPr>
          <w:ilvl w:val="0"/>
          <w:numId w:val="10"/>
        </w:numPr>
        <w:spacing w:after="120"/>
        <w:ind w:left="425" w:right="380" w:firstLine="0"/>
        <w:contextualSpacing w:val="0"/>
        <w:rPr>
          <w:sz w:val="20"/>
        </w:rPr>
      </w:pPr>
      <w:r w:rsidRPr="00945314">
        <w:rPr>
          <w:sz w:val="20"/>
        </w:rPr>
        <w:t xml:space="preserve">Support lower supply chain costs by allowing GrainCorp to operate its Victorian port </w:t>
      </w:r>
      <w:r>
        <w:rPr>
          <w:sz w:val="20"/>
        </w:rPr>
        <w:tab/>
      </w:r>
      <w:r w:rsidRPr="00945314">
        <w:rPr>
          <w:sz w:val="20"/>
        </w:rPr>
        <w:t>terminals flexibly and invest in improving its port and supply chain infrastructure.</w:t>
      </w:r>
      <w:r>
        <w:rPr>
          <w:rStyle w:val="FootnoteReference"/>
        </w:rPr>
        <w:footnoteReference w:id="6"/>
      </w:r>
    </w:p>
    <w:p w:rsidR="008339F4" w:rsidRDefault="008339F4" w:rsidP="008339F4">
      <w:pPr>
        <w:spacing w:before="240"/>
      </w:pPr>
      <w:r>
        <w:t>Further details of GrainCorp’s exemption application are set out as relevant</w:t>
      </w:r>
      <w:r w:rsidR="008E3DC7">
        <w:t xml:space="preserve"> throughout this document</w:t>
      </w:r>
      <w:r>
        <w:t>. GrainCorp’s full submission in support of its exemption application is available on the ACCC’s website at</w:t>
      </w:r>
      <w:r w:rsidR="00312388" w:rsidRPr="00312388">
        <w:t xml:space="preserve"> </w:t>
      </w:r>
      <w:hyperlink r:id="rId15" w:history="1">
        <w:r w:rsidR="00312388" w:rsidRPr="00424D38">
          <w:rPr>
            <w:rStyle w:val="Hyperlink"/>
          </w:rPr>
          <w:t>https://www.accc.gov.au/regulated-infrastructure/wheat-export/victorian-wheat-ports-exemption-assessments</w:t>
        </w:r>
      </w:hyperlink>
      <w:r>
        <w:t>.</w:t>
      </w:r>
    </w:p>
    <w:p w:rsidR="008339F4" w:rsidRPr="00541DD3" w:rsidRDefault="008339F4" w:rsidP="002E0669">
      <w:pPr>
        <w:pStyle w:val="Heading2"/>
      </w:pPr>
      <w:bookmarkStart w:id="45" w:name="_Toc404884638"/>
      <w:bookmarkStart w:id="46" w:name="_Toc404943211"/>
      <w:bookmarkStart w:id="47" w:name="_Toc404943245"/>
      <w:bookmarkStart w:id="48" w:name="_Toc404951976"/>
      <w:bookmarkStart w:id="49" w:name="_Toc406090284"/>
      <w:bookmarkStart w:id="50" w:name="_Toc416360484"/>
      <w:bookmarkEnd w:id="45"/>
      <w:bookmarkEnd w:id="46"/>
      <w:bookmarkEnd w:id="47"/>
      <w:bookmarkEnd w:id="48"/>
      <w:r>
        <w:t>Emerald’s exemption application</w:t>
      </w:r>
      <w:bookmarkEnd w:id="49"/>
      <w:bookmarkEnd w:id="50"/>
    </w:p>
    <w:p w:rsidR="008339F4" w:rsidRDefault="00445BE0" w:rsidP="008339F4">
      <w:pPr>
        <w:spacing w:before="240"/>
      </w:pPr>
      <w:r>
        <w:t xml:space="preserve">Parts 1 </w:t>
      </w:r>
      <w:r w:rsidR="007C129D">
        <w:t>to</w:t>
      </w:r>
      <w:r>
        <w:t xml:space="preserve"> 6 of the Code apply to </w:t>
      </w:r>
      <w:r w:rsidR="008339F4">
        <w:t xml:space="preserve">Emerald’s </w:t>
      </w:r>
      <w:r w:rsidR="00B761E5">
        <w:t xml:space="preserve">provision of port terminal services at </w:t>
      </w:r>
      <w:r w:rsidR="00DA6AD9">
        <w:t>MPT</w:t>
      </w:r>
      <w:r w:rsidR="00947A52">
        <w:t>.</w:t>
      </w:r>
    </w:p>
    <w:p w:rsidR="008339F4" w:rsidRDefault="008339F4" w:rsidP="008339F4">
      <w:pPr>
        <w:spacing w:before="240"/>
      </w:pPr>
      <w:r>
        <w:t xml:space="preserve">From September 2011 until the commencement of the Code, access arrangements </w:t>
      </w:r>
      <w:r w:rsidR="00947A52">
        <w:t xml:space="preserve">for </w:t>
      </w:r>
      <w:r>
        <w:t>Emerald’s MPT were governed by an ACCC approved access undertaking, which contained similar provisions to those in the Code. From 30 September 2014 the Code has applied to Emerald’s MPT.</w:t>
      </w:r>
      <w:r>
        <w:rPr>
          <w:rStyle w:val="FootnoteReference"/>
        </w:rPr>
        <w:footnoteReference w:id="7"/>
      </w:r>
      <w:r w:rsidDel="000947F6">
        <w:t xml:space="preserve"> </w:t>
      </w:r>
    </w:p>
    <w:p w:rsidR="008339F4" w:rsidRDefault="008339F4" w:rsidP="008339F4">
      <w:pPr>
        <w:spacing w:before="240"/>
      </w:pPr>
      <w:r>
        <w:t>On 28 November 2014 Emerald submitted an application to the ACCC seeking</w:t>
      </w:r>
      <w:r w:rsidR="00C3653E">
        <w:t xml:space="preserve"> to be an</w:t>
      </w:r>
      <w:r>
        <w:t xml:space="preserve"> exempt</w:t>
      </w:r>
      <w:r w:rsidR="00C3653E">
        <w:t xml:space="preserve"> port terminal service provider in relation to services provided at </w:t>
      </w:r>
      <w:r>
        <w:t>its MPT</w:t>
      </w:r>
      <w:r w:rsidR="00C3653E">
        <w:t xml:space="preserve"> facility.</w:t>
      </w:r>
      <w:r>
        <w:t xml:space="preserve"> .</w:t>
      </w:r>
    </w:p>
    <w:p w:rsidR="008339F4" w:rsidRDefault="008339F4" w:rsidP="008339F4">
      <w:pPr>
        <w:spacing w:before="240"/>
      </w:pPr>
      <w:r>
        <w:t>Emerald submits that:</w:t>
      </w:r>
    </w:p>
    <w:p w:rsidR="008339F4" w:rsidRDefault="008339F4" w:rsidP="008339F4">
      <w:pPr>
        <w:spacing w:before="240"/>
        <w:ind w:left="426" w:right="379"/>
        <w:rPr>
          <w:sz w:val="20"/>
        </w:rPr>
      </w:pPr>
      <w:r w:rsidRPr="00945314">
        <w:rPr>
          <w:sz w:val="20"/>
        </w:rPr>
        <w:t>MPT operates in a very compe</w:t>
      </w:r>
      <w:r>
        <w:rPr>
          <w:sz w:val="20"/>
        </w:rPr>
        <w:t>titive environment.</w:t>
      </w:r>
    </w:p>
    <w:p w:rsidR="008339F4" w:rsidRDefault="008339F4" w:rsidP="008339F4">
      <w:pPr>
        <w:spacing w:before="240"/>
        <w:ind w:left="426" w:right="379"/>
        <w:rPr>
          <w:sz w:val="20"/>
        </w:rPr>
      </w:pPr>
      <w:r>
        <w:rPr>
          <w:sz w:val="20"/>
        </w:rPr>
        <w:t xml:space="preserve">Unlike New South Wales, the logistics network in Victoria allows not only for competition between port terminal operators at the same port, it also allows for competition between terminals located at different port. In particular grain in Victoria can readily flow either to the port of Melbourne or the port of Geelong. </w:t>
      </w:r>
    </w:p>
    <w:p w:rsidR="008339F4" w:rsidRDefault="008339F4" w:rsidP="008339F4">
      <w:pPr>
        <w:spacing w:before="240"/>
        <w:ind w:left="426" w:right="379"/>
        <w:rPr>
          <w:sz w:val="20"/>
        </w:rPr>
      </w:pPr>
      <w:r>
        <w:rPr>
          <w:sz w:val="20"/>
        </w:rPr>
        <w:lastRenderedPageBreak/>
        <w:t>The requirement on Emerald under the Code to comply with Parts 3 - 6 is contrary to Emerald’s legitimate commercial interests and</w:t>
      </w:r>
      <w:r w:rsidR="008A1251">
        <w:rPr>
          <w:sz w:val="20"/>
        </w:rPr>
        <w:t xml:space="preserve"> </w:t>
      </w:r>
      <w:r w:rsidR="00942633">
        <w:rPr>
          <w:sz w:val="20"/>
        </w:rPr>
        <w:t xml:space="preserve">… </w:t>
      </w:r>
      <w:r>
        <w:rPr>
          <w:sz w:val="20"/>
        </w:rPr>
        <w:t>the interests of exporters and producers. Given the availability of a strong domestic market and viable alternative export paths in the Victorian catchment zone, this additional regulation of Emerald is unnecessary and counter-productive to competition and efficiency.</w:t>
      </w:r>
    </w:p>
    <w:p w:rsidR="008339F4" w:rsidRPr="00945314" w:rsidRDefault="008339F4" w:rsidP="008339F4">
      <w:pPr>
        <w:spacing w:before="240"/>
        <w:ind w:left="426" w:right="379"/>
        <w:rPr>
          <w:sz w:val="20"/>
        </w:rPr>
      </w:pPr>
      <w:r>
        <w:rPr>
          <w:sz w:val="20"/>
        </w:rPr>
        <w:t>Emerald’s application represents an even more compelling argument for exemption than GrainCorp’s port of Newcastle case because, while the same sort of competitive environment and surplus capacity issues apply in each case, Emerald’s market power in the Victorian supply chain (port and up-country) is far weaker than GrainCorp’s power in the Newcastle zone, and therefore there is a much lower risk that Emerald would be able to impose unilateral terms on exporters if an exemption were granted.</w:t>
      </w:r>
      <w:r>
        <w:rPr>
          <w:rStyle w:val="FootnoteReference"/>
        </w:rPr>
        <w:footnoteReference w:id="8"/>
      </w:r>
    </w:p>
    <w:p w:rsidR="008339F4" w:rsidRDefault="008339F4" w:rsidP="008339F4">
      <w:pPr>
        <w:spacing w:before="240"/>
      </w:pPr>
      <w:r>
        <w:t>Further details of Emerald’s exemption appli</w:t>
      </w:r>
      <w:r w:rsidR="008E3DC7">
        <w:t>cation are set out as relevant throughout this document</w:t>
      </w:r>
      <w:r>
        <w:t>. Emerald’s full submission in support of its exemption application is available on the ACCC’s website</w:t>
      </w:r>
      <w:r w:rsidR="008A1251">
        <w:t xml:space="preserve"> at </w:t>
      </w:r>
      <w:hyperlink r:id="rId16" w:history="1">
        <w:r w:rsidR="008A1251" w:rsidRPr="00424D38">
          <w:rPr>
            <w:rStyle w:val="Hyperlink"/>
          </w:rPr>
          <w:t>https://www.accc.gov.au/regulated-infrastructure/wheat-export/victorian-wheat-ports-exemption-assessments</w:t>
        </w:r>
      </w:hyperlink>
      <w:r>
        <w:t>.</w:t>
      </w:r>
    </w:p>
    <w:p w:rsidR="00BA477D" w:rsidRDefault="00BA477D" w:rsidP="002E0669">
      <w:pPr>
        <w:pStyle w:val="Heading2"/>
      </w:pPr>
      <w:bookmarkStart w:id="51" w:name="_Toc416360485"/>
      <w:bookmarkStart w:id="52" w:name="_Toc406090285"/>
      <w:r>
        <w:t xml:space="preserve">ACCC </w:t>
      </w:r>
      <w:r w:rsidR="0043133E">
        <w:t>exemption assessment process</w:t>
      </w:r>
      <w:bookmarkEnd w:id="51"/>
    </w:p>
    <w:p w:rsidR="008339F4" w:rsidRDefault="008339F4" w:rsidP="000059D2">
      <w:pPr>
        <w:pStyle w:val="Heading3"/>
      </w:pPr>
      <w:r>
        <w:t>Legislative framework</w:t>
      </w:r>
      <w:bookmarkEnd w:id="52"/>
    </w:p>
    <w:p w:rsidR="008339F4" w:rsidRDefault="008339F4" w:rsidP="008339F4">
      <w:pPr>
        <w:spacing w:before="240"/>
      </w:pPr>
      <w:r>
        <w:t>In making an exemption determination under the Code, the ACCC must have regard to the matters specified in subclause 5(3) of the Code. These matters are:</w:t>
      </w:r>
    </w:p>
    <w:p w:rsidR="008339F4" w:rsidRDefault="008339F4" w:rsidP="000059D2">
      <w:pPr>
        <w:pStyle w:val="ListParagraph"/>
        <w:numPr>
          <w:ilvl w:val="0"/>
          <w:numId w:val="9"/>
        </w:numPr>
        <w:spacing w:before="240"/>
        <w:ind w:left="709" w:hanging="709"/>
        <w:contextualSpacing w:val="0"/>
      </w:pPr>
      <w:r>
        <w:t>the legitimate business interests of the port terminal service provider</w:t>
      </w:r>
    </w:p>
    <w:p w:rsidR="008339F4" w:rsidRDefault="008339F4" w:rsidP="000059D2">
      <w:pPr>
        <w:pStyle w:val="ListParagraph"/>
        <w:numPr>
          <w:ilvl w:val="0"/>
          <w:numId w:val="9"/>
        </w:numPr>
        <w:spacing w:before="240"/>
        <w:ind w:left="709" w:hanging="709"/>
        <w:contextualSpacing w:val="0"/>
      </w:pPr>
      <w:r>
        <w:t>the public interest, including the public interest in having competition in markets</w:t>
      </w:r>
    </w:p>
    <w:p w:rsidR="008339F4" w:rsidRDefault="008339F4" w:rsidP="000059D2">
      <w:pPr>
        <w:pStyle w:val="ListParagraph"/>
        <w:numPr>
          <w:ilvl w:val="0"/>
          <w:numId w:val="9"/>
        </w:numPr>
        <w:spacing w:before="240"/>
        <w:ind w:left="709" w:hanging="709"/>
        <w:contextualSpacing w:val="0"/>
      </w:pPr>
      <w:r>
        <w:t>the interests of exporters who may require access to port terminal services</w:t>
      </w:r>
    </w:p>
    <w:p w:rsidR="008339F4" w:rsidRDefault="008339F4" w:rsidP="000059D2">
      <w:pPr>
        <w:pStyle w:val="ListParagraph"/>
        <w:numPr>
          <w:ilvl w:val="0"/>
          <w:numId w:val="9"/>
        </w:numPr>
        <w:spacing w:before="240"/>
        <w:ind w:left="709" w:hanging="709"/>
        <w:contextualSpacing w:val="0"/>
      </w:pPr>
      <w:r>
        <w:t>the likelihood that exporters of bulk wheat will have fair and transparent access to port terminal services</w:t>
      </w:r>
    </w:p>
    <w:p w:rsidR="008339F4" w:rsidRDefault="008339F4" w:rsidP="000059D2">
      <w:pPr>
        <w:pStyle w:val="ListParagraph"/>
        <w:numPr>
          <w:ilvl w:val="0"/>
          <w:numId w:val="9"/>
        </w:numPr>
        <w:spacing w:before="240"/>
        <w:ind w:left="709" w:hanging="709"/>
        <w:contextualSpacing w:val="0"/>
      </w:pPr>
      <w:r>
        <w:t>the promotion of the economically efficient operation and use of the port terminal facility</w:t>
      </w:r>
    </w:p>
    <w:p w:rsidR="008339F4" w:rsidRDefault="008339F4" w:rsidP="000059D2">
      <w:pPr>
        <w:pStyle w:val="ListParagraph"/>
        <w:numPr>
          <w:ilvl w:val="0"/>
          <w:numId w:val="9"/>
        </w:numPr>
        <w:spacing w:before="240"/>
        <w:ind w:left="709" w:hanging="709"/>
        <w:contextualSpacing w:val="0"/>
      </w:pPr>
      <w:r>
        <w:t>the promotion of efficient investment in port terminal facilities</w:t>
      </w:r>
    </w:p>
    <w:p w:rsidR="008339F4" w:rsidRDefault="008339F4" w:rsidP="000059D2">
      <w:pPr>
        <w:pStyle w:val="ListParagraph"/>
        <w:numPr>
          <w:ilvl w:val="0"/>
          <w:numId w:val="9"/>
        </w:numPr>
        <w:spacing w:before="240"/>
        <w:ind w:left="709" w:hanging="709"/>
        <w:contextualSpacing w:val="0"/>
      </w:pPr>
      <w:r>
        <w:t>the promotion of competition in upstream and downstream markets</w:t>
      </w:r>
    </w:p>
    <w:p w:rsidR="008339F4" w:rsidRDefault="008339F4" w:rsidP="000059D2">
      <w:pPr>
        <w:pStyle w:val="ListParagraph"/>
        <w:numPr>
          <w:ilvl w:val="0"/>
          <w:numId w:val="9"/>
        </w:numPr>
        <w:spacing w:before="240"/>
        <w:ind w:left="709" w:hanging="709"/>
        <w:contextualSpacing w:val="0"/>
      </w:pPr>
      <w:r>
        <w:t>whether the port terminal service provider is an exporter or an associated entity of an exporter</w:t>
      </w:r>
    </w:p>
    <w:p w:rsidR="008339F4" w:rsidRDefault="008339F4" w:rsidP="000059D2">
      <w:pPr>
        <w:pStyle w:val="ListParagraph"/>
        <w:numPr>
          <w:ilvl w:val="0"/>
          <w:numId w:val="9"/>
        </w:numPr>
        <w:spacing w:before="240"/>
        <w:ind w:left="709" w:hanging="709"/>
        <w:contextualSpacing w:val="0"/>
      </w:pPr>
      <w:r>
        <w:t>whether there is already an exempt service provider within the grain catchment area for the port concerned</w:t>
      </w:r>
    </w:p>
    <w:p w:rsidR="008339F4" w:rsidRDefault="008339F4" w:rsidP="000059D2">
      <w:pPr>
        <w:pStyle w:val="ListParagraph"/>
        <w:numPr>
          <w:ilvl w:val="0"/>
          <w:numId w:val="9"/>
        </w:numPr>
        <w:spacing w:before="240"/>
        <w:ind w:left="709" w:hanging="709"/>
        <w:contextualSpacing w:val="0"/>
      </w:pPr>
      <w:r>
        <w:t>any other matters the ACCC considers relevant.</w:t>
      </w:r>
    </w:p>
    <w:p w:rsidR="008339F4" w:rsidRDefault="008339F4" w:rsidP="000059D2">
      <w:pPr>
        <w:pStyle w:val="Heading3"/>
      </w:pPr>
      <w:bookmarkStart w:id="53" w:name="_Toc406090288"/>
      <w:r>
        <w:lastRenderedPageBreak/>
        <w:t>Indicative timeline for assessment</w:t>
      </w:r>
      <w:bookmarkEnd w:id="53"/>
    </w:p>
    <w:p w:rsidR="008339F4" w:rsidRDefault="008339F4" w:rsidP="008339F4">
      <w:pPr>
        <w:spacing w:before="240"/>
      </w:pPr>
      <w:r w:rsidRPr="00A85426">
        <w:t xml:space="preserve">On 16 October 2014 the ACCC released its </w:t>
      </w:r>
      <w:r w:rsidRPr="00A85426">
        <w:rPr>
          <w:i/>
        </w:rPr>
        <w:t>Guidelines on the ACCC's process for making and revoking exemption determinations</w:t>
      </w:r>
      <w:r w:rsidRPr="001717E1">
        <w:t xml:space="preserve"> (the Guidelines)</w:t>
      </w:r>
      <w:r w:rsidRPr="00A85426">
        <w:t>.</w:t>
      </w:r>
      <w:r w:rsidR="00BC2525">
        <w:t xml:space="preserve"> </w:t>
      </w:r>
      <w:r w:rsidRPr="00A85426">
        <w:t xml:space="preserve">The </w:t>
      </w:r>
      <w:r>
        <w:t>G</w:t>
      </w:r>
      <w:r w:rsidRPr="00A85426">
        <w:t>uidelines set out</w:t>
      </w:r>
      <w:r>
        <w:t xml:space="preserve"> that, when a port terminal service provider submits an exemption application, the ACCC will seek to conduct its exemption assessment and decide whether to make an exemption determination within 12 weeks. </w:t>
      </w:r>
    </w:p>
    <w:p w:rsidR="008339F4" w:rsidRDefault="008339F4" w:rsidP="008339F4">
      <w:pPr>
        <w:spacing w:before="240" w:after="120"/>
      </w:pPr>
      <w:r>
        <w:t>This timeframe may vary where the ACCC consults on the exemption application, and/or requests information from the port terminal service provider. Generally, t</w:t>
      </w:r>
      <w:r w:rsidRPr="005676F9">
        <w:t>he length of any consultation period(s) will extend the ACCC’s timeframe for the exemption assessment</w:t>
      </w:r>
      <w:r>
        <w:t>.</w:t>
      </w:r>
    </w:p>
    <w:p w:rsidR="008339F4" w:rsidRDefault="008339F4" w:rsidP="008339F4">
      <w:pPr>
        <w:spacing w:before="240"/>
      </w:pPr>
      <w:r w:rsidRPr="00B0326C">
        <w:t xml:space="preserve">Each exemption assessment process </w:t>
      </w:r>
      <w:r>
        <w:t xml:space="preserve">may </w:t>
      </w:r>
      <w:r w:rsidRPr="00B0326C">
        <w:t>be different and may include requests for information, consultation with interested parties, and a draft determination before the ACCC makes its final determination</w:t>
      </w:r>
      <w:r>
        <w:t>.</w:t>
      </w:r>
      <w:r w:rsidRPr="001B662C">
        <w:t xml:space="preserve"> </w:t>
      </w:r>
      <w:r>
        <w:t xml:space="preserve">The Guidelines, which are available on the ACCC website, provide further detail around the </w:t>
      </w:r>
      <w:r w:rsidRPr="001B662C">
        <w:t>ACCC’s process for making and revoking exemption determinations</w:t>
      </w:r>
      <w:r>
        <w:t>.</w:t>
      </w:r>
    </w:p>
    <w:p w:rsidR="008339F4" w:rsidRDefault="001E51FB" w:rsidP="008339F4">
      <w:pPr>
        <w:spacing w:before="240"/>
      </w:pPr>
      <w:r>
        <w:t>A</w:t>
      </w:r>
      <w:r w:rsidR="00311F48">
        <w:t xml:space="preserve"> </w:t>
      </w:r>
      <w:r>
        <w:t xml:space="preserve">timeline </w:t>
      </w:r>
      <w:r w:rsidR="00311F48">
        <w:t xml:space="preserve">of the ACCC’s assessment </w:t>
      </w:r>
      <w:r w:rsidR="008339F4">
        <w:t xml:space="preserve">of GrainCorp and Emerald’s </w:t>
      </w:r>
      <w:r>
        <w:t xml:space="preserve">exemption </w:t>
      </w:r>
      <w:r w:rsidR="008339F4">
        <w:t>applications</w:t>
      </w:r>
      <w:r>
        <w:t xml:space="preserve"> </w:t>
      </w:r>
      <w:r w:rsidR="00311F48">
        <w:t xml:space="preserve">to date </w:t>
      </w:r>
      <w:r>
        <w:t>is shown in the table below</w:t>
      </w:r>
      <w:r w:rsidR="008A1251">
        <w:t>.</w:t>
      </w:r>
      <w:r w:rsidR="008418F8">
        <w:t xml:space="preserve"> The ACCC undertook a longer consultation </w:t>
      </w:r>
      <w:r w:rsidR="002E6F4C">
        <w:t>process</w:t>
      </w:r>
      <w:r w:rsidR="008418F8">
        <w:t xml:space="preserve"> to allow sufficient time for </w:t>
      </w:r>
      <w:r w:rsidR="002E6F4C">
        <w:t xml:space="preserve">interested </w:t>
      </w:r>
      <w:r w:rsidR="008418F8">
        <w:t>parties to respond to the ACCC’s Issues Paper over the New Year</w:t>
      </w:r>
      <w:r w:rsidR="002E6F4C">
        <w:t xml:space="preserve"> period</w:t>
      </w:r>
      <w:r w:rsidR="008418F8">
        <w:t>. This has extended the ACCC’s assessment of GrainCorp and Emerald’s exemption applications.</w:t>
      </w:r>
    </w:p>
    <w:p w:rsidR="00311F48" w:rsidRPr="005949F4" w:rsidRDefault="00311F48" w:rsidP="005949F4">
      <w:pPr>
        <w:pStyle w:val="Caption"/>
        <w:keepNext/>
        <w:rPr>
          <w:sz w:val="20"/>
        </w:rPr>
      </w:pPr>
      <w:r w:rsidRPr="005949F4">
        <w:rPr>
          <w:sz w:val="20"/>
        </w:rPr>
        <w:t xml:space="preserve">Table </w:t>
      </w:r>
      <w:r w:rsidR="008A1251" w:rsidRPr="005949F4">
        <w:rPr>
          <w:sz w:val="20"/>
        </w:rPr>
        <w:t>1</w:t>
      </w:r>
      <w:r w:rsidRPr="005949F4">
        <w:rPr>
          <w:sz w:val="20"/>
        </w:rPr>
        <w:t>: ACCC assessment to date</w:t>
      </w:r>
    </w:p>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2127"/>
        <w:gridCol w:w="6663"/>
      </w:tblGrid>
      <w:tr w:rsidR="00311F48" w:rsidRPr="00311F48" w:rsidTr="00750BC5">
        <w:trPr>
          <w:trHeight w:val="311"/>
        </w:trPr>
        <w:tc>
          <w:tcPr>
            <w:tcW w:w="2127" w:type="dxa"/>
            <w:shd w:val="clear" w:color="auto" w:fill="auto"/>
            <w:vAlign w:val="center"/>
          </w:tcPr>
          <w:p w:rsidR="00311F48" w:rsidRPr="00311F48" w:rsidRDefault="00311F48" w:rsidP="0057743D">
            <w:pPr>
              <w:spacing w:after="120"/>
              <w:jc w:val="center"/>
              <w:rPr>
                <w:b/>
                <w:sz w:val="20"/>
              </w:rPr>
            </w:pPr>
            <w:r w:rsidRPr="00311F48">
              <w:rPr>
                <w:b/>
                <w:sz w:val="20"/>
              </w:rPr>
              <w:t>Date</w:t>
            </w:r>
          </w:p>
        </w:tc>
        <w:tc>
          <w:tcPr>
            <w:tcW w:w="6663" w:type="dxa"/>
            <w:shd w:val="clear" w:color="auto" w:fill="auto"/>
            <w:vAlign w:val="center"/>
          </w:tcPr>
          <w:p w:rsidR="00311F48" w:rsidRPr="00311F48" w:rsidRDefault="00311F48" w:rsidP="0057743D">
            <w:pPr>
              <w:spacing w:after="120"/>
              <w:jc w:val="center"/>
              <w:rPr>
                <w:b/>
                <w:sz w:val="20"/>
              </w:rPr>
            </w:pPr>
            <w:r w:rsidRPr="00311F48">
              <w:rPr>
                <w:b/>
                <w:sz w:val="20"/>
              </w:rPr>
              <w:t>Action</w:t>
            </w:r>
          </w:p>
        </w:tc>
      </w:tr>
      <w:tr w:rsidR="00311F48" w:rsidRPr="00311F48" w:rsidTr="00750BC5">
        <w:trPr>
          <w:cantSplit/>
        </w:trPr>
        <w:tc>
          <w:tcPr>
            <w:tcW w:w="2127" w:type="dxa"/>
            <w:shd w:val="clear" w:color="auto" w:fill="auto"/>
            <w:vAlign w:val="center"/>
          </w:tcPr>
          <w:p w:rsidR="00311F48" w:rsidRPr="00311F48" w:rsidRDefault="00311F48" w:rsidP="0057743D">
            <w:pPr>
              <w:spacing w:after="120"/>
              <w:ind w:left="357" w:hanging="357"/>
              <w:jc w:val="center"/>
              <w:rPr>
                <w:sz w:val="20"/>
              </w:rPr>
            </w:pPr>
            <w:r>
              <w:rPr>
                <w:sz w:val="20"/>
              </w:rPr>
              <w:t>28 November 2014</w:t>
            </w:r>
          </w:p>
        </w:tc>
        <w:tc>
          <w:tcPr>
            <w:tcW w:w="6663" w:type="dxa"/>
            <w:shd w:val="clear" w:color="auto" w:fill="auto"/>
            <w:vAlign w:val="center"/>
          </w:tcPr>
          <w:p w:rsidR="00311F48" w:rsidRPr="00311F48" w:rsidRDefault="00311F48" w:rsidP="007C129D">
            <w:pPr>
              <w:spacing w:after="120"/>
              <w:rPr>
                <w:sz w:val="20"/>
              </w:rPr>
            </w:pPr>
            <w:r>
              <w:rPr>
                <w:sz w:val="20"/>
              </w:rPr>
              <w:t>Emerald</w:t>
            </w:r>
            <w:r w:rsidRPr="00311F48">
              <w:rPr>
                <w:sz w:val="20"/>
              </w:rPr>
              <w:t xml:space="preserve"> lodged </w:t>
            </w:r>
            <w:r w:rsidR="0057743D">
              <w:rPr>
                <w:sz w:val="20"/>
              </w:rPr>
              <w:t>an</w:t>
            </w:r>
            <w:r>
              <w:rPr>
                <w:sz w:val="20"/>
              </w:rPr>
              <w:t xml:space="preserve"> exemption application for</w:t>
            </w:r>
            <w:r w:rsidR="0057743D">
              <w:rPr>
                <w:sz w:val="20"/>
              </w:rPr>
              <w:t xml:space="preserve"> its </w:t>
            </w:r>
            <w:r w:rsidR="007C129D">
              <w:rPr>
                <w:sz w:val="20"/>
              </w:rPr>
              <w:t>MPT</w:t>
            </w:r>
            <w:r w:rsidRPr="00311F48">
              <w:rPr>
                <w:sz w:val="20"/>
              </w:rPr>
              <w:t>.</w:t>
            </w:r>
          </w:p>
        </w:tc>
      </w:tr>
      <w:tr w:rsidR="00311F48" w:rsidRPr="00311F48" w:rsidTr="00750BC5">
        <w:trPr>
          <w:cantSplit/>
        </w:trPr>
        <w:tc>
          <w:tcPr>
            <w:tcW w:w="2127" w:type="dxa"/>
            <w:shd w:val="clear" w:color="auto" w:fill="auto"/>
            <w:vAlign w:val="center"/>
          </w:tcPr>
          <w:p w:rsidR="00311F48" w:rsidRPr="00311F48" w:rsidRDefault="00311F48" w:rsidP="0057743D">
            <w:pPr>
              <w:spacing w:after="120"/>
              <w:ind w:left="357" w:hanging="357"/>
              <w:jc w:val="center"/>
              <w:rPr>
                <w:sz w:val="20"/>
              </w:rPr>
            </w:pPr>
            <w:r>
              <w:rPr>
                <w:sz w:val="20"/>
              </w:rPr>
              <w:t>5 December 2014</w:t>
            </w:r>
          </w:p>
        </w:tc>
        <w:tc>
          <w:tcPr>
            <w:tcW w:w="6663" w:type="dxa"/>
            <w:shd w:val="clear" w:color="auto" w:fill="auto"/>
            <w:vAlign w:val="center"/>
          </w:tcPr>
          <w:p w:rsidR="00311F48" w:rsidRPr="00311F48" w:rsidRDefault="0057743D" w:rsidP="0057743D">
            <w:pPr>
              <w:spacing w:after="120"/>
              <w:rPr>
                <w:sz w:val="20"/>
              </w:rPr>
            </w:pPr>
            <w:r>
              <w:rPr>
                <w:sz w:val="20"/>
              </w:rPr>
              <w:t>GrainCorp lodged exemption applications for its Geelong and Portland port terminals</w:t>
            </w:r>
            <w:r w:rsidR="00311F48" w:rsidRPr="00311F48">
              <w:rPr>
                <w:sz w:val="20"/>
              </w:rPr>
              <w:t>.</w:t>
            </w:r>
          </w:p>
        </w:tc>
      </w:tr>
      <w:tr w:rsidR="00311F48" w:rsidRPr="00311F48" w:rsidTr="00750BC5">
        <w:trPr>
          <w:cantSplit/>
        </w:trPr>
        <w:tc>
          <w:tcPr>
            <w:tcW w:w="2127" w:type="dxa"/>
            <w:shd w:val="clear" w:color="auto" w:fill="auto"/>
            <w:vAlign w:val="center"/>
          </w:tcPr>
          <w:p w:rsidR="00311F48" w:rsidRPr="00311F48" w:rsidRDefault="00311F48" w:rsidP="0057743D">
            <w:pPr>
              <w:spacing w:after="120"/>
              <w:ind w:left="357" w:hanging="357"/>
              <w:jc w:val="center"/>
              <w:rPr>
                <w:sz w:val="20"/>
              </w:rPr>
            </w:pPr>
            <w:r>
              <w:rPr>
                <w:sz w:val="20"/>
              </w:rPr>
              <w:t>12 December 2014</w:t>
            </w:r>
          </w:p>
        </w:tc>
        <w:tc>
          <w:tcPr>
            <w:tcW w:w="6663" w:type="dxa"/>
            <w:shd w:val="clear" w:color="auto" w:fill="auto"/>
            <w:vAlign w:val="center"/>
          </w:tcPr>
          <w:p w:rsidR="00311F48" w:rsidRPr="00311F48" w:rsidRDefault="00311F48" w:rsidP="008418F8">
            <w:pPr>
              <w:spacing w:after="120"/>
              <w:rPr>
                <w:sz w:val="20"/>
              </w:rPr>
            </w:pPr>
            <w:r w:rsidRPr="00311F48">
              <w:rPr>
                <w:sz w:val="20"/>
              </w:rPr>
              <w:t>ACCC published its Issues Paper and invited public submissions by 30</w:t>
            </w:r>
            <w:r w:rsidR="008418F8">
              <w:rPr>
                <w:sz w:val="20"/>
              </w:rPr>
              <w:t> </w:t>
            </w:r>
            <w:r>
              <w:rPr>
                <w:sz w:val="20"/>
              </w:rPr>
              <w:t>January</w:t>
            </w:r>
            <w:r w:rsidRPr="00311F48">
              <w:rPr>
                <w:sz w:val="20"/>
              </w:rPr>
              <w:t xml:space="preserve"> 201</w:t>
            </w:r>
            <w:r>
              <w:rPr>
                <w:sz w:val="20"/>
              </w:rPr>
              <w:t>5</w:t>
            </w:r>
            <w:r w:rsidRPr="00311F48">
              <w:rPr>
                <w:sz w:val="20"/>
              </w:rPr>
              <w:t>.</w:t>
            </w:r>
          </w:p>
        </w:tc>
      </w:tr>
      <w:tr w:rsidR="00311F48" w:rsidRPr="00311F48" w:rsidTr="00750BC5">
        <w:trPr>
          <w:cantSplit/>
        </w:trPr>
        <w:tc>
          <w:tcPr>
            <w:tcW w:w="2127" w:type="dxa"/>
            <w:shd w:val="clear" w:color="auto" w:fill="auto"/>
            <w:vAlign w:val="center"/>
          </w:tcPr>
          <w:p w:rsidR="00311F48" w:rsidRPr="00311F48" w:rsidRDefault="00311F48" w:rsidP="0057743D">
            <w:pPr>
              <w:spacing w:after="120"/>
              <w:ind w:left="357" w:hanging="357"/>
              <w:jc w:val="center"/>
              <w:rPr>
                <w:sz w:val="20"/>
              </w:rPr>
            </w:pPr>
            <w:r>
              <w:rPr>
                <w:sz w:val="20"/>
              </w:rPr>
              <w:t>9 February 2015</w:t>
            </w:r>
          </w:p>
        </w:tc>
        <w:tc>
          <w:tcPr>
            <w:tcW w:w="6663" w:type="dxa"/>
            <w:shd w:val="clear" w:color="auto" w:fill="auto"/>
            <w:vAlign w:val="center"/>
          </w:tcPr>
          <w:p w:rsidR="00311F48" w:rsidRPr="00311F48" w:rsidRDefault="00311F48" w:rsidP="00F91673">
            <w:pPr>
              <w:spacing w:after="120"/>
              <w:rPr>
                <w:sz w:val="20"/>
              </w:rPr>
            </w:pPr>
            <w:r w:rsidRPr="00311F48">
              <w:rPr>
                <w:sz w:val="20"/>
              </w:rPr>
              <w:t xml:space="preserve">ACCC published </w:t>
            </w:r>
            <w:r w:rsidR="00F91673">
              <w:rPr>
                <w:sz w:val="20"/>
              </w:rPr>
              <w:t>seven</w:t>
            </w:r>
            <w:r w:rsidRPr="00311F48">
              <w:rPr>
                <w:sz w:val="20"/>
              </w:rPr>
              <w:t xml:space="preserve"> </w:t>
            </w:r>
            <w:r w:rsidR="00F91673">
              <w:rPr>
                <w:sz w:val="20"/>
              </w:rPr>
              <w:t xml:space="preserve">public </w:t>
            </w:r>
            <w:r w:rsidRPr="00311F48">
              <w:rPr>
                <w:sz w:val="20"/>
              </w:rPr>
              <w:t>submissions received from interested parties.</w:t>
            </w:r>
          </w:p>
        </w:tc>
      </w:tr>
      <w:tr w:rsidR="00311F48" w:rsidRPr="00311F48" w:rsidTr="00750BC5">
        <w:trPr>
          <w:cantSplit/>
        </w:trPr>
        <w:tc>
          <w:tcPr>
            <w:tcW w:w="2127" w:type="dxa"/>
            <w:shd w:val="clear" w:color="auto" w:fill="auto"/>
            <w:vAlign w:val="center"/>
          </w:tcPr>
          <w:p w:rsidR="00311F48" w:rsidRPr="00311F48" w:rsidRDefault="00F91673" w:rsidP="00B43C63">
            <w:pPr>
              <w:spacing w:after="120"/>
              <w:ind w:left="357" w:hanging="357"/>
              <w:jc w:val="center"/>
              <w:rPr>
                <w:sz w:val="20"/>
              </w:rPr>
            </w:pPr>
            <w:r>
              <w:rPr>
                <w:sz w:val="20"/>
              </w:rPr>
              <w:t>10 March 2015</w:t>
            </w:r>
          </w:p>
        </w:tc>
        <w:tc>
          <w:tcPr>
            <w:tcW w:w="6663" w:type="dxa"/>
            <w:shd w:val="clear" w:color="auto" w:fill="auto"/>
            <w:vAlign w:val="center"/>
          </w:tcPr>
          <w:p w:rsidR="00311F48" w:rsidRPr="00311F48" w:rsidRDefault="00F91673" w:rsidP="00C96EB4">
            <w:pPr>
              <w:spacing w:after="120"/>
              <w:rPr>
                <w:sz w:val="20"/>
              </w:rPr>
            </w:pPr>
            <w:r>
              <w:rPr>
                <w:sz w:val="20"/>
              </w:rPr>
              <w:t xml:space="preserve">ACCC published supplementary submissions from Emerald and GrainCorp </w:t>
            </w:r>
            <w:r w:rsidR="00C96EB4">
              <w:rPr>
                <w:sz w:val="20"/>
              </w:rPr>
              <w:t>provided</w:t>
            </w:r>
            <w:r>
              <w:rPr>
                <w:sz w:val="20"/>
              </w:rPr>
              <w:t xml:space="preserve"> </w:t>
            </w:r>
            <w:r w:rsidR="00C96EB4">
              <w:rPr>
                <w:sz w:val="20"/>
              </w:rPr>
              <w:t xml:space="preserve">in </w:t>
            </w:r>
            <w:r>
              <w:rPr>
                <w:sz w:val="20"/>
              </w:rPr>
              <w:t>respon</w:t>
            </w:r>
            <w:r w:rsidR="00C96EB4">
              <w:rPr>
                <w:sz w:val="20"/>
              </w:rPr>
              <w:t>se</w:t>
            </w:r>
            <w:r>
              <w:rPr>
                <w:sz w:val="20"/>
              </w:rPr>
              <w:t xml:space="preserve"> to stakeholder views.</w:t>
            </w:r>
          </w:p>
        </w:tc>
      </w:tr>
      <w:tr w:rsidR="00F91673" w:rsidRPr="00311F48" w:rsidTr="00750BC5">
        <w:trPr>
          <w:cantSplit/>
        </w:trPr>
        <w:tc>
          <w:tcPr>
            <w:tcW w:w="2127" w:type="dxa"/>
            <w:shd w:val="clear" w:color="auto" w:fill="auto"/>
            <w:vAlign w:val="center"/>
          </w:tcPr>
          <w:p w:rsidR="00F91673" w:rsidRPr="00311F48" w:rsidRDefault="008418F8" w:rsidP="008A1251">
            <w:pPr>
              <w:spacing w:after="120"/>
              <w:ind w:left="357" w:hanging="357"/>
              <w:jc w:val="center"/>
              <w:rPr>
                <w:sz w:val="20"/>
              </w:rPr>
            </w:pPr>
            <w:r>
              <w:rPr>
                <w:sz w:val="20"/>
              </w:rPr>
              <w:t>10</w:t>
            </w:r>
            <w:r w:rsidR="00F91673" w:rsidRPr="00311F48">
              <w:rPr>
                <w:sz w:val="20"/>
              </w:rPr>
              <w:t xml:space="preserve"> </w:t>
            </w:r>
            <w:r w:rsidR="008A1251">
              <w:rPr>
                <w:sz w:val="20"/>
              </w:rPr>
              <w:t xml:space="preserve">April </w:t>
            </w:r>
            <w:r w:rsidR="00F91673" w:rsidRPr="00311F48">
              <w:rPr>
                <w:sz w:val="20"/>
              </w:rPr>
              <w:t>201</w:t>
            </w:r>
            <w:r w:rsidR="00F91673">
              <w:rPr>
                <w:sz w:val="20"/>
              </w:rPr>
              <w:t>5</w:t>
            </w:r>
          </w:p>
        </w:tc>
        <w:tc>
          <w:tcPr>
            <w:tcW w:w="6663" w:type="dxa"/>
            <w:shd w:val="clear" w:color="auto" w:fill="auto"/>
            <w:vAlign w:val="center"/>
          </w:tcPr>
          <w:p w:rsidR="00F91673" w:rsidRPr="00F2549B" w:rsidRDefault="00F91673" w:rsidP="008A1251">
            <w:pPr>
              <w:spacing w:after="120"/>
              <w:rPr>
                <w:sz w:val="20"/>
              </w:rPr>
            </w:pPr>
            <w:r w:rsidRPr="00F2549B">
              <w:rPr>
                <w:sz w:val="20"/>
              </w:rPr>
              <w:t xml:space="preserve">ACCC published draft </w:t>
            </w:r>
            <w:r w:rsidR="00D80380" w:rsidRPr="00F2549B">
              <w:rPr>
                <w:sz w:val="20"/>
              </w:rPr>
              <w:t>determinations</w:t>
            </w:r>
            <w:r w:rsidRPr="00F2549B">
              <w:rPr>
                <w:sz w:val="20"/>
              </w:rPr>
              <w:t xml:space="preserve"> </w:t>
            </w:r>
            <w:r w:rsidR="00D80380" w:rsidRPr="00F2549B">
              <w:rPr>
                <w:sz w:val="20"/>
              </w:rPr>
              <w:t xml:space="preserve">on the exemption applications </w:t>
            </w:r>
            <w:r w:rsidRPr="00F2549B">
              <w:rPr>
                <w:sz w:val="20"/>
              </w:rPr>
              <w:t xml:space="preserve">and invited public submissions on its preliminary views by </w:t>
            </w:r>
            <w:r w:rsidR="008A1251" w:rsidRPr="00F2549B">
              <w:rPr>
                <w:sz w:val="20"/>
              </w:rPr>
              <w:t>24</w:t>
            </w:r>
            <w:r w:rsidRPr="00F2549B">
              <w:rPr>
                <w:sz w:val="20"/>
              </w:rPr>
              <w:t xml:space="preserve"> </w:t>
            </w:r>
            <w:r w:rsidR="00D80380" w:rsidRPr="00F2549B">
              <w:rPr>
                <w:sz w:val="20"/>
              </w:rPr>
              <w:t xml:space="preserve">April </w:t>
            </w:r>
            <w:r w:rsidRPr="00F2549B">
              <w:rPr>
                <w:sz w:val="20"/>
              </w:rPr>
              <w:t>201</w:t>
            </w:r>
            <w:r w:rsidR="00D80380" w:rsidRPr="00F2549B">
              <w:rPr>
                <w:sz w:val="20"/>
              </w:rPr>
              <w:t>5</w:t>
            </w:r>
            <w:r w:rsidRPr="00F2549B">
              <w:rPr>
                <w:sz w:val="20"/>
              </w:rPr>
              <w:t>.</w:t>
            </w:r>
          </w:p>
        </w:tc>
      </w:tr>
    </w:tbl>
    <w:p w:rsidR="0057743D" w:rsidRDefault="0057743D" w:rsidP="00251E7E">
      <w:pPr>
        <w:spacing w:before="360" w:after="120"/>
      </w:pPr>
      <w:bookmarkStart w:id="54" w:name="_Toc406090289"/>
      <w:r>
        <w:t xml:space="preserve">The ACCC is seeking to finalise its assessment of the applications </w:t>
      </w:r>
      <w:r w:rsidR="00643051">
        <w:t>as soon as possible</w:t>
      </w:r>
      <w:r w:rsidR="00BC5793">
        <w:t>.</w:t>
      </w:r>
      <w:r>
        <w:t xml:space="preserve"> </w:t>
      </w:r>
      <w:r w:rsidR="00BC5793">
        <w:t>T</w:t>
      </w:r>
      <w:r>
        <w:t>he actual timeframe may depend on the nature of comments received from industry in response to the draft determinations outlined in this document.</w:t>
      </w:r>
    </w:p>
    <w:p w:rsidR="008339F4" w:rsidRDefault="0043133E" w:rsidP="002E0669">
      <w:pPr>
        <w:pStyle w:val="Heading2"/>
      </w:pPr>
      <w:bookmarkStart w:id="55" w:name="_Toc416360486"/>
      <w:r>
        <w:t>Public c</w:t>
      </w:r>
      <w:r w:rsidR="008339F4">
        <w:t>onsultation</w:t>
      </w:r>
      <w:bookmarkEnd w:id="54"/>
      <w:r w:rsidR="00311F48">
        <w:t xml:space="preserve"> undertaken to date</w:t>
      </w:r>
      <w:bookmarkEnd w:id="55"/>
    </w:p>
    <w:p w:rsidR="008A1251" w:rsidRDefault="0057743D" w:rsidP="00BC2525">
      <w:pPr>
        <w:spacing w:before="240"/>
      </w:pPr>
      <w:r>
        <w:t>T</w:t>
      </w:r>
      <w:r w:rsidR="00B80229">
        <w:t xml:space="preserve">he </w:t>
      </w:r>
      <w:r w:rsidR="00BC2525">
        <w:t xml:space="preserve">ACCC </w:t>
      </w:r>
      <w:r>
        <w:t xml:space="preserve">released an Issues Paper on 12 December 2014 seeking </w:t>
      </w:r>
      <w:r w:rsidR="00BC2525">
        <w:t xml:space="preserve">public submissions </w:t>
      </w:r>
      <w:r>
        <w:t xml:space="preserve">on </w:t>
      </w:r>
      <w:r w:rsidR="00B80229">
        <w:t xml:space="preserve">GrainCorp and Emerald’s </w:t>
      </w:r>
      <w:r>
        <w:t xml:space="preserve">exemption </w:t>
      </w:r>
      <w:r w:rsidR="00B80229">
        <w:t>applications</w:t>
      </w:r>
      <w:r>
        <w:t xml:space="preserve"> and related key issues</w:t>
      </w:r>
      <w:r w:rsidR="00BC2525">
        <w:t xml:space="preserve">. </w:t>
      </w:r>
    </w:p>
    <w:p w:rsidR="00BC2525" w:rsidRDefault="00BC2525" w:rsidP="00F2549B">
      <w:pPr>
        <w:keepNext/>
        <w:spacing w:before="240"/>
      </w:pPr>
      <w:r>
        <w:lastRenderedPageBreak/>
        <w:t xml:space="preserve">The ACCC received </w:t>
      </w:r>
      <w:r w:rsidR="00BD6EAE">
        <w:t xml:space="preserve">the following </w:t>
      </w:r>
      <w:r w:rsidR="0057743D">
        <w:t xml:space="preserve">seven </w:t>
      </w:r>
      <w:r w:rsidR="00B80229">
        <w:t xml:space="preserve">public </w:t>
      </w:r>
      <w:r>
        <w:t>submissions from the following parties</w:t>
      </w:r>
      <w:r w:rsidR="00B80229">
        <w:t xml:space="preserve"> in response to its Issues Paper</w:t>
      </w:r>
      <w:r>
        <w:t>:</w:t>
      </w:r>
    </w:p>
    <w:p w:rsidR="00B80229" w:rsidRDefault="00B80229" w:rsidP="00561DBA">
      <w:pPr>
        <w:pStyle w:val="ListParagraph"/>
        <w:numPr>
          <w:ilvl w:val="0"/>
          <w:numId w:val="15"/>
        </w:numPr>
        <w:ind w:left="714" w:hanging="357"/>
        <w:contextualSpacing w:val="0"/>
      </w:pPr>
      <w:r w:rsidRPr="00B80229">
        <w:t>Australian Grain Exporters Association (AGEA)</w:t>
      </w:r>
    </w:p>
    <w:p w:rsidR="00B80229" w:rsidRDefault="00B80229" w:rsidP="00561DBA">
      <w:pPr>
        <w:pStyle w:val="ListParagraph"/>
        <w:numPr>
          <w:ilvl w:val="0"/>
          <w:numId w:val="15"/>
        </w:numPr>
        <w:ind w:left="714" w:hanging="357"/>
        <w:contextualSpacing w:val="0"/>
      </w:pPr>
      <w:r>
        <w:t>GrainGrowers</w:t>
      </w:r>
    </w:p>
    <w:p w:rsidR="00B80229" w:rsidRDefault="00B80229" w:rsidP="00561DBA">
      <w:pPr>
        <w:pStyle w:val="ListParagraph"/>
        <w:numPr>
          <w:ilvl w:val="0"/>
          <w:numId w:val="15"/>
        </w:numPr>
        <w:ind w:left="714" w:hanging="357"/>
        <w:contextualSpacing w:val="0"/>
      </w:pPr>
      <w:r>
        <w:t>Agrex</w:t>
      </w:r>
      <w:r w:rsidR="00867E2D">
        <w:t xml:space="preserve"> Australia Pty Ltd (Agrex)</w:t>
      </w:r>
    </w:p>
    <w:p w:rsidR="00BC2525" w:rsidRDefault="00B80229" w:rsidP="00561DBA">
      <w:pPr>
        <w:pStyle w:val="ListParagraph"/>
        <w:numPr>
          <w:ilvl w:val="0"/>
          <w:numId w:val="15"/>
        </w:numPr>
        <w:ind w:left="714" w:hanging="357"/>
        <w:contextualSpacing w:val="0"/>
      </w:pPr>
      <w:r w:rsidRPr="00B80229">
        <w:t>Cooperative Bulk Handling Ltd (CBH)</w:t>
      </w:r>
    </w:p>
    <w:p w:rsidR="00B80229" w:rsidRDefault="00867E2D" w:rsidP="00561DBA">
      <w:pPr>
        <w:pStyle w:val="ListParagraph"/>
        <w:numPr>
          <w:ilvl w:val="0"/>
          <w:numId w:val="15"/>
        </w:numPr>
        <w:ind w:left="714" w:hanging="357"/>
        <w:contextualSpacing w:val="0"/>
      </w:pPr>
      <w:r>
        <w:t>Grain Industry Associations of Victoria (</w:t>
      </w:r>
      <w:r w:rsidR="00B80229">
        <w:t>GIAV</w:t>
      </w:r>
      <w:r>
        <w:t>)</w:t>
      </w:r>
    </w:p>
    <w:p w:rsidR="00B80229" w:rsidRDefault="00312388" w:rsidP="00561DBA">
      <w:pPr>
        <w:pStyle w:val="ListParagraph"/>
        <w:numPr>
          <w:ilvl w:val="0"/>
          <w:numId w:val="15"/>
        </w:numPr>
        <w:ind w:left="714" w:hanging="357"/>
        <w:contextualSpacing w:val="0"/>
      </w:pPr>
      <w:r w:rsidRPr="00312388">
        <w:t>Glencore Grain Pty Ltd and Viterra Ltd</w:t>
      </w:r>
      <w:r w:rsidR="00B80229">
        <w:t xml:space="preserve"> (Glencore/Viterra)</w:t>
      </w:r>
    </w:p>
    <w:p w:rsidR="00B80229" w:rsidRDefault="00B80229" w:rsidP="00561DBA">
      <w:pPr>
        <w:pStyle w:val="ListParagraph"/>
        <w:numPr>
          <w:ilvl w:val="0"/>
          <w:numId w:val="15"/>
        </w:numPr>
        <w:ind w:left="714" w:hanging="357"/>
        <w:contextualSpacing w:val="0"/>
      </w:pPr>
      <w:r>
        <w:t>Victorian Farmers Federation (VFF).</w:t>
      </w:r>
    </w:p>
    <w:p w:rsidR="00BD6EAE" w:rsidRDefault="00BD6EAE" w:rsidP="00173226">
      <w:pPr>
        <w:keepNext/>
        <w:spacing w:before="240"/>
      </w:pPr>
      <w:r>
        <w:t>The ACCC also received supplementary submission</w:t>
      </w:r>
      <w:r w:rsidR="00561DBA">
        <w:t>s</w:t>
      </w:r>
      <w:r>
        <w:t xml:space="preserve"> from Emerald</w:t>
      </w:r>
      <w:r w:rsidR="00561DBA">
        <w:t xml:space="preserve"> and GrainCorp</w:t>
      </w:r>
      <w:r w:rsidR="00E35CE5">
        <w:t xml:space="preserve"> responding to issues raised in some public submissions</w:t>
      </w:r>
      <w:r>
        <w:t>.</w:t>
      </w:r>
    </w:p>
    <w:p w:rsidR="00B80229" w:rsidRDefault="00B80229" w:rsidP="00251E7E">
      <w:pPr>
        <w:spacing w:before="240"/>
      </w:pPr>
      <w:r>
        <w:t xml:space="preserve">Public submissions are available on the ACCC’s website at </w:t>
      </w:r>
      <w:hyperlink r:id="rId17" w:history="1">
        <w:r w:rsidR="00312388" w:rsidRPr="00424D38">
          <w:rPr>
            <w:rStyle w:val="Hyperlink"/>
          </w:rPr>
          <w:t>https://www.accc.gov.au/regulated-infrastructure/wheat-export/victorian-wheat-ports-exemption-assessments</w:t>
        </w:r>
      </w:hyperlink>
      <w:r>
        <w:t>.</w:t>
      </w:r>
    </w:p>
    <w:p w:rsidR="00312388" w:rsidRDefault="00312388" w:rsidP="002E0669">
      <w:pPr>
        <w:pStyle w:val="Heading2"/>
      </w:pPr>
      <w:bookmarkStart w:id="56" w:name="_Toc416360487"/>
      <w:bookmarkStart w:id="57" w:name="_Toc406090290"/>
      <w:r>
        <w:t>Consultation on these draft determinations</w:t>
      </w:r>
      <w:bookmarkEnd w:id="56"/>
    </w:p>
    <w:bookmarkEnd w:id="57"/>
    <w:p w:rsidR="00B80229" w:rsidRDefault="00B80229" w:rsidP="00B80229">
      <w:pPr>
        <w:spacing w:before="240"/>
      </w:pPr>
      <w:r>
        <w:t>The ACCC invites public submissions on the draft determinations set out in this document. The ACCC asks submitting parties to clearly identify the draft determination</w:t>
      </w:r>
      <w:r w:rsidR="00312388">
        <w:t>/</w:t>
      </w:r>
      <w:r>
        <w:t>s that their submission relates to.</w:t>
      </w:r>
      <w:r w:rsidR="00607049">
        <w:t xml:space="preserve"> </w:t>
      </w:r>
      <w:r>
        <w:t>Please include detailed reasons to support the vi</w:t>
      </w:r>
      <w:r w:rsidR="00607049">
        <w:t>ews put forward in submissions.</w:t>
      </w:r>
    </w:p>
    <w:p w:rsidR="008339F4" w:rsidRDefault="008339F4" w:rsidP="008339F4">
      <w:pPr>
        <w:keepNext/>
        <w:spacing w:before="240"/>
      </w:pPr>
      <w:r>
        <w:t>Please address submissions to:</w:t>
      </w:r>
    </w:p>
    <w:p w:rsidR="008339F4" w:rsidRDefault="008339F4" w:rsidP="008339F4">
      <w:pPr>
        <w:keepNext/>
        <w:spacing w:before="0" w:after="0"/>
        <w:ind w:left="720"/>
      </w:pPr>
      <w:r>
        <w:t>General Manager</w:t>
      </w:r>
    </w:p>
    <w:p w:rsidR="008339F4" w:rsidRDefault="008339F4" w:rsidP="008339F4">
      <w:pPr>
        <w:keepNext/>
        <w:spacing w:before="0" w:after="0"/>
        <w:ind w:left="720"/>
      </w:pPr>
      <w:r>
        <w:t xml:space="preserve">Infrastructure &amp; Transport - Access &amp; Pricing Branch </w:t>
      </w:r>
    </w:p>
    <w:p w:rsidR="008339F4" w:rsidRDefault="008339F4" w:rsidP="008339F4">
      <w:pPr>
        <w:keepNext/>
        <w:spacing w:before="0" w:after="0"/>
        <w:ind w:left="720"/>
      </w:pPr>
      <w:r>
        <w:t>ACCC</w:t>
      </w:r>
    </w:p>
    <w:p w:rsidR="008339F4" w:rsidRDefault="008339F4" w:rsidP="008339F4">
      <w:pPr>
        <w:keepNext/>
        <w:spacing w:before="0" w:after="0"/>
        <w:ind w:left="720"/>
      </w:pPr>
      <w:r>
        <w:t>GPO Box 520</w:t>
      </w:r>
    </w:p>
    <w:p w:rsidR="008339F4" w:rsidRDefault="008339F4" w:rsidP="008339F4">
      <w:pPr>
        <w:keepNext/>
        <w:spacing w:before="0" w:after="0"/>
        <w:ind w:left="720"/>
      </w:pPr>
      <w:r>
        <w:t>MELBOURNE VIC 3001</w:t>
      </w:r>
    </w:p>
    <w:p w:rsidR="008339F4" w:rsidRDefault="008339F4" w:rsidP="008339F4">
      <w:pPr>
        <w:keepNext/>
        <w:spacing w:before="0" w:after="0"/>
        <w:ind w:left="720"/>
      </w:pPr>
      <w:r>
        <w:t xml:space="preserve">Email: </w:t>
      </w:r>
      <w:hyperlink r:id="rId18" w:history="1">
        <w:r w:rsidRPr="00782971">
          <w:rPr>
            <w:rStyle w:val="Hyperlink"/>
          </w:rPr>
          <w:t>transport@accc.gov.au</w:t>
        </w:r>
      </w:hyperlink>
    </w:p>
    <w:p w:rsidR="008339F4" w:rsidRDefault="008339F4" w:rsidP="008339F4">
      <w:pPr>
        <w:spacing w:before="240"/>
      </w:pPr>
      <w:r>
        <w:t>The ACCC prefers that submissions be sent via email in Microsoft Word format (although other text readable document formats will be accepted).</w:t>
      </w:r>
    </w:p>
    <w:p w:rsidR="008339F4" w:rsidRPr="00D46D67" w:rsidRDefault="008339F4" w:rsidP="00D46D67">
      <w:pPr>
        <w:rPr>
          <w:i/>
        </w:rPr>
      </w:pPr>
      <w:bookmarkStart w:id="58" w:name="_Toc406090291"/>
      <w:r w:rsidRPr="00D46D67">
        <w:rPr>
          <w:i/>
        </w:rPr>
        <w:t>Due date for submissions</w:t>
      </w:r>
      <w:bookmarkEnd w:id="58"/>
    </w:p>
    <w:p w:rsidR="008339F4" w:rsidRDefault="008339F4" w:rsidP="008339F4">
      <w:pPr>
        <w:spacing w:before="240"/>
      </w:pPr>
      <w:r>
        <w:t xml:space="preserve">Submissions must be received before 5:00pm (AEST), </w:t>
      </w:r>
      <w:r w:rsidR="008A1251" w:rsidRPr="00F2549B">
        <w:rPr>
          <w:b/>
        </w:rPr>
        <w:t xml:space="preserve">24 </w:t>
      </w:r>
      <w:r w:rsidR="00B80229" w:rsidRPr="00F2549B">
        <w:rPr>
          <w:b/>
        </w:rPr>
        <w:t>April</w:t>
      </w:r>
      <w:r w:rsidRPr="00F2549B">
        <w:rPr>
          <w:b/>
        </w:rPr>
        <w:t xml:space="preserve"> 2015</w:t>
      </w:r>
      <w:r>
        <w:t xml:space="preserve">. </w:t>
      </w:r>
    </w:p>
    <w:p w:rsidR="008339F4" w:rsidRPr="00D46D67" w:rsidRDefault="008339F4" w:rsidP="00D46D67">
      <w:pPr>
        <w:rPr>
          <w:i/>
        </w:rPr>
      </w:pPr>
      <w:bookmarkStart w:id="59" w:name="_Toc406090292"/>
      <w:r w:rsidRPr="00D46D67">
        <w:rPr>
          <w:i/>
        </w:rPr>
        <w:t>Confidentiality of information provided to the ACCC</w:t>
      </w:r>
      <w:bookmarkEnd w:id="59"/>
    </w:p>
    <w:p w:rsidR="008339F4" w:rsidRDefault="008339F4" w:rsidP="008339F4">
      <w:pPr>
        <w:spacing w:before="240"/>
      </w:pPr>
      <w:r>
        <w:t>The ACCC strongly encourages public submissions. Unless a submission, or part of a submission, is marked confidential, it will be published on the ACCC’s website and may be made available to any person or organisation upon request.</w:t>
      </w:r>
    </w:p>
    <w:p w:rsidR="008339F4" w:rsidRDefault="008339F4" w:rsidP="008339F4">
      <w:pPr>
        <w:spacing w:before="240"/>
      </w:pPr>
      <w:r>
        <w:lastRenderedPageBreak/>
        <w:t xml:space="preserve">Sections of submissions that are claimed to be confidential should be clearly identified. The ACCC will consider each claim of confidentiality on a case by case basis. If the ACCC refuses a request for confidentiality, the submitting party will be given the opportunity to withdraw the submission in whole or in part. The ACCC will then assess the </w:t>
      </w:r>
      <w:r w:rsidR="00A10C6F">
        <w:t xml:space="preserve">exemption </w:t>
      </w:r>
      <w:r>
        <w:t>application/s in the absence of that information.</w:t>
      </w:r>
    </w:p>
    <w:p w:rsidR="008339F4" w:rsidRPr="00E74CA3" w:rsidRDefault="008339F4" w:rsidP="008339F4">
      <w:pPr>
        <w:spacing w:before="240"/>
      </w:pPr>
      <w:r>
        <w:t xml:space="preserve">For further information about the collection, use and disclosure of information provided to the ACCC, please refer to the ACCC publication </w:t>
      </w:r>
      <w:r w:rsidRPr="00E74CA3">
        <w:rPr>
          <w:i/>
        </w:rPr>
        <w:t xml:space="preserve">Australian Competition and Consumer Commission / Australian Energy </w:t>
      </w:r>
      <w:r>
        <w:rPr>
          <w:i/>
        </w:rPr>
        <w:t>Regulator Information Policy -</w:t>
      </w:r>
      <w:r w:rsidRPr="00E74CA3">
        <w:rPr>
          <w:i/>
        </w:rPr>
        <w:t xml:space="preserve"> the collection, use and disclosure of information</w:t>
      </w:r>
      <w:r>
        <w:t>, available on the ACCC website.</w:t>
      </w:r>
    </w:p>
    <w:p w:rsidR="008339F4" w:rsidRPr="00D46D67" w:rsidRDefault="008339F4" w:rsidP="00D46D67">
      <w:pPr>
        <w:keepNext/>
        <w:rPr>
          <w:i/>
        </w:rPr>
      </w:pPr>
      <w:bookmarkStart w:id="60" w:name="_Toc406090293"/>
      <w:r w:rsidRPr="00D46D67">
        <w:rPr>
          <w:i/>
        </w:rPr>
        <w:t>Further information</w:t>
      </w:r>
      <w:bookmarkEnd w:id="60"/>
    </w:p>
    <w:p w:rsidR="008339F4" w:rsidRPr="00074AFA" w:rsidRDefault="008339F4" w:rsidP="008339F4">
      <w:pPr>
        <w:keepNext/>
        <w:spacing w:before="240"/>
      </w:pPr>
      <w:r w:rsidRPr="00074AFA">
        <w:t>If you have any queries about any matters raised in this document, please contact:</w:t>
      </w:r>
    </w:p>
    <w:p w:rsidR="00312388" w:rsidRDefault="008339F4" w:rsidP="00251E7E">
      <w:pPr>
        <w:keepNext/>
        <w:spacing w:before="0" w:after="0"/>
        <w:ind w:left="720"/>
      </w:pPr>
      <w:r>
        <w:t>Mr Michael Eady</w:t>
      </w:r>
    </w:p>
    <w:p w:rsidR="00312388" w:rsidRDefault="008339F4" w:rsidP="00251E7E">
      <w:pPr>
        <w:keepNext/>
        <w:spacing w:before="0" w:after="0"/>
        <w:ind w:left="720"/>
      </w:pPr>
      <w:r w:rsidRPr="00074AFA">
        <w:t xml:space="preserve">Director </w:t>
      </w:r>
    </w:p>
    <w:p w:rsidR="00251E7E" w:rsidRDefault="008339F4" w:rsidP="00251E7E">
      <w:pPr>
        <w:keepNext/>
        <w:spacing w:before="0" w:after="0"/>
        <w:ind w:left="720"/>
      </w:pPr>
      <w:r>
        <w:t xml:space="preserve">Infrastructure &amp; Transport - Access &amp; Pricing Branch </w:t>
      </w:r>
    </w:p>
    <w:p w:rsidR="00251E7E" w:rsidRDefault="008339F4" w:rsidP="00251E7E">
      <w:pPr>
        <w:keepNext/>
        <w:spacing w:before="0" w:after="0"/>
        <w:ind w:left="720"/>
      </w:pPr>
      <w:r w:rsidRPr="00074AFA">
        <w:t>ACCC</w:t>
      </w:r>
    </w:p>
    <w:p w:rsidR="00251E7E" w:rsidRDefault="008339F4" w:rsidP="00251E7E">
      <w:pPr>
        <w:keepNext/>
        <w:spacing w:before="0" w:after="0"/>
        <w:ind w:left="720"/>
      </w:pPr>
      <w:r w:rsidRPr="00074AFA">
        <w:t>GPO Box 52</w:t>
      </w:r>
      <w:r>
        <w:t>0</w:t>
      </w:r>
    </w:p>
    <w:p w:rsidR="00251E7E" w:rsidRDefault="008339F4" w:rsidP="00251E7E">
      <w:pPr>
        <w:keepNext/>
        <w:spacing w:before="0" w:after="0"/>
        <w:ind w:left="720"/>
      </w:pPr>
      <w:r>
        <w:t>MELBOURNE VIC 3001</w:t>
      </w:r>
    </w:p>
    <w:p w:rsidR="00251E7E" w:rsidRDefault="008339F4" w:rsidP="00251E7E">
      <w:pPr>
        <w:keepNext/>
        <w:spacing w:before="0" w:after="0"/>
        <w:ind w:left="720"/>
      </w:pPr>
      <w:r>
        <w:t>Ph: 0</w:t>
      </w:r>
      <w:r w:rsidRPr="00074AFA">
        <w:t xml:space="preserve">3 9290 </w:t>
      </w:r>
      <w:r>
        <w:t>1945</w:t>
      </w:r>
    </w:p>
    <w:p w:rsidR="008339F4" w:rsidRDefault="008339F4" w:rsidP="00251E7E">
      <w:pPr>
        <w:spacing w:before="0" w:after="0"/>
        <w:ind w:left="720"/>
        <w:rPr>
          <w:rStyle w:val="Hyperlink"/>
        </w:rPr>
      </w:pPr>
      <w:r w:rsidRPr="00074AFA">
        <w:t xml:space="preserve">Email: </w:t>
      </w:r>
      <w:hyperlink r:id="rId19" w:history="1">
        <w:r w:rsidRPr="00DA5BC4">
          <w:rPr>
            <w:rStyle w:val="Hyperlink"/>
          </w:rPr>
          <w:t>michael.eady@accc.gov.au</w:t>
        </w:r>
      </w:hyperlink>
    </w:p>
    <w:p w:rsidR="003F6DB6" w:rsidRDefault="003F6DB6" w:rsidP="003F6DB6">
      <w:pPr>
        <w:spacing w:before="0" w:after="0"/>
        <w:rPr>
          <w:rStyle w:val="Hyperlink"/>
        </w:rPr>
      </w:pPr>
    </w:p>
    <w:p w:rsidR="003F6DB6" w:rsidRDefault="003F6DB6">
      <w:pPr>
        <w:spacing w:before="0" w:after="200" w:line="276" w:lineRule="auto"/>
        <w:rPr>
          <w:rFonts w:eastAsiaTheme="majorEastAsia" w:cstheme="majorBidi"/>
          <w:b/>
          <w:bCs/>
          <w:color w:val="51626F"/>
          <w:sz w:val="28"/>
          <w:szCs w:val="26"/>
        </w:rPr>
      </w:pPr>
      <w:r>
        <w:br w:type="page"/>
      </w:r>
    </w:p>
    <w:p w:rsidR="008339F4" w:rsidRDefault="008062B8" w:rsidP="002E0669">
      <w:pPr>
        <w:pStyle w:val="Heading2"/>
      </w:pPr>
      <w:bookmarkStart w:id="61" w:name="_Toc416360488"/>
      <w:r>
        <w:lastRenderedPageBreak/>
        <w:t>Outline</w:t>
      </w:r>
      <w:r w:rsidRPr="00612939">
        <w:t xml:space="preserve"> </w:t>
      </w:r>
      <w:r w:rsidR="00612939" w:rsidRPr="00612939">
        <w:t>of this document</w:t>
      </w:r>
      <w:bookmarkEnd w:id="61"/>
    </w:p>
    <w:p w:rsidR="00500138" w:rsidRDefault="003B2CF5" w:rsidP="00F2549B">
      <w:pPr>
        <w:spacing w:before="240"/>
      </w:pPr>
      <w:r>
        <w:t xml:space="preserve">In its Issues Paper the ACCC sought industry comment on </w:t>
      </w:r>
      <w:r w:rsidR="0044066E">
        <w:t xml:space="preserve">issues </w:t>
      </w:r>
      <w:r>
        <w:t xml:space="preserve">which would </w:t>
      </w:r>
      <w:r w:rsidR="0044066E">
        <w:t xml:space="preserve">assist the ACCC in assessing </w:t>
      </w:r>
      <w:r>
        <w:t>GrainCorp and Emerald’s exemption applications</w:t>
      </w:r>
      <w:r w:rsidR="0044066E">
        <w:t xml:space="preserve"> against </w:t>
      </w:r>
      <w:r w:rsidR="00160F4F">
        <w:t xml:space="preserve">the </w:t>
      </w:r>
      <w:r w:rsidR="00160F4F" w:rsidRPr="00160F4F">
        <w:t>matters specified in subclause 5(3) of the Code</w:t>
      </w:r>
      <w:r>
        <w:t xml:space="preserve">. </w:t>
      </w:r>
    </w:p>
    <w:p w:rsidR="00A95697" w:rsidRDefault="0044066E" w:rsidP="00712AF0">
      <w:pPr>
        <w:spacing w:before="240"/>
      </w:pPr>
      <w:r>
        <w:t xml:space="preserve">Chapters </w:t>
      </w:r>
      <w:r w:rsidR="00E61868" w:rsidRPr="00F2549B">
        <w:t>2</w:t>
      </w:r>
      <w:r>
        <w:t xml:space="preserve"> and </w:t>
      </w:r>
      <w:r w:rsidR="00E61868">
        <w:t>3</w:t>
      </w:r>
      <w:r>
        <w:t xml:space="preserve"> </w:t>
      </w:r>
      <w:r w:rsidR="00624006">
        <w:t xml:space="preserve">of this document </w:t>
      </w:r>
      <w:r>
        <w:t xml:space="preserve">present </w:t>
      </w:r>
      <w:r w:rsidR="0038571B">
        <w:t xml:space="preserve">the ACCC’s </w:t>
      </w:r>
      <w:r w:rsidR="00712AF0">
        <w:t xml:space="preserve">analysis and </w:t>
      </w:r>
      <w:r w:rsidR="0038571B">
        <w:t>preliminary view</w:t>
      </w:r>
      <w:r w:rsidR="00712AF0">
        <w:t>s</w:t>
      </w:r>
      <w:r w:rsidR="0038571B">
        <w:t xml:space="preserve"> o</w:t>
      </w:r>
      <w:r w:rsidR="00712AF0">
        <w:t>n</w:t>
      </w:r>
      <w:r w:rsidR="0038571B">
        <w:t xml:space="preserve"> these issues</w:t>
      </w:r>
      <w:r w:rsidR="00624006">
        <w:t>.</w:t>
      </w:r>
      <w:r w:rsidR="000520F9">
        <w:t xml:space="preserve"> </w:t>
      </w:r>
    </w:p>
    <w:p w:rsidR="00E25C17" w:rsidRDefault="00A95697" w:rsidP="00E25C17">
      <w:pPr>
        <w:pStyle w:val="ListParagraph"/>
        <w:numPr>
          <w:ilvl w:val="0"/>
          <w:numId w:val="11"/>
        </w:numPr>
        <w:spacing w:before="240"/>
        <w:ind w:left="714" w:hanging="357"/>
        <w:contextualSpacing w:val="0"/>
      </w:pPr>
      <w:r>
        <w:t xml:space="preserve">Chapter 2 considers </w:t>
      </w:r>
      <w:r w:rsidR="00062DAA">
        <w:t xml:space="preserve">the characteristics of </w:t>
      </w:r>
      <w:r w:rsidR="00942633">
        <w:t xml:space="preserve">the </w:t>
      </w:r>
      <w:r w:rsidR="00062DAA">
        <w:t xml:space="preserve">Victorian wheat port terminals, including their capacity </w:t>
      </w:r>
      <w:r w:rsidR="00A21389">
        <w:t xml:space="preserve">and </w:t>
      </w:r>
      <w:r w:rsidR="00062DAA">
        <w:t xml:space="preserve">the </w:t>
      </w:r>
      <w:r w:rsidR="00A21389">
        <w:t>demand for their services</w:t>
      </w:r>
      <w:r>
        <w:t>.</w:t>
      </w:r>
      <w:r w:rsidR="00062DAA">
        <w:t xml:space="preserve"> </w:t>
      </w:r>
    </w:p>
    <w:p w:rsidR="00A95697" w:rsidRDefault="00E25C17" w:rsidP="00E25C17">
      <w:pPr>
        <w:pStyle w:val="ListParagraph"/>
        <w:numPr>
          <w:ilvl w:val="1"/>
          <w:numId w:val="11"/>
        </w:numPr>
        <w:spacing w:before="240"/>
        <w:contextualSpacing w:val="0"/>
      </w:pPr>
      <w:r>
        <w:t xml:space="preserve">Analysis of capacity and demand </w:t>
      </w:r>
      <w:r w:rsidR="00A95697">
        <w:t>indicat</w:t>
      </w:r>
      <w:r w:rsidR="00A21389">
        <w:t>es</w:t>
      </w:r>
      <w:r w:rsidR="00A95697">
        <w:t xml:space="preserve"> whether there is spare capacity or capacity constraints at the port terminals</w:t>
      </w:r>
      <w:r w:rsidR="00A21389">
        <w:t xml:space="preserve"> and to what extent this would facilitate fair and transparent access if </w:t>
      </w:r>
      <w:r w:rsidR="006D6624">
        <w:t xml:space="preserve">parts 3 to 6 of </w:t>
      </w:r>
      <w:r w:rsidR="00A21389">
        <w:t>the Code did not apply.</w:t>
      </w:r>
    </w:p>
    <w:p w:rsidR="00E25C17" w:rsidRDefault="00103BE8" w:rsidP="00E25C17">
      <w:pPr>
        <w:pStyle w:val="ListParagraph"/>
        <w:numPr>
          <w:ilvl w:val="0"/>
          <w:numId w:val="11"/>
        </w:numPr>
        <w:spacing w:before="240"/>
        <w:ind w:left="714" w:hanging="357"/>
        <w:contextualSpacing w:val="0"/>
      </w:pPr>
      <w:r>
        <w:t xml:space="preserve">Chapter 3 considers </w:t>
      </w:r>
      <w:r w:rsidR="00C657B2">
        <w:t xml:space="preserve">the level of competition in upcountry storage and handling as well as the competitive pressures </w:t>
      </w:r>
      <w:r w:rsidR="00B51D62">
        <w:t xml:space="preserve">on a facility from alternative (competing) port terminals. This chapter also examines </w:t>
      </w:r>
      <w:r w:rsidR="00B51D62" w:rsidRPr="00B51D62">
        <w:t>competitive constraints on bulk wheat export from containerised exports and domestic demand</w:t>
      </w:r>
      <w:r w:rsidR="00B51D62">
        <w:t xml:space="preserve">. </w:t>
      </w:r>
    </w:p>
    <w:p w:rsidR="00712AF0" w:rsidRDefault="00712AF0" w:rsidP="00E25C17">
      <w:pPr>
        <w:pStyle w:val="ListParagraph"/>
        <w:numPr>
          <w:ilvl w:val="1"/>
          <w:numId w:val="11"/>
        </w:numPr>
        <w:spacing w:before="240"/>
        <w:contextualSpacing w:val="0"/>
      </w:pPr>
      <w:r>
        <w:t xml:space="preserve">Analysis of these issues </w:t>
      </w:r>
      <w:r w:rsidR="00403F47">
        <w:t xml:space="preserve">informs the ACCC </w:t>
      </w:r>
      <w:r w:rsidR="000520F9">
        <w:t xml:space="preserve">of </w:t>
      </w:r>
      <w:r w:rsidRPr="008062B8">
        <w:t>whether a port terminal facility faces a sufficient degree of competiti</w:t>
      </w:r>
      <w:r w:rsidR="006D2F6F">
        <w:t>ve constraint</w:t>
      </w:r>
      <w:r w:rsidRPr="008062B8">
        <w:t xml:space="preserve"> to </w:t>
      </w:r>
      <w:r w:rsidR="000520F9">
        <w:t xml:space="preserve">promote fair and transparent access to port terminal services if </w:t>
      </w:r>
      <w:r w:rsidR="006D6624">
        <w:t xml:space="preserve">parts 3 to 6 of the </w:t>
      </w:r>
      <w:r w:rsidR="000520F9">
        <w:t xml:space="preserve">Code did not apply. </w:t>
      </w:r>
    </w:p>
    <w:p w:rsidR="00BB0E26" w:rsidRDefault="00500138" w:rsidP="00BB0E26">
      <w:pPr>
        <w:spacing w:before="240"/>
      </w:pPr>
      <w:r>
        <w:t xml:space="preserve">Chapters </w:t>
      </w:r>
      <w:r w:rsidR="00E61868" w:rsidRPr="00F2549B">
        <w:t>4</w:t>
      </w:r>
      <w:r w:rsidRPr="00F2549B">
        <w:t xml:space="preserve"> </w:t>
      </w:r>
      <w:r w:rsidR="00624006" w:rsidRPr="008A1251">
        <w:t>to</w:t>
      </w:r>
      <w:r w:rsidRPr="00F2549B">
        <w:t xml:space="preserve"> </w:t>
      </w:r>
      <w:r w:rsidR="00E61868">
        <w:t>6</w:t>
      </w:r>
      <w:r>
        <w:t xml:space="preserve"> </w:t>
      </w:r>
      <w:r w:rsidR="000520F9">
        <w:t xml:space="preserve">use the analysis </w:t>
      </w:r>
      <w:r w:rsidR="00C657B2">
        <w:t xml:space="preserve">and </w:t>
      </w:r>
      <w:r w:rsidR="00062DAA">
        <w:t xml:space="preserve">preliminary </w:t>
      </w:r>
      <w:r w:rsidR="00C657B2">
        <w:t xml:space="preserve">findings from </w:t>
      </w:r>
      <w:r w:rsidR="00E25C17">
        <w:t xml:space="preserve">both </w:t>
      </w:r>
      <w:r w:rsidR="000520F9">
        <w:t xml:space="preserve">chapters </w:t>
      </w:r>
      <w:r w:rsidR="00062DAA">
        <w:t xml:space="preserve">2 and 3 </w:t>
      </w:r>
      <w:r w:rsidR="00C657B2">
        <w:t>to</w:t>
      </w:r>
      <w:r w:rsidR="000520F9">
        <w:t xml:space="preserve"> </w:t>
      </w:r>
      <w:r w:rsidR="00BB0E26">
        <w:t xml:space="preserve">set out </w:t>
      </w:r>
      <w:r>
        <w:t>the ACCC</w:t>
      </w:r>
      <w:r w:rsidR="00BB0E26">
        <w:t xml:space="preserve"> preliminary </w:t>
      </w:r>
      <w:r w:rsidR="00322C6C">
        <w:t xml:space="preserve">assessment of the </w:t>
      </w:r>
      <w:r w:rsidR="00BB0E26">
        <w:t xml:space="preserve">matters in subclause 5(3) </w:t>
      </w:r>
      <w:r w:rsidR="000520F9">
        <w:t xml:space="preserve">of the Code </w:t>
      </w:r>
      <w:r w:rsidR="00BB0E26">
        <w:t>for each of GrainCorp and Emerald’s Victorian port terminals.</w:t>
      </w:r>
    </w:p>
    <w:p w:rsidR="002E0669" w:rsidRDefault="00BB0E26" w:rsidP="00BB0E26">
      <w:pPr>
        <w:spacing w:before="240"/>
      </w:pPr>
      <w:r>
        <w:t xml:space="preserve">Chapter </w:t>
      </w:r>
      <w:r w:rsidR="00E61868">
        <w:t>7</w:t>
      </w:r>
      <w:r>
        <w:t xml:space="preserve"> sets out the ACCC’s draft determinations regarding each of these port terminals.</w:t>
      </w:r>
    </w:p>
    <w:p w:rsidR="002E0669" w:rsidRDefault="002E0669" w:rsidP="002E0669">
      <w:r>
        <w:br w:type="page"/>
      </w:r>
    </w:p>
    <w:p w:rsidR="00A46D1F" w:rsidRDefault="00A46D1F" w:rsidP="00A46D1F">
      <w:pPr>
        <w:pStyle w:val="Heading1"/>
      </w:pPr>
      <w:bookmarkStart w:id="62" w:name="_Toc412801946"/>
      <w:bookmarkStart w:id="63" w:name="_Toc416360489"/>
      <w:bookmarkStart w:id="64" w:name="_Ref398540645"/>
      <w:r>
        <w:lastRenderedPageBreak/>
        <w:t>Victorian bulk wheat port terminal services</w:t>
      </w:r>
      <w:bookmarkEnd w:id="62"/>
      <w:bookmarkEnd w:id="63"/>
    </w:p>
    <w:p w:rsidR="00292123" w:rsidRDefault="00A46D1F" w:rsidP="00A46D1F">
      <w:pPr>
        <w:pStyle w:val="Normalparagraph"/>
      </w:pPr>
      <w:r>
        <w:t xml:space="preserve">This chapter sets out the ACCC’s </w:t>
      </w:r>
      <w:r w:rsidR="0098493A">
        <w:t xml:space="preserve">preliminary </w:t>
      </w:r>
      <w:r>
        <w:t xml:space="preserve">views on the </w:t>
      </w:r>
      <w:r w:rsidR="00B47DC2">
        <w:t xml:space="preserve">availability of and demand for </w:t>
      </w:r>
      <w:r>
        <w:t xml:space="preserve">Victorian bulk wheat port terminal services. </w:t>
      </w:r>
      <w:r w:rsidR="00B47DC2">
        <w:t xml:space="preserve">In particular, the ACCC has considered </w:t>
      </w:r>
      <w:r w:rsidR="00B36873">
        <w:t xml:space="preserve">the characteristics of the three existing wheat port terminals facilities including </w:t>
      </w:r>
      <w:r w:rsidR="00B47DC2">
        <w:t xml:space="preserve">the extent to which there </w:t>
      </w:r>
      <w:r w:rsidR="00B36873">
        <w:t xml:space="preserve">are </w:t>
      </w:r>
      <w:r w:rsidR="00B47DC2">
        <w:t>capacity constraint</w:t>
      </w:r>
      <w:r w:rsidR="00B36873">
        <w:t xml:space="preserve">s including in peak </w:t>
      </w:r>
      <w:r w:rsidR="0090551F">
        <w:t xml:space="preserve">shipping </w:t>
      </w:r>
      <w:r w:rsidR="00B36873">
        <w:t>periods</w:t>
      </w:r>
      <w:r w:rsidR="00B47DC2">
        <w:t xml:space="preserve">. </w:t>
      </w:r>
      <w:r w:rsidR="00B36873">
        <w:t xml:space="preserve">The ACCC has also considered additional proposed port terminals and the likely effect on capacity constraints. </w:t>
      </w:r>
    </w:p>
    <w:p w:rsidR="00A46D1F" w:rsidRDefault="00B47DC2" w:rsidP="00A46D1F">
      <w:pPr>
        <w:pStyle w:val="Normalparagraph"/>
      </w:pPr>
      <w:r>
        <w:t>The ACCC considers that</w:t>
      </w:r>
      <w:r w:rsidR="00C0588E">
        <w:t>,</w:t>
      </w:r>
      <w:r>
        <w:t xml:space="preserve"> where there is spare </w:t>
      </w:r>
      <w:r w:rsidR="00292123">
        <w:t xml:space="preserve">export </w:t>
      </w:r>
      <w:r>
        <w:t xml:space="preserve">capacity, a port terminal service provider is likely to have an incentive to increase throughput and provide access to exporters. Conversely, where there are capacity constraints, the ACCC considers that a vertically integrated port terminal service provider may </w:t>
      </w:r>
      <w:r w:rsidR="00B36873">
        <w:t xml:space="preserve">have an incentive </w:t>
      </w:r>
      <w:r>
        <w:t xml:space="preserve">to exclude other exporters and preference its own trading business.   </w:t>
      </w:r>
    </w:p>
    <w:p w:rsidR="0076447D" w:rsidRDefault="00A46D1F" w:rsidP="00A46D1F">
      <w:pPr>
        <w:pStyle w:val="Normalparagraph"/>
      </w:pPr>
      <w:r>
        <w:t xml:space="preserve">The ACCC’s consideration of the </w:t>
      </w:r>
      <w:r w:rsidR="00B47DC2">
        <w:t xml:space="preserve">availability </w:t>
      </w:r>
      <w:r>
        <w:t xml:space="preserve">of </w:t>
      </w:r>
      <w:r w:rsidR="00B47DC2">
        <w:t xml:space="preserve">and demand for </w:t>
      </w:r>
      <w:r>
        <w:t xml:space="preserve">port terminal services in Victoria </w:t>
      </w:r>
      <w:r w:rsidR="00C8243C">
        <w:t>is relevant</w:t>
      </w:r>
      <w:r w:rsidR="00D049CC">
        <w:t xml:space="preserve"> </w:t>
      </w:r>
      <w:r w:rsidR="00D528DD">
        <w:t xml:space="preserve">to the </w:t>
      </w:r>
      <w:r w:rsidR="00D049CC">
        <w:t>ACCC’s assessment</w:t>
      </w:r>
      <w:r w:rsidR="00C8243C">
        <w:t xml:space="preserve"> of the exemption application</w:t>
      </w:r>
      <w:r w:rsidR="00D528DD">
        <w:t xml:space="preserve">, having regard to the </w:t>
      </w:r>
      <w:r w:rsidRPr="00160F4F">
        <w:t>matters specified in subclause 5(3) of the Code</w:t>
      </w:r>
      <w:r w:rsidR="00D528DD">
        <w:t xml:space="preserve">. </w:t>
      </w:r>
    </w:p>
    <w:p w:rsidR="00A46D1F" w:rsidRDefault="00A46D1F" w:rsidP="00A46D1F">
      <w:pPr>
        <w:pStyle w:val="Normalparagraph"/>
      </w:pPr>
      <w:r>
        <w:t xml:space="preserve">This chapter includes views from submissions to the ACCC’s </w:t>
      </w:r>
      <w:r w:rsidR="0076447D">
        <w:t xml:space="preserve">December </w:t>
      </w:r>
      <w:r>
        <w:t>201</w:t>
      </w:r>
      <w:r w:rsidR="0076447D">
        <w:t>4</w:t>
      </w:r>
      <w:r>
        <w:t xml:space="preserve"> consultation paper. </w:t>
      </w:r>
    </w:p>
    <w:p w:rsidR="00A46D1F" w:rsidRDefault="00A46D1F" w:rsidP="00A46D1F">
      <w:pPr>
        <w:pStyle w:val="Heading2"/>
      </w:pPr>
      <w:bookmarkStart w:id="65" w:name="_Toc416360490"/>
      <w:r>
        <w:t>Port terminal facilities and capacity</w:t>
      </w:r>
      <w:bookmarkEnd w:id="65"/>
      <w:r>
        <w:t xml:space="preserve"> </w:t>
      </w:r>
    </w:p>
    <w:p w:rsidR="00A46D1F" w:rsidRDefault="00A46D1F" w:rsidP="00A46D1F">
      <w:pPr>
        <w:pStyle w:val="Normalparagraph"/>
      </w:pPr>
      <w:bookmarkStart w:id="66" w:name="_Toc412801947"/>
      <w:r>
        <w:t xml:space="preserve">There are currently three operational bulk wheat port terminal facilities in Victoria: GrainCorp’s two facilities at Portland and Geelong, and Emerald’s MPT facility. This draft determination relates to each of those three facilities. A map showing the locations of the three terminals is on </w:t>
      </w:r>
      <w:r w:rsidRPr="00F2549B">
        <w:t xml:space="preserve">page </w:t>
      </w:r>
      <w:r w:rsidR="005949F4" w:rsidRPr="00F2549B">
        <w:t>3</w:t>
      </w:r>
      <w:r w:rsidR="00DB3D6E" w:rsidRPr="00F2549B">
        <w:t>5</w:t>
      </w:r>
      <w:r>
        <w:t>.</w:t>
      </w:r>
    </w:p>
    <w:p w:rsidR="0059131E" w:rsidRDefault="00A46D1F" w:rsidP="00EC0717">
      <w:pPr>
        <w:pStyle w:val="Normalparagraph"/>
      </w:pPr>
      <w:r>
        <w:t>The ACCC is also aware of plans to build further port terminal facilities in Victoria, such as Bunge’s proposed bulk grain export terminal at Geelong. Bunge has applied to the City of Greater Geelong for planning permission to construct a receival facility and three storage silos on land owned by Midway Limited. These facilities will connect to a current woodchip loader at Corio Quay North.</w:t>
      </w:r>
      <w:r>
        <w:rPr>
          <w:rStyle w:val="FootnoteReference"/>
        </w:rPr>
        <w:footnoteReference w:id="9"/>
      </w:r>
      <w:r>
        <w:t xml:space="preserve"> It is </w:t>
      </w:r>
      <w:r w:rsidR="005949F4">
        <w:t xml:space="preserve">not yet clear </w:t>
      </w:r>
      <w:r>
        <w:t>when the facility will become operational</w:t>
      </w:r>
      <w:r w:rsidR="00C0588E">
        <w:t>.</w:t>
      </w:r>
      <w:r>
        <w:t xml:space="preserve"> </w:t>
      </w:r>
      <w:r w:rsidR="00C0588E">
        <w:t>H</w:t>
      </w:r>
      <w:r>
        <w:t xml:space="preserve">owever, the ACCC understands that </w:t>
      </w:r>
      <w:r w:rsidR="005949F4">
        <w:t xml:space="preserve">Bunge </w:t>
      </w:r>
      <w:r>
        <w:t>is aiming to commence</w:t>
      </w:r>
      <w:r w:rsidR="00942633">
        <w:t xml:space="preserve"> exporting</w:t>
      </w:r>
      <w:r>
        <w:t xml:space="preserve"> in 2016-17. </w:t>
      </w:r>
    </w:p>
    <w:p w:rsidR="0059131E" w:rsidRDefault="00A46D1F" w:rsidP="00EC0717">
      <w:pPr>
        <w:pStyle w:val="Normalparagraph"/>
      </w:pPr>
      <w:r>
        <w:t>The Port of Portland is also in the early stages of planning for a new grains terminal which would be ‘separate from the existing GrainCorp terminal’.</w:t>
      </w:r>
      <w:r>
        <w:rPr>
          <w:rStyle w:val="FootnoteReference"/>
        </w:rPr>
        <w:footnoteReference w:id="10"/>
      </w:r>
      <w:r>
        <w:t xml:space="preserve"> GrainCorp notes that there is speculation that Quattro (backed by Cargill and Emerald) is exploring the option of building this new Portland facility.</w:t>
      </w:r>
      <w:r>
        <w:rPr>
          <w:rStyle w:val="FootnoteReference"/>
        </w:rPr>
        <w:footnoteReference w:id="11"/>
      </w:r>
      <w:r>
        <w:t xml:space="preserve"> </w:t>
      </w:r>
    </w:p>
    <w:p w:rsidR="00A46D1F" w:rsidRDefault="00A46D1F" w:rsidP="00A46D1F">
      <w:pPr>
        <w:pStyle w:val="Normalparagraph"/>
      </w:pPr>
      <w:r>
        <w:t xml:space="preserve">Table </w:t>
      </w:r>
      <w:r w:rsidR="005949F4">
        <w:t>2</w:t>
      </w:r>
      <w:r>
        <w:t xml:space="preserve"> below provides an overview of the features of current and proposed bulk wheat port terminal facilities in Victoria.</w:t>
      </w:r>
      <w:r>
        <w:rPr>
          <w:rStyle w:val="FootnoteReference"/>
        </w:rPr>
        <w:footnoteReference w:id="12"/>
      </w:r>
      <w:r>
        <w:t xml:space="preserve"> </w:t>
      </w:r>
    </w:p>
    <w:p w:rsidR="00A46D1F" w:rsidRPr="005949F4" w:rsidRDefault="00A46D1F" w:rsidP="00842ADE">
      <w:pPr>
        <w:pStyle w:val="Caption"/>
        <w:keepNext/>
        <w:rPr>
          <w:sz w:val="20"/>
        </w:rPr>
      </w:pPr>
      <w:r w:rsidRPr="005949F4">
        <w:rPr>
          <w:sz w:val="20"/>
        </w:rPr>
        <w:lastRenderedPageBreak/>
        <w:t xml:space="preserve">Table </w:t>
      </w:r>
      <w:r w:rsidR="005949F4" w:rsidRPr="005949F4">
        <w:rPr>
          <w:sz w:val="20"/>
        </w:rPr>
        <w:t>2</w:t>
      </w:r>
      <w:r w:rsidRPr="005949F4">
        <w:rPr>
          <w:sz w:val="20"/>
        </w:rPr>
        <w:t>: Overview of current and proposed port terminal facilities in Victoria</w:t>
      </w:r>
    </w:p>
    <w:tbl>
      <w:tblPr>
        <w:tblStyle w:val="LightShading1"/>
        <w:tblW w:w="5128" w:type="pct"/>
        <w:tblLook w:val="04A0" w:firstRow="1" w:lastRow="0" w:firstColumn="1" w:lastColumn="0" w:noHBand="0" w:noVBand="1"/>
      </w:tblPr>
      <w:tblGrid>
        <w:gridCol w:w="1951"/>
        <w:gridCol w:w="1843"/>
        <w:gridCol w:w="1827"/>
        <w:gridCol w:w="1929"/>
        <w:gridCol w:w="1929"/>
      </w:tblGrid>
      <w:tr w:rsidR="00A46D1F" w:rsidRPr="009F191F" w:rsidTr="00F254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vAlign w:val="center"/>
          </w:tcPr>
          <w:p w:rsidR="00A46D1F" w:rsidRPr="00DA7DFC" w:rsidRDefault="00A46D1F" w:rsidP="00F72D1A">
            <w:pPr>
              <w:pStyle w:val="Normalparagraph"/>
              <w:keepNext/>
              <w:spacing w:before="120" w:after="120"/>
              <w:rPr>
                <w:szCs w:val="20"/>
              </w:rPr>
            </w:pPr>
            <w:r w:rsidRPr="00DA7DFC">
              <w:rPr>
                <w:szCs w:val="20"/>
              </w:rPr>
              <w:t>Port terminal facility</w:t>
            </w:r>
          </w:p>
        </w:tc>
        <w:tc>
          <w:tcPr>
            <w:tcW w:w="1843" w:type="dxa"/>
            <w:vAlign w:val="center"/>
          </w:tcPr>
          <w:p w:rsidR="00A46D1F" w:rsidRPr="00DA7DFC" w:rsidRDefault="00A46D1F">
            <w:pPr>
              <w:pStyle w:val="Normalparagraph"/>
              <w:keepNext/>
              <w:spacing w:before="120" w:after="120"/>
              <w:cnfStyle w:val="100000000000" w:firstRow="1" w:lastRow="0" w:firstColumn="0" w:lastColumn="0" w:oddVBand="0" w:evenVBand="0" w:oddHBand="0" w:evenHBand="0" w:firstRowFirstColumn="0" w:firstRowLastColumn="0" w:lastRowFirstColumn="0" w:lastRowLastColumn="0"/>
              <w:rPr>
                <w:szCs w:val="20"/>
              </w:rPr>
            </w:pPr>
            <w:r w:rsidRPr="00DA7DFC">
              <w:rPr>
                <w:szCs w:val="20"/>
              </w:rPr>
              <w:t xml:space="preserve">GrainCorp’s Geelong facility </w:t>
            </w:r>
          </w:p>
        </w:tc>
        <w:tc>
          <w:tcPr>
            <w:tcW w:w="1827" w:type="dxa"/>
            <w:vAlign w:val="center"/>
          </w:tcPr>
          <w:p w:rsidR="00A46D1F" w:rsidRPr="00DA7DFC" w:rsidRDefault="00A46D1F">
            <w:pPr>
              <w:pStyle w:val="Normalparagraph"/>
              <w:keepNext/>
              <w:spacing w:before="120" w:after="120"/>
              <w:cnfStyle w:val="100000000000" w:firstRow="1" w:lastRow="0" w:firstColumn="0" w:lastColumn="0" w:oddVBand="0" w:evenVBand="0" w:oddHBand="0" w:evenHBand="0" w:firstRowFirstColumn="0" w:firstRowLastColumn="0" w:lastRowFirstColumn="0" w:lastRowLastColumn="0"/>
              <w:rPr>
                <w:szCs w:val="20"/>
              </w:rPr>
            </w:pPr>
            <w:r w:rsidRPr="00DA7DFC">
              <w:rPr>
                <w:szCs w:val="20"/>
              </w:rPr>
              <w:t>GrainCorp’s Portland facility</w:t>
            </w:r>
          </w:p>
        </w:tc>
        <w:tc>
          <w:tcPr>
            <w:tcW w:w="1929" w:type="dxa"/>
            <w:vAlign w:val="center"/>
          </w:tcPr>
          <w:p w:rsidR="00A46D1F" w:rsidRPr="00DA7DFC" w:rsidRDefault="00A46D1F">
            <w:pPr>
              <w:pStyle w:val="Normalparagraph"/>
              <w:keepNext/>
              <w:spacing w:before="120" w:after="120"/>
              <w:cnfStyle w:val="100000000000" w:firstRow="1" w:lastRow="0" w:firstColumn="0" w:lastColumn="0" w:oddVBand="0" w:evenVBand="0" w:oddHBand="0" w:evenHBand="0" w:firstRowFirstColumn="0" w:firstRowLastColumn="0" w:lastRowFirstColumn="0" w:lastRowLastColumn="0"/>
              <w:rPr>
                <w:szCs w:val="20"/>
              </w:rPr>
            </w:pPr>
            <w:r w:rsidRPr="00DA7DFC">
              <w:rPr>
                <w:szCs w:val="20"/>
              </w:rPr>
              <w:t>Emerald’s Melbourne facility</w:t>
            </w:r>
          </w:p>
        </w:tc>
        <w:tc>
          <w:tcPr>
            <w:tcW w:w="1929" w:type="dxa"/>
            <w:vAlign w:val="center"/>
          </w:tcPr>
          <w:p w:rsidR="00A46D1F" w:rsidRPr="00DA7DFC" w:rsidRDefault="00A46D1F">
            <w:pPr>
              <w:pStyle w:val="Normalparagraph"/>
              <w:keepNext/>
              <w:spacing w:before="120" w:after="120"/>
              <w:cnfStyle w:val="100000000000" w:firstRow="1" w:lastRow="0" w:firstColumn="0" w:lastColumn="0" w:oddVBand="0" w:evenVBand="0" w:oddHBand="0" w:evenHBand="0" w:firstRowFirstColumn="0" w:firstRowLastColumn="0" w:lastRowFirstColumn="0" w:lastRowLastColumn="0"/>
              <w:rPr>
                <w:szCs w:val="20"/>
              </w:rPr>
            </w:pPr>
            <w:r w:rsidRPr="00DA7DFC">
              <w:rPr>
                <w:szCs w:val="20"/>
              </w:rPr>
              <w:t>Bunge’s proposed Geelong facility</w:t>
            </w:r>
          </w:p>
        </w:tc>
      </w:tr>
      <w:tr w:rsidR="00A46D1F" w:rsidTr="0014025D">
        <w:tc>
          <w:tcPr>
            <w:cnfStyle w:val="001000000000" w:firstRow="0" w:lastRow="0" w:firstColumn="1" w:lastColumn="0" w:oddVBand="0" w:evenVBand="0" w:oddHBand="0" w:evenHBand="0" w:firstRowFirstColumn="0" w:firstRowLastColumn="0" w:lastRowFirstColumn="0" w:lastRowLastColumn="0"/>
            <w:tcW w:w="1951" w:type="dxa"/>
          </w:tcPr>
          <w:p w:rsidR="00A46D1F" w:rsidRPr="005949F4" w:rsidRDefault="00A46D1F" w:rsidP="00842ADE">
            <w:pPr>
              <w:pStyle w:val="Normalparagraph"/>
              <w:keepNext/>
              <w:spacing w:before="120" w:after="120"/>
              <w:rPr>
                <w:szCs w:val="20"/>
              </w:rPr>
            </w:pPr>
            <w:r w:rsidRPr="005949F4">
              <w:rPr>
                <w:szCs w:val="20"/>
              </w:rPr>
              <w:t>Location</w:t>
            </w:r>
          </w:p>
        </w:tc>
        <w:tc>
          <w:tcPr>
            <w:tcW w:w="1843" w:type="dxa"/>
          </w:tcPr>
          <w:p w:rsidR="00A46D1F" w:rsidRPr="005A079A" w:rsidRDefault="00A46D1F" w:rsidP="00842ADE">
            <w:pPr>
              <w:pStyle w:val="Normalparagraph"/>
              <w:keepNext/>
              <w:spacing w:before="120" w:after="120"/>
              <w:cnfStyle w:val="000000000000" w:firstRow="0" w:lastRow="0" w:firstColumn="0" w:lastColumn="0" w:oddVBand="0" w:evenVBand="0" w:oddHBand="0" w:evenHBand="0" w:firstRowFirstColumn="0" w:firstRowLastColumn="0" w:lastRowFirstColumn="0" w:lastRowLastColumn="0"/>
              <w:rPr>
                <w:szCs w:val="20"/>
              </w:rPr>
            </w:pPr>
            <w:r w:rsidRPr="005A079A">
              <w:rPr>
                <w:szCs w:val="20"/>
              </w:rPr>
              <w:t>Port of Geelong</w:t>
            </w:r>
          </w:p>
        </w:tc>
        <w:tc>
          <w:tcPr>
            <w:tcW w:w="1827" w:type="dxa"/>
          </w:tcPr>
          <w:p w:rsidR="00A46D1F" w:rsidRPr="005A079A" w:rsidRDefault="00A46D1F" w:rsidP="00842ADE">
            <w:pPr>
              <w:pStyle w:val="Normalparagraph"/>
              <w:keepNext/>
              <w:spacing w:before="120" w:after="120"/>
              <w:cnfStyle w:val="000000000000" w:firstRow="0" w:lastRow="0" w:firstColumn="0" w:lastColumn="0" w:oddVBand="0" w:evenVBand="0" w:oddHBand="0" w:evenHBand="0" w:firstRowFirstColumn="0" w:firstRowLastColumn="0" w:lastRowFirstColumn="0" w:lastRowLastColumn="0"/>
              <w:rPr>
                <w:szCs w:val="20"/>
              </w:rPr>
            </w:pPr>
            <w:r w:rsidRPr="005A079A">
              <w:rPr>
                <w:szCs w:val="20"/>
              </w:rPr>
              <w:t>Port of Portland</w:t>
            </w:r>
          </w:p>
        </w:tc>
        <w:tc>
          <w:tcPr>
            <w:tcW w:w="1929" w:type="dxa"/>
          </w:tcPr>
          <w:p w:rsidR="00A46D1F" w:rsidRPr="005A079A" w:rsidRDefault="00A46D1F" w:rsidP="00842ADE">
            <w:pPr>
              <w:pStyle w:val="Normalparagraph"/>
              <w:keepNext/>
              <w:spacing w:before="120" w:after="120"/>
              <w:cnfStyle w:val="000000000000" w:firstRow="0" w:lastRow="0" w:firstColumn="0" w:lastColumn="0" w:oddVBand="0" w:evenVBand="0" w:oddHBand="0" w:evenHBand="0" w:firstRowFirstColumn="0" w:firstRowLastColumn="0" w:lastRowFirstColumn="0" w:lastRowLastColumn="0"/>
              <w:rPr>
                <w:szCs w:val="20"/>
              </w:rPr>
            </w:pPr>
            <w:r w:rsidRPr="005A079A">
              <w:rPr>
                <w:szCs w:val="20"/>
              </w:rPr>
              <w:t>Appleton Dock (Berth F) at the Port of Melbourne</w:t>
            </w:r>
          </w:p>
        </w:tc>
        <w:tc>
          <w:tcPr>
            <w:tcW w:w="1929" w:type="dxa"/>
          </w:tcPr>
          <w:p w:rsidR="00A46D1F" w:rsidRPr="005A079A" w:rsidRDefault="00A46D1F" w:rsidP="00842ADE">
            <w:pPr>
              <w:pStyle w:val="Normalparagraph"/>
              <w:keepNext/>
              <w:spacing w:before="120" w:after="120"/>
              <w:cnfStyle w:val="000000000000" w:firstRow="0" w:lastRow="0" w:firstColumn="0" w:lastColumn="0" w:oddVBand="0" w:evenVBand="0" w:oddHBand="0" w:evenHBand="0" w:firstRowFirstColumn="0" w:firstRowLastColumn="0" w:lastRowFirstColumn="0" w:lastRowLastColumn="0"/>
              <w:rPr>
                <w:szCs w:val="20"/>
              </w:rPr>
            </w:pPr>
            <w:r w:rsidRPr="005A079A">
              <w:rPr>
                <w:szCs w:val="20"/>
              </w:rPr>
              <w:t>Port of Geelong</w:t>
            </w:r>
          </w:p>
        </w:tc>
      </w:tr>
      <w:tr w:rsidR="00A46D1F" w:rsidTr="0014025D">
        <w:tc>
          <w:tcPr>
            <w:cnfStyle w:val="001000000000" w:firstRow="0" w:lastRow="0" w:firstColumn="1" w:lastColumn="0" w:oddVBand="0" w:evenVBand="0" w:oddHBand="0" w:evenHBand="0" w:firstRowFirstColumn="0" w:firstRowLastColumn="0" w:lastRowFirstColumn="0" w:lastRowLastColumn="0"/>
            <w:tcW w:w="1951" w:type="dxa"/>
          </w:tcPr>
          <w:p w:rsidR="00A46D1F" w:rsidRPr="005949F4" w:rsidRDefault="00A46D1F" w:rsidP="00842ADE">
            <w:pPr>
              <w:pStyle w:val="Normalparagraph"/>
              <w:keepNext/>
              <w:spacing w:before="120" w:after="120"/>
              <w:rPr>
                <w:szCs w:val="20"/>
              </w:rPr>
            </w:pPr>
            <w:r w:rsidRPr="005949F4">
              <w:rPr>
                <w:szCs w:val="20"/>
              </w:rPr>
              <w:t>Rail receival</w:t>
            </w:r>
          </w:p>
        </w:tc>
        <w:tc>
          <w:tcPr>
            <w:tcW w:w="1843" w:type="dxa"/>
          </w:tcPr>
          <w:p w:rsidR="00A46D1F" w:rsidRPr="005A079A" w:rsidRDefault="00A46D1F" w:rsidP="00842ADE">
            <w:pPr>
              <w:pStyle w:val="Normalparagraph"/>
              <w:keepNext/>
              <w:spacing w:before="120" w:after="120"/>
              <w:cnfStyle w:val="000000000000" w:firstRow="0" w:lastRow="0" w:firstColumn="0" w:lastColumn="0" w:oddVBand="0" w:evenVBand="0" w:oddHBand="0" w:evenHBand="0" w:firstRowFirstColumn="0" w:firstRowLastColumn="0" w:lastRowFirstColumn="0" w:lastRowLastColumn="0"/>
              <w:rPr>
                <w:szCs w:val="20"/>
              </w:rPr>
            </w:pPr>
            <w:r w:rsidRPr="005A079A">
              <w:rPr>
                <w:szCs w:val="20"/>
              </w:rPr>
              <w:t xml:space="preserve">Dual gauge </w:t>
            </w:r>
            <w:r w:rsidRPr="005A079A">
              <w:rPr>
                <w:szCs w:val="20"/>
              </w:rPr>
              <w:br/>
              <w:t>2 000 TPH</w:t>
            </w:r>
            <w:r w:rsidRPr="005A079A">
              <w:rPr>
                <w:szCs w:val="20"/>
              </w:rPr>
              <w:br/>
              <w:t>4 hoppers</w:t>
            </w:r>
          </w:p>
        </w:tc>
        <w:tc>
          <w:tcPr>
            <w:tcW w:w="1827" w:type="dxa"/>
          </w:tcPr>
          <w:p w:rsidR="00A46D1F" w:rsidRPr="005A079A" w:rsidRDefault="00A46D1F" w:rsidP="00842ADE">
            <w:pPr>
              <w:pStyle w:val="Normalparagraph"/>
              <w:keepNext/>
              <w:spacing w:before="120" w:after="120"/>
              <w:cnfStyle w:val="000000000000" w:firstRow="0" w:lastRow="0" w:firstColumn="0" w:lastColumn="0" w:oddVBand="0" w:evenVBand="0" w:oddHBand="0" w:evenHBand="0" w:firstRowFirstColumn="0" w:firstRowLastColumn="0" w:lastRowFirstColumn="0" w:lastRowLastColumn="0"/>
              <w:rPr>
                <w:szCs w:val="20"/>
              </w:rPr>
            </w:pPr>
            <w:r w:rsidRPr="005A079A">
              <w:rPr>
                <w:szCs w:val="20"/>
              </w:rPr>
              <w:t>Standard gauge</w:t>
            </w:r>
            <w:r w:rsidRPr="005A079A">
              <w:rPr>
                <w:szCs w:val="20"/>
              </w:rPr>
              <w:br/>
              <w:t>1 000 TPH</w:t>
            </w:r>
            <w:r w:rsidRPr="005A079A">
              <w:rPr>
                <w:szCs w:val="20"/>
              </w:rPr>
              <w:br/>
              <w:t>1 hopper</w:t>
            </w:r>
          </w:p>
        </w:tc>
        <w:tc>
          <w:tcPr>
            <w:tcW w:w="1929" w:type="dxa"/>
          </w:tcPr>
          <w:p w:rsidR="00A46D1F" w:rsidRPr="005A079A" w:rsidRDefault="00A46D1F" w:rsidP="00842ADE">
            <w:pPr>
              <w:pStyle w:val="Normalparagraph"/>
              <w:keepNext/>
              <w:spacing w:before="120" w:after="120"/>
              <w:cnfStyle w:val="000000000000" w:firstRow="0" w:lastRow="0" w:firstColumn="0" w:lastColumn="0" w:oddVBand="0" w:evenVBand="0" w:oddHBand="0" w:evenHBand="0" w:firstRowFirstColumn="0" w:firstRowLastColumn="0" w:lastRowFirstColumn="0" w:lastRowLastColumn="0"/>
              <w:rPr>
                <w:szCs w:val="20"/>
              </w:rPr>
            </w:pPr>
            <w:r w:rsidRPr="005A079A">
              <w:rPr>
                <w:szCs w:val="20"/>
              </w:rPr>
              <w:t>Dual gauge</w:t>
            </w:r>
            <w:r w:rsidRPr="005A079A">
              <w:rPr>
                <w:szCs w:val="20"/>
              </w:rPr>
              <w:br/>
              <w:t>1 000 TPH</w:t>
            </w:r>
            <w:r w:rsidRPr="005A079A">
              <w:rPr>
                <w:szCs w:val="20"/>
              </w:rPr>
              <w:br/>
            </w:r>
            <w:r w:rsidRPr="00F2549B">
              <w:rPr>
                <w:szCs w:val="20"/>
              </w:rPr>
              <w:t>1 hopper</w:t>
            </w:r>
          </w:p>
        </w:tc>
        <w:tc>
          <w:tcPr>
            <w:tcW w:w="1929" w:type="dxa"/>
          </w:tcPr>
          <w:p w:rsidR="00A46D1F" w:rsidRPr="005A079A" w:rsidRDefault="00A46D1F" w:rsidP="00842ADE">
            <w:pPr>
              <w:pStyle w:val="Normalparagraph"/>
              <w:keepNext/>
              <w:spacing w:before="120" w:after="120"/>
              <w:cnfStyle w:val="000000000000" w:firstRow="0" w:lastRow="0" w:firstColumn="0" w:lastColumn="0" w:oddVBand="0" w:evenVBand="0" w:oddHBand="0" w:evenHBand="0" w:firstRowFirstColumn="0" w:firstRowLastColumn="0" w:lastRowFirstColumn="0" w:lastRowLastColumn="0"/>
              <w:rPr>
                <w:szCs w:val="20"/>
              </w:rPr>
            </w:pPr>
            <w:r w:rsidRPr="005A079A">
              <w:rPr>
                <w:szCs w:val="20"/>
              </w:rPr>
              <w:t>N/A</w:t>
            </w:r>
          </w:p>
        </w:tc>
      </w:tr>
      <w:tr w:rsidR="00A46D1F" w:rsidTr="0014025D">
        <w:tc>
          <w:tcPr>
            <w:cnfStyle w:val="001000000000" w:firstRow="0" w:lastRow="0" w:firstColumn="1" w:lastColumn="0" w:oddVBand="0" w:evenVBand="0" w:oddHBand="0" w:evenHBand="0" w:firstRowFirstColumn="0" w:firstRowLastColumn="0" w:lastRowFirstColumn="0" w:lastRowLastColumn="0"/>
            <w:tcW w:w="1951" w:type="dxa"/>
          </w:tcPr>
          <w:p w:rsidR="00A46D1F" w:rsidRPr="005949F4" w:rsidRDefault="00A46D1F" w:rsidP="00842ADE">
            <w:pPr>
              <w:pStyle w:val="Normalparagraph"/>
              <w:keepNext/>
              <w:spacing w:before="120" w:after="120"/>
              <w:rPr>
                <w:szCs w:val="20"/>
              </w:rPr>
            </w:pPr>
            <w:r w:rsidRPr="005949F4">
              <w:rPr>
                <w:szCs w:val="20"/>
              </w:rPr>
              <w:t>Road receival</w:t>
            </w:r>
          </w:p>
        </w:tc>
        <w:tc>
          <w:tcPr>
            <w:tcW w:w="1843" w:type="dxa"/>
          </w:tcPr>
          <w:p w:rsidR="00A46D1F" w:rsidRPr="005A079A" w:rsidRDefault="00A46D1F" w:rsidP="00842ADE">
            <w:pPr>
              <w:pStyle w:val="Normalparagraph"/>
              <w:keepNext/>
              <w:spacing w:before="120" w:after="120"/>
              <w:cnfStyle w:val="000000000000" w:firstRow="0" w:lastRow="0" w:firstColumn="0" w:lastColumn="0" w:oddVBand="0" w:evenVBand="0" w:oddHBand="0" w:evenHBand="0" w:firstRowFirstColumn="0" w:firstRowLastColumn="0" w:lastRowFirstColumn="0" w:lastRowLastColumn="0"/>
              <w:rPr>
                <w:szCs w:val="20"/>
              </w:rPr>
            </w:pPr>
            <w:r w:rsidRPr="005A079A">
              <w:rPr>
                <w:szCs w:val="20"/>
              </w:rPr>
              <w:t xml:space="preserve">8 000 T/day </w:t>
            </w:r>
            <w:r w:rsidRPr="005A079A">
              <w:rPr>
                <w:szCs w:val="20"/>
              </w:rPr>
              <w:br/>
              <w:t xml:space="preserve">5 hoppers </w:t>
            </w:r>
          </w:p>
        </w:tc>
        <w:tc>
          <w:tcPr>
            <w:tcW w:w="1827" w:type="dxa"/>
          </w:tcPr>
          <w:p w:rsidR="00A46D1F" w:rsidRPr="005A079A" w:rsidRDefault="00A46D1F" w:rsidP="00842ADE">
            <w:pPr>
              <w:pStyle w:val="Normalparagraph"/>
              <w:keepNext/>
              <w:spacing w:before="120" w:after="120"/>
              <w:cnfStyle w:val="000000000000" w:firstRow="0" w:lastRow="0" w:firstColumn="0" w:lastColumn="0" w:oddVBand="0" w:evenVBand="0" w:oddHBand="0" w:evenHBand="0" w:firstRowFirstColumn="0" w:firstRowLastColumn="0" w:lastRowFirstColumn="0" w:lastRowLastColumn="0"/>
              <w:rPr>
                <w:szCs w:val="20"/>
              </w:rPr>
            </w:pPr>
            <w:r w:rsidRPr="005A079A">
              <w:rPr>
                <w:szCs w:val="20"/>
              </w:rPr>
              <w:t>4 000 T/day</w:t>
            </w:r>
            <w:r w:rsidRPr="005A079A">
              <w:rPr>
                <w:szCs w:val="20"/>
              </w:rPr>
              <w:br/>
              <w:t>1 hopper</w:t>
            </w:r>
            <w:r w:rsidRPr="005A079A">
              <w:rPr>
                <w:szCs w:val="20"/>
              </w:rPr>
              <w:br/>
            </w:r>
          </w:p>
        </w:tc>
        <w:tc>
          <w:tcPr>
            <w:tcW w:w="1929" w:type="dxa"/>
          </w:tcPr>
          <w:p w:rsidR="00A46D1F" w:rsidRPr="005A079A" w:rsidRDefault="00A46D1F" w:rsidP="00842ADE">
            <w:pPr>
              <w:pStyle w:val="Normalparagraph"/>
              <w:keepNext/>
              <w:spacing w:before="120" w:after="120"/>
              <w:cnfStyle w:val="000000000000" w:firstRow="0" w:lastRow="0" w:firstColumn="0" w:lastColumn="0" w:oddVBand="0" w:evenVBand="0" w:oddHBand="0" w:evenHBand="0" w:firstRowFirstColumn="0" w:firstRowLastColumn="0" w:lastRowFirstColumn="0" w:lastRowLastColumn="0"/>
              <w:rPr>
                <w:szCs w:val="20"/>
              </w:rPr>
            </w:pPr>
            <w:r w:rsidRPr="005A079A">
              <w:rPr>
                <w:szCs w:val="20"/>
              </w:rPr>
              <w:t xml:space="preserve">4 000 /day </w:t>
            </w:r>
            <w:r w:rsidRPr="005A079A">
              <w:rPr>
                <w:szCs w:val="20"/>
              </w:rPr>
              <w:br/>
              <w:t xml:space="preserve">2 hoppers </w:t>
            </w:r>
            <w:r w:rsidRPr="005A079A">
              <w:rPr>
                <w:szCs w:val="20"/>
              </w:rPr>
              <w:br/>
            </w:r>
          </w:p>
        </w:tc>
        <w:tc>
          <w:tcPr>
            <w:tcW w:w="1929" w:type="dxa"/>
          </w:tcPr>
          <w:p w:rsidR="00A46D1F" w:rsidRPr="005A079A" w:rsidRDefault="00A46D1F" w:rsidP="00842ADE">
            <w:pPr>
              <w:pStyle w:val="Normalparagraph"/>
              <w:keepNext/>
              <w:spacing w:before="120" w:after="120"/>
              <w:cnfStyle w:val="000000000000" w:firstRow="0" w:lastRow="0" w:firstColumn="0" w:lastColumn="0" w:oddVBand="0" w:evenVBand="0" w:oddHBand="0" w:evenHBand="0" w:firstRowFirstColumn="0" w:firstRowLastColumn="0" w:lastRowFirstColumn="0" w:lastRowLastColumn="0"/>
              <w:rPr>
                <w:szCs w:val="20"/>
              </w:rPr>
            </w:pPr>
            <w:r w:rsidRPr="005A079A">
              <w:rPr>
                <w:szCs w:val="20"/>
              </w:rPr>
              <w:t>4 000 T/day</w:t>
            </w:r>
          </w:p>
        </w:tc>
      </w:tr>
      <w:tr w:rsidR="00A46D1F" w:rsidTr="0014025D">
        <w:tc>
          <w:tcPr>
            <w:cnfStyle w:val="001000000000" w:firstRow="0" w:lastRow="0" w:firstColumn="1" w:lastColumn="0" w:oddVBand="0" w:evenVBand="0" w:oddHBand="0" w:evenHBand="0" w:firstRowFirstColumn="0" w:firstRowLastColumn="0" w:lastRowFirstColumn="0" w:lastRowLastColumn="0"/>
            <w:tcW w:w="1951" w:type="dxa"/>
          </w:tcPr>
          <w:p w:rsidR="00A46D1F" w:rsidRPr="005949F4" w:rsidRDefault="00A46D1F" w:rsidP="00842ADE">
            <w:pPr>
              <w:pStyle w:val="Normalparagraph"/>
              <w:keepNext/>
              <w:spacing w:before="120" w:after="120"/>
              <w:rPr>
                <w:szCs w:val="20"/>
              </w:rPr>
            </w:pPr>
            <w:r w:rsidRPr="005949F4">
              <w:rPr>
                <w:szCs w:val="20"/>
              </w:rPr>
              <w:t xml:space="preserve">Storage capacity </w:t>
            </w:r>
          </w:p>
        </w:tc>
        <w:tc>
          <w:tcPr>
            <w:tcW w:w="1843" w:type="dxa"/>
          </w:tcPr>
          <w:p w:rsidR="00A46D1F" w:rsidRPr="005A079A" w:rsidRDefault="00A46D1F" w:rsidP="00842ADE">
            <w:pPr>
              <w:pStyle w:val="Normalparagraph"/>
              <w:keepNext/>
              <w:spacing w:before="120" w:after="120"/>
              <w:cnfStyle w:val="000000000000" w:firstRow="0" w:lastRow="0" w:firstColumn="0" w:lastColumn="0" w:oddVBand="0" w:evenVBand="0" w:oddHBand="0" w:evenHBand="0" w:firstRowFirstColumn="0" w:firstRowLastColumn="0" w:lastRowFirstColumn="0" w:lastRowLastColumn="0"/>
              <w:rPr>
                <w:szCs w:val="20"/>
              </w:rPr>
            </w:pPr>
            <w:r w:rsidRPr="005A079A">
              <w:rPr>
                <w:szCs w:val="20"/>
              </w:rPr>
              <w:t>140 000</w:t>
            </w:r>
            <w:r>
              <w:rPr>
                <w:szCs w:val="20"/>
              </w:rPr>
              <w:t>t</w:t>
            </w:r>
            <w:r w:rsidRPr="005A079A">
              <w:rPr>
                <w:szCs w:val="20"/>
              </w:rPr>
              <w:t xml:space="preserve">  </w:t>
            </w:r>
          </w:p>
          <w:p w:rsidR="00A46D1F" w:rsidRPr="005A079A" w:rsidRDefault="00A46D1F" w:rsidP="00842ADE">
            <w:pPr>
              <w:pStyle w:val="Normalparagraph"/>
              <w:keepNext/>
              <w:spacing w:before="120" w:after="120"/>
              <w:cnfStyle w:val="000000000000" w:firstRow="0" w:lastRow="0" w:firstColumn="0" w:lastColumn="0" w:oddVBand="0" w:evenVBand="0" w:oddHBand="0" w:evenHBand="0" w:firstRowFirstColumn="0" w:firstRowLastColumn="0" w:lastRowFirstColumn="0" w:lastRowLastColumn="0"/>
              <w:rPr>
                <w:szCs w:val="20"/>
              </w:rPr>
            </w:pPr>
            <w:r w:rsidRPr="005A079A">
              <w:rPr>
                <w:szCs w:val="20"/>
              </w:rPr>
              <w:t>Plus 852 000m</w:t>
            </w:r>
            <w:r w:rsidRPr="005A079A">
              <w:rPr>
                <w:szCs w:val="20"/>
                <w:vertAlign w:val="superscript"/>
              </w:rPr>
              <w:t>3</w:t>
            </w:r>
            <w:r w:rsidRPr="005A079A">
              <w:rPr>
                <w:szCs w:val="20"/>
              </w:rPr>
              <w:t xml:space="preserve"> horizontal storage </w:t>
            </w:r>
          </w:p>
        </w:tc>
        <w:tc>
          <w:tcPr>
            <w:tcW w:w="1827" w:type="dxa"/>
          </w:tcPr>
          <w:p w:rsidR="00A46D1F" w:rsidRPr="005A079A" w:rsidRDefault="00A46D1F" w:rsidP="00842ADE">
            <w:pPr>
              <w:pStyle w:val="Normalparagraph"/>
              <w:keepNext/>
              <w:spacing w:before="120" w:after="120"/>
              <w:cnfStyle w:val="000000000000" w:firstRow="0" w:lastRow="0" w:firstColumn="0" w:lastColumn="0" w:oddVBand="0" w:evenVBand="0" w:oddHBand="0" w:evenHBand="0" w:firstRowFirstColumn="0" w:firstRowLastColumn="0" w:lastRowFirstColumn="0" w:lastRowLastColumn="0"/>
              <w:rPr>
                <w:szCs w:val="20"/>
              </w:rPr>
            </w:pPr>
            <w:r w:rsidRPr="005A079A">
              <w:rPr>
                <w:szCs w:val="20"/>
              </w:rPr>
              <w:t>60 000</w:t>
            </w:r>
            <w:r>
              <w:rPr>
                <w:szCs w:val="20"/>
              </w:rPr>
              <w:t>t</w:t>
            </w:r>
          </w:p>
          <w:p w:rsidR="00A46D1F" w:rsidRPr="005A079A" w:rsidRDefault="00A46D1F" w:rsidP="00842ADE">
            <w:pPr>
              <w:pStyle w:val="Normalparagraph"/>
              <w:keepNext/>
              <w:spacing w:before="120" w:after="120"/>
              <w:cnfStyle w:val="000000000000" w:firstRow="0" w:lastRow="0" w:firstColumn="0" w:lastColumn="0" w:oddVBand="0" w:evenVBand="0" w:oddHBand="0" w:evenHBand="0" w:firstRowFirstColumn="0" w:firstRowLastColumn="0" w:lastRowFirstColumn="0" w:lastRowLastColumn="0"/>
              <w:rPr>
                <w:szCs w:val="20"/>
              </w:rPr>
            </w:pPr>
            <w:r w:rsidRPr="005A079A">
              <w:rPr>
                <w:szCs w:val="20"/>
              </w:rPr>
              <w:t>Plus 80 000</w:t>
            </w:r>
            <w:r>
              <w:rPr>
                <w:szCs w:val="20"/>
              </w:rPr>
              <w:t>t</w:t>
            </w:r>
            <w:r w:rsidRPr="005A079A">
              <w:rPr>
                <w:szCs w:val="20"/>
              </w:rPr>
              <w:t xml:space="preserve"> horizontal storage</w:t>
            </w:r>
          </w:p>
        </w:tc>
        <w:tc>
          <w:tcPr>
            <w:tcW w:w="1929" w:type="dxa"/>
          </w:tcPr>
          <w:p w:rsidR="00A46D1F" w:rsidRPr="005A079A" w:rsidRDefault="00A46D1F" w:rsidP="00842ADE">
            <w:pPr>
              <w:pStyle w:val="Normalparagraph"/>
              <w:keepNext/>
              <w:spacing w:before="120" w:after="120"/>
              <w:cnfStyle w:val="000000000000" w:firstRow="0" w:lastRow="0" w:firstColumn="0" w:lastColumn="0" w:oddVBand="0" w:evenVBand="0" w:oddHBand="0" w:evenHBand="0" w:firstRowFirstColumn="0" w:firstRowLastColumn="0" w:lastRowFirstColumn="0" w:lastRowLastColumn="0"/>
              <w:rPr>
                <w:szCs w:val="20"/>
              </w:rPr>
            </w:pPr>
            <w:r w:rsidRPr="005A079A">
              <w:rPr>
                <w:szCs w:val="20"/>
              </w:rPr>
              <w:t>48 000</w:t>
            </w:r>
            <w:r>
              <w:rPr>
                <w:szCs w:val="20"/>
              </w:rPr>
              <w:t>t</w:t>
            </w:r>
          </w:p>
          <w:p w:rsidR="00A46D1F" w:rsidRPr="005A079A" w:rsidRDefault="00A46D1F" w:rsidP="00842ADE">
            <w:pPr>
              <w:pStyle w:val="Normalparagraph"/>
              <w:keepNext/>
              <w:spacing w:before="120" w:after="120"/>
              <w:cnfStyle w:val="000000000000" w:firstRow="0" w:lastRow="0" w:firstColumn="0" w:lastColumn="0" w:oddVBand="0" w:evenVBand="0" w:oddHBand="0" w:evenHBand="0" w:firstRowFirstColumn="0" w:firstRowLastColumn="0" w:lastRowFirstColumn="0" w:lastRowLastColumn="0"/>
              <w:rPr>
                <w:szCs w:val="20"/>
              </w:rPr>
            </w:pPr>
          </w:p>
        </w:tc>
        <w:tc>
          <w:tcPr>
            <w:tcW w:w="1929" w:type="dxa"/>
          </w:tcPr>
          <w:p w:rsidR="00A46D1F" w:rsidRPr="005A079A" w:rsidRDefault="00A46D1F" w:rsidP="00842ADE">
            <w:pPr>
              <w:pStyle w:val="Normalparagraph"/>
              <w:keepNext/>
              <w:spacing w:before="120" w:after="120"/>
              <w:cnfStyle w:val="000000000000" w:firstRow="0" w:lastRow="0" w:firstColumn="0" w:lastColumn="0" w:oddVBand="0" w:evenVBand="0" w:oddHBand="0" w:evenHBand="0" w:firstRowFirstColumn="0" w:firstRowLastColumn="0" w:lastRowFirstColumn="0" w:lastRowLastColumn="0"/>
              <w:rPr>
                <w:szCs w:val="20"/>
              </w:rPr>
            </w:pPr>
            <w:r>
              <w:rPr>
                <w:szCs w:val="20"/>
              </w:rPr>
              <w:t>22 500t</w:t>
            </w:r>
          </w:p>
          <w:p w:rsidR="00A46D1F" w:rsidRPr="005A079A" w:rsidRDefault="00A46D1F" w:rsidP="00842ADE">
            <w:pPr>
              <w:pStyle w:val="Normalparagraph"/>
              <w:keepNext/>
              <w:spacing w:before="120" w:after="120"/>
              <w:cnfStyle w:val="000000000000" w:firstRow="0" w:lastRow="0" w:firstColumn="0" w:lastColumn="0" w:oddVBand="0" w:evenVBand="0" w:oddHBand="0" w:evenHBand="0" w:firstRowFirstColumn="0" w:firstRowLastColumn="0" w:lastRowFirstColumn="0" w:lastRowLastColumn="0"/>
              <w:rPr>
                <w:szCs w:val="20"/>
              </w:rPr>
            </w:pPr>
            <w:r w:rsidRPr="005A079A">
              <w:rPr>
                <w:szCs w:val="20"/>
              </w:rPr>
              <w:t>(planned expansion to 48 000</w:t>
            </w:r>
            <w:r>
              <w:rPr>
                <w:szCs w:val="20"/>
              </w:rPr>
              <w:t>t</w:t>
            </w:r>
            <w:r w:rsidRPr="005A079A">
              <w:rPr>
                <w:szCs w:val="20"/>
              </w:rPr>
              <w:t>)</w:t>
            </w:r>
          </w:p>
        </w:tc>
      </w:tr>
      <w:tr w:rsidR="00A46D1F" w:rsidTr="001A4499">
        <w:tc>
          <w:tcPr>
            <w:cnfStyle w:val="001000000000" w:firstRow="0" w:lastRow="0" w:firstColumn="1" w:lastColumn="0" w:oddVBand="0" w:evenVBand="0" w:oddHBand="0" w:evenHBand="0" w:firstRowFirstColumn="0" w:firstRowLastColumn="0" w:lastRowFirstColumn="0" w:lastRowLastColumn="0"/>
            <w:tcW w:w="1951" w:type="dxa"/>
            <w:tcBorders>
              <w:bottom w:val="single" w:sz="4" w:space="0" w:color="EEECE1" w:themeColor="background2"/>
            </w:tcBorders>
          </w:tcPr>
          <w:p w:rsidR="00A46D1F" w:rsidRPr="005949F4" w:rsidRDefault="00A46D1F" w:rsidP="00842ADE">
            <w:pPr>
              <w:pStyle w:val="Normalparagraph"/>
              <w:keepNext/>
              <w:spacing w:before="120" w:after="120"/>
              <w:rPr>
                <w:szCs w:val="20"/>
              </w:rPr>
            </w:pPr>
            <w:r w:rsidRPr="005949F4">
              <w:rPr>
                <w:szCs w:val="20"/>
              </w:rPr>
              <w:t>Ship loader</w:t>
            </w:r>
          </w:p>
        </w:tc>
        <w:tc>
          <w:tcPr>
            <w:tcW w:w="1843" w:type="dxa"/>
            <w:tcBorders>
              <w:bottom w:val="single" w:sz="4" w:space="0" w:color="EEECE1" w:themeColor="background2"/>
            </w:tcBorders>
          </w:tcPr>
          <w:p w:rsidR="00A46D1F" w:rsidRPr="005A079A" w:rsidRDefault="00A46D1F" w:rsidP="00842ADE">
            <w:pPr>
              <w:pStyle w:val="Normalparagraph"/>
              <w:keepNext/>
              <w:spacing w:before="120" w:after="120"/>
              <w:cnfStyle w:val="000000000000" w:firstRow="0" w:lastRow="0" w:firstColumn="0" w:lastColumn="0" w:oddVBand="0" w:evenVBand="0" w:oddHBand="0" w:evenHBand="0" w:firstRowFirstColumn="0" w:firstRowLastColumn="0" w:lastRowFirstColumn="0" w:lastRowLastColumn="0"/>
              <w:rPr>
                <w:szCs w:val="20"/>
              </w:rPr>
            </w:pPr>
            <w:r w:rsidRPr="005A079A">
              <w:rPr>
                <w:szCs w:val="20"/>
              </w:rPr>
              <w:t>&lt; 2 500 TPH</w:t>
            </w:r>
          </w:p>
        </w:tc>
        <w:tc>
          <w:tcPr>
            <w:tcW w:w="1827" w:type="dxa"/>
            <w:tcBorders>
              <w:bottom w:val="single" w:sz="4" w:space="0" w:color="EEECE1" w:themeColor="background2"/>
            </w:tcBorders>
          </w:tcPr>
          <w:p w:rsidR="00A46D1F" w:rsidRPr="005A079A" w:rsidRDefault="00A46D1F" w:rsidP="00842ADE">
            <w:pPr>
              <w:pStyle w:val="Normalparagraph"/>
              <w:keepNext/>
              <w:spacing w:before="120" w:after="120"/>
              <w:cnfStyle w:val="000000000000" w:firstRow="0" w:lastRow="0" w:firstColumn="0" w:lastColumn="0" w:oddVBand="0" w:evenVBand="0" w:oddHBand="0" w:evenHBand="0" w:firstRowFirstColumn="0" w:firstRowLastColumn="0" w:lastRowFirstColumn="0" w:lastRowLastColumn="0"/>
              <w:rPr>
                <w:szCs w:val="20"/>
              </w:rPr>
            </w:pPr>
            <w:r w:rsidRPr="005A079A">
              <w:rPr>
                <w:szCs w:val="20"/>
              </w:rPr>
              <w:t>&lt; 1 400 TPH</w:t>
            </w:r>
          </w:p>
        </w:tc>
        <w:tc>
          <w:tcPr>
            <w:tcW w:w="1929" w:type="dxa"/>
            <w:tcBorders>
              <w:bottom w:val="single" w:sz="4" w:space="0" w:color="EEECE1" w:themeColor="background2"/>
            </w:tcBorders>
          </w:tcPr>
          <w:p w:rsidR="00A46D1F" w:rsidRPr="005A079A" w:rsidRDefault="00A46D1F" w:rsidP="00842ADE">
            <w:pPr>
              <w:pStyle w:val="Normalparagraph"/>
              <w:keepNext/>
              <w:spacing w:before="120" w:after="120"/>
              <w:cnfStyle w:val="000000000000" w:firstRow="0" w:lastRow="0" w:firstColumn="0" w:lastColumn="0" w:oddVBand="0" w:evenVBand="0" w:oddHBand="0" w:evenHBand="0" w:firstRowFirstColumn="0" w:firstRowLastColumn="0" w:lastRowFirstColumn="0" w:lastRowLastColumn="0"/>
              <w:rPr>
                <w:szCs w:val="20"/>
              </w:rPr>
            </w:pPr>
            <w:r w:rsidRPr="005A079A">
              <w:rPr>
                <w:szCs w:val="20"/>
              </w:rPr>
              <w:t xml:space="preserve">&lt; 1 500 TPH </w:t>
            </w:r>
          </w:p>
        </w:tc>
        <w:tc>
          <w:tcPr>
            <w:tcW w:w="1929" w:type="dxa"/>
            <w:tcBorders>
              <w:bottom w:val="single" w:sz="4" w:space="0" w:color="EEECE1" w:themeColor="background2"/>
            </w:tcBorders>
          </w:tcPr>
          <w:p w:rsidR="00A46D1F" w:rsidRPr="005A079A" w:rsidRDefault="00A46D1F" w:rsidP="00842ADE">
            <w:pPr>
              <w:pStyle w:val="Normalparagraph"/>
              <w:keepNext/>
              <w:spacing w:before="120" w:after="120"/>
              <w:cnfStyle w:val="000000000000" w:firstRow="0" w:lastRow="0" w:firstColumn="0" w:lastColumn="0" w:oddVBand="0" w:evenVBand="0" w:oddHBand="0" w:evenHBand="0" w:firstRowFirstColumn="0" w:firstRowLastColumn="0" w:lastRowFirstColumn="0" w:lastRowLastColumn="0"/>
              <w:rPr>
                <w:szCs w:val="20"/>
              </w:rPr>
            </w:pPr>
            <w:r w:rsidRPr="005A079A">
              <w:rPr>
                <w:szCs w:val="20"/>
              </w:rPr>
              <w:t>&lt; 1 </w:t>
            </w:r>
            <w:r>
              <w:rPr>
                <w:szCs w:val="20"/>
              </w:rPr>
              <w:t>0</w:t>
            </w:r>
            <w:r w:rsidRPr="005A079A">
              <w:rPr>
                <w:szCs w:val="20"/>
              </w:rPr>
              <w:t>00 TPH</w:t>
            </w:r>
          </w:p>
        </w:tc>
      </w:tr>
      <w:tr w:rsidR="00A46D1F" w:rsidTr="001A4499">
        <w:tc>
          <w:tcPr>
            <w:cnfStyle w:val="001000000000" w:firstRow="0" w:lastRow="0" w:firstColumn="1" w:lastColumn="0" w:oddVBand="0" w:evenVBand="0" w:oddHBand="0" w:evenHBand="0" w:firstRowFirstColumn="0" w:firstRowLastColumn="0" w:lastRowFirstColumn="0" w:lastRowLastColumn="0"/>
            <w:tcW w:w="1951" w:type="dxa"/>
            <w:tcBorders>
              <w:bottom w:val="single" w:sz="4" w:space="0" w:color="auto"/>
            </w:tcBorders>
          </w:tcPr>
          <w:p w:rsidR="00A46D1F" w:rsidRPr="005949F4" w:rsidRDefault="00A46D1F" w:rsidP="00842ADE">
            <w:pPr>
              <w:pStyle w:val="Normalparagraph"/>
              <w:keepNext/>
              <w:spacing w:before="120" w:after="120"/>
              <w:rPr>
                <w:szCs w:val="20"/>
              </w:rPr>
            </w:pPr>
            <w:r w:rsidRPr="005949F4">
              <w:rPr>
                <w:szCs w:val="20"/>
              </w:rPr>
              <w:t>Maximum berth depth</w:t>
            </w:r>
          </w:p>
        </w:tc>
        <w:tc>
          <w:tcPr>
            <w:tcW w:w="1843" w:type="dxa"/>
            <w:tcBorders>
              <w:bottom w:val="single" w:sz="4" w:space="0" w:color="auto"/>
            </w:tcBorders>
          </w:tcPr>
          <w:p w:rsidR="00A46D1F" w:rsidRPr="005A079A" w:rsidRDefault="00A46D1F" w:rsidP="00842ADE">
            <w:pPr>
              <w:pStyle w:val="Normalparagraph"/>
              <w:keepNext/>
              <w:spacing w:before="120" w:after="120"/>
              <w:cnfStyle w:val="000000000000" w:firstRow="0" w:lastRow="0" w:firstColumn="0" w:lastColumn="0" w:oddVBand="0" w:evenVBand="0" w:oddHBand="0" w:evenHBand="0" w:firstRowFirstColumn="0" w:firstRowLastColumn="0" w:lastRowFirstColumn="0" w:lastRowLastColumn="0"/>
              <w:rPr>
                <w:szCs w:val="20"/>
              </w:rPr>
            </w:pPr>
            <w:r w:rsidRPr="005A079A">
              <w:rPr>
                <w:szCs w:val="20"/>
              </w:rPr>
              <w:t>12.5m</w:t>
            </w:r>
          </w:p>
        </w:tc>
        <w:tc>
          <w:tcPr>
            <w:tcW w:w="1827" w:type="dxa"/>
            <w:tcBorders>
              <w:bottom w:val="single" w:sz="4" w:space="0" w:color="auto"/>
            </w:tcBorders>
          </w:tcPr>
          <w:p w:rsidR="00A46D1F" w:rsidRPr="005A079A" w:rsidRDefault="00A46D1F" w:rsidP="00842ADE">
            <w:pPr>
              <w:pStyle w:val="Normalparagraph"/>
              <w:keepNext/>
              <w:spacing w:before="120" w:after="120"/>
              <w:cnfStyle w:val="000000000000" w:firstRow="0" w:lastRow="0" w:firstColumn="0" w:lastColumn="0" w:oddVBand="0" w:evenVBand="0" w:oddHBand="0" w:evenHBand="0" w:firstRowFirstColumn="0" w:firstRowLastColumn="0" w:lastRowFirstColumn="0" w:lastRowLastColumn="0"/>
              <w:rPr>
                <w:szCs w:val="20"/>
              </w:rPr>
            </w:pPr>
            <w:r w:rsidRPr="005A079A">
              <w:rPr>
                <w:szCs w:val="20"/>
              </w:rPr>
              <w:t>13.0m</w:t>
            </w:r>
          </w:p>
        </w:tc>
        <w:tc>
          <w:tcPr>
            <w:tcW w:w="1929" w:type="dxa"/>
            <w:tcBorders>
              <w:bottom w:val="single" w:sz="4" w:space="0" w:color="auto"/>
            </w:tcBorders>
          </w:tcPr>
          <w:p w:rsidR="00A46D1F" w:rsidRPr="005A079A" w:rsidRDefault="00A46D1F" w:rsidP="00842ADE">
            <w:pPr>
              <w:pStyle w:val="Normalparagraph"/>
              <w:keepNext/>
              <w:spacing w:before="120" w:after="120"/>
              <w:cnfStyle w:val="000000000000" w:firstRow="0" w:lastRow="0" w:firstColumn="0" w:lastColumn="0" w:oddVBand="0" w:evenVBand="0" w:oddHBand="0" w:evenHBand="0" w:firstRowFirstColumn="0" w:firstRowLastColumn="0" w:lastRowFirstColumn="0" w:lastRowLastColumn="0"/>
              <w:rPr>
                <w:szCs w:val="20"/>
              </w:rPr>
            </w:pPr>
            <w:r w:rsidRPr="005A079A">
              <w:rPr>
                <w:szCs w:val="20"/>
              </w:rPr>
              <w:t xml:space="preserve">11.4m </w:t>
            </w:r>
          </w:p>
        </w:tc>
        <w:tc>
          <w:tcPr>
            <w:tcW w:w="1929" w:type="dxa"/>
            <w:tcBorders>
              <w:bottom w:val="single" w:sz="4" w:space="0" w:color="auto"/>
            </w:tcBorders>
          </w:tcPr>
          <w:p w:rsidR="00A46D1F" w:rsidRPr="005A079A" w:rsidRDefault="00A46D1F" w:rsidP="00842ADE">
            <w:pPr>
              <w:pStyle w:val="Normalparagraph"/>
              <w:keepNext/>
              <w:spacing w:before="120" w:after="120"/>
              <w:cnfStyle w:val="000000000000" w:firstRow="0" w:lastRow="0" w:firstColumn="0" w:lastColumn="0" w:oddVBand="0" w:evenVBand="0" w:oddHBand="0" w:evenHBand="0" w:firstRowFirstColumn="0" w:firstRowLastColumn="0" w:lastRowFirstColumn="0" w:lastRowLastColumn="0"/>
              <w:rPr>
                <w:szCs w:val="20"/>
              </w:rPr>
            </w:pPr>
            <w:r w:rsidRPr="005A079A">
              <w:rPr>
                <w:szCs w:val="20"/>
              </w:rPr>
              <w:t>N/A</w:t>
            </w:r>
          </w:p>
        </w:tc>
      </w:tr>
    </w:tbl>
    <w:p w:rsidR="00A46D1F" w:rsidRPr="002A2C02" w:rsidRDefault="00A46D1F" w:rsidP="00842ADE">
      <w:pPr>
        <w:keepNext/>
        <w:rPr>
          <w:sz w:val="18"/>
        </w:rPr>
      </w:pPr>
      <w:r w:rsidRPr="002A2C02">
        <w:rPr>
          <w:sz w:val="18"/>
        </w:rPr>
        <w:t>Sources</w:t>
      </w:r>
      <w:r>
        <w:rPr>
          <w:sz w:val="18"/>
        </w:rPr>
        <w:t>:</w:t>
      </w:r>
      <w:r w:rsidRPr="002A2C02">
        <w:rPr>
          <w:sz w:val="18"/>
        </w:rPr>
        <w:t xml:space="preserve"> GrainCorp submission 5 December 2014</w:t>
      </w:r>
      <w:r>
        <w:rPr>
          <w:sz w:val="18"/>
        </w:rPr>
        <w:t>;</w:t>
      </w:r>
      <w:r w:rsidRPr="002A2C02">
        <w:rPr>
          <w:sz w:val="18"/>
        </w:rPr>
        <w:t xml:space="preserve"> Emerald Submission 28 November</w:t>
      </w:r>
      <w:r>
        <w:rPr>
          <w:sz w:val="18"/>
        </w:rPr>
        <w:t xml:space="preserve"> 2014;</w:t>
      </w:r>
      <w:r w:rsidRPr="002A2C02">
        <w:rPr>
          <w:sz w:val="18"/>
        </w:rPr>
        <w:t xml:space="preserve"> </w:t>
      </w:r>
      <w:r>
        <w:rPr>
          <w:sz w:val="18"/>
        </w:rPr>
        <w:t xml:space="preserve">Emerald website at </w:t>
      </w:r>
      <w:hyperlink r:id="rId20" w:history="1">
        <w:r w:rsidRPr="002A2C02">
          <w:rPr>
            <w:rStyle w:val="Hyperlink"/>
            <w:i/>
            <w:sz w:val="18"/>
          </w:rPr>
          <w:t>http://emeraldgrain.com/home/industry-store-and-move-grain/shipping-at-melbourne-port-terminal/</w:t>
        </w:r>
      </w:hyperlink>
      <w:r w:rsidRPr="002A2C02">
        <w:rPr>
          <w:sz w:val="18"/>
        </w:rPr>
        <w:t xml:space="preserve"> </w:t>
      </w:r>
      <w:r>
        <w:rPr>
          <w:sz w:val="18"/>
        </w:rPr>
        <w:t xml:space="preserve">accessed 2 March 2015; GrainCorp available capacity for 2014-15; Emerald available capacity for 2014-15.  </w:t>
      </w:r>
      <w:r w:rsidRPr="002A2C02">
        <w:rPr>
          <w:sz w:val="18"/>
        </w:rPr>
        <w:t xml:space="preserve"> </w:t>
      </w:r>
    </w:p>
    <w:p w:rsidR="00A46D1F" w:rsidRPr="007E193F" w:rsidRDefault="00A46D1F" w:rsidP="00A46D1F">
      <w:pPr>
        <w:pStyle w:val="Heading3"/>
      </w:pPr>
      <w:r w:rsidRPr="007E193F">
        <w:t xml:space="preserve">Receivals </w:t>
      </w:r>
    </w:p>
    <w:p w:rsidR="00A46D1F" w:rsidRDefault="00A46D1F" w:rsidP="00A46D1F">
      <w:pPr>
        <w:pStyle w:val="Normalparagraph"/>
      </w:pPr>
      <w:r>
        <w:t xml:space="preserve">All three of the existing facilities in Victoria can receive grain via both road and rail transport. GrainCorp’s Geelong facility has the highest intake capacity, with four rail receival hoppers and five road receival hoppers. The Portland and Melbourne facilities have similar level of rail receival capacity, while the Melbourne facility has an additional road hopper. Both Geelong and Melbourne have dual gauge access, reflecting their links to both broad and standard gauge networks, whereas Portland’s rail receival is standard gauge. The ACCC understands </w:t>
      </w:r>
      <w:r w:rsidR="00FD43A7">
        <w:t xml:space="preserve">that </w:t>
      </w:r>
      <w:r>
        <w:t>Bunge</w:t>
      </w:r>
      <w:r w:rsidR="00FD43A7">
        <w:t xml:space="preserve"> intends for its </w:t>
      </w:r>
      <w:r>
        <w:t xml:space="preserve">planned facility at Geelong </w:t>
      </w:r>
      <w:r w:rsidR="008C68AA">
        <w:t xml:space="preserve">to </w:t>
      </w:r>
      <w:r>
        <w:t>be serviced solely by road transport</w:t>
      </w:r>
      <w:r w:rsidR="008C68AA">
        <w:t xml:space="preserve"> and not have rail access</w:t>
      </w:r>
      <w:r>
        <w:t xml:space="preserve">. </w:t>
      </w:r>
    </w:p>
    <w:p w:rsidR="00A46D1F" w:rsidRDefault="00A46D1F" w:rsidP="00A46D1F">
      <w:pPr>
        <w:pStyle w:val="Normalparagraph"/>
      </w:pPr>
      <w:r>
        <w:t xml:space="preserve">Upcountry transport network links for each port terminal facility are discussed below in section </w:t>
      </w:r>
      <w:r w:rsidR="005949F4">
        <w:t>3.1.2</w:t>
      </w:r>
      <w:r>
        <w:t xml:space="preserve">. </w:t>
      </w:r>
    </w:p>
    <w:p w:rsidR="00A46D1F" w:rsidRDefault="00A46D1F" w:rsidP="00A46D1F">
      <w:pPr>
        <w:pStyle w:val="Heading3"/>
      </w:pPr>
      <w:r>
        <w:t xml:space="preserve">Storage </w:t>
      </w:r>
    </w:p>
    <w:p w:rsidR="00A46D1F" w:rsidRDefault="00A46D1F" w:rsidP="00F041C6">
      <w:pPr>
        <w:pStyle w:val="Normalparagraph"/>
      </w:pPr>
      <w:r>
        <w:t>GrainCorp’s Geelong and Portland facilities both have large vertical and horizontal storage facilities, in particular the Geelong facility which has 140 000 tonnes of vertical storage capacity. This storage is used for a variety of commodities, including wheat, barley and canola.</w:t>
      </w:r>
      <w:r>
        <w:rPr>
          <w:rStyle w:val="FootnoteReference"/>
        </w:rPr>
        <w:footnoteReference w:id="13"/>
      </w:r>
    </w:p>
    <w:p w:rsidR="00A46D1F" w:rsidRDefault="00A46D1F" w:rsidP="00F041C6">
      <w:pPr>
        <w:pStyle w:val="Normalparagraph"/>
      </w:pPr>
      <w:r>
        <w:lastRenderedPageBreak/>
        <w:t xml:space="preserve">By contrast, storage at MPT is more limited with only 48 000 tonnes capacity available. Consequently, Emerald operates a ‘just-in-time’ cargo accumulation system in order to maximise use of its limited storage capacity. Emerald’s MPT manages a range of grains including wheat, barley, canola, and at times corn and rice. </w:t>
      </w:r>
    </w:p>
    <w:p w:rsidR="00A46D1F" w:rsidRDefault="00A46D1F" w:rsidP="00F041C6">
      <w:pPr>
        <w:pStyle w:val="Normalparagraph"/>
      </w:pPr>
      <w:r>
        <w:t xml:space="preserve">Bunge’s facility at Geelong is proposed to have an initial storage capacity of 24 000 tonnes, with plans to further expand this to 48 000 tonnes.  </w:t>
      </w:r>
    </w:p>
    <w:p w:rsidR="00A46D1F" w:rsidRDefault="00A46D1F" w:rsidP="00A46D1F">
      <w:pPr>
        <w:pStyle w:val="Heading3"/>
      </w:pPr>
      <w:r>
        <w:t xml:space="preserve">Ship loading capacity </w:t>
      </w:r>
    </w:p>
    <w:p w:rsidR="00A46D1F" w:rsidRDefault="00A46D1F" w:rsidP="00A46D1F">
      <w:pPr>
        <w:pStyle w:val="Normalparagraph"/>
      </w:pPr>
      <w:r>
        <w:t xml:space="preserve">GrainCorp’s Geelong facility has the highest capacity ship loader of the three Victorian ports, capable of achieving up to 2 500 tonnes per hour. Ship loading capacity at the remaining current and planned Victorian facilities ranges from 1 000 to 1 500 tonnes per hour. </w:t>
      </w:r>
    </w:p>
    <w:p w:rsidR="00A46D1F" w:rsidRDefault="00A46D1F" w:rsidP="00A46D1F">
      <w:pPr>
        <w:pStyle w:val="Normalparagraph"/>
      </w:pPr>
      <w:r>
        <w:t>The maximum vessel size that can be loaded also varies between port terminals depending on berth size. Portland is the only port facility in Victoria with the capability to fully load Panamax vessels, and therefore has a competitive advantage over both Geelong and MPT as there are volume and cost efficiencies associated with larger cargoes.</w:t>
      </w:r>
      <w:r>
        <w:rPr>
          <w:rStyle w:val="FootnoteReference"/>
        </w:rPr>
        <w:footnoteReference w:id="14"/>
      </w:r>
      <w:r>
        <w:t xml:space="preserve"> The VFF submits that</w:t>
      </w:r>
      <w:r w:rsidR="0014025D">
        <w:t>:</w:t>
      </w:r>
      <w:r>
        <w:t xml:space="preserve"> </w:t>
      </w:r>
    </w:p>
    <w:p w:rsidR="00A46D1F" w:rsidRPr="00F2549B" w:rsidRDefault="00A46D1F" w:rsidP="00A46D1F">
      <w:pPr>
        <w:pStyle w:val="Normalparagraph"/>
        <w:ind w:left="426"/>
        <w:rPr>
          <w:sz w:val="20"/>
          <w:szCs w:val="20"/>
        </w:rPr>
      </w:pPr>
      <w:r w:rsidRPr="00F2549B">
        <w:rPr>
          <w:sz w:val="20"/>
          <w:szCs w:val="20"/>
        </w:rPr>
        <w:t>attributes such as port capacity, port berth draught, etc, mean that not all exporter’s ships are immediately substitutable between shipping berths.</w:t>
      </w:r>
      <w:r w:rsidRPr="00347D7F">
        <w:rPr>
          <w:rStyle w:val="FootnoteReference"/>
          <w:szCs w:val="20"/>
        </w:rPr>
        <w:footnoteReference w:id="15"/>
      </w:r>
      <w:r w:rsidRPr="00F2549B">
        <w:rPr>
          <w:sz w:val="20"/>
          <w:szCs w:val="20"/>
        </w:rPr>
        <w:t xml:space="preserve"> </w:t>
      </w:r>
    </w:p>
    <w:p w:rsidR="00A46D1F" w:rsidRDefault="00A46D1F" w:rsidP="00A46D1F">
      <w:pPr>
        <w:pStyle w:val="Normalparagraph"/>
      </w:pPr>
      <w:r>
        <w:t xml:space="preserve">The ACCC understands Portland is </w:t>
      </w:r>
      <w:r w:rsidR="0014025D">
        <w:t xml:space="preserve">also </w:t>
      </w:r>
      <w:r>
        <w:t>used by exporters as a top-up port for both Geelong and MPT cargoes.</w:t>
      </w:r>
    </w:p>
    <w:p w:rsidR="00A46D1F" w:rsidRDefault="00A46D1F" w:rsidP="00A46D1F">
      <w:pPr>
        <w:pStyle w:val="Heading3"/>
      </w:pPr>
      <w:r>
        <w:t xml:space="preserve">Elevation capacity </w:t>
      </w:r>
    </w:p>
    <w:p w:rsidR="00A46D1F" w:rsidRDefault="00B36873" w:rsidP="00A46D1F">
      <w:pPr>
        <w:pStyle w:val="Normalparagraph"/>
      </w:pPr>
      <w:r>
        <w:t>There are varying e</w:t>
      </w:r>
      <w:r w:rsidR="00A46D1F">
        <w:t xml:space="preserve">stimates of elevation capacity </w:t>
      </w:r>
      <w:r>
        <w:t xml:space="preserve">(that is, the capacity to receive, store and load grain onto a ship) </w:t>
      </w:r>
      <w:r w:rsidR="00A46D1F">
        <w:t xml:space="preserve">across the three existing terminals in Victoria. </w:t>
      </w:r>
    </w:p>
    <w:p w:rsidR="00A46D1F" w:rsidRDefault="00A46D1F" w:rsidP="00A46D1F">
      <w:pPr>
        <w:pStyle w:val="Normalparagraph"/>
      </w:pPr>
      <w:r>
        <w:t>GrainCorp states that its Geelong facility has an elevation capacity of 3.4 million tonnes per annum (mtpa) and that its Portland facility has a total capacity of 1.5 mtpa.</w:t>
      </w:r>
      <w:r>
        <w:rPr>
          <w:rStyle w:val="FootnoteReference"/>
        </w:rPr>
        <w:footnoteReference w:id="16"/>
      </w:r>
      <w:r>
        <w:t xml:space="preserve"> However, the indicative available capacity figures published by GrainCorp for the 2014-15 season in accordance </w:t>
      </w:r>
      <w:r w:rsidRPr="00EC0717">
        <w:t xml:space="preserve">with clause </w:t>
      </w:r>
      <w:r w:rsidR="00EC0717" w:rsidRPr="00EC0717">
        <w:t>28</w:t>
      </w:r>
      <w:r w:rsidRPr="00EC0717">
        <w:t xml:space="preserve"> of the Code were lower than these estimates, totalling 2.65mtpa for Geelong and 0.99mtpa for Portland.</w:t>
      </w:r>
      <w:r w:rsidRPr="00EC0717">
        <w:rPr>
          <w:rStyle w:val="FootnoteReference"/>
        </w:rPr>
        <w:footnoteReference w:id="17"/>
      </w:r>
      <w:r>
        <w:t xml:space="preserve"> </w:t>
      </w:r>
    </w:p>
    <w:p w:rsidR="00A46D1F" w:rsidRDefault="00A46D1F" w:rsidP="00A46D1F">
      <w:pPr>
        <w:pStyle w:val="Normalparagraph"/>
      </w:pPr>
      <w:r>
        <w:t>Emerald submits that MPT’s theoretical maximum capacity would be 2.1 mtpa, but that actual capacity is 1.5 mtpa due to ‘limiting factors’ such as competition and grain marketers’ preference to ship at certain times.</w:t>
      </w:r>
      <w:r>
        <w:rPr>
          <w:rStyle w:val="FootnoteReference"/>
        </w:rPr>
        <w:footnoteReference w:id="18"/>
      </w:r>
      <w:r>
        <w:t xml:space="preserve"> The available capacity published by Emerald for the 2014-15 season was between these estimates and totalled 1.94mtpa. </w:t>
      </w:r>
    </w:p>
    <w:p w:rsidR="00A46D1F" w:rsidRDefault="00A46D1F" w:rsidP="00A46D1F">
      <w:pPr>
        <w:pStyle w:val="Normalparagraph"/>
      </w:pPr>
      <w:r>
        <w:t xml:space="preserve">Based on maximum historic monthly throughput actually achieved at each terminal, the ACCC considers that the theoretical maximum capacity at each terminal could be even higher. </w:t>
      </w:r>
    </w:p>
    <w:p w:rsidR="00A46D1F" w:rsidRPr="005949F4" w:rsidRDefault="00A46D1F" w:rsidP="00842ADE">
      <w:pPr>
        <w:pStyle w:val="Caption"/>
        <w:keepNext/>
        <w:rPr>
          <w:sz w:val="20"/>
        </w:rPr>
      </w:pPr>
      <w:r w:rsidRPr="005949F4">
        <w:rPr>
          <w:sz w:val="20"/>
        </w:rPr>
        <w:lastRenderedPageBreak/>
        <w:t xml:space="preserve">Table </w:t>
      </w:r>
      <w:r w:rsidR="005949F4">
        <w:rPr>
          <w:sz w:val="20"/>
        </w:rPr>
        <w:t>3</w:t>
      </w:r>
      <w:r w:rsidRPr="005949F4">
        <w:rPr>
          <w:sz w:val="20"/>
        </w:rPr>
        <w:t>: Elevation capacity estimates at Victorian port terminal facilities</w:t>
      </w:r>
    </w:p>
    <w:tbl>
      <w:tblPr>
        <w:tblStyle w:val="LightShading1"/>
        <w:tblW w:w="5128" w:type="pct"/>
        <w:tblLook w:val="04A0" w:firstRow="1" w:lastRow="0" w:firstColumn="1" w:lastColumn="0" w:noHBand="0" w:noVBand="1"/>
      </w:tblPr>
      <w:tblGrid>
        <w:gridCol w:w="1951"/>
        <w:gridCol w:w="1843"/>
        <w:gridCol w:w="1827"/>
        <w:gridCol w:w="1929"/>
        <w:gridCol w:w="1929"/>
      </w:tblGrid>
      <w:tr w:rsidR="00A46D1F" w:rsidRPr="005A079A" w:rsidTr="001402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A46D1F" w:rsidRPr="005949F4" w:rsidRDefault="00A46D1F" w:rsidP="00842ADE">
            <w:pPr>
              <w:keepNext/>
            </w:pPr>
            <w:r w:rsidRPr="005949F4">
              <w:t>Port terminal facility</w:t>
            </w:r>
          </w:p>
        </w:tc>
        <w:tc>
          <w:tcPr>
            <w:tcW w:w="1843" w:type="dxa"/>
          </w:tcPr>
          <w:p w:rsidR="00A46D1F" w:rsidRPr="005949F4" w:rsidRDefault="00A46D1F" w:rsidP="00842ADE">
            <w:pPr>
              <w:keepNext/>
              <w:cnfStyle w:val="100000000000" w:firstRow="1" w:lastRow="0" w:firstColumn="0" w:lastColumn="0" w:oddVBand="0" w:evenVBand="0" w:oddHBand="0" w:evenHBand="0" w:firstRowFirstColumn="0" w:firstRowLastColumn="0" w:lastRowFirstColumn="0" w:lastRowLastColumn="0"/>
            </w:pPr>
            <w:r w:rsidRPr="005949F4">
              <w:t xml:space="preserve">GrainCorp’s Geelong facility </w:t>
            </w:r>
          </w:p>
        </w:tc>
        <w:tc>
          <w:tcPr>
            <w:tcW w:w="1827" w:type="dxa"/>
          </w:tcPr>
          <w:p w:rsidR="00A46D1F" w:rsidRPr="005949F4" w:rsidRDefault="00A46D1F" w:rsidP="00842ADE">
            <w:pPr>
              <w:keepNext/>
              <w:cnfStyle w:val="100000000000" w:firstRow="1" w:lastRow="0" w:firstColumn="0" w:lastColumn="0" w:oddVBand="0" w:evenVBand="0" w:oddHBand="0" w:evenHBand="0" w:firstRowFirstColumn="0" w:firstRowLastColumn="0" w:lastRowFirstColumn="0" w:lastRowLastColumn="0"/>
            </w:pPr>
            <w:r w:rsidRPr="005949F4">
              <w:t>GrainCorp’s Portland facility</w:t>
            </w:r>
          </w:p>
        </w:tc>
        <w:tc>
          <w:tcPr>
            <w:tcW w:w="1929" w:type="dxa"/>
          </w:tcPr>
          <w:p w:rsidR="00A46D1F" w:rsidRPr="005949F4" w:rsidRDefault="00A46D1F" w:rsidP="00842ADE">
            <w:pPr>
              <w:keepNext/>
              <w:cnfStyle w:val="100000000000" w:firstRow="1" w:lastRow="0" w:firstColumn="0" w:lastColumn="0" w:oddVBand="0" w:evenVBand="0" w:oddHBand="0" w:evenHBand="0" w:firstRowFirstColumn="0" w:firstRowLastColumn="0" w:lastRowFirstColumn="0" w:lastRowLastColumn="0"/>
            </w:pPr>
            <w:r w:rsidRPr="005949F4">
              <w:t>Emerald’s Melbourne facility</w:t>
            </w:r>
          </w:p>
        </w:tc>
        <w:tc>
          <w:tcPr>
            <w:tcW w:w="1929" w:type="dxa"/>
          </w:tcPr>
          <w:p w:rsidR="00A46D1F" w:rsidRPr="005949F4" w:rsidRDefault="00A46D1F" w:rsidP="00842ADE">
            <w:pPr>
              <w:keepNext/>
              <w:cnfStyle w:val="100000000000" w:firstRow="1" w:lastRow="0" w:firstColumn="0" w:lastColumn="0" w:oddVBand="0" w:evenVBand="0" w:oddHBand="0" w:evenHBand="0" w:firstRowFirstColumn="0" w:firstRowLastColumn="0" w:lastRowFirstColumn="0" w:lastRowLastColumn="0"/>
            </w:pPr>
            <w:r w:rsidRPr="005949F4">
              <w:t>Bunge’s proposed Geelong facility</w:t>
            </w:r>
          </w:p>
        </w:tc>
      </w:tr>
      <w:tr w:rsidR="00A46D1F" w:rsidRPr="005A079A" w:rsidTr="005949F4">
        <w:tc>
          <w:tcPr>
            <w:cnfStyle w:val="001000000000" w:firstRow="0" w:lastRow="0" w:firstColumn="1" w:lastColumn="0" w:oddVBand="0" w:evenVBand="0" w:oddHBand="0" w:evenHBand="0" w:firstRowFirstColumn="0" w:firstRowLastColumn="0" w:lastRowFirstColumn="0" w:lastRowLastColumn="0"/>
            <w:tcW w:w="1951" w:type="dxa"/>
          </w:tcPr>
          <w:p w:rsidR="0064217C" w:rsidRDefault="00A46D1F" w:rsidP="00F2549B">
            <w:pPr>
              <w:keepNext/>
              <w:spacing w:after="0"/>
            </w:pPr>
            <w:r w:rsidRPr="005949F4">
              <w:t>2014-15 published available capacity</w:t>
            </w:r>
          </w:p>
          <w:p w:rsidR="00A46D1F" w:rsidRPr="005949F4" w:rsidRDefault="0064217C" w:rsidP="00F2549B">
            <w:pPr>
              <w:keepNext/>
              <w:spacing w:before="0"/>
            </w:pPr>
            <w:r>
              <w:t>(mtpa)</w:t>
            </w:r>
            <w:r w:rsidR="00A46D1F" w:rsidRPr="005949F4">
              <w:t xml:space="preserve"> </w:t>
            </w:r>
          </w:p>
        </w:tc>
        <w:tc>
          <w:tcPr>
            <w:tcW w:w="1843" w:type="dxa"/>
            <w:vAlign w:val="center"/>
          </w:tcPr>
          <w:p w:rsidR="00A46D1F" w:rsidRPr="00A23AEA" w:rsidRDefault="00A46D1F" w:rsidP="0064217C">
            <w:pPr>
              <w:keepNext/>
              <w:jc w:val="center"/>
              <w:cnfStyle w:val="000000000000" w:firstRow="0" w:lastRow="0" w:firstColumn="0" w:lastColumn="0" w:oddVBand="0" w:evenVBand="0" w:oddHBand="0" w:evenHBand="0" w:firstRowFirstColumn="0" w:firstRowLastColumn="0" w:lastRowFirstColumn="0" w:lastRowLastColumn="0"/>
            </w:pPr>
            <w:r w:rsidRPr="00A23AEA">
              <w:t>2.60</w:t>
            </w:r>
          </w:p>
        </w:tc>
        <w:tc>
          <w:tcPr>
            <w:tcW w:w="1827" w:type="dxa"/>
            <w:vAlign w:val="center"/>
          </w:tcPr>
          <w:p w:rsidR="00A46D1F" w:rsidRPr="00A23AEA" w:rsidRDefault="00A46D1F" w:rsidP="0064217C">
            <w:pPr>
              <w:keepNext/>
              <w:jc w:val="center"/>
              <w:cnfStyle w:val="000000000000" w:firstRow="0" w:lastRow="0" w:firstColumn="0" w:lastColumn="0" w:oddVBand="0" w:evenVBand="0" w:oddHBand="0" w:evenHBand="0" w:firstRowFirstColumn="0" w:firstRowLastColumn="0" w:lastRowFirstColumn="0" w:lastRowLastColumn="0"/>
            </w:pPr>
            <w:r w:rsidRPr="00A23AEA">
              <w:t>0.99</w:t>
            </w:r>
          </w:p>
        </w:tc>
        <w:tc>
          <w:tcPr>
            <w:tcW w:w="1929" w:type="dxa"/>
            <w:vAlign w:val="center"/>
          </w:tcPr>
          <w:p w:rsidR="00A46D1F" w:rsidRPr="00A23AEA" w:rsidRDefault="00A46D1F" w:rsidP="0064217C">
            <w:pPr>
              <w:keepNext/>
              <w:jc w:val="center"/>
              <w:cnfStyle w:val="000000000000" w:firstRow="0" w:lastRow="0" w:firstColumn="0" w:lastColumn="0" w:oddVBand="0" w:evenVBand="0" w:oddHBand="0" w:evenHBand="0" w:firstRowFirstColumn="0" w:firstRowLastColumn="0" w:lastRowFirstColumn="0" w:lastRowLastColumn="0"/>
            </w:pPr>
            <w:r w:rsidRPr="00A23AEA">
              <w:t>1.94</w:t>
            </w:r>
          </w:p>
        </w:tc>
        <w:tc>
          <w:tcPr>
            <w:tcW w:w="1929" w:type="dxa"/>
            <w:vAlign w:val="center"/>
          </w:tcPr>
          <w:p w:rsidR="00A46D1F" w:rsidRPr="00A23AEA" w:rsidRDefault="00A46D1F" w:rsidP="005949F4">
            <w:pPr>
              <w:keepNext/>
              <w:jc w:val="center"/>
              <w:cnfStyle w:val="000000000000" w:firstRow="0" w:lastRow="0" w:firstColumn="0" w:lastColumn="0" w:oddVBand="0" w:evenVBand="0" w:oddHBand="0" w:evenHBand="0" w:firstRowFirstColumn="0" w:firstRowLastColumn="0" w:lastRowFirstColumn="0" w:lastRowLastColumn="0"/>
            </w:pPr>
            <w:r w:rsidRPr="00A23AEA">
              <w:t>N/A</w:t>
            </w:r>
          </w:p>
        </w:tc>
      </w:tr>
      <w:tr w:rsidR="00A46D1F" w:rsidRPr="005A079A" w:rsidTr="005949F4">
        <w:tc>
          <w:tcPr>
            <w:cnfStyle w:val="001000000000" w:firstRow="0" w:lastRow="0" w:firstColumn="1" w:lastColumn="0" w:oddVBand="0" w:evenVBand="0" w:oddHBand="0" w:evenHBand="0" w:firstRowFirstColumn="0" w:firstRowLastColumn="0" w:lastRowFirstColumn="0" w:lastRowLastColumn="0"/>
            <w:tcW w:w="1951" w:type="dxa"/>
          </w:tcPr>
          <w:p w:rsidR="00A46D1F" w:rsidRDefault="00A46D1F" w:rsidP="00F2549B">
            <w:pPr>
              <w:keepNext/>
              <w:spacing w:after="0"/>
            </w:pPr>
            <w:r w:rsidRPr="005949F4">
              <w:t xml:space="preserve">Maximum estimated by service provider </w:t>
            </w:r>
          </w:p>
          <w:p w:rsidR="0064217C" w:rsidRPr="005949F4" w:rsidRDefault="0064217C" w:rsidP="00F2549B">
            <w:pPr>
              <w:keepNext/>
              <w:spacing w:before="0"/>
            </w:pPr>
            <w:r>
              <w:t>(mtpa)</w:t>
            </w:r>
          </w:p>
        </w:tc>
        <w:tc>
          <w:tcPr>
            <w:tcW w:w="1843" w:type="dxa"/>
            <w:vAlign w:val="center"/>
          </w:tcPr>
          <w:p w:rsidR="00A46D1F" w:rsidRPr="00A23AEA" w:rsidRDefault="00A46D1F" w:rsidP="0064217C">
            <w:pPr>
              <w:keepNext/>
              <w:jc w:val="center"/>
              <w:cnfStyle w:val="000000000000" w:firstRow="0" w:lastRow="0" w:firstColumn="0" w:lastColumn="0" w:oddVBand="0" w:evenVBand="0" w:oddHBand="0" w:evenHBand="0" w:firstRowFirstColumn="0" w:firstRowLastColumn="0" w:lastRowFirstColumn="0" w:lastRowLastColumn="0"/>
            </w:pPr>
            <w:r w:rsidRPr="00A23AEA">
              <w:t>3.40</w:t>
            </w:r>
          </w:p>
        </w:tc>
        <w:tc>
          <w:tcPr>
            <w:tcW w:w="1827" w:type="dxa"/>
            <w:vAlign w:val="center"/>
          </w:tcPr>
          <w:p w:rsidR="00A46D1F" w:rsidRPr="00A23AEA" w:rsidRDefault="00A46D1F" w:rsidP="0064217C">
            <w:pPr>
              <w:keepNext/>
              <w:jc w:val="center"/>
              <w:cnfStyle w:val="000000000000" w:firstRow="0" w:lastRow="0" w:firstColumn="0" w:lastColumn="0" w:oddVBand="0" w:evenVBand="0" w:oddHBand="0" w:evenHBand="0" w:firstRowFirstColumn="0" w:firstRowLastColumn="0" w:lastRowFirstColumn="0" w:lastRowLastColumn="0"/>
            </w:pPr>
            <w:r w:rsidRPr="00A23AEA">
              <w:t>1.50</w:t>
            </w:r>
          </w:p>
        </w:tc>
        <w:tc>
          <w:tcPr>
            <w:tcW w:w="1929" w:type="dxa"/>
            <w:vAlign w:val="center"/>
          </w:tcPr>
          <w:p w:rsidR="00A46D1F" w:rsidRPr="00A23AEA" w:rsidRDefault="00A46D1F" w:rsidP="0064217C">
            <w:pPr>
              <w:keepNext/>
              <w:jc w:val="center"/>
              <w:cnfStyle w:val="000000000000" w:firstRow="0" w:lastRow="0" w:firstColumn="0" w:lastColumn="0" w:oddVBand="0" w:evenVBand="0" w:oddHBand="0" w:evenHBand="0" w:firstRowFirstColumn="0" w:firstRowLastColumn="0" w:lastRowFirstColumn="0" w:lastRowLastColumn="0"/>
            </w:pPr>
            <w:r w:rsidRPr="00A23AEA">
              <w:t>1.5-2.10</w:t>
            </w:r>
          </w:p>
        </w:tc>
        <w:tc>
          <w:tcPr>
            <w:tcW w:w="1929" w:type="dxa"/>
            <w:vAlign w:val="center"/>
          </w:tcPr>
          <w:p w:rsidR="00A46D1F" w:rsidRPr="00A23AEA" w:rsidRDefault="00A46D1F" w:rsidP="0064217C">
            <w:pPr>
              <w:keepNext/>
              <w:jc w:val="center"/>
              <w:cnfStyle w:val="000000000000" w:firstRow="0" w:lastRow="0" w:firstColumn="0" w:lastColumn="0" w:oddVBand="0" w:evenVBand="0" w:oddHBand="0" w:evenHBand="0" w:firstRowFirstColumn="0" w:firstRowLastColumn="0" w:lastRowFirstColumn="0" w:lastRowLastColumn="0"/>
            </w:pPr>
            <w:r w:rsidRPr="00A23AEA">
              <w:t>0.45</w:t>
            </w:r>
          </w:p>
        </w:tc>
      </w:tr>
      <w:tr w:rsidR="00A46D1F" w:rsidRPr="005A079A" w:rsidTr="005949F4">
        <w:tc>
          <w:tcPr>
            <w:cnfStyle w:val="001000000000" w:firstRow="0" w:lastRow="0" w:firstColumn="1" w:lastColumn="0" w:oddVBand="0" w:evenVBand="0" w:oddHBand="0" w:evenHBand="0" w:firstRowFirstColumn="0" w:firstRowLastColumn="0" w:lastRowFirstColumn="0" w:lastRowLastColumn="0"/>
            <w:tcW w:w="1951" w:type="dxa"/>
          </w:tcPr>
          <w:p w:rsidR="00A46D1F" w:rsidRDefault="00A46D1F" w:rsidP="00F2549B">
            <w:pPr>
              <w:keepNext/>
              <w:spacing w:after="0"/>
            </w:pPr>
            <w:r w:rsidRPr="005949F4">
              <w:t xml:space="preserve">Annualised maximum historic monthly throughput </w:t>
            </w:r>
          </w:p>
          <w:p w:rsidR="0064217C" w:rsidRPr="005949F4" w:rsidRDefault="0064217C" w:rsidP="00F2549B">
            <w:pPr>
              <w:keepNext/>
              <w:spacing w:before="0"/>
            </w:pPr>
            <w:r>
              <w:t>(mtpa)</w:t>
            </w:r>
          </w:p>
        </w:tc>
        <w:tc>
          <w:tcPr>
            <w:tcW w:w="1843" w:type="dxa"/>
            <w:vAlign w:val="center"/>
          </w:tcPr>
          <w:p w:rsidR="00A46D1F" w:rsidRPr="00A23AEA" w:rsidRDefault="00A46D1F" w:rsidP="0064217C">
            <w:pPr>
              <w:keepNext/>
              <w:jc w:val="center"/>
              <w:cnfStyle w:val="000000000000" w:firstRow="0" w:lastRow="0" w:firstColumn="0" w:lastColumn="0" w:oddVBand="0" w:evenVBand="0" w:oddHBand="0" w:evenHBand="0" w:firstRowFirstColumn="0" w:firstRowLastColumn="0" w:lastRowFirstColumn="0" w:lastRowLastColumn="0"/>
            </w:pPr>
            <w:r w:rsidRPr="00A23AEA">
              <w:t>4.30</w:t>
            </w:r>
          </w:p>
        </w:tc>
        <w:tc>
          <w:tcPr>
            <w:tcW w:w="1827" w:type="dxa"/>
            <w:vAlign w:val="center"/>
          </w:tcPr>
          <w:p w:rsidR="00A46D1F" w:rsidRPr="00A23AEA" w:rsidRDefault="00A46D1F" w:rsidP="0064217C">
            <w:pPr>
              <w:keepNext/>
              <w:jc w:val="center"/>
              <w:cnfStyle w:val="000000000000" w:firstRow="0" w:lastRow="0" w:firstColumn="0" w:lastColumn="0" w:oddVBand="0" w:evenVBand="0" w:oddHBand="0" w:evenHBand="0" w:firstRowFirstColumn="0" w:firstRowLastColumn="0" w:lastRowFirstColumn="0" w:lastRowLastColumn="0"/>
            </w:pPr>
            <w:r w:rsidRPr="00A23AEA">
              <w:t>1.51</w:t>
            </w:r>
          </w:p>
        </w:tc>
        <w:tc>
          <w:tcPr>
            <w:tcW w:w="1929" w:type="dxa"/>
            <w:vAlign w:val="center"/>
          </w:tcPr>
          <w:p w:rsidR="00A46D1F" w:rsidRPr="00A23AEA" w:rsidRDefault="00A46D1F" w:rsidP="0064217C">
            <w:pPr>
              <w:keepNext/>
              <w:jc w:val="center"/>
              <w:cnfStyle w:val="000000000000" w:firstRow="0" w:lastRow="0" w:firstColumn="0" w:lastColumn="0" w:oddVBand="0" w:evenVBand="0" w:oddHBand="0" w:evenHBand="0" w:firstRowFirstColumn="0" w:firstRowLastColumn="0" w:lastRowFirstColumn="0" w:lastRowLastColumn="0"/>
            </w:pPr>
            <w:r w:rsidRPr="00A23AEA">
              <w:t>2.21</w:t>
            </w:r>
          </w:p>
        </w:tc>
        <w:tc>
          <w:tcPr>
            <w:tcW w:w="1929" w:type="dxa"/>
            <w:vAlign w:val="center"/>
          </w:tcPr>
          <w:p w:rsidR="00A46D1F" w:rsidRPr="00A23AEA" w:rsidRDefault="00A46D1F" w:rsidP="005949F4">
            <w:pPr>
              <w:keepNext/>
              <w:jc w:val="center"/>
              <w:cnfStyle w:val="000000000000" w:firstRow="0" w:lastRow="0" w:firstColumn="0" w:lastColumn="0" w:oddVBand="0" w:evenVBand="0" w:oddHBand="0" w:evenHBand="0" w:firstRowFirstColumn="0" w:firstRowLastColumn="0" w:lastRowFirstColumn="0" w:lastRowLastColumn="0"/>
            </w:pPr>
            <w:r w:rsidRPr="00A23AEA">
              <w:t>N/A</w:t>
            </w:r>
          </w:p>
        </w:tc>
      </w:tr>
    </w:tbl>
    <w:p w:rsidR="00A46D1F" w:rsidRDefault="00A46D1F" w:rsidP="00A46D1F">
      <w:pPr>
        <w:pStyle w:val="Normalparagraph"/>
      </w:pPr>
      <w:r w:rsidRPr="002A2C02">
        <w:rPr>
          <w:sz w:val="18"/>
        </w:rPr>
        <w:t>Sources</w:t>
      </w:r>
      <w:r>
        <w:rPr>
          <w:sz w:val="18"/>
        </w:rPr>
        <w:t>:</w:t>
      </w:r>
      <w:r w:rsidRPr="002A2C02">
        <w:rPr>
          <w:sz w:val="18"/>
        </w:rPr>
        <w:t xml:space="preserve"> GrainCorp submission 5 December 2014</w:t>
      </w:r>
      <w:r>
        <w:rPr>
          <w:sz w:val="18"/>
        </w:rPr>
        <w:t>;</w:t>
      </w:r>
      <w:r w:rsidRPr="002A2C02">
        <w:rPr>
          <w:sz w:val="18"/>
        </w:rPr>
        <w:t xml:space="preserve"> Emerald Submission 28 November</w:t>
      </w:r>
      <w:r>
        <w:rPr>
          <w:sz w:val="18"/>
        </w:rPr>
        <w:t xml:space="preserve"> 2014;</w:t>
      </w:r>
      <w:r w:rsidRPr="002A2C02">
        <w:rPr>
          <w:sz w:val="18"/>
        </w:rPr>
        <w:t xml:space="preserve"> </w:t>
      </w:r>
      <w:r>
        <w:rPr>
          <w:sz w:val="18"/>
        </w:rPr>
        <w:t xml:space="preserve">Emerald website at </w:t>
      </w:r>
      <w:hyperlink r:id="rId21" w:history="1">
        <w:r w:rsidRPr="002A2C02">
          <w:rPr>
            <w:rStyle w:val="Hyperlink"/>
            <w:i/>
            <w:sz w:val="18"/>
          </w:rPr>
          <w:t>http://emeraldgrain.com/home/industry-store-and-move-grain/shipping-at-melbourne-port-terminal/</w:t>
        </w:r>
      </w:hyperlink>
      <w:r w:rsidRPr="002A2C02">
        <w:rPr>
          <w:sz w:val="18"/>
        </w:rPr>
        <w:t xml:space="preserve"> </w:t>
      </w:r>
      <w:r>
        <w:rPr>
          <w:sz w:val="18"/>
        </w:rPr>
        <w:t>accessed 2 March 2015; GrainCorp available capacity for 2014-15; Emerald available capacity for 2014-15.</w:t>
      </w:r>
    </w:p>
    <w:p w:rsidR="00A46D1F" w:rsidRDefault="00A46D1F" w:rsidP="00A46D1F">
      <w:pPr>
        <w:pStyle w:val="Normalparagraph"/>
      </w:pPr>
      <w:r>
        <w:t>Determining the level of capacity available at each port terminal facility is relevant to assessing the relationship between supply and demand and identifying capacity constraints which</w:t>
      </w:r>
      <w:r w:rsidR="0094004E">
        <w:t>, in the absence of a substitute facility,</w:t>
      </w:r>
      <w:r>
        <w:t xml:space="preserve"> could lead to market power in the provision of port terminal services. Exporter demand for port terminal capacity in Victoria is discussed further </w:t>
      </w:r>
      <w:r w:rsidRPr="00942633">
        <w:t xml:space="preserve">in </w:t>
      </w:r>
      <w:r w:rsidRPr="00F2549B">
        <w:t xml:space="preserve">section </w:t>
      </w:r>
      <w:r w:rsidR="00FE24CA" w:rsidRPr="00F2549B">
        <w:t>2.2</w:t>
      </w:r>
      <w:r w:rsidRPr="00942633">
        <w:t xml:space="preserve"> below</w:t>
      </w:r>
      <w:r>
        <w:t>.</w:t>
      </w:r>
    </w:p>
    <w:p w:rsidR="00B36873" w:rsidRDefault="00A46D1F" w:rsidP="00A46D1F">
      <w:pPr>
        <w:pStyle w:val="Normalparagraph"/>
      </w:pPr>
      <w:r>
        <w:t xml:space="preserve">Based on the maximum elevation capacity figures estimated by the port terminal service providers, the total elevation capacity in Victoria across the three existing terminals would be around 7 mtpa. If each port were able to achieve its historic monthly maximum throughput over the whole the year the total annual elevation capacity would be even higher, at just over 8 mtpa. However, the high throughput levels achieved during these months may not be achievable on an ongoing basis due to practical limitations. For example, regular maintenance activities and unavoidable closures or delays due to external circumstances (e.g. vessels failing survey) may not have impacted those particular maximum throughput months, but would affect longer term capacity. </w:t>
      </w:r>
    </w:p>
    <w:p w:rsidR="00A46D1F" w:rsidRDefault="00A46D1F" w:rsidP="00A46D1F">
      <w:pPr>
        <w:pStyle w:val="Normalparagraph"/>
      </w:pPr>
      <w:r>
        <w:t xml:space="preserve">On the other hand, the maximum monthly throughput will increase as investments and expansions are undertaken by the port terminal service provider. The maximum capacity may also be affected by the mix of commodities, particularly at the Melbourne facility given storage constraints. </w:t>
      </w:r>
      <w:r w:rsidR="00B36873">
        <w:t xml:space="preserve">For example, a port may be able to achieve higher throughput if it is dealing with only a few commodities/grades as this will maximise use of the available storage space and reduce downtime for cleaning to ensure grades are appropriately separate. </w:t>
      </w:r>
      <w:r>
        <w:t xml:space="preserve">In practice, the ACCC considers current </w:t>
      </w:r>
      <w:r w:rsidR="00942633">
        <w:t xml:space="preserve">practical </w:t>
      </w:r>
      <w:r>
        <w:t xml:space="preserve">annual elevation capacity in Victoria is currently likely to be lower than these theoretical maximum estimates. </w:t>
      </w:r>
    </w:p>
    <w:p w:rsidR="00A46D1F" w:rsidRDefault="00A46D1F" w:rsidP="00A46D1F">
      <w:pPr>
        <w:pStyle w:val="Normalparagraph"/>
      </w:pPr>
      <w:r>
        <w:t xml:space="preserve">Emerald and GrainCorp’s estimates of total port capacity in Victoria (5.5 mtpa and 6.4 mtpa respectively) are broadly consistent with the available capacity figures published for 2014-15 which totalled 5.58 mtpa. These figures are lower than the theoretical maximum estimates discussed above. However, the available capacity figures may also reflect factors such as </w:t>
      </w:r>
      <w:r>
        <w:lastRenderedPageBreak/>
        <w:t xml:space="preserve">expected demand and closures for capacity expansion works, and may therefore underestimate the actual maximum capacity of the port terminals. </w:t>
      </w:r>
    </w:p>
    <w:p w:rsidR="00A46D1F" w:rsidRDefault="00A46D1F" w:rsidP="00A46D1F">
      <w:pPr>
        <w:pStyle w:val="Normalparagraph"/>
      </w:pPr>
      <w:r>
        <w:t xml:space="preserve">The ACCC expects that actual elevation capacity of the port terminal facilities in Victoria is somewhere in between the published available capacity figures and the annualised maximum historic monthly throughput figures. </w:t>
      </w:r>
      <w:r w:rsidRPr="00F52FA6">
        <w:t xml:space="preserve">The ACCC’s view on elevation capacity and how it relates to demand for port terminal capacity is discussed further at </w:t>
      </w:r>
      <w:r w:rsidRPr="00F2549B">
        <w:t xml:space="preserve">section </w:t>
      </w:r>
      <w:r w:rsidR="00EC0717" w:rsidRPr="00F2549B">
        <w:t>2.2</w:t>
      </w:r>
      <w:r w:rsidRPr="00F52FA6">
        <w:t xml:space="preserve"> below.</w:t>
      </w:r>
      <w:r w:rsidRPr="00DA05A9">
        <w:rPr>
          <w:highlight w:val="yellow"/>
        </w:rPr>
        <w:t xml:space="preserve"> </w:t>
      </w:r>
    </w:p>
    <w:p w:rsidR="00A46D1F" w:rsidRDefault="00A46D1F" w:rsidP="00F041C6">
      <w:r>
        <w:t xml:space="preserve">Once operational, </w:t>
      </w:r>
      <w:r w:rsidR="002136F2">
        <w:t xml:space="preserve">it is expected that </w:t>
      </w:r>
      <w:r>
        <w:t xml:space="preserve">Bunge’s facility </w:t>
      </w:r>
      <w:r w:rsidR="002136F2">
        <w:t xml:space="preserve">would </w:t>
      </w:r>
      <w:r>
        <w:t>provide an additional 0.45</w:t>
      </w:r>
      <w:r w:rsidR="00842ADE">
        <w:t xml:space="preserve"> </w:t>
      </w:r>
      <w:r>
        <w:t xml:space="preserve">mtpa elevation capacity in Victoria. GrainCorp’s submission states that Bunge has sought approval to further expand its planned new terminal to </w:t>
      </w:r>
      <w:r w:rsidR="00842ADE">
        <w:t>0.</w:t>
      </w:r>
      <w:r>
        <w:t>48 mtpa elevation capacity.</w:t>
      </w:r>
      <w:r>
        <w:rPr>
          <w:rStyle w:val="FootnoteReference"/>
        </w:rPr>
        <w:footnoteReference w:id="19"/>
      </w:r>
      <w:r>
        <w:t xml:space="preserve"> The elevation capacity of the proposed additional Portland facility is unknown. The ACCC understands that Emerald also plans to further expand the capacity of MPT from its stated practical maximum of 1.5 mtpa up to 2.4-3 mtpa.</w:t>
      </w:r>
      <w:r>
        <w:rPr>
          <w:rStyle w:val="FootnoteReference"/>
        </w:rPr>
        <w:footnoteReference w:id="20"/>
      </w:r>
      <w:r>
        <w:t xml:space="preserve"> Therefore, elevation capacity available to exporters in Victoria can be expected to increase in the near future. </w:t>
      </w:r>
    </w:p>
    <w:p w:rsidR="00A46D1F" w:rsidRDefault="00A46D1F" w:rsidP="00A46D1F">
      <w:pPr>
        <w:pStyle w:val="Heading2"/>
      </w:pPr>
      <w:bookmarkStart w:id="67" w:name="_Toc416360491"/>
      <w:r>
        <w:t>Exports and exporters</w:t>
      </w:r>
      <w:bookmarkEnd w:id="67"/>
    </w:p>
    <w:p w:rsidR="00A46D1F" w:rsidRDefault="00A46D1F" w:rsidP="00F041C6">
      <w:r>
        <w:t>GrainCorp and Emerald have provided data on historical exports from the three Victorian ports. GrainCorp submits that the average export task is 2.1 mtpa and the peak is 4.4 mtpa. Emerald submits that average export task is 2.4 mtpa and the historical maximum is 5.2 mtpa.</w:t>
      </w:r>
      <w:r>
        <w:rPr>
          <w:rStyle w:val="FootnoteReference"/>
        </w:rPr>
        <w:footnoteReference w:id="21"/>
      </w:r>
      <w:r>
        <w:t xml:space="preserve"> The ACCC has also obtained historical export data from Australian Crop Forecasters. The following sections discuss: </w:t>
      </w:r>
    </w:p>
    <w:p w:rsidR="00A46D1F" w:rsidRDefault="00A46D1F" w:rsidP="00347D7F">
      <w:pPr>
        <w:pStyle w:val="ListParagraph"/>
        <w:numPr>
          <w:ilvl w:val="0"/>
          <w:numId w:val="15"/>
        </w:numPr>
        <w:ind w:left="714" w:hanging="357"/>
        <w:contextualSpacing w:val="0"/>
      </w:pPr>
      <w:r>
        <w:t xml:space="preserve">exports and capacity utilisation levels at each of the Victorian ports </w:t>
      </w:r>
    </w:p>
    <w:p w:rsidR="00A46D1F" w:rsidRDefault="00A46D1F" w:rsidP="00347D7F">
      <w:pPr>
        <w:pStyle w:val="ListParagraph"/>
        <w:numPr>
          <w:ilvl w:val="0"/>
          <w:numId w:val="15"/>
        </w:numPr>
        <w:ind w:left="714" w:hanging="357"/>
        <w:contextualSpacing w:val="0"/>
      </w:pPr>
      <w:r>
        <w:t xml:space="preserve">relative market share of exporters using each of the ports. </w:t>
      </w:r>
    </w:p>
    <w:p w:rsidR="00A46D1F" w:rsidRDefault="00A46D1F" w:rsidP="00A46D1F">
      <w:pPr>
        <w:pStyle w:val="Heading3"/>
      </w:pPr>
      <w:r w:rsidRPr="004B4C4E">
        <w:t xml:space="preserve">Exports and capacity utilisation </w:t>
      </w:r>
    </w:p>
    <w:p w:rsidR="00A46D1F" w:rsidRDefault="00A46D1F" w:rsidP="00A46D1F">
      <w:r w:rsidRPr="00F2549B">
        <w:t xml:space="preserve">Average exports from Victoria over the last two years have been approximately 3.78 mtpa, with around 80 per cent exported from Geelong and Melbourne. The following charts show exports at each port terminal compared with the various estimates of capacity discussed in section </w:t>
      </w:r>
      <w:r w:rsidR="00EC0717" w:rsidRPr="00F2549B">
        <w:t>2.1</w:t>
      </w:r>
      <w:r w:rsidRPr="00F2549B">
        <w:t xml:space="preserve"> above. The maximum annual capacity figures advised by GrainCorp and Emerald and the estimates based on maximum historic monthly throughput are both shown as an average constant amount across the year. The 2014-15 published available capacity varies from month to month.</w:t>
      </w:r>
      <w:r>
        <w:t xml:space="preserve"> </w:t>
      </w:r>
    </w:p>
    <w:p w:rsidR="00A46D1F" w:rsidRPr="00C779CA" w:rsidRDefault="00A46D1F" w:rsidP="00A46D1F">
      <w:pPr>
        <w:pStyle w:val="Caption"/>
        <w:keepNext/>
        <w:spacing w:after="120"/>
        <w:rPr>
          <w:sz w:val="20"/>
          <w:szCs w:val="20"/>
        </w:rPr>
      </w:pPr>
      <w:r w:rsidRPr="00C779CA">
        <w:rPr>
          <w:sz w:val="20"/>
          <w:szCs w:val="20"/>
        </w:rPr>
        <w:lastRenderedPageBreak/>
        <w:t xml:space="preserve">Figure </w:t>
      </w:r>
      <w:r w:rsidR="008A1251" w:rsidRPr="00C779CA">
        <w:rPr>
          <w:sz w:val="20"/>
          <w:szCs w:val="20"/>
        </w:rPr>
        <w:fldChar w:fldCharType="begin"/>
      </w:r>
      <w:r w:rsidR="008A1251" w:rsidRPr="00C779CA">
        <w:rPr>
          <w:sz w:val="20"/>
          <w:szCs w:val="20"/>
        </w:rPr>
        <w:instrText xml:space="preserve"> SEQ Figure \* ARABIC </w:instrText>
      </w:r>
      <w:r w:rsidR="008A1251" w:rsidRPr="00C779CA">
        <w:rPr>
          <w:sz w:val="20"/>
          <w:szCs w:val="20"/>
        </w:rPr>
        <w:fldChar w:fldCharType="separate"/>
      </w:r>
      <w:r w:rsidR="0090671A" w:rsidRPr="00C779CA">
        <w:rPr>
          <w:noProof/>
          <w:sz w:val="20"/>
          <w:szCs w:val="20"/>
        </w:rPr>
        <w:t>1</w:t>
      </w:r>
      <w:r w:rsidR="008A1251" w:rsidRPr="00C779CA">
        <w:rPr>
          <w:noProof/>
          <w:sz w:val="20"/>
          <w:szCs w:val="20"/>
        </w:rPr>
        <w:fldChar w:fldCharType="end"/>
      </w:r>
      <w:r w:rsidRPr="00C779CA">
        <w:rPr>
          <w:sz w:val="20"/>
          <w:szCs w:val="20"/>
        </w:rPr>
        <w:t>: GrainCorp and third party exports from Geelong port terminal (monthly)</w:t>
      </w:r>
    </w:p>
    <w:p w:rsidR="00A46D1F" w:rsidRDefault="00A46D1F" w:rsidP="00A46D1F">
      <w:r>
        <w:rPr>
          <w:noProof/>
          <w:lang w:eastAsia="en-AU"/>
        </w:rPr>
        <w:drawing>
          <wp:inline distT="0" distB="0" distL="0" distR="0" wp14:anchorId="728FABAB" wp14:editId="0CB9AED8">
            <wp:extent cx="5730949" cy="3636335"/>
            <wp:effectExtent l="0" t="0" r="3175" b="254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779CA" w:rsidRPr="00F2549B" w:rsidRDefault="00C779CA" w:rsidP="00C779CA">
      <w:pPr>
        <w:pStyle w:val="Normalparagraph"/>
        <w:rPr>
          <w:sz w:val="18"/>
        </w:rPr>
      </w:pPr>
      <w:r w:rsidRPr="00F2549B">
        <w:rPr>
          <w:sz w:val="18"/>
        </w:rPr>
        <w:t>Source</w:t>
      </w:r>
      <w:r w:rsidR="001A4499">
        <w:rPr>
          <w:sz w:val="18"/>
        </w:rPr>
        <w:t>s</w:t>
      </w:r>
      <w:r>
        <w:rPr>
          <w:sz w:val="18"/>
        </w:rPr>
        <w:t xml:space="preserve">: </w:t>
      </w:r>
      <w:r w:rsidR="001A4499" w:rsidRPr="001A4499">
        <w:rPr>
          <w:sz w:val="18"/>
        </w:rPr>
        <w:t xml:space="preserve">GrainCorp submission 5 December 2014; additional data provided by GrainCorp; GrainCorp shipping stem for 2014/15 season opening dated 3 February 2014, accessed at </w:t>
      </w:r>
      <w:hyperlink r:id="rId23" w:history="1">
        <w:r w:rsidR="001A4499" w:rsidRPr="004812F5">
          <w:rPr>
            <w:rStyle w:val="Hyperlink"/>
            <w:sz w:val="18"/>
          </w:rPr>
          <w:t>http://www.graincorp.com.au/storage-and-logistics/ports-and-shipping/shipping</w:t>
        </w:r>
      </w:hyperlink>
      <w:r w:rsidR="001A4499">
        <w:rPr>
          <w:sz w:val="18"/>
        </w:rPr>
        <w:t xml:space="preserve"> </w:t>
      </w:r>
      <w:r w:rsidR="001A4499" w:rsidRPr="001A4499">
        <w:rPr>
          <w:sz w:val="18"/>
        </w:rPr>
        <w:t>.</w:t>
      </w:r>
    </w:p>
    <w:p w:rsidR="00A46D1F" w:rsidRDefault="00A46D1F" w:rsidP="00A46D1F">
      <w:r>
        <w:t xml:space="preserve">Figure </w:t>
      </w:r>
      <w:r w:rsidR="00C779CA">
        <w:t>1</w:t>
      </w:r>
      <w:r>
        <w:t xml:space="preserve"> shows that for the majority of months each year the export task at Geelong is below both GrainCorp’s current published available capacity and stated maximum capacity. There are several exceptions where monthly throughput has been particularly high during ‘peak’ periods, and has in some months exceeded both GrainCorp’s available and stated maximum capacity estimates. Exports have generally been well below GrainCorp’s historic maximum monthly throughput with exceptions in August 2011 and June 2013.  </w:t>
      </w:r>
    </w:p>
    <w:p w:rsidR="00A46D1F" w:rsidRDefault="00A46D1F" w:rsidP="00A46D1F">
      <w:r>
        <w:t xml:space="preserve">On an annual basis, exports have on average utilised 83 per cent of the current available capacity and 50 per cent of theoretical maximum capacity (based on maximum historic throughput) over the past four years. The 2011-12 shipping year was a particularly high throughput year, where the total exports of 2.67 million tonnes exceeded GrainCorp’s current published available capacity but still fell below GrainCorp’s stated maximum capacity. Annual exports have always been well below the theoretical maximum capacity. </w:t>
      </w:r>
    </w:p>
    <w:p w:rsidR="00A46D1F" w:rsidRDefault="00A46D1F" w:rsidP="00A46D1F">
      <w:r>
        <w:t xml:space="preserve">Based on the available and maximum capacity figures provided by GrainCorp, there appears to be some degree of capacity constraint at Geelong port terminal, particularly in high demand months and in years where there has been an especially large harvest. However, in other years and in non-peak periods there is excess capacity. </w:t>
      </w:r>
    </w:p>
    <w:p w:rsidR="00A46D1F" w:rsidRDefault="00A46D1F" w:rsidP="00A46D1F">
      <w:r>
        <w:t xml:space="preserve">Figures </w:t>
      </w:r>
      <w:r w:rsidR="00C779CA">
        <w:t>2</w:t>
      </w:r>
      <w:r>
        <w:t xml:space="preserve"> and </w:t>
      </w:r>
      <w:r w:rsidR="00C779CA">
        <w:t>3</w:t>
      </w:r>
      <w:r>
        <w:t xml:space="preserve"> similarly show monthly historical exports against the port terminal service provider’s published available capacity and stated maximum capacity, as well as the theoretical maximum capacity, for the Portland and Melbourne port terminals respectively. </w:t>
      </w:r>
    </w:p>
    <w:p w:rsidR="00A46D1F" w:rsidRPr="00C779CA" w:rsidRDefault="00A46D1F" w:rsidP="00A46D1F">
      <w:pPr>
        <w:pStyle w:val="Caption"/>
        <w:keepNext/>
        <w:spacing w:after="120"/>
        <w:rPr>
          <w:sz w:val="20"/>
          <w:szCs w:val="20"/>
        </w:rPr>
      </w:pPr>
      <w:r w:rsidRPr="00C779CA">
        <w:rPr>
          <w:sz w:val="20"/>
          <w:szCs w:val="20"/>
        </w:rPr>
        <w:lastRenderedPageBreak/>
        <w:t xml:space="preserve">Figure </w:t>
      </w:r>
      <w:r w:rsidR="008A1251" w:rsidRPr="00C779CA">
        <w:rPr>
          <w:sz w:val="20"/>
          <w:szCs w:val="20"/>
        </w:rPr>
        <w:fldChar w:fldCharType="begin"/>
      </w:r>
      <w:r w:rsidR="008A1251" w:rsidRPr="00C779CA">
        <w:rPr>
          <w:sz w:val="20"/>
          <w:szCs w:val="20"/>
        </w:rPr>
        <w:instrText xml:space="preserve"> SEQ Figure \* ARABIC </w:instrText>
      </w:r>
      <w:r w:rsidR="008A1251" w:rsidRPr="00C779CA">
        <w:rPr>
          <w:sz w:val="20"/>
          <w:szCs w:val="20"/>
        </w:rPr>
        <w:fldChar w:fldCharType="separate"/>
      </w:r>
      <w:r w:rsidR="0090671A" w:rsidRPr="00C779CA">
        <w:rPr>
          <w:sz w:val="20"/>
          <w:szCs w:val="20"/>
        </w:rPr>
        <w:t>2</w:t>
      </w:r>
      <w:r w:rsidR="008A1251" w:rsidRPr="00C779CA">
        <w:rPr>
          <w:sz w:val="20"/>
          <w:szCs w:val="20"/>
        </w:rPr>
        <w:fldChar w:fldCharType="end"/>
      </w:r>
      <w:r w:rsidRPr="00C779CA">
        <w:rPr>
          <w:sz w:val="20"/>
          <w:szCs w:val="20"/>
        </w:rPr>
        <w:t>: GrainCorp and third party exports from Portland port terminal (monthly)</w:t>
      </w:r>
    </w:p>
    <w:p w:rsidR="00A46D1F" w:rsidRDefault="00A46D1F" w:rsidP="00A46D1F">
      <w:r>
        <w:rPr>
          <w:noProof/>
          <w:lang w:eastAsia="en-AU"/>
        </w:rPr>
        <w:drawing>
          <wp:inline distT="0" distB="0" distL="0" distR="0" wp14:anchorId="4A75415A" wp14:editId="0F58EBF8">
            <wp:extent cx="5734050" cy="357187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779CA" w:rsidRDefault="001A4499" w:rsidP="00A46D1F">
      <w:r w:rsidRPr="001A4499">
        <w:rPr>
          <w:sz w:val="18"/>
        </w:rPr>
        <w:t xml:space="preserve">Sources: GrainCorp submission 5 December 2014; additional data provided by GrainCorp; GrainCorp, GrainCorp shipping stem for 2014/15 season opening dated 3 February 2014, accessed at </w:t>
      </w:r>
      <w:hyperlink r:id="rId25" w:history="1">
        <w:r w:rsidRPr="004812F5">
          <w:rPr>
            <w:rStyle w:val="Hyperlink"/>
            <w:sz w:val="18"/>
          </w:rPr>
          <w:t>http://www.graincorp.com.au/storage-and-logistics/ports-and-shipping/shipping</w:t>
        </w:r>
      </w:hyperlink>
      <w:r w:rsidRPr="001A4499">
        <w:rPr>
          <w:sz w:val="18"/>
        </w:rPr>
        <w:t>.</w:t>
      </w:r>
    </w:p>
    <w:p w:rsidR="00A46D1F" w:rsidRDefault="00A46D1F" w:rsidP="00A46D1F">
      <w:r>
        <w:t xml:space="preserve">Similar to Geelong, exports from Portland in peak periods have sometimes been higher than GrainCorp’s current published available capacity (0.99 mtpa). However, this has generally only been the case for a few months each year, and for the remainder of the year there is a significant amount of capacity at Portland not being utilised. On an annual basis, exports from Portland have been well below both GrainCorp’s current available capacity and stated maximum capacity estimates, with the exception of the 2011-12 season where exports from Portland were approximately 1.02 million tonnes.   </w:t>
      </w:r>
    </w:p>
    <w:p w:rsidR="00A46D1F" w:rsidRPr="00C779CA" w:rsidRDefault="00A46D1F" w:rsidP="00A46D1F">
      <w:pPr>
        <w:pStyle w:val="Caption"/>
        <w:keepNext/>
        <w:spacing w:after="120"/>
        <w:rPr>
          <w:sz w:val="20"/>
          <w:szCs w:val="20"/>
        </w:rPr>
      </w:pPr>
      <w:r w:rsidRPr="00C779CA">
        <w:rPr>
          <w:sz w:val="20"/>
          <w:szCs w:val="20"/>
        </w:rPr>
        <w:lastRenderedPageBreak/>
        <w:t xml:space="preserve">Figure </w:t>
      </w:r>
      <w:r w:rsidR="008A1251" w:rsidRPr="00C779CA">
        <w:rPr>
          <w:sz w:val="20"/>
          <w:szCs w:val="20"/>
        </w:rPr>
        <w:fldChar w:fldCharType="begin"/>
      </w:r>
      <w:r w:rsidR="008A1251" w:rsidRPr="00C779CA">
        <w:rPr>
          <w:sz w:val="20"/>
          <w:szCs w:val="20"/>
        </w:rPr>
        <w:instrText xml:space="preserve"> SEQ Figure \* ARABIC </w:instrText>
      </w:r>
      <w:r w:rsidR="008A1251" w:rsidRPr="00C779CA">
        <w:rPr>
          <w:sz w:val="20"/>
          <w:szCs w:val="20"/>
        </w:rPr>
        <w:fldChar w:fldCharType="separate"/>
      </w:r>
      <w:r w:rsidR="0090671A" w:rsidRPr="00C779CA">
        <w:rPr>
          <w:sz w:val="20"/>
          <w:szCs w:val="20"/>
        </w:rPr>
        <w:t>3</w:t>
      </w:r>
      <w:r w:rsidR="008A1251" w:rsidRPr="00C779CA">
        <w:rPr>
          <w:sz w:val="20"/>
          <w:szCs w:val="20"/>
        </w:rPr>
        <w:fldChar w:fldCharType="end"/>
      </w:r>
      <w:r w:rsidRPr="00C779CA">
        <w:rPr>
          <w:sz w:val="20"/>
          <w:szCs w:val="20"/>
        </w:rPr>
        <w:t xml:space="preserve">: Emerald and third party exports from </w:t>
      </w:r>
      <w:r w:rsidR="007C129D">
        <w:rPr>
          <w:sz w:val="20"/>
          <w:szCs w:val="20"/>
        </w:rPr>
        <w:t>MPT</w:t>
      </w:r>
      <w:r w:rsidRPr="00C779CA">
        <w:rPr>
          <w:sz w:val="20"/>
          <w:szCs w:val="20"/>
        </w:rPr>
        <w:t xml:space="preserve"> (monthly)</w:t>
      </w:r>
    </w:p>
    <w:p w:rsidR="00A46D1F" w:rsidRDefault="00A46D1F" w:rsidP="00A46D1F">
      <w:r>
        <w:rPr>
          <w:noProof/>
          <w:lang w:eastAsia="en-AU"/>
        </w:rPr>
        <w:drawing>
          <wp:inline distT="0" distB="0" distL="0" distR="0" wp14:anchorId="61614D80" wp14:editId="6CE7217B">
            <wp:extent cx="5732060" cy="3425588"/>
            <wp:effectExtent l="0" t="0" r="2540" b="38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779CA" w:rsidRDefault="001A4499" w:rsidP="00C779CA">
      <w:r w:rsidRPr="001A4499">
        <w:rPr>
          <w:sz w:val="18"/>
        </w:rPr>
        <w:t xml:space="preserve">Sources: Emerald Submission 28 November 2014; Emerald Melbourne Port Terminal Capacity and Stem Changes updated 2nd March 2015, accessed at </w:t>
      </w:r>
      <w:hyperlink r:id="rId27" w:history="1">
        <w:r w:rsidRPr="004812F5">
          <w:rPr>
            <w:rStyle w:val="Hyperlink"/>
            <w:sz w:val="18"/>
          </w:rPr>
          <w:t>http://emeraldgrain.com/wp-content/uploads/2013/06/Melbourne-Port-Terminal-Capacity-and-Stem-Changes23.pdf</w:t>
        </w:r>
      </w:hyperlink>
      <w:r w:rsidRPr="001A4499">
        <w:rPr>
          <w:sz w:val="18"/>
        </w:rPr>
        <w:t>.</w:t>
      </w:r>
    </w:p>
    <w:p w:rsidR="00A46D1F" w:rsidRDefault="00A46D1F" w:rsidP="00A46D1F">
      <w:r>
        <w:t xml:space="preserve">Exports at Emerald’s Melbourne facility have generally been below both indicative and theoretical maximum capacity even during peak periods, with one exception in March 2013. It is unclear whether this reflects greater spare capacity at Melbourne compared with Geelong and Portland or a less conservative approach to estimating total available capacity by Emerald compared with the approach taken by GrainCorp. In non-peak periods, and on an overall per annum basis, there is significant spare capacity available at Melbourne with annual utilisation rates between 50-58 per cent. </w:t>
      </w:r>
    </w:p>
    <w:p w:rsidR="00A46D1F" w:rsidRDefault="00A46D1F" w:rsidP="00A46D1F">
      <w:r>
        <w:t xml:space="preserve">This comparison of monthly export data also highlights issues with the various capacity estimates discussed in section </w:t>
      </w:r>
      <w:r w:rsidR="00D449F6">
        <w:t>2.1.4</w:t>
      </w:r>
      <w:r>
        <w:t xml:space="preserve">. Given that in a number of months actual exports have exceeded both the port terminal service providers’ published available capacity and stated maximum capacity estimates, it appears that both may be understating the true maximum capacity of the port terminals. On the other hand, while especially high throughput may be achievable in a particular month, it may not be sustainable over a full twelve month period. For example, at Portland many of the ‘oversubscribed’ months are preceded and/or followed by months which appear to have spare capacity. </w:t>
      </w:r>
      <w:r w:rsidR="00EC0717">
        <w:t xml:space="preserve">This may reflect that </w:t>
      </w:r>
      <w:r>
        <w:t xml:space="preserve">the monthly data reflects actual shipping dates, but accumulation, storage and testing of grain may have taken place in the preceding month(s). </w:t>
      </w:r>
    </w:p>
    <w:p w:rsidR="00A46D1F" w:rsidRDefault="00A46D1F" w:rsidP="00A46D1F">
      <w:r>
        <w:t xml:space="preserve">This comparison supports the ACCC’s </w:t>
      </w:r>
      <w:r w:rsidRPr="00F37267">
        <w:t xml:space="preserve">view that actual elevation capacity is likely somewhere in between the </w:t>
      </w:r>
      <w:r>
        <w:t>theoretical maximum estimates (based on a</w:t>
      </w:r>
      <w:r w:rsidRPr="00F37267">
        <w:t>nnualised maximum historic monthly throughput</w:t>
      </w:r>
      <w:r>
        <w:t>)</w:t>
      </w:r>
      <w:r w:rsidRPr="00F37267">
        <w:t xml:space="preserve"> and the</w:t>
      </w:r>
      <w:r>
        <w:rPr>
          <w:i/>
          <w:sz w:val="20"/>
          <w:szCs w:val="20"/>
        </w:rPr>
        <w:t xml:space="preserve"> </w:t>
      </w:r>
      <w:r>
        <w:t xml:space="preserve">port terminal service providers’ published available and stated maximum capacity estimates. It also appears that the port terminal service providers have some flexibility to vary the available capacity throughout the year in order to accommodate demand in peak periods.   </w:t>
      </w:r>
    </w:p>
    <w:p w:rsidR="00842ADE" w:rsidRDefault="00A46D1F" w:rsidP="00A46D1F">
      <w:r>
        <w:t xml:space="preserve">Noting the difficulties with estimating actual elevation capacity, </w:t>
      </w:r>
      <w:r w:rsidR="00C779CA">
        <w:t>t</w:t>
      </w:r>
      <w:r>
        <w:t xml:space="preserve">able </w:t>
      </w:r>
      <w:r w:rsidR="00C779CA">
        <w:t>4</w:t>
      </w:r>
      <w:r>
        <w:t xml:space="preserve"> provides a summary of estimated capacity utilisation rates in at the Victorian ports based on the last </w:t>
      </w:r>
      <w:r w:rsidR="00DA6AD9">
        <w:t>three</w:t>
      </w:r>
      <w:r>
        <w:t xml:space="preserve"> years </w:t>
      </w:r>
      <w:r>
        <w:lastRenderedPageBreak/>
        <w:t xml:space="preserve">of historic exports. These utilisation rates are based on an average capacity estimate that falls in between the port terminal service provider’s published available capacity figures and the theoretical maximum capacity based on historic throughput. </w:t>
      </w:r>
    </w:p>
    <w:p w:rsidR="00A46D1F" w:rsidRPr="00C779CA" w:rsidRDefault="00A46D1F" w:rsidP="00842ADE">
      <w:pPr>
        <w:pStyle w:val="Caption"/>
        <w:keepNext/>
        <w:rPr>
          <w:sz w:val="20"/>
        </w:rPr>
      </w:pPr>
      <w:r w:rsidRPr="00C779CA">
        <w:rPr>
          <w:sz w:val="20"/>
        </w:rPr>
        <w:t xml:space="preserve">Table </w:t>
      </w:r>
      <w:r w:rsidR="00C779CA">
        <w:rPr>
          <w:sz w:val="20"/>
        </w:rPr>
        <w:t>4</w:t>
      </w:r>
      <w:r w:rsidRPr="00C779CA">
        <w:rPr>
          <w:sz w:val="20"/>
        </w:rPr>
        <w:t>: Average exports and capacity utilisation</w:t>
      </w:r>
    </w:p>
    <w:tbl>
      <w:tblPr>
        <w:tblStyle w:val="LightShading1"/>
        <w:tblW w:w="5000" w:type="pct"/>
        <w:tblLook w:val="04A0" w:firstRow="1" w:lastRow="0" w:firstColumn="1" w:lastColumn="0" w:noHBand="0" w:noVBand="1"/>
      </w:tblPr>
      <w:tblGrid>
        <w:gridCol w:w="2630"/>
        <w:gridCol w:w="2146"/>
        <w:gridCol w:w="2226"/>
        <w:gridCol w:w="2240"/>
      </w:tblGrid>
      <w:tr w:rsidR="00A46D1F" w:rsidRPr="00C779CA" w:rsidTr="0014025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30" w:type="dxa"/>
          </w:tcPr>
          <w:p w:rsidR="00A46D1F" w:rsidRPr="00C779CA" w:rsidRDefault="00A46D1F" w:rsidP="00842ADE">
            <w:pPr>
              <w:keepNext/>
            </w:pPr>
            <w:r w:rsidRPr="00C779CA">
              <w:t>Past three years</w:t>
            </w:r>
          </w:p>
        </w:tc>
        <w:tc>
          <w:tcPr>
            <w:tcW w:w="2146" w:type="dxa"/>
          </w:tcPr>
          <w:p w:rsidR="00A46D1F" w:rsidRPr="00C779CA" w:rsidRDefault="00A46D1F" w:rsidP="00842ADE">
            <w:pPr>
              <w:keepNext/>
              <w:jc w:val="center"/>
              <w:cnfStyle w:val="100000000000" w:firstRow="1" w:lastRow="0" w:firstColumn="0" w:lastColumn="0" w:oddVBand="0" w:evenVBand="0" w:oddHBand="0" w:evenHBand="0" w:firstRowFirstColumn="0" w:firstRowLastColumn="0" w:lastRowFirstColumn="0" w:lastRowLastColumn="0"/>
            </w:pPr>
            <w:r w:rsidRPr="00C779CA">
              <w:t>Geelong</w:t>
            </w:r>
          </w:p>
        </w:tc>
        <w:tc>
          <w:tcPr>
            <w:tcW w:w="2226" w:type="dxa"/>
          </w:tcPr>
          <w:p w:rsidR="00A46D1F" w:rsidRPr="00C779CA" w:rsidRDefault="00A46D1F" w:rsidP="00842ADE">
            <w:pPr>
              <w:keepNext/>
              <w:jc w:val="center"/>
              <w:cnfStyle w:val="100000000000" w:firstRow="1" w:lastRow="0" w:firstColumn="0" w:lastColumn="0" w:oddVBand="0" w:evenVBand="0" w:oddHBand="0" w:evenHBand="0" w:firstRowFirstColumn="0" w:firstRowLastColumn="0" w:lastRowFirstColumn="0" w:lastRowLastColumn="0"/>
            </w:pPr>
            <w:r w:rsidRPr="00C779CA">
              <w:t>Portland</w:t>
            </w:r>
          </w:p>
        </w:tc>
        <w:tc>
          <w:tcPr>
            <w:tcW w:w="2240" w:type="dxa"/>
          </w:tcPr>
          <w:p w:rsidR="00A46D1F" w:rsidRPr="00C779CA" w:rsidRDefault="00A46D1F" w:rsidP="00842ADE">
            <w:pPr>
              <w:keepNext/>
              <w:jc w:val="center"/>
              <w:cnfStyle w:val="100000000000" w:firstRow="1" w:lastRow="0" w:firstColumn="0" w:lastColumn="0" w:oddVBand="0" w:evenVBand="0" w:oddHBand="0" w:evenHBand="0" w:firstRowFirstColumn="0" w:firstRowLastColumn="0" w:lastRowFirstColumn="0" w:lastRowLastColumn="0"/>
            </w:pPr>
            <w:r w:rsidRPr="00C779CA">
              <w:t>Melbourne</w:t>
            </w:r>
          </w:p>
        </w:tc>
      </w:tr>
      <w:tr w:rsidR="00A46D1F" w:rsidRPr="00C779CA" w:rsidTr="00E36E97">
        <w:trPr>
          <w:trHeight w:val="20"/>
        </w:trPr>
        <w:tc>
          <w:tcPr>
            <w:cnfStyle w:val="001000000000" w:firstRow="0" w:lastRow="0" w:firstColumn="1" w:lastColumn="0" w:oddVBand="0" w:evenVBand="0" w:oddHBand="0" w:evenHBand="0" w:firstRowFirstColumn="0" w:firstRowLastColumn="0" w:lastRowFirstColumn="0" w:lastRowLastColumn="0"/>
            <w:tcW w:w="2630" w:type="dxa"/>
            <w:tcBorders>
              <w:bottom w:val="single" w:sz="4" w:space="0" w:color="EEECE1" w:themeColor="background2"/>
            </w:tcBorders>
            <w:vAlign w:val="center"/>
          </w:tcPr>
          <w:p w:rsidR="00A46D1F" w:rsidRPr="00C779CA" w:rsidRDefault="00A46D1F" w:rsidP="00E36E97">
            <w:pPr>
              <w:keepNext/>
            </w:pPr>
            <w:r w:rsidRPr="00C779CA">
              <w:t xml:space="preserve">Average annual exports </w:t>
            </w:r>
            <w:r w:rsidR="00347D7F">
              <w:t>(mt)</w:t>
            </w:r>
          </w:p>
        </w:tc>
        <w:tc>
          <w:tcPr>
            <w:tcW w:w="2146" w:type="dxa"/>
            <w:tcBorders>
              <w:bottom w:val="single" w:sz="4" w:space="0" w:color="EEECE1" w:themeColor="background2"/>
            </w:tcBorders>
            <w:vAlign w:val="center"/>
          </w:tcPr>
          <w:p w:rsidR="00A46D1F" w:rsidRPr="00C779CA" w:rsidRDefault="00A46D1F" w:rsidP="00E36E97">
            <w:pPr>
              <w:keepNext/>
              <w:jc w:val="center"/>
              <w:cnfStyle w:val="000000000000" w:firstRow="0" w:lastRow="0" w:firstColumn="0" w:lastColumn="0" w:oddVBand="0" w:evenVBand="0" w:oddHBand="0" w:evenHBand="0" w:firstRowFirstColumn="0" w:firstRowLastColumn="0" w:lastRowFirstColumn="0" w:lastRowLastColumn="0"/>
            </w:pPr>
            <w:r w:rsidRPr="00C779CA">
              <w:t>2.16</w:t>
            </w:r>
          </w:p>
        </w:tc>
        <w:tc>
          <w:tcPr>
            <w:tcW w:w="2226" w:type="dxa"/>
            <w:tcBorders>
              <w:bottom w:val="single" w:sz="4" w:space="0" w:color="EEECE1" w:themeColor="background2"/>
            </w:tcBorders>
            <w:vAlign w:val="center"/>
          </w:tcPr>
          <w:p w:rsidR="00A46D1F" w:rsidRPr="00C779CA" w:rsidRDefault="00A46D1F" w:rsidP="00E36E97">
            <w:pPr>
              <w:keepNext/>
              <w:jc w:val="center"/>
              <w:cnfStyle w:val="000000000000" w:firstRow="0" w:lastRow="0" w:firstColumn="0" w:lastColumn="0" w:oddVBand="0" w:evenVBand="0" w:oddHBand="0" w:evenHBand="0" w:firstRowFirstColumn="0" w:firstRowLastColumn="0" w:lastRowFirstColumn="0" w:lastRowLastColumn="0"/>
            </w:pPr>
            <w:r w:rsidRPr="00C779CA">
              <w:t>0.74</w:t>
            </w:r>
          </w:p>
        </w:tc>
        <w:tc>
          <w:tcPr>
            <w:tcW w:w="2240" w:type="dxa"/>
            <w:tcBorders>
              <w:bottom w:val="single" w:sz="4" w:space="0" w:color="EEECE1" w:themeColor="background2"/>
            </w:tcBorders>
            <w:vAlign w:val="center"/>
          </w:tcPr>
          <w:p w:rsidR="00A46D1F" w:rsidRPr="00C779CA" w:rsidRDefault="00A46D1F" w:rsidP="00E36E97">
            <w:pPr>
              <w:keepNext/>
              <w:jc w:val="center"/>
              <w:cnfStyle w:val="000000000000" w:firstRow="0" w:lastRow="0" w:firstColumn="0" w:lastColumn="0" w:oddVBand="0" w:evenVBand="0" w:oddHBand="0" w:evenHBand="0" w:firstRowFirstColumn="0" w:firstRowLastColumn="0" w:lastRowFirstColumn="0" w:lastRowLastColumn="0"/>
            </w:pPr>
            <w:r w:rsidRPr="00C779CA">
              <w:t>1.13</w:t>
            </w:r>
          </w:p>
        </w:tc>
      </w:tr>
      <w:tr w:rsidR="00A46D1F" w:rsidRPr="00C779CA" w:rsidTr="00E36E97">
        <w:trPr>
          <w:trHeight w:val="20"/>
        </w:trPr>
        <w:tc>
          <w:tcPr>
            <w:cnfStyle w:val="001000000000" w:firstRow="0" w:lastRow="0" w:firstColumn="1" w:lastColumn="0" w:oddVBand="0" w:evenVBand="0" w:oddHBand="0" w:evenHBand="0" w:firstRowFirstColumn="0" w:firstRowLastColumn="0" w:lastRowFirstColumn="0" w:lastRowLastColumn="0"/>
            <w:tcW w:w="2630" w:type="dxa"/>
            <w:tcBorders>
              <w:bottom w:val="single" w:sz="4" w:space="0" w:color="EEECE1" w:themeColor="background2"/>
            </w:tcBorders>
            <w:vAlign w:val="center"/>
          </w:tcPr>
          <w:p w:rsidR="00A46D1F" w:rsidRPr="00C779CA" w:rsidRDefault="00A46D1F" w:rsidP="00E36E97">
            <w:pPr>
              <w:keepNext/>
            </w:pPr>
            <w:r w:rsidRPr="00C779CA">
              <w:t>Maximum annual exports</w:t>
            </w:r>
            <w:r w:rsidR="00347D7F">
              <w:t xml:space="preserve"> (mt)</w:t>
            </w:r>
          </w:p>
        </w:tc>
        <w:tc>
          <w:tcPr>
            <w:tcW w:w="2146" w:type="dxa"/>
            <w:tcBorders>
              <w:bottom w:val="single" w:sz="4" w:space="0" w:color="EEECE1" w:themeColor="background2"/>
            </w:tcBorders>
            <w:vAlign w:val="center"/>
          </w:tcPr>
          <w:p w:rsidR="00A46D1F" w:rsidRPr="00C779CA" w:rsidRDefault="00A46D1F" w:rsidP="00E36E97">
            <w:pPr>
              <w:keepNext/>
              <w:jc w:val="center"/>
              <w:cnfStyle w:val="000000000000" w:firstRow="0" w:lastRow="0" w:firstColumn="0" w:lastColumn="0" w:oddVBand="0" w:evenVBand="0" w:oddHBand="0" w:evenHBand="0" w:firstRowFirstColumn="0" w:firstRowLastColumn="0" w:lastRowFirstColumn="0" w:lastRowLastColumn="0"/>
            </w:pPr>
            <w:r w:rsidRPr="00C779CA">
              <w:t>2.67</w:t>
            </w:r>
          </w:p>
        </w:tc>
        <w:tc>
          <w:tcPr>
            <w:tcW w:w="2226" w:type="dxa"/>
            <w:tcBorders>
              <w:bottom w:val="single" w:sz="4" w:space="0" w:color="EEECE1" w:themeColor="background2"/>
            </w:tcBorders>
            <w:vAlign w:val="center"/>
          </w:tcPr>
          <w:p w:rsidR="00A46D1F" w:rsidRPr="00C779CA" w:rsidRDefault="00A46D1F" w:rsidP="00E36E97">
            <w:pPr>
              <w:keepNext/>
              <w:jc w:val="center"/>
              <w:cnfStyle w:val="000000000000" w:firstRow="0" w:lastRow="0" w:firstColumn="0" w:lastColumn="0" w:oddVBand="0" w:evenVBand="0" w:oddHBand="0" w:evenHBand="0" w:firstRowFirstColumn="0" w:firstRowLastColumn="0" w:lastRowFirstColumn="0" w:lastRowLastColumn="0"/>
            </w:pPr>
            <w:r w:rsidRPr="00C779CA">
              <w:t>1.02</w:t>
            </w:r>
          </w:p>
        </w:tc>
        <w:tc>
          <w:tcPr>
            <w:tcW w:w="2240" w:type="dxa"/>
            <w:tcBorders>
              <w:bottom w:val="single" w:sz="4" w:space="0" w:color="EEECE1" w:themeColor="background2"/>
            </w:tcBorders>
            <w:vAlign w:val="center"/>
          </w:tcPr>
          <w:p w:rsidR="00A46D1F" w:rsidRPr="00C779CA" w:rsidRDefault="00A46D1F" w:rsidP="00E36E97">
            <w:pPr>
              <w:keepNext/>
              <w:jc w:val="center"/>
              <w:cnfStyle w:val="000000000000" w:firstRow="0" w:lastRow="0" w:firstColumn="0" w:lastColumn="0" w:oddVBand="0" w:evenVBand="0" w:oddHBand="0" w:evenHBand="0" w:firstRowFirstColumn="0" w:firstRowLastColumn="0" w:lastRowFirstColumn="0" w:lastRowLastColumn="0"/>
            </w:pPr>
            <w:r w:rsidRPr="00C779CA">
              <w:t>1.21</w:t>
            </w:r>
          </w:p>
        </w:tc>
      </w:tr>
      <w:tr w:rsidR="00A46D1F" w:rsidRPr="00C779CA" w:rsidTr="00E36E97">
        <w:trPr>
          <w:trHeight w:val="20"/>
        </w:trPr>
        <w:tc>
          <w:tcPr>
            <w:cnfStyle w:val="001000000000" w:firstRow="0" w:lastRow="0" w:firstColumn="1" w:lastColumn="0" w:oddVBand="0" w:evenVBand="0" w:oddHBand="0" w:evenHBand="0" w:firstRowFirstColumn="0" w:firstRowLastColumn="0" w:lastRowFirstColumn="0" w:lastRowLastColumn="0"/>
            <w:tcW w:w="2630" w:type="dxa"/>
            <w:tcBorders>
              <w:bottom w:val="single" w:sz="4" w:space="0" w:color="EEECE1" w:themeColor="background2"/>
            </w:tcBorders>
            <w:vAlign w:val="center"/>
          </w:tcPr>
          <w:p w:rsidR="00A46D1F" w:rsidRPr="00C779CA" w:rsidRDefault="00A46D1F" w:rsidP="00E36E97">
            <w:pPr>
              <w:keepNext/>
            </w:pPr>
            <w:r w:rsidRPr="00C779CA">
              <w:t>Minimum annual exports</w:t>
            </w:r>
            <w:r w:rsidR="00347D7F">
              <w:t xml:space="preserve"> (mt)</w:t>
            </w:r>
          </w:p>
        </w:tc>
        <w:tc>
          <w:tcPr>
            <w:tcW w:w="2146" w:type="dxa"/>
            <w:tcBorders>
              <w:bottom w:val="single" w:sz="4" w:space="0" w:color="EEECE1" w:themeColor="background2"/>
            </w:tcBorders>
            <w:vAlign w:val="center"/>
          </w:tcPr>
          <w:p w:rsidR="00A46D1F" w:rsidRPr="00C779CA" w:rsidRDefault="00A46D1F" w:rsidP="00E36E97">
            <w:pPr>
              <w:keepNext/>
              <w:jc w:val="center"/>
              <w:cnfStyle w:val="000000000000" w:firstRow="0" w:lastRow="0" w:firstColumn="0" w:lastColumn="0" w:oddVBand="0" w:evenVBand="0" w:oddHBand="0" w:evenHBand="0" w:firstRowFirstColumn="0" w:firstRowLastColumn="0" w:lastRowFirstColumn="0" w:lastRowLastColumn="0"/>
            </w:pPr>
            <w:r w:rsidRPr="00C779CA">
              <w:t>1.68</w:t>
            </w:r>
          </w:p>
        </w:tc>
        <w:tc>
          <w:tcPr>
            <w:tcW w:w="2226" w:type="dxa"/>
            <w:tcBorders>
              <w:bottom w:val="single" w:sz="4" w:space="0" w:color="EEECE1" w:themeColor="background2"/>
            </w:tcBorders>
            <w:vAlign w:val="center"/>
          </w:tcPr>
          <w:p w:rsidR="00A46D1F" w:rsidRPr="00C779CA" w:rsidRDefault="00A46D1F" w:rsidP="00E36E97">
            <w:pPr>
              <w:keepNext/>
              <w:jc w:val="center"/>
              <w:cnfStyle w:val="000000000000" w:firstRow="0" w:lastRow="0" w:firstColumn="0" w:lastColumn="0" w:oddVBand="0" w:evenVBand="0" w:oddHBand="0" w:evenHBand="0" w:firstRowFirstColumn="0" w:firstRowLastColumn="0" w:lastRowFirstColumn="0" w:lastRowLastColumn="0"/>
            </w:pPr>
            <w:r w:rsidRPr="00C779CA">
              <w:t>0.57</w:t>
            </w:r>
          </w:p>
        </w:tc>
        <w:tc>
          <w:tcPr>
            <w:tcW w:w="2240" w:type="dxa"/>
            <w:tcBorders>
              <w:bottom w:val="single" w:sz="4" w:space="0" w:color="EEECE1" w:themeColor="background2"/>
            </w:tcBorders>
            <w:vAlign w:val="center"/>
          </w:tcPr>
          <w:p w:rsidR="00A46D1F" w:rsidRPr="00C779CA" w:rsidRDefault="00A46D1F" w:rsidP="00E36E97">
            <w:pPr>
              <w:keepNext/>
              <w:jc w:val="center"/>
              <w:cnfStyle w:val="000000000000" w:firstRow="0" w:lastRow="0" w:firstColumn="0" w:lastColumn="0" w:oddVBand="0" w:evenVBand="0" w:oddHBand="0" w:evenHBand="0" w:firstRowFirstColumn="0" w:firstRowLastColumn="0" w:lastRowFirstColumn="0" w:lastRowLastColumn="0"/>
            </w:pPr>
            <w:r w:rsidRPr="00C779CA">
              <w:t>1.04</w:t>
            </w:r>
          </w:p>
        </w:tc>
      </w:tr>
      <w:tr w:rsidR="00A46D1F" w:rsidRPr="00C779CA" w:rsidTr="00E36E97">
        <w:trPr>
          <w:trHeight w:val="20"/>
        </w:trPr>
        <w:tc>
          <w:tcPr>
            <w:cnfStyle w:val="001000000000" w:firstRow="0" w:lastRow="0" w:firstColumn="1" w:lastColumn="0" w:oddVBand="0" w:evenVBand="0" w:oddHBand="0" w:evenHBand="0" w:firstRowFirstColumn="0" w:firstRowLastColumn="0" w:lastRowFirstColumn="0" w:lastRowLastColumn="0"/>
            <w:tcW w:w="2630" w:type="dxa"/>
            <w:tcBorders>
              <w:bottom w:val="single" w:sz="4" w:space="0" w:color="EEECE1" w:themeColor="background2"/>
            </w:tcBorders>
            <w:vAlign w:val="center"/>
          </w:tcPr>
          <w:p w:rsidR="00A46D1F" w:rsidRPr="00C779CA" w:rsidRDefault="00A46D1F" w:rsidP="00E36E97">
            <w:pPr>
              <w:keepNext/>
            </w:pPr>
            <w:r w:rsidRPr="00C779CA">
              <w:t>Estimated capacity</w:t>
            </w:r>
            <w:r w:rsidR="00347D7F">
              <w:t xml:space="preserve"> (mt)</w:t>
            </w:r>
          </w:p>
        </w:tc>
        <w:tc>
          <w:tcPr>
            <w:tcW w:w="2146" w:type="dxa"/>
            <w:tcBorders>
              <w:bottom w:val="single" w:sz="4" w:space="0" w:color="EEECE1" w:themeColor="background2"/>
            </w:tcBorders>
            <w:vAlign w:val="center"/>
          </w:tcPr>
          <w:p w:rsidR="00A46D1F" w:rsidRPr="00C779CA" w:rsidRDefault="00A46D1F" w:rsidP="00E36E97">
            <w:pPr>
              <w:keepNext/>
              <w:jc w:val="center"/>
              <w:cnfStyle w:val="000000000000" w:firstRow="0" w:lastRow="0" w:firstColumn="0" w:lastColumn="0" w:oddVBand="0" w:evenVBand="0" w:oddHBand="0" w:evenHBand="0" w:firstRowFirstColumn="0" w:firstRowLastColumn="0" w:lastRowFirstColumn="0" w:lastRowLastColumn="0"/>
            </w:pPr>
            <w:r w:rsidRPr="00C779CA">
              <w:t>2.6-3.4</w:t>
            </w:r>
          </w:p>
        </w:tc>
        <w:tc>
          <w:tcPr>
            <w:tcW w:w="2226" w:type="dxa"/>
            <w:tcBorders>
              <w:bottom w:val="single" w:sz="4" w:space="0" w:color="EEECE1" w:themeColor="background2"/>
            </w:tcBorders>
            <w:vAlign w:val="center"/>
          </w:tcPr>
          <w:p w:rsidR="00A46D1F" w:rsidRPr="00C779CA" w:rsidRDefault="00A46D1F" w:rsidP="00E36E97">
            <w:pPr>
              <w:keepNext/>
              <w:jc w:val="center"/>
              <w:cnfStyle w:val="000000000000" w:firstRow="0" w:lastRow="0" w:firstColumn="0" w:lastColumn="0" w:oddVBand="0" w:evenVBand="0" w:oddHBand="0" w:evenHBand="0" w:firstRowFirstColumn="0" w:firstRowLastColumn="0" w:lastRowFirstColumn="0" w:lastRowLastColumn="0"/>
            </w:pPr>
            <w:r w:rsidRPr="00C779CA">
              <w:t>0.99-1.5</w:t>
            </w:r>
          </w:p>
        </w:tc>
        <w:tc>
          <w:tcPr>
            <w:tcW w:w="2240" w:type="dxa"/>
            <w:tcBorders>
              <w:bottom w:val="single" w:sz="4" w:space="0" w:color="EEECE1" w:themeColor="background2"/>
            </w:tcBorders>
            <w:vAlign w:val="center"/>
          </w:tcPr>
          <w:p w:rsidR="00A46D1F" w:rsidRPr="00C779CA" w:rsidRDefault="00A46D1F" w:rsidP="00E36E97">
            <w:pPr>
              <w:keepNext/>
              <w:jc w:val="center"/>
              <w:cnfStyle w:val="000000000000" w:firstRow="0" w:lastRow="0" w:firstColumn="0" w:lastColumn="0" w:oddVBand="0" w:evenVBand="0" w:oddHBand="0" w:evenHBand="0" w:firstRowFirstColumn="0" w:firstRowLastColumn="0" w:lastRowFirstColumn="0" w:lastRowLastColumn="0"/>
            </w:pPr>
            <w:r w:rsidRPr="00C779CA">
              <w:t>1.94-2.10</w:t>
            </w:r>
          </w:p>
        </w:tc>
      </w:tr>
      <w:tr w:rsidR="00A46D1F" w:rsidRPr="00C779CA" w:rsidTr="00E36E97">
        <w:trPr>
          <w:trHeight w:val="20"/>
        </w:trPr>
        <w:tc>
          <w:tcPr>
            <w:cnfStyle w:val="001000000000" w:firstRow="0" w:lastRow="0" w:firstColumn="1" w:lastColumn="0" w:oddVBand="0" w:evenVBand="0" w:oddHBand="0" w:evenHBand="0" w:firstRowFirstColumn="0" w:firstRowLastColumn="0" w:lastRowFirstColumn="0" w:lastRowLastColumn="0"/>
            <w:tcW w:w="2630" w:type="dxa"/>
            <w:vAlign w:val="center"/>
          </w:tcPr>
          <w:p w:rsidR="00A46D1F" w:rsidRPr="00C779CA" w:rsidRDefault="00A46D1F" w:rsidP="00E36E97">
            <w:pPr>
              <w:keepNext/>
            </w:pPr>
            <w:r w:rsidRPr="00C779CA">
              <w:t xml:space="preserve">Capacity utilisation (average year) </w:t>
            </w:r>
          </w:p>
        </w:tc>
        <w:tc>
          <w:tcPr>
            <w:tcW w:w="2146" w:type="dxa"/>
            <w:vAlign w:val="center"/>
          </w:tcPr>
          <w:p w:rsidR="00A46D1F" w:rsidRPr="00C779CA" w:rsidRDefault="00A46D1F" w:rsidP="00E36E97">
            <w:pPr>
              <w:keepNext/>
              <w:jc w:val="center"/>
              <w:cnfStyle w:val="000000000000" w:firstRow="0" w:lastRow="0" w:firstColumn="0" w:lastColumn="0" w:oddVBand="0" w:evenVBand="0" w:oddHBand="0" w:evenHBand="0" w:firstRowFirstColumn="0" w:firstRowLastColumn="0" w:lastRowFirstColumn="0" w:lastRowLastColumn="0"/>
            </w:pPr>
            <w:r w:rsidRPr="00C779CA">
              <w:t>63%</w:t>
            </w:r>
          </w:p>
        </w:tc>
        <w:tc>
          <w:tcPr>
            <w:tcW w:w="2226" w:type="dxa"/>
            <w:vAlign w:val="center"/>
          </w:tcPr>
          <w:p w:rsidR="00A46D1F" w:rsidRPr="00C779CA" w:rsidRDefault="00A46D1F" w:rsidP="00E36E97">
            <w:pPr>
              <w:keepNext/>
              <w:jc w:val="center"/>
              <w:cnfStyle w:val="000000000000" w:firstRow="0" w:lastRow="0" w:firstColumn="0" w:lastColumn="0" w:oddVBand="0" w:evenVBand="0" w:oddHBand="0" w:evenHBand="0" w:firstRowFirstColumn="0" w:firstRowLastColumn="0" w:lastRowFirstColumn="0" w:lastRowLastColumn="0"/>
            </w:pPr>
            <w:r w:rsidRPr="00C779CA">
              <w:t>56%</w:t>
            </w:r>
          </w:p>
        </w:tc>
        <w:tc>
          <w:tcPr>
            <w:tcW w:w="2240" w:type="dxa"/>
            <w:vAlign w:val="center"/>
          </w:tcPr>
          <w:p w:rsidR="00A46D1F" w:rsidRPr="00C779CA" w:rsidRDefault="00A46D1F" w:rsidP="00E36E97">
            <w:pPr>
              <w:keepNext/>
              <w:jc w:val="center"/>
              <w:cnfStyle w:val="000000000000" w:firstRow="0" w:lastRow="0" w:firstColumn="0" w:lastColumn="0" w:oddVBand="0" w:evenVBand="0" w:oddHBand="0" w:evenHBand="0" w:firstRowFirstColumn="0" w:firstRowLastColumn="0" w:lastRowFirstColumn="0" w:lastRowLastColumn="0"/>
            </w:pPr>
            <w:r w:rsidRPr="00C779CA">
              <w:t>54%</w:t>
            </w:r>
          </w:p>
        </w:tc>
      </w:tr>
      <w:tr w:rsidR="00A46D1F" w:rsidRPr="00C779CA" w:rsidTr="00E36E97">
        <w:trPr>
          <w:trHeight w:val="20"/>
        </w:trPr>
        <w:tc>
          <w:tcPr>
            <w:cnfStyle w:val="001000000000" w:firstRow="0" w:lastRow="0" w:firstColumn="1" w:lastColumn="0" w:oddVBand="0" w:evenVBand="0" w:oddHBand="0" w:evenHBand="0" w:firstRowFirstColumn="0" w:firstRowLastColumn="0" w:lastRowFirstColumn="0" w:lastRowLastColumn="0"/>
            <w:tcW w:w="2630" w:type="dxa"/>
            <w:vAlign w:val="center"/>
          </w:tcPr>
          <w:p w:rsidR="00A46D1F" w:rsidRPr="00C779CA" w:rsidRDefault="00A46D1F" w:rsidP="00E36E97">
            <w:pPr>
              <w:keepNext/>
            </w:pPr>
            <w:r w:rsidRPr="00C779CA">
              <w:t xml:space="preserve">Capacity utilisation </w:t>
            </w:r>
            <w:r w:rsidRPr="00C779CA">
              <w:br/>
              <w:t xml:space="preserve">(high throughput year) </w:t>
            </w:r>
          </w:p>
        </w:tc>
        <w:tc>
          <w:tcPr>
            <w:tcW w:w="2146" w:type="dxa"/>
            <w:vAlign w:val="center"/>
          </w:tcPr>
          <w:p w:rsidR="00A46D1F" w:rsidRPr="00C779CA" w:rsidRDefault="00A46D1F" w:rsidP="00E36E97">
            <w:pPr>
              <w:keepNext/>
              <w:jc w:val="center"/>
              <w:cnfStyle w:val="000000000000" w:firstRow="0" w:lastRow="0" w:firstColumn="0" w:lastColumn="0" w:oddVBand="0" w:evenVBand="0" w:oddHBand="0" w:evenHBand="0" w:firstRowFirstColumn="0" w:firstRowLastColumn="0" w:lastRowFirstColumn="0" w:lastRowLastColumn="0"/>
            </w:pPr>
            <w:r w:rsidRPr="00C779CA">
              <w:t>78%</w:t>
            </w:r>
          </w:p>
        </w:tc>
        <w:tc>
          <w:tcPr>
            <w:tcW w:w="2226" w:type="dxa"/>
            <w:vAlign w:val="center"/>
          </w:tcPr>
          <w:p w:rsidR="00A46D1F" w:rsidRPr="00C779CA" w:rsidRDefault="00A46D1F" w:rsidP="00E36E97">
            <w:pPr>
              <w:keepNext/>
              <w:jc w:val="center"/>
              <w:cnfStyle w:val="000000000000" w:firstRow="0" w:lastRow="0" w:firstColumn="0" w:lastColumn="0" w:oddVBand="0" w:evenVBand="0" w:oddHBand="0" w:evenHBand="0" w:firstRowFirstColumn="0" w:firstRowLastColumn="0" w:lastRowFirstColumn="0" w:lastRowLastColumn="0"/>
            </w:pPr>
            <w:r w:rsidRPr="00C779CA">
              <w:t>77%</w:t>
            </w:r>
          </w:p>
        </w:tc>
        <w:tc>
          <w:tcPr>
            <w:tcW w:w="2240" w:type="dxa"/>
            <w:vAlign w:val="center"/>
          </w:tcPr>
          <w:p w:rsidR="00A46D1F" w:rsidRPr="00C779CA" w:rsidRDefault="00A46D1F" w:rsidP="00E36E97">
            <w:pPr>
              <w:keepNext/>
              <w:jc w:val="center"/>
              <w:cnfStyle w:val="000000000000" w:firstRow="0" w:lastRow="0" w:firstColumn="0" w:lastColumn="0" w:oddVBand="0" w:evenVBand="0" w:oddHBand="0" w:evenHBand="0" w:firstRowFirstColumn="0" w:firstRowLastColumn="0" w:lastRowFirstColumn="0" w:lastRowLastColumn="0"/>
            </w:pPr>
            <w:r w:rsidRPr="00C779CA">
              <w:t>58%</w:t>
            </w:r>
          </w:p>
        </w:tc>
      </w:tr>
      <w:tr w:rsidR="00A46D1F" w:rsidRPr="00C779CA" w:rsidTr="00E36E97">
        <w:trPr>
          <w:trHeight w:val="20"/>
        </w:trPr>
        <w:tc>
          <w:tcPr>
            <w:cnfStyle w:val="001000000000" w:firstRow="0" w:lastRow="0" w:firstColumn="1" w:lastColumn="0" w:oddVBand="0" w:evenVBand="0" w:oddHBand="0" w:evenHBand="0" w:firstRowFirstColumn="0" w:firstRowLastColumn="0" w:lastRowFirstColumn="0" w:lastRowLastColumn="0"/>
            <w:tcW w:w="2630" w:type="dxa"/>
            <w:tcBorders>
              <w:bottom w:val="single" w:sz="4" w:space="0" w:color="auto"/>
            </w:tcBorders>
            <w:vAlign w:val="center"/>
          </w:tcPr>
          <w:p w:rsidR="00A46D1F" w:rsidRPr="00C779CA" w:rsidRDefault="00A46D1F" w:rsidP="00E36E97">
            <w:pPr>
              <w:keepNext/>
            </w:pPr>
            <w:r w:rsidRPr="00C779CA">
              <w:t xml:space="preserve">Capacity utilisation </w:t>
            </w:r>
            <w:r w:rsidRPr="00C779CA">
              <w:br/>
              <w:t xml:space="preserve">(low throughput year) </w:t>
            </w:r>
          </w:p>
        </w:tc>
        <w:tc>
          <w:tcPr>
            <w:tcW w:w="2146" w:type="dxa"/>
            <w:tcBorders>
              <w:bottom w:val="single" w:sz="4" w:space="0" w:color="auto"/>
            </w:tcBorders>
            <w:vAlign w:val="center"/>
          </w:tcPr>
          <w:p w:rsidR="00A46D1F" w:rsidRPr="00C779CA" w:rsidRDefault="00A46D1F" w:rsidP="00E36E97">
            <w:pPr>
              <w:keepNext/>
              <w:jc w:val="center"/>
              <w:cnfStyle w:val="000000000000" w:firstRow="0" w:lastRow="0" w:firstColumn="0" w:lastColumn="0" w:oddVBand="0" w:evenVBand="0" w:oddHBand="0" w:evenHBand="0" w:firstRowFirstColumn="0" w:firstRowLastColumn="0" w:lastRowFirstColumn="0" w:lastRowLastColumn="0"/>
            </w:pPr>
            <w:r w:rsidRPr="00C779CA">
              <w:t>49%</w:t>
            </w:r>
          </w:p>
        </w:tc>
        <w:tc>
          <w:tcPr>
            <w:tcW w:w="2226" w:type="dxa"/>
            <w:tcBorders>
              <w:bottom w:val="single" w:sz="4" w:space="0" w:color="auto"/>
            </w:tcBorders>
            <w:vAlign w:val="center"/>
          </w:tcPr>
          <w:p w:rsidR="00A46D1F" w:rsidRPr="00C779CA" w:rsidRDefault="00A46D1F" w:rsidP="00E36E97">
            <w:pPr>
              <w:keepNext/>
              <w:jc w:val="center"/>
              <w:cnfStyle w:val="000000000000" w:firstRow="0" w:lastRow="0" w:firstColumn="0" w:lastColumn="0" w:oddVBand="0" w:evenVBand="0" w:oddHBand="0" w:evenHBand="0" w:firstRowFirstColumn="0" w:firstRowLastColumn="0" w:lastRowFirstColumn="0" w:lastRowLastColumn="0"/>
            </w:pPr>
            <w:r w:rsidRPr="00C779CA">
              <w:t>43%</w:t>
            </w:r>
          </w:p>
        </w:tc>
        <w:tc>
          <w:tcPr>
            <w:tcW w:w="2240" w:type="dxa"/>
            <w:tcBorders>
              <w:bottom w:val="single" w:sz="4" w:space="0" w:color="auto"/>
            </w:tcBorders>
            <w:vAlign w:val="center"/>
          </w:tcPr>
          <w:p w:rsidR="00A46D1F" w:rsidRPr="00C779CA" w:rsidRDefault="00A46D1F" w:rsidP="00E36E97">
            <w:pPr>
              <w:keepNext/>
              <w:jc w:val="center"/>
              <w:cnfStyle w:val="000000000000" w:firstRow="0" w:lastRow="0" w:firstColumn="0" w:lastColumn="0" w:oddVBand="0" w:evenVBand="0" w:oddHBand="0" w:evenHBand="0" w:firstRowFirstColumn="0" w:firstRowLastColumn="0" w:lastRowFirstColumn="0" w:lastRowLastColumn="0"/>
            </w:pPr>
            <w:r w:rsidRPr="00C779CA">
              <w:t>50%</w:t>
            </w:r>
          </w:p>
        </w:tc>
      </w:tr>
    </w:tbl>
    <w:p w:rsidR="001A4499" w:rsidRDefault="001A4499" w:rsidP="00A46D1F">
      <w:pPr>
        <w:rPr>
          <w:sz w:val="18"/>
          <w:szCs w:val="18"/>
        </w:rPr>
      </w:pPr>
      <w:r w:rsidRPr="001A4499">
        <w:rPr>
          <w:sz w:val="18"/>
          <w:szCs w:val="18"/>
        </w:rPr>
        <w:t xml:space="preserve">Sources: GrainCorp submission 5 December 2014; Emerald Submission 28 November 2014; data provided by GrainCorp; GrainCorp shipping stem for 2014/15 season opening dated 3 February 2014, accessed at </w:t>
      </w:r>
      <w:hyperlink r:id="rId28" w:history="1">
        <w:r w:rsidRPr="004812F5">
          <w:rPr>
            <w:rStyle w:val="Hyperlink"/>
            <w:sz w:val="18"/>
            <w:szCs w:val="18"/>
          </w:rPr>
          <w:t>http://www.graincorp.com.au/storage-and-logistics/ports-and-shipping/shipping</w:t>
        </w:r>
      </w:hyperlink>
      <w:r w:rsidRPr="001A4499">
        <w:rPr>
          <w:sz w:val="18"/>
          <w:szCs w:val="18"/>
        </w:rPr>
        <w:t xml:space="preserve">; Emerald Melbourne Port Terminal Capacity and Stem Changes updated 2nd March 2015, accessed at </w:t>
      </w:r>
      <w:hyperlink r:id="rId29" w:history="1">
        <w:r w:rsidRPr="004812F5">
          <w:rPr>
            <w:rStyle w:val="Hyperlink"/>
            <w:sz w:val="18"/>
            <w:szCs w:val="18"/>
          </w:rPr>
          <w:t>http://emeraldgrain.com/wp-content/uploads/2013/06/Melbourne-Port-Terminal-Capacity-and-Stem-Changes23.pdf</w:t>
        </w:r>
      </w:hyperlink>
      <w:r w:rsidRPr="001A4499">
        <w:rPr>
          <w:sz w:val="18"/>
          <w:szCs w:val="18"/>
        </w:rPr>
        <w:t>.</w:t>
      </w:r>
    </w:p>
    <w:p w:rsidR="00A46D1F" w:rsidRDefault="00A46D1F" w:rsidP="00A46D1F">
      <w:r>
        <w:t>In general, capacity utilisation appears to be highest at GrainCorp’s Geelong facility and lowest at Emerald’s Melbourne facility, with capacity utilisation at Portland falling in between. On an annual basis, there appears to be some spare capacity at all ports even during a high throughput year. However, given the seasonal nature of bulk grain exports this includes varying degrees of capacity constraint at all port terminals during peak periods.</w:t>
      </w:r>
    </w:p>
    <w:p w:rsidR="00842ADE" w:rsidRPr="00842ADE" w:rsidRDefault="00842ADE" w:rsidP="00EC0717">
      <w:pPr>
        <w:pStyle w:val="Heading3"/>
      </w:pPr>
      <w:r w:rsidRPr="00842ADE">
        <w:t>Capacity in peak periods</w:t>
      </w:r>
    </w:p>
    <w:p w:rsidR="00A46D1F" w:rsidRDefault="00A46D1F" w:rsidP="00A46D1F">
      <w:r>
        <w:t>Capacity constraints during peak periods are experienced at the majority of bulk wheat ports in Australia. These periods occur when new season grain is available to be shipped and may differ depending on harvest times in the production zones. Demand for shipping slots during these peak periods exceeds capacity to some extent even in poor harvest years.</w:t>
      </w:r>
      <w:r>
        <w:rPr>
          <w:rStyle w:val="FootnoteReference"/>
        </w:rPr>
        <w:footnoteReference w:id="22"/>
      </w:r>
      <w:r>
        <w:t xml:space="preserve"> </w:t>
      </w:r>
    </w:p>
    <w:p w:rsidR="00A46D1F" w:rsidRDefault="00A46D1F" w:rsidP="00A46D1F">
      <w:r>
        <w:t xml:space="preserve">The peak period at each Victorian port generally appears to fall between </w:t>
      </w:r>
      <w:r w:rsidRPr="00F2549B">
        <w:t>February and May</w:t>
      </w:r>
      <w:r>
        <w:t xml:space="preserve"> each year. However, there are a number of exceptions. For example, in 2013 the fourth highest monthly exports were outside this period (August at Portland and September at </w:t>
      </w:r>
      <w:r>
        <w:lastRenderedPageBreak/>
        <w:t xml:space="preserve">Melbourne) and in 2012 the highest monthly exports at Portland and Geelong were in July and August respectively. While there is an annual peak period of demand, exporters can and do spread their capacity requirements over the other months of the year, and the timing of the peak period itself may vary from year to year depending on the harvest. </w:t>
      </w:r>
    </w:p>
    <w:p w:rsidR="00A46D1F" w:rsidRDefault="00A46D1F" w:rsidP="00A46D1F">
      <w:r w:rsidRPr="00F2549B">
        <w:t xml:space="preserve">Table </w:t>
      </w:r>
      <w:r w:rsidR="00347D7F" w:rsidRPr="00F2549B">
        <w:t>5</w:t>
      </w:r>
      <w:r>
        <w:t xml:space="preserve"> provides a summary of estimated capacity utilisation rates at the Victorian ports during the peak period from February to May. </w:t>
      </w:r>
    </w:p>
    <w:p w:rsidR="00A46D1F" w:rsidRPr="00347D7F" w:rsidRDefault="00A46D1F" w:rsidP="00842ADE">
      <w:pPr>
        <w:pStyle w:val="Caption"/>
        <w:keepNext/>
        <w:rPr>
          <w:sz w:val="20"/>
        </w:rPr>
      </w:pPr>
      <w:r w:rsidRPr="00347D7F">
        <w:rPr>
          <w:sz w:val="20"/>
        </w:rPr>
        <w:t xml:space="preserve">Table </w:t>
      </w:r>
      <w:r w:rsidR="00347D7F">
        <w:rPr>
          <w:sz w:val="20"/>
        </w:rPr>
        <w:t>5</w:t>
      </w:r>
      <w:r w:rsidRPr="00347D7F">
        <w:rPr>
          <w:sz w:val="20"/>
        </w:rPr>
        <w:t>: Average exports and capacity utilisation during peak period (Feb-May)</w:t>
      </w:r>
    </w:p>
    <w:tbl>
      <w:tblPr>
        <w:tblStyle w:val="LightShading1"/>
        <w:tblW w:w="5000" w:type="pct"/>
        <w:tblLook w:val="04A0" w:firstRow="1" w:lastRow="0" w:firstColumn="1" w:lastColumn="0" w:noHBand="0" w:noVBand="1"/>
      </w:tblPr>
      <w:tblGrid>
        <w:gridCol w:w="2630"/>
        <w:gridCol w:w="2146"/>
        <w:gridCol w:w="2226"/>
        <w:gridCol w:w="2240"/>
      </w:tblGrid>
      <w:tr w:rsidR="00A46D1F" w:rsidRPr="00347D7F" w:rsidTr="0014025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30" w:type="dxa"/>
          </w:tcPr>
          <w:p w:rsidR="00A46D1F" w:rsidRPr="00347D7F" w:rsidRDefault="00A46D1F" w:rsidP="00842ADE">
            <w:pPr>
              <w:keepNext/>
              <w:rPr>
                <w:szCs w:val="20"/>
              </w:rPr>
            </w:pPr>
            <w:r w:rsidRPr="00347D7F">
              <w:rPr>
                <w:szCs w:val="20"/>
              </w:rPr>
              <w:t xml:space="preserve">Past </w:t>
            </w:r>
            <w:r w:rsidRPr="00F2549B">
              <w:rPr>
                <w:szCs w:val="20"/>
              </w:rPr>
              <w:t>two</w:t>
            </w:r>
            <w:r w:rsidRPr="00347D7F">
              <w:rPr>
                <w:szCs w:val="20"/>
              </w:rPr>
              <w:t xml:space="preserve"> years (Feb-May)</w:t>
            </w:r>
          </w:p>
        </w:tc>
        <w:tc>
          <w:tcPr>
            <w:tcW w:w="2146" w:type="dxa"/>
          </w:tcPr>
          <w:p w:rsidR="00A46D1F" w:rsidRPr="00347D7F" w:rsidRDefault="00A46D1F" w:rsidP="00842ADE">
            <w:pPr>
              <w:keepNext/>
              <w:jc w:val="center"/>
              <w:cnfStyle w:val="100000000000" w:firstRow="1" w:lastRow="0" w:firstColumn="0" w:lastColumn="0" w:oddVBand="0" w:evenVBand="0" w:oddHBand="0" w:evenHBand="0" w:firstRowFirstColumn="0" w:firstRowLastColumn="0" w:lastRowFirstColumn="0" w:lastRowLastColumn="0"/>
              <w:rPr>
                <w:szCs w:val="20"/>
              </w:rPr>
            </w:pPr>
            <w:r w:rsidRPr="00347D7F">
              <w:rPr>
                <w:szCs w:val="20"/>
              </w:rPr>
              <w:t>Geelong</w:t>
            </w:r>
          </w:p>
        </w:tc>
        <w:tc>
          <w:tcPr>
            <w:tcW w:w="2226" w:type="dxa"/>
          </w:tcPr>
          <w:p w:rsidR="00A46D1F" w:rsidRPr="00347D7F" w:rsidRDefault="00A46D1F" w:rsidP="00842ADE">
            <w:pPr>
              <w:keepNext/>
              <w:jc w:val="center"/>
              <w:cnfStyle w:val="100000000000" w:firstRow="1" w:lastRow="0" w:firstColumn="0" w:lastColumn="0" w:oddVBand="0" w:evenVBand="0" w:oddHBand="0" w:evenHBand="0" w:firstRowFirstColumn="0" w:firstRowLastColumn="0" w:lastRowFirstColumn="0" w:lastRowLastColumn="0"/>
              <w:rPr>
                <w:szCs w:val="20"/>
              </w:rPr>
            </w:pPr>
            <w:r w:rsidRPr="00347D7F">
              <w:rPr>
                <w:szCs w:val="20"/>
              </w:rPr>
              <w:t>Portland</w:t>
            </w:r>
          </w:p>
        </w:tc>
        <w:tc>
          <w:tcPr>
            <w:tcW w:w="2240" w:type="dxa"/>
          </w:tcPr>
          <w:p w:rsidR="00A46D1F" w:rsidRPr="00347D7F" w:rsidRDefault="00A46D1F" w:rsidP="00842ADE">
            <w:pPr>
              <w:keepNext/>
              <w:jc w:val="center"/>
              <w:cnfStyle w:val="100000000000" w:firstRow="1" w:lastRow="0" w:firstColumn="0" w:lastColumn="0" w:oddVBand="0" w:evenVBand="0" w:oddHBand="0" w:evenHBand="0" w:firstRowFirstColumn="0" w:firstRowLastColumn="0" w:lastRowFirstColumn="0" w:lastRowLastColumn="0"/>
              <w:rPr>
                <w:szCs w:val="20"/>
              </w:rPr>
            </w:pPr>
            <w:r w:rsidRPr="00347D7F">
              <w:rPr>
                <w:szCs w:val="20"/>
              </w:rPr>
              <w:t>Melbourne</w:t>
            </w:r>
          </w:p>
        </w:tc>
      </w:tr>
      <w:tr w:rsidR="00A46D1F" w:rsidRPr="00347D7F" w:rsidTr="00F2549B">
        <w:trPr>
          <w:trHeight w:val="20"/>
        </w:trPr>
        <w:tc>
          <w:tcPr>
            <w:cnfStyle w:val="001000000000" w:firstRow="0" w:lastRow="0" w:firstColumn="1" w:lastColumn="0" w:oddVBand="0" w:evenVBand="0" w:oddHBand="0" w:evenHBand="0" w:firstRowFirstColumn="0" w:firstRowLastColumn="0" w:lastRowFirstColumn="0" w:lastRowLastColumn="0"/>
            <w:tcW w:w="2630" w:type="dxa"/>
            <w:tcBorders>
              <w:bottom w:val="single" w:sz="4" w:space="0" w:color="EEECE1" w:themeColor="background2"/>
            </w:tcBorders>
          </w:tcPr>
          <w:p w:rsidR="00A46D1F" w:rsidRPr="00347D7F" w:rsidRDefault="00A46D1F" w:rsidP="00347D7F">
            <w:pPr>
              <w:keepNext/>
              <w:rPr>
                <w:szCs w:val="20"/>
              </w:rPr>
            </w:pPr>
            <w:r w:rsidRPr="00347D7F">
              <w:rPr>
                <w:szCs w:val="20"/>
              </w:rPr>
              <w:t xml:space="preserve">Average annual exports </w:t>
            </w:r>
            <w:r w:rsidR="00347D7F">
              <w:rPr>
                <w:szCs w:val="20"/>
              </w:rPr>
              <w:t>(mt)</w:t>
            </w:r>
          </w:p>
        </w:tc>
        <w:tc>
          <w:tcPr>
            <w:tcW w:w="2146" w:type="dxa"/>
            <w:tcBorders>
              <w:bottom w:val="single" w:sz="4" w:space="0" w:color="EEECE1" w:themeColor="background2"/>
            </w:tcBorders>
            <w:vAlign w:val="center"/>
          </w:tcPr>
          <w:p w:rsidR="00A46D1F" w:rsidRPr="00347D7F" w:rsidRDefault="00A46D1F" w:rsidP="00B36873">
            <w:pPr>
              <w:keepNext/>
              <w:jc w:val="center"/>
              <w:cnfStyle w:val="000000000000" w:firstRow="0" w:lastRow="0" w:firstColumn="0" w:lastColumn="0" w:oddVBand="0" w:evenVBand="0" w:oddHBand="0" w:evenHBand="0" w:firstRowFirstColumn="0" w:firstRowLastColumn="0" w:lastRowFirstColumn="0" w:lastRowLastColumn="0"/>
              <w:rPr>
                <w:szCs w:val="20"/>
              </w:rPr>
            </w:pPr>
            <w:r w:rsidRPr="00347D7F">
              <w:rPr>
                <w:szCs w:val="20"/>
              </w:rPr>
              <w:t>1.01</w:t>
            </w:r>
          </w:p>
        </w:tc>
        <w:tc>
          <w:tcPr>
            <w:tcW w:w="2226" w:type="dxa"/>
            <w:tcBorders>
              <w:bottom w:val="single" w:sz="4" w:space="0" w:color="EEECE1" w:themeColor="background2"/>
            </w:tcBorders>
            <w:vAlign w:val="center"/>
          </w:tcPr>
          <w:p w:rsidR="00A46D1F" w:rsidRPr="00347D7F" w:rsidRDefault="00A46D1F" w:rsidP="007D02C3">
            <w:pPr>
              <w:keepNext/>
              <w:jc w:val="center"/>
              <w:cnfStyle w:val="000000000000" w:firstRow="0" w:lastRow="0" w:firstColumn="0" w:lastColumn="0" w:oddVBand="0" w:evenVBand="0" w:oddHBand="0" w:evenHBand="0" w:firstRowFirstColumn="0" w:firstRowLastColumn="0" w:lastRowFirstColumn="0" w:lastRowLastColumn="0"/>
              <w:rPr>
                <w:szCs w:val="20"/>
              </w:rPr>
            </w:pPr>
            <w:r w:rsidRPr="00347D7F">
              <w:rPr>
                <w:szCs w:val="20"/>
              </w:rPr>
              <w:t>0.36</w:t>
            </w:r>
          </w:p>
        </w:tc>
        <w:tc>
          <w:tcPr>
            <w:tcW w:w="2240" w:type="dxa"/>
            <w:tcBorders>
              <w:bottom w:val="single" w:sz="4" w:space="0" w:color="EEECE1" w:themeColor="background2"/>
            </w:tcBorders>
            <w:vAlign w:val="center"/>
          </w:tcPr>
          <w:p w:rsidR="00A46D1F" w:rsidRPr="00347D7F" w:rsidRDefault="00A46D1F" w:rsidP="007D02C3">
            <w:pPr>
              <w:keepNext/>
              <w:jc w:val="center"/>
              <w:cnfStyle w:val="000000000000" w:firstRow="0" w:lastRow="0" w:firstColumn="0" w:lastColumn="0" w:oddVBand="0" w:evenVBand="0" w:oddHBand="0" w:evenHBand="0" w:firstRowFirstColumn="0" w:firstRowLastColumn="0" w:lastRowFirstColumn="0" w:lastRowLastColumn="0"/>
              <w:rPr>
                <w:szCs w:val="20"/>
              </w:rPr>
            </w:pPr>
            <w:r w:rsidRPr="00347D7F">
              <w:rPr>
                <w:szCs w:val="20"/>
              </w:rPr>
              <w:t>0.58</w:t>
            </w:r>
          </w:p>
        </w:tc>
      </w:tr>
      <w:tr w:rsidR="00A46D1F" w:rsidRPr="00347D7F" w:rsidTr="00F2549B">
        <w:trPr>
          <w:trHeight w:val="20"/>
        </w:trPr>
        <w:tc>
          <w:tcPr>
            <w:cnfStyle w:val="001000000000" w:firstRow="0" w:lastRow="0" w:firstColumn="1" w:lastColumn="0" w:oddVBand="0" w:evenVBand="0" w:oddHBand="0" w:evenHBand="0" w:firstRowFirstColumn="0" w:firstRowLastColumn="0" w:lastRowFirstColumn="0" w:lastRowLastColumn="0"/>
            <w:tcW w:w="2630" w:type="dxa"/>
            <w:tcBorders>
              <w:bottom w:val="single" w:sz="4" w:space="0" w:color="EEECE1" w:themeColor="background2"/>
            </w:tcBorders>
          </w:tcPr>
          <w:p w:rsidR="00A46D1F" w:rsidRPr="00347D7F" w:rsidRDefault="00A46D1F" w:rsidP="00842ADE">
            <w:pPr>
              <w:keepNext/>
              <w:rPr>
                <w:szCs w:val="20"/>
              </w:rPr>
            </w:pPr>
            <w:r w:rsidRPr="00347D7F">
              <w:rPr>
                <w:szCs w:val="20"/>
              </w:rPr>
              <w:t xml:space="preserve">Estimated capacity </w:t>
            </w:r>
            <w:r w:rsidR="00347D7F">
              <w:rPr>
                <w:szCs w:val="20"/>
              </w:rPr>
              <w:t>(mt)</w:t>
            </w:r>
          </w:p>
        </w:tc>
        <w:tc>
          <w:tcPr>
            <w:tcW w:w="2146" w:type="dxa"/>
            <w:tcBorders>
              <w:bottom w:val="single" w:sz="4" w:space="0" w:color="EEECE1" w:themeColor="background2"/>
            </w:tcBorders>
            <w:vAlign w:val="center"/>
          </w:tcPr>
          <w:p w:rsidR="00A46D1F" w:rsidRPr="00347D7F" w:rsidRDefault="00A46D1F" w:rsidP="00B36873">
            <w:pPr>
              <w:keepNext/>
              <w:jc w:val="center"/>
              <w:cnfStyle w:val="000000000000" w:firstRow="0" w:lastRow="0" w:firstColumn="0" w:lastColumn="0" w:oddVBand="0" w:evenVBand="0" w:oddHBand="0" w:evenHBand="0" w:firstRowFirstColumn="0" w:firstRowLastColumn="0" w:lastRowFirstColumn="0" w:lastRowLastColumn="0"/>
              <w:rPr>
                <w:szCs w:val="20"/>
              </w:rPr>
            </w:pPr>
            <w:r w:rsidRPr="00347D7F">
              <w:rPr>
                <w:szCs w:val="20"/>
              </w:rPr>
              <w:t>1.00-1.43</w:t>
            </w:r>
          </w:p>
        </w:tc>
        <w:tc>
          <w:tcPr>
            <w:tcW w:w="2226" w:type="dxa"/>
            <w:tcBorders>
              <w:bottom w:val="single" w:sz="4" w:space="0" w:color="EEECE1" w:themeColor="background2"/>
            </w:tcBorders>
            <w:vAlign w:val="center"/>
          </w:tcPr>
          <w:p w:rsidR="00A46D1F" w:rsidRPr="00347D7F" w:rsidRDefault="00A46D1F" w:rsidP="007D02C3">
            <w:pPr>
              <w:keepNext/>
              <w:jc w:val="center"/>
              <w:cnfStyle w:val="000000000000" w:firstRow="0" w:lastRow="0" w:firstColumn="0" w:lastColumn="0" w:oddVBand="0" w:evenVBand="0" w:oddHBand="0" w:evenHBand="0" w:firstRowFirstColumn="0" w:firstRowLastColumn="0" w:lastRowFirstColumn="0" w:lastRowLastColumn="0"/>
              <w:rPr>
                <w:szCs w:val="20"/>
              </w:rPr>
            </w:pPr>
            <w:r w:rsidRPr="00347D7F">
              <w:rPr>
                <w:szCs w:val="20"/>
              </w:rPr>
              <w:t>0.34-0.50</w:t>
            </w:r>
          </w:p>
        </w:tc>
        <w:tc>
          <w:tcPr>
            <w:tcW w:w="2240" w:type="dxa"/>
            <w:tcBorders>
              <w:bottom w:val="single" w:sz="4" w:space="0" w:color="EEECE1" w:themeColor="background2"/>
            </w:tcBorders>
            <w:vAlign w:val="center"/>
          </w:tcPr>
          <w:p w:rsidR="00A46D1F" w:rsidRPr="00347D7F" w:rsidRDefault="00A46D1F" w:rsidP="007D02C3">
            <w:pPr>
              <w:keepNext/>
              <w:jc w:val="center"/>
              <w:cnfStyle w:val="000000000000" w:firstRow="0" w:lastRow="0" w:firstColumn="0" w:lastColumn="0" w:oddVBand="0" w:evenVBand="0" w:oddHBand="0" w:evenHBand="0" w:firstRowFirstColumn="0" w:firstRowLastColumn="0" w:lastRowFirstColumn="0" w:lastRowLastColumn="0"/>
              <w:rPr>
                <w:szCs w:val="20"/>
              </w:rPr>
            </w:pPr>
            <w:r w:rsidRPr="00347D7F">
              <w:rPr>
                <w:szCs w:val="20"/>
              </w:rPr>
              <w:t>0.70-0.73</w:t>
            </w:r>
          </w:p>
        </w:tc>
      </w:tr>
      <w:tr w:rsidR="00A46D1F" w:rsidRPr="00347D7F" w:rsidTr="00F2549B">
        <w:trPr>
          <w:trHeight w:val="20"/>
        </w:trPr>
        <w:tc>
          <w:tcPr>
            <w:cnfStyle w:val="001000000000" w:firstRow="0" w:lastRow="0" w:firstColumn="1" w:lastColumn="0" w:oddVBand="0" w:evenVBand="0" w:oddHBand="0" w:evenHBand="0" w:firstRowFirstColumn="0" w:firstRowLastColumn="0" w:lastRowFirstColumn="0" w:lastRowLastColumn="0"/>
            <w:tcW w:w="2630" w:type="dxa"/>
            <w:tcBorders>
              <w:bottom w:val="single" w:sz="4" w:space="0" w:color="auto"/>
            </w:tcBorders>
          </w:tcPr>
          <w:p w:rsidR="00A46D1F" w:rsidRPr="00347D7F" w:rsidRDefault="00A46D1F" w:rsidP="00842ADE">
            <w:pPr>
              <w:keepNext/>
              <w:rPr>
                <w:szCs w:val="20"/>
              </w:rPr>
            </w:pPr>
            <w:r w:rsidRPr="00347D7F">
              <w:rPr>
                <w:szCs w:val="20"/>
              </w:rPr>
              <w:t xml:space="preserve">Capacity utilisation (average year) </w:t>
            </w:r>
          </w:p>
        </w:tc>
        <w:tc>
          <w:tcPr>
            <w:tcW w:w="2146" w:type="dxa"/>
            <w:tcBorders>
              <w:bottom w:val="single" w:sz="4" w:space="0" w:color="auto"/>
            </w:tcBorders>
            <w:vAlign w:val="center"/>
          </w:tcPr>
          <w:p w:rsidR="00A46D1F" w:rsidRPr="00347D7F" w:rsidRDefault="00A46D1F" w:rsidP="00B36873">
            <w:pPr>
              <w:keepNext/>
              <w:jc w:val="center"/>
              <w:cnfStyle w:val="000000000000" w:firstRow="0" w:lastRow="0" w:firstColumn="0" w:lastColumn="0" w:oddVBand="0" w:evenVBand="0" w:oddHBand="0" w:evenHBand="0" w:firstRowFirstColumn="0" w:firstRowLastColumn="0" w:lastRowFirstColumn="0" w:lastRowLastColumn="0"/>
              <w:rPr>
                <w:szCs w:val="20"/>
              </w:rPr>
            </w:pPr>
            <w:r w:rsidRPr="00347D7F">
              <w:rPr>
                <w:szCs w:val="20"/>
              </w:rPr>
              <w:t>85%</w:t>
            </w:r>
          </w:p>
        </w:tc>
        <w:tc>
          <w:tcPr>
            <w:tcW w:w="2226" w:type="dxa"/>
            <w:tcBorders>
              <w:bottom w:val="single" w:sz="4" w:space="0" w:color="auto"/>
            </w:tcBorders>
            <w:vAlign w:val="center"/>
          </w:tcPr>
          <w:p w:rsidR="00A46D1F" w:rsidRPr="00347D7F" w:rsidRDefault="00A46D1F" w:rsidP="007D02C3">
            <w:pPr>
              <w:keepNext/>
              <w:jc w:val="center"/>
              <w:cnfStyle w:val="000000000000" w:firstRow="0" w:lastRow="0" w:firstColumn="0" w:lastColumn="0" w:oddVBand="0" w:evenVBand="0" w:oddHBand="0" w:evenHBand="0" w:firstRowFirstColumn="0" w:firstRowLastColumn="0" w:lastRowFirstColumn="0" w:lastRowLastColumn="0"/>
              <w:rPr>
                <w:szCs w:val="20"/>
              </w:rPr>
            </w:pPr>
            <w:r w:rsidRPr="00347D7F">
              <w:rPr>
                <w:szCs w:val="20"/>
              </w:rPr>
              <w:t>80%</w:t>
            </w:r>
          </w:p>
        </w:tc>
        <w:tc>
          <w:tcPr>
            <w:tcW w:w="2240" w:type="dxa"/>
            <w:tcBorders>
              <w:bottom w:val="single" w:sz="4" w:space="0" w:color="auto"/>
            </w:tcBorders>
            <w:vAlign w:val="center"/>
          </w:tcPr>
          <w:p w:rsidR="00A46D1F" w:rsidRPr="00347D7F" w:rsidRDefault="00A46D1F" w:rsidP="007D02C3">
            <w:pPr>
              <w:keepNext/>
              <w:jc w:val="center"/>
              <w:cnfStyle w:val="000000000000" w:firstRow="0" w:lastRow="0" w:firstColumn="0" w:lastColumn="0" w:oddVBand="0" w:evenVBand="0" w:oddHBand="0" w:evenHBand="0" w:firstRowFirstColumn="0" w:firstRowLastColumn="0" w:lastRowFirstColumn="0" w:lastRowLastColumn="0"/>
              <w:rPr>
                <w:szCs w:val="20"/>
              </w:rPr>
            </w:pPr>
            <w:r w:rsidRPr="00347D7F">
              <w:rPr>
                <w:szCs w:val="20"/>
              </w:rPr>
              <w:t>81%</w:t>
            </w:r>
          </w:p>
        </w:tc>
      </w:tr>
    </w:tbl>
    <w:p w:rsidR="00EC0717" w:rsidRPr="00512E67" w:rsidRDefault="001A4499" w:rsidP="00EC0717">
      <w:pPr>
        <w:rPr>
          <w:sz w:val="18"/>
        </w:rPr>
      </w:pPr>
      <w:r w:rsidRPr="001A4499">
        <w:rPr>
          <w:sz w:val="18"/>
        </w:rPr>
        <w:t xml:space="preserve">Sources: GrainCorp submission 5 December 2014; Emerald Submission 28 November 2014; data provided by GrainCorp; GrainCorp shipping stem for 2014/15 season opening dated 3 February 2014, accessed at </w:t>
      </w:r>
      <w:hyperlink r:id="rId30" w:history="1">
        <w:r w:rsidRPr="004812F5">
          <w:rPr>
            <w:rStyle w:val="Hyperlink"/>
            <w:sz w:val="18"/>
          </w:rPr>
          <w:t>http://www.graincorp.com.au/storage-and-logistics/ports-and-shipping/shipping</w:t>
        </w:r>
      </w:hyperlink>
      <w:r w:rsidRPr="001A4499">
        <w:rPr>
          <w:sz w:val="18"/>
        </w:rPr>
        <w:t xml:space="preserve">; Emerald Melbourne Port Terminal Capacity and Stem Changes updated 2nd March 2015, accessed at </w:t>
      </w:r>
      <w:hyperlink r:id="rId31" w:history="1">
        <w:r w:rsidRPr="004812F5">
          <w:rPr>
            <w:rStyle w:val="Hyperlink"/>
            <w:sz w:val="18"/>
          </w:rPr>
          <w:t>http://emeraldgrain.com/wp-content/uploads/2013/06/Melbourne-Port-Terminal-Capacity-and-Stem-Changes23.pdf</w:t>
        </w:r>
      </w:hyperlink>
    </w:p>
    <w:p w:rsidR="00A46D1F" w:rsidRDefault="00A46D1F" w:rsidP="00A46D1F">
      <w:r>
        <w:t xml:space="preserve">As expected, utilisation rates during peak periods are much higher than over the whole year, and there is also less variation between the ports. </w:t>
      </w:r>
    </w:p>
    <w:p w:rsidR="00A46D1F" w:rsidRDefault="00A46D1F" w:rsidP="00A46D1F">
      <w:r>
        <w:t>It is unlikely to be economically efficient to have sufficient port terminal infrastructure to accommodate the entire export task within a three to six month window that goes un-utilised for the remainder of the year. Therefore, while exporters’ preference may be to export the majority of grain within a peak period, spreading of the export task into the non-peak period is an efficient outcome. The ACCC has previously taken the view that the mere likelihood of excess demand at some points during the wheat export year is not sufficient to warrant requiring a specific approach to capacity allocation.</w:t>
      </w:r>
      <w:r>
        <w:rPr>
          <w:rStyle w:val="FootnoteReference"/>
        </w:rPr>
        <w:footnoteReference w:id="23"/>
      </w:r>
      <w:r>
        <w:t xml:space="preserve"> The key concern is the extent to which a vertically integrated port terminal service provider can discriminate in favour of its own trading business by allocating itself the majority of peak period capacity. </w:t>
      </w:r>
    </w:p>
    <w:p w:rsidR="00A46D1F" w:rsidRDefault="00A46D1F" w:rsidP="00A46D1F">
      <w:r>
        <w:t xml:space="preserve">Given the provision of port terminal services involves a high proportion of fixed infrastructure costs that do not vary based on throughput, a port terminal service provider </w:t>
      </w:r>
      <w:r w:rsidR="00691BC1">
        <w:t xml:space="preserve">that faces competition would have </w:t>
      </w:r>
      <w:r>
        <w:t>an incentive to maximise throughput during non-peak periods where there is spare capacity. If exporters have the option of shipping from more than one port terminal</w:t>
      </w:r>
      <w:r w:rsidR="00382851">
        <w:t>,</w:t>
      </w:r>
      <w:r>
        <w:t xml:space="preserve"> </w:t>
      </w:r>
      <w:r w:rsidR="00B36873">
        <w:t xml:space="preserve">each </w:t>
      </w:r>
      <w:r>
        <w:t xml:space="preserve">port terminal service provider’s behaviour </w:t>
      </w:r>
      <w:r w:rsidR="00B36873">
        <w:t xml:space="preserve">in </w:t>
      </w:r>
      <w:r>
        <w:t>allocating capacity during peak periods may be constrained by its need to attract exporters to use its facility during non-peak periods.</w:t>
      </w:r>
      <w:r w:rsidRPr="00404F9A">
        <w:t xml:space="preserve"> </w:t>
      </w:r>
      <w:r>
        <w:t>This is consistent with the approach taken by GrainCorp in its long term agreement arrangements to encourage spreading of capacity throughout the year by requiring long term agreement customers to book at least 30 000 tonnes of capacity each month for 10 months per year at one port.</w:t>
      </w:r>
      <w:r>
        <w:rPr>
          <w:rStyle w:val="FootnoteReference"/>
        </w:rPr>
        <w:footnoteReference w:id="24"/>
      </w:r>
      <w:r>
        <w:t xml:space="preserve"> Therefore, the extent to which capacity constraints in peak periods are </w:t>
      </w:r>
      <w:r>
        <w:lastRenderedPageBreak/>
        <w:t xml:space="preserve">a concern will depend on the presence of competing ports and the overall level of spare capacity throughout the rest of the year. </w:t>
      </w:r>
    </w:p>
    <w:p w:rsidR="00A46D1F" w:rsidRPr="004B7178" w:rsidRDefault="00A46D1F" w:rsidP="00A46D1F">
      <w:pPr>
        <w:rPr>
          <w:rFonts w:cs="Arial"/>
        </w:rPr>
      </w:pPr>
      <w:r w:rsidRPr="004B7178">
        <w:t xml:space="preserve">In 2011 the ACCC formed the view that while GrainCorp’s east coast ports are subject to capacity constraints at peak periods, port capacity on the east coast is adequate </w:t>
      </w:r>
      <w:r w:rsidRPr="004B7178">
        <w:rPr>
          <w:rFonts w:cs="Arial"/>
        </w:rPr>
        <w:t xml:space="preserve">overall to meet the demands on it and is less </w:t>
      </w:r>
      <w:r>
        <w:rPr>
          <w:rFonts w:cs="Arial"/>
        </w:rPr>
        <w:t>constrained</w:t>
      </w:r>
      <w:r w:rsidRPr="004B7178">
        <w:rPr>
          <w:rFonts w:cs="Arial"/>
        </w:rPr>
        <w:t xml:space="preserve"> than in other wheat export regions.</w:t>
      </w:r>
      <w:r w:rsidRPr="004B7178">
        <w:rPr>
          <w:rStyle w:val="FootnoteReference"/>
          <w:rFonts w:cs="Arial"/>
          <w:sz w:val="22"/>
        </w:rPr>
        <w:footnoteReference w:id="25"/>
      </w:r>
      <w:r>
        <w:rPr>
          <w:rFonts w:cs="Arial"/>
        </w:rPr>
        <w:t xml:space="preserve"> Capacity constraints have been further reduced since 2011; for example, elevation capacity at Emerald’s </w:t>
      </w:r>
      <w:r w:rsidR="007C129D">
        <w:rPr>
          <w:rFonts w:cs="Arial"/>
        </w:rPr>
        <w:t>MPT</w:t>
      </w:r>
      <w:r>
        <w:rPr>
          <w:rFonts w:cs="Arial"/>
        </w:rPr>
        <w:t xml:space="preserve"> has doubled (from an estimated 1 mtpa to a theoretical maximum of 2.2 mtpa). The estimated capacity utilisation rates </w:t>
      </w:r>
      <w:r w:rsidRPr="00F2549B">
        <w:rPr>
          <w:rFonts w:cs="Arial"/>
        </w:rPr>
        <w:t xml:space="preserve">at </w:t>
      </w:r>
      <w:r w:rsidR="00347D7F" w:rsidRPr="00F2549B">
        <w:rPr>
          <w:rFonts w:cs="Arial"/>
        </w:rPr>
        <w:t>t</w:t>
      </w:r>
      <w:r w:rsidRPr="00F2549B">
        <w:rPr>
          <w:rFonts w:cs="Arial"/>
        </w:rPr>
        <w:t xml:space="preserve">able </w:t>
      </w:r>
      <w:r w:rsidR="00347D7F" w:rsidRPr="00F2549B">
        <w:rPr>
          <w:rFonts w:cs="Arial"/>
        </w:rPr>
        <w:t>4</w:t>
      </w:r>
      <w:r>
        <w:rPr>
          <w:rFonts w:cs="Arial"/>
        </w:rPr>
        <w:t xml:space="preserve"> above support this conclusion. </w:t>
      </w:r>
    </w:p>
    <w:p w:rsidR="00A46D1F" w:rsidRDefault="00A46D1F" w:rsidP="00A46D1F">
      <w:pPr>
        <w:pStyle w:val="Normalparagraph"/>
      </w:pPr>
      <w:r>
        <w:t>Both Emerald and GrainCorp consider that even the lower capacity estimates represent ‘significantly more capacity than required’ to meet average bulk grain exports in Victoria.</w:t>
      </w:r>
      <w:r>
        <w:rPr>
          <w:rStyle w:val="FootnoteReference"/>
        </w:rPr>
        <w:footnoteReference w:id="26"/>
      </w:r>
      <w:r>
        <w:t xml:space="preserve"> GrainCorp submits that the excess elevation capacity in Victoria results in ‘low levels of utilisation in an average production year’.</w:t>
      </w:r>
      <w:r>
        <w:rPr>
          <w:rStyle w:val="FootnoteReference"/>
        </w:rPr>
        <w:footnoteReference w:id="27"/>
      </w:r>
      <w:r w:rsidRPr="00DE0292">
        <w:t xml:space="preserve"> </w:t>
      </w:r>
      <w:r>
        <w:t xml:space="preserve">GrainGrowers also consider there is ‘significant excess capacity in most years’ in Victoria, but recommends that exemptions be reserved until operations commence at Bunge’s </w:t>
      </w:r>
      <w:r w:rsidR="00C8072D">
        <w:t xml:space="preserve">proposed </w:t>
      </w:r>
      <w:r>
        <w:t>new facility.</w:t>
      </w:r>
      <w:r>
        <w:rPr>
          <w:rStyle w:val="FootnoteReference"/>
          <w:rFonts w:ascii="Calibri" w:hAnsi="Calibri" w:cs="Calibri"/>
          <w:color w:val="000000"/>
          <w:sz w:val="23"/>
          <w:szCs w:val="23"/>
        </w:rPr>
        <w:footnoteReference w:id="28"/>
      </w:r>
      <w:r>
        <w:t xml:space="preserve"> Submissions from GIAV and Glencore/Viterra agree that there is currently excess port capacity in Victoria, with GIAV stating that ‘due to the excess capacity of bulk shipping terminals… wheat exporters would be able to negotiate and secure reasonable access to Victorian port terminal services’.</w:t>
      </w:r>
      <w:r>
        <w:rPr>
          <w:rStyle w:val="FootnoteReference"/>
        </w:rPr>
        <w:footnoteReference w:id="29"/>
      </w:r>
      <w:r>
        <w:t xml:space="preserve">  </w:t>
      </w:r>
    </w:p>
    <w:p w:rsidR="00A46D1F" w:rsidRDefault="00A46D1F" w:rsidP="00A46D1F">
      <w:pPr>
        <w:pStyle w:val="Normalparagraph"/>
      </w:pPr>
      <w:r>
        <w:t>The ACCC agrees that there appears to be significant spare capacity at each Victorian port terminal on an annual basis. There is some degree of capacity constraint in peak periods at all ports. However, in years with a large harvest there is still likely to be spare capacity available in non-peak periods. In years with poor harvest capacity utilisation is likely to be fairly low (estimated between 43 and 50 per cent). Port terminal service providers will still face similar fixed costs in these years so will have an incentive to maximise use of capacity at their terminal relative to their competitors. The extent to which each of the port terminals compete with each other, as well as the domestic and co</w:t>
      </w:r>
      <w:r w:rsidR="00EC0717">
        <w:t>ntainer markets, is discussed in</w:t>
      </w:r>
      <w:r>
        <w:t xml:space="preserve"> </w:t>
      </w:r>
      <w:r w:rsidR="00EC0717" w:rsidRPr="00F2549B">
        <w:t>chapter 3</w:t>
      </w:r>
      <w:r w:rsidRPr="00F2549B">
        <w:t>.</w:t>
      </w:r>
    </w:p>
    <w:p w:rsidR="00D6048D" w:rsidRDefault="00A46D1F" w:rsidP="00A46D1F">
      <w:pPr>
        <w:pStyle w:val="Normalparagraph"/>
      </w:pPr>
      <w:r>
        <w:t>The ACCC considers capacity constraint</w:t>
      </w:r>
      <w:r w:rsidR="00B36873">
        <w:t>s</w:t>
      </w:r>
      <w:r>
        <w:t xml:space="preserve"> in peak periods </w:t>
      </w:r>
      <w:r w:rsidR="00B36873">
        <w:t xml:space="preserve">are </w:t>
      </w:r>
      <w:r>
        <w:t>le</w:t>
      </w:r>
      <w:r w:rsidR="00B36873">
        <w:t>ss</w:t>
      </w:r>
      <w:r>
        <w:t xml:space="preserve"> likely to be a concern at Emerald’s </w:t>
      </w:r>
      <w:r w:rsidR="00DA6AD9">
        <w:t>MPT</w:t>
      </w:r>
      <w:r>
        <w:t xml:space="preserve"> due to the relatively lower level of capacity </w:t>
      </w:r>
      <w:r w:rsidRPr="00F2549B">
        <w:t>utilisation (</w:t>
      </w:r>
      <w:r w:rsidR="00347D7F" w:rsidRPr="00F2549B">
        <w:t>t</w:t>
      </w:r>
      <w:r w:rsidRPr="00F2549B">
        <w:t xml:space="preserve">able </w:t>
      </w:r>
      <w:r w:rsidR="00347D7F">
        <w:t>4</w:t>
      </w:r>
      <w:r>
        <w:t>) and the presence of Grain</w:t>
      </w:r>
      <w:r w:rsidR="00EC0717">
        <w:t>C</w:t>
      </w:r>
      <w:r>
        <w:t xml:space="preserve">orp’s Geelong facility which draws from </w:t>
      </w:r>
      <w:r w:rsidR="00842ADE">
        <w:t>an overlapping</w:t>
      </w:r>
      <w:r>
        <w:t xml:space="preserve"> catchment area. </w:t>
      </w:r>
    </w:p>
    <w:p w:rsidR="00A46D1F" w:rsidRDefault="00A46D1F" w:rsidP="00A46D1F">
      <w:pPr>
        <w:pStyle w:val="Normalparagraph"/>
      </w:pPr>
      <w:r>
        <w:t xml:space="preserve">Capacity constraint in peak periods may be of some concern at GrainCorp’s Portland and Geelong facility in the absence of regulation under the Code, as GrainCorp may have the ability and incentive to prevent other exporters gaining access during peak periods, thereby inhibiting competition in upstream and downstream markets. However, this concern is mitigated to some extent by the significant level of spare capacity available in non-peak periods and in </w:t>
      </w:r>
      <w:r w:rsidR="00842ADE">
        <w:t xml:space="preserve">average and </w:t>
      </w:r>
      <w:r>
        <w:t xml:space="preserve">lower harvest years.  </w:t>
      </w:r>
    </w:p>
    <w:p w:rsidR="00A46D1F" w:rsidRDefault="00A46D1F" w:rsidP="00A46D1F">
      <w:pPr>
        <w:pStyle w:val="Normalparagraph"/>
      </w:pPr>
      <w:r>
        <w:t xml:space="preserve">Bunge’s </w:t>
      </w:r>
      <w:r w:rsidR="002136F2">
        <w:t xml:space="preserve">proposed </w:t>
      </w:r>
      <w:r>
        <w:t xml:space="preserve">new facility </w:t>
      </w:r>
      <w:r w:rsidR="002136F2">
        <w:t xml:space="preserve">would </w:t>
      </w:r>
      <w:r>
        <w:t xml:space="preserve">reduce capacity constraints during peak periods at those ports with overlapping grain catchment areas (i.e. the Geelong and Melbourne port terminals, and to a lesser degree the Portland terminal). The grain catchment areas for each port are discussed </w:t>
      </w:r>
      <w:r w:rsidRPr="00F2549B">
        <w:t xml:space="preserve">at section </w:t>
      </w:r>
      <w:r w:rsidR="00F47761" w:rsidRPr="00F2549B">
        <w:t>3.2</w:t>
      </w:r>
      <w:r w:rsidRPr="00F2549B">
        <w:t>.</w:t>
      </w:r>
    </w:p>
    <w:p w:rsidR="00A46D1F" w:rsidRDefault="00A46D1F" w:rsidP="00060864">
      <w:r>
        <w:lastRenderedPageBreak/>
        <w:t xml:space="preserve">GrainCorp submits the plans for further developments and expansions demonstrate that there are low barriers to entry </w:t>
      </w:r>
      <w:r w:rsidR="00A16B79">
        <w:t>to develop and expand</w:t>
      </w:r>
      <w:r>
        <w:t xml:space="preserve"> port terminal capacity in Victoria.</w:t>
      </w:r>
      <w:r>
        <w:rPr>
          <w:rStyle w:val="FootnoteReference"/>
        </w:rPr>
        <w:footnoteReference w:id="30"/>
      </w:r>
      <w:r>
        <w:t xml:space="preserve"> Submissions from CBH and Glencore/Viterra agree that barriers to entry are low.</w:t>
      </w:r>
      <w:r>
        <w:rPr>
          <w:rStyle w:val="FootnoteReference"/>
        </w:rPr>
        <w:footnoteReference w:id="31"/>
      </w:r>
      <w:r>
        <w:t xml:space="preserve"> </w:t>
      </w:r>
      <w:r w:rsidR="00B36873">
        <w:t>Potential barriers to entry in the provision of port terminal services include high up-front capital costs</w:t>
      </w:r>
      <w:r w:rsidR="00A445A2">
        <w:t xml:space="preserve"> that are largely sunk once spent</w:t>
      </w:r>
      <w:r w:rsidR="00B36873">
        <w:t>, availability of land, and obtaining planning permits. However, t</w:t>
      </w:r>
      <w:r>
        <w:t xml:space="preserve">he ACCC considers that the </w:t>
      </w:r>
      <w:r w:rsidR="00B36873">
        <w:t>current plans by Bunge</w:t>
      </w:r>
      <w:r w:rsidR="00A20C5A">
        <w:t xml:space="preserve"> represent </w:t>
      </w:r>
      <w:r w:rsidR="00B36873">
        <w:t xml:space="preserve">a </w:t>
      </w:r>
      <w:r>
        <w:t>credible threat of entry by competing facility operators</w:t>
      </w:r>
      <w:r w:rsidR="00B36873">
        <w:t xml:space="preserve">, which </w:t>
      </w:r>
      <w:r>
        <w:t xml:space="preserve">is likely to reduce </w:t>
      </w:r>
      <w:r w:rsidR="00B36873">
        <w:t xml:space="preserve">incumbent </w:t>
      </w:r>
      <w:r>
        <w:t xml:space="preserve">port terminal service providers’ incentive to discriminate in favour of its own trading business to the detriment of other exporters. </w:t>
      </w:r>
    </w:p>
    <w:p w:rsidR="00A46D1F" w:rsidRPr="004B4C4E" w:rsidRDefault="00A46D1F" w:rsidP="00A46D1F">
      <w:pPr>
        <w:pStyle w:val="Heading3"/>
      </w:pPr>
      <w:r w:rsidRPr="004B4C4E">
        <w:t xml:space="preserve">Exporters and </w:t>
      </w:r>
      <w:r w:rsidR="002B4B5C">
        <w:t>bargaining power</w:t>
      </w:r>
      <w:r w:rsidRPr="004B4C4E">
        <w:t xml:space="preserve"> </w:t>
      </w:r>
    </w:p>
    <w:p w:rsidR="00A46D1F" w:rsidRDefault="00A46D1F" w:rsidP="00A46D1F">
      <w:r>
        <w:t xml:space="preserve">Over the past three years there have been 16 exporters shipping grain out of the three Victorian ports. This includes the two vertically integrated port terminal service providers, GrainCorp and Emerald. </w:t>
      </w:r>
    </w:p>
    <w:p w:rsidR="00A46D1F" w:rsidRDefault="00A46D1F" w:rsidP="00A46D1F">
      <w:r>
        <w:t xml:space="preserve">Emerald group’s marketing arm buys and sells wheat, barley, sorghum and canola and exports to international customers, including via its own </w:t>
      </w:r>
      <w:r w:rsidR="007C129D">
        <w:t>MPT</w:t>
      </w:r>
      <w:r>
        <w:t xml:space="preserve"> and GrainCorp’s Geelong and Portland terminals. GrainCorp Marketing has exported 1.54 mtpa of bulk grain on average from its Victorian port terminals over the past five years. GrainCorp has not exported from Emerald’s </w:t>
      </w:r>
      <w:r w:rsidR="007C129D">
        <w:t>MPT</w:t>
      </w:r>
      <w:r>
        <w:t xml:space="preserve">. </w:t>
      </w:r>
    </w:p>
    <w:p w:rsidR="00A46D1F" w:rsidRDefault="00A46D1F" w:rsidP="00F2549B">
      <w:r>
        <w:t>Aside from GrainCorp and Emerald, the largest exporters from Victorian ports in the last three years have been: Cargill</w:t>
      </w:r>
      <w:r w:rsidR="007B3C95">
        <w:t xml:space="preserve">, </w:t>
      </w:r>
      <w:r>
        <w:t>Glencore</w:t>
      </w:r>
      <w:r w:rsidR="007B3C95">
        <w:t xml:space="preserve">, </w:t>
      </w:r>
      <w:r>
        <w:t>ADM</w:t>
      </w:r>
      <w:r w:rsidR="007B3C95">
        <w:t xml:space="preserve">, </w:t>
      </w:r>
      <w:r>
        <w:t>Noble</w:t>
      </w:r>
      <w:r w:rsidR="007B3C95">
        <w:t xml:space="preserve">, </w:t>
      </w:r>
      <w:r>
        <w:t>Olam</w:t>
      </w:r>
      <w:r w:rsidR="007B3C95">
        <w:t xml:space="preserve"> and </w:t>
      </w:r>
      <w:r>
        <w:t>Bunge</w:t>
      </w:r>
      <w:r w:rsidR="007B3C95">
        <w:t>.</w:t>
      </w:r>
    </w:p>
    <w:p w:rsidR="00A46D1F" w:rsidRDefault="00A46D1F" w:rsidP="00A46D1F">
      <w:r>
        <w:t xml:space="preserve">As noted above, Bunge </w:t>
      </w:r>
      <w:r w:rsidR="002136F2">
        <w:t xml:space="preserve">is </w:t>
      </w:r>
      <w:r>
        <w:t>intend</w:t>
      </w:r>
      <w:r w:rsidR="002136F2">
        <w:t>ing</w:t>
      </w:r>
      <w:r>
        <w:t xml:space="preserve"> to build its own port terminal at Geelong and there is speculation that Noble, Emerald and Cargill, via Quattro, will invest in a port terminal facility at Portland. </w:t>
      </w:r>
    </w:p>
    <w:p w:rsidR="000F479F" w:rsidRDefault="00A46D1F" w:rsidP="00A46D1F">
      <w:r>
        <w:t xml:space="preserve">Both Emerald and GrainCorp currently publish port loading protocols setting out their policies and procedures for managing demand as required by the Code. </w:t>
      </w:r>
      <w:r w:rsidR="00382851">
        <w:t>The Code requirement to p</w:t>
      </w:r>
      <w:r>
        <w:t>ublish these policies and procedures will continue to apply regardless whether an exemption is granted.</w:t>
      </w:r>
      <w:r w:rsidR="00DF73A1">
        <w:rPr>
          <w:rStyle w:val="FootnoteReference"/>
        </w:rPr>
        <w:footnoteReference w:id="32"/>
      </w:r>
      <w:r>
        <w:t xml:space="preserve"> GrainCorp has operated an annual first-in-first-served capacity allocation model at its Victorian ports since 2009. Since 2013 it has also operated a longer term capacity allocation model where exporters can sign long term ‘take or pay’ agreements for port capacity over three years.</w:t>
      </w:r>
      <w:r>
        <w:rPr>
          <w:rStyle w:val="FootnoteReference"/>
        </w:rPr>
        <w:footnoteReference w:id="33"/>
      </w:r>
      <w:r>
        <w:t xml:space="preserve"> </w:t>
      </w:r>
    </w:p>
    <w:p w:rsidR="00A46D1F" w:rsidRDefault="00A46D1F" w:rsidP="00F2549B">
      <w:pPr>
        <w:keepNext/>
      </w:pPr>
      <w:r>
        <w:lastRenderedPageBreak/>
        <w:t xml:space="preserve">Emerald has also operated an annual first-in-first-served capacity allocation model since 2011 but has yet to introduce long term agreements. Emerald submits that it is essential it be:  </w:t>
      </w:r>
    </w:p>
    <w:p w:rsidR="00A46D1F" w:rsidRPr="00F2549B" w:rsidRDefault="00A46D1F" w:rsidP="00A46D1F">
      <w:pPr>
        <w:ind w:left="720"/>
        <w:rPr>
          <w:sz w:val="20"/>
          <w:szCs w:val="20"/>
        </w:rPr>
      </w:pPr>
      <w:r w:rsidRPr="00F2549B">
        <w:rPr>
          <w:sz w:val="20"/>
          <w:szCs w:val="20"/>
        </w:rPr>
        <w:t>…able to offer flexible and innovative supply chain solutions to its exporter customers, including but not limited to providing the security of long term access and tailored export programmes.</w:t>
      </w:r>
      <w:r w:rsidRPr="00382851">
        <w:rPr>
          <w:rStyle w:val="FootnoteReference"/>
        </w:rPr>
        <w:footnoteReference w:id="34"/>
      </w:r>
      <w:r w:rsidRPr="00382851">
        <w:rPr>
          <w:rStyle w:val="FootnoteReference"/>
        </w:rPr>
        <w:t xml:space="preserve"> </w:t>
      </w:r>
    </w:p>
    <w:p w:rsidR="00E36E97" w:rsidRDefault="00A46D1F" w:rsidP="00A46D1F">
      <w:r>
        <w:t>Emerald and GrainCorp both consider their non-vertically integrated customers have significant bargaining power. Emerald submits that its key clients ‘have exported out of both Melbourne and Geelong and have significant bargaining power’.</w:t>
      </w:r>
      <w:r>
        <w:rPr>
          <w:rStyle w:val="FootnoteReference"/>
        </w:rPr>
        <w:footnoteReference w:id="35"/>
      </w:r>
      <w:r>
        <w:t xml:space="preserve"> </w:t>
      </w:r>
    </w:p>
    <w:p w:rsidR="00A46D1F" w:rsidRDefault="00A46D1F" w:rsidP="00E36E97">
      <w:pPr>
        <w:keepNext/>
      </w:pPr>
      <w:r>
        <w:t xml:space="preserve">GrainCorp submits that its export customers: </w:t>
      </w:r>
    </w:p>
    <w:p w:rsidR="00A46D1F" w:rsidRDefault="00A46D1F" w:rsidP="00A46D1F">
      <w:pPr>
        <w:ind w:left="720"/>
        <w:rPr>
          <w:sz w:val="20"/>
          <w:szCs w:val="20"/>
        </w:rPr>
      </w:pPr>
      <w:r>
        <w:rPr>
          <w:sz w:val="20"/>
          <w:szCs w:val="20"/>
        </w:rPr>
        <w:t>have access to alternative supply chains, where the major export customers (Glencore, Cargill and Emerald), representing 70% of non-GrainCorp Marketing export volume own and operate or have access to alternative country and export capacity.</w:t>
      </w:r>
      <w:r>
        <w:rPr>
          <w:rStyle w:val="FootnoteReference"/>
          <w:szCs w:val="20"/>
        </w:rPr>
        <w:footnoteReference w:id="36"/>
      </w:r>
      <w:r>
        <w:rPr>
          <w:sz w:val="20"/>
          <w:szCs w:val="20"/>
        </w:rPr>
        <w:t xml:space="preserve"> </w:t>
      </w:r>
    </w:p>
    <w:p w:rsidR="00A46D1F" w:rsidRPr="00F2549B" w:rsidRDefault="00A46D1F" w:rsidP="00A46D1F">
      <w:pPr>
        <w:rPr>
          <w:szCs w:val="20"/>
        </w:rPr>
      </w:pPr>
      <w:r w:rsidRPr="00F2549B">
        <w:rPr>
          <w:szCs w:val="20"/>
        </w:rPr>
        <w:t>GrainCorp also notes that its ‘major export customers are large multinational traders that are many times larger than GrainCorp with access to significant capital and overseas grain markets’.</w:t>
      </w:r>
      <w:r w:rsidRPr="00E578A9">
        <w:rPr>
          <w:rStyle w:val="FootnoteReference"/>
          <w:sz w:val="22"/>
          <w:szCs w:val="20"/>
        </w:rPr>
        <w:footnoteReference w:id="37"/>
      </w:r>
      <w:r w:rsidRPr="00F2549B">
        <w:rPr>
          <w:szCs w:val="20"/>
        </w:rPr>
        <w:t xml:space="preserve"> </w:t>
      </w:r>
    </w:p>
    <w:p w:rsidR="00A46D1F" w:rsidRPr="00EB283A" w:rsidRDefault="00A46D1F" w:rsidP="00A46D1F">
      <w:r w:rsidRPr="00F2549B">
        <w:t xml:space="preserve">Figures </w:t>
      </w:r>
      <w:r w:rsidR="00F47761" w:rsidRPr="00F2549B">
        <w:t>4 to 6</w:t>
      </w:r>
      <w:r w:rsidRPr="00F2549B">
        <w:t xml:space="preserve"> below</w:t>
      </w:r>
      <w:r>
        <w:t xml:space="preserve"> set out the share of total bulk grain exports by the top five exporters at each terminal.</w:t>
      </w:r>
    </w:p>
    <w:p w:rsidR="00A46D1F" w:rsidRPr="00E578A9" w:rsidRDefault="00A46D1F" w:rsidP="00A46D1F">
      <w:pPr>
        <w:pStyle w:val="Caption"/>
        <w:keepNext/>
        <w:rPr>
          <w:sz w:val="20"/>
        </w:rPr>
      </w:pPr>
      <w:r w:rsidRPr="00E578A9">
        <w:rPr>
          <w:sz w:val="20"/>
        </w:rPr>
        <w:t xml:space="preserve">Figure </w:t>
      </w:r>
      <w:r w:rsidR="008A1251" w:rsidRPr="00E578A9">
        <w:rPr>
          <w:sz w:val="20"/>
        </w:rPr>
        <w:fldChar w:fldCharType="begin"/>
      </w:r>
      <w:r w:rsidR="008A1251" w:rsidRPr="00E578A9">
        <w:rPr>
          <w:sz w:val="20"/>
        </w:rPr>
        <w:instrText xml:space="preserve"> SEQ Figure \* ARABIC </w:instrText>
      </w:r>
      <w:r w:rsidR="008A1251" w:rsidRPr="00E578A9">
        <w:rPr>
          <w:sz w:val="20"/>
        </w:rPr>
        <w:fldChar w:fldCharType="separate"/>
      </w:r>
      <w:r w:rsidR="0090671A" w:rsidRPr="00E578A9">
        <w:rPr>
          <w:noProof/>
          <w:sz w:val="20"/>
        </w:rPr>
        <w:t>4</w:t>
      </w:r>
      <w:r w:rsidR="008A1251" w:rsidRPr="00E578A9">
        <w:rPr>
          <w:noProof/>
          <w:sz w:val="20"/>
        </w:rPr>
        <w:fldChar w:fldCharType="end"/>
      </w:r>
      <w:r w:rsidRPr="00E578A9">
        <w:rPr>
          <w:sz w:val="20"/>
        </w:rPr>
        <w:t xml:space="preserve">: Share of exports at </w:t>
      </w:r>
      <w:r w:rsidR="007C129D">
        <w:rPr>
          <w:sz w:val="20"/>
        </w:rPr>
        <w:t>MPT</w:t>
      </w:r>
      <w:r w:rsidRPr="00E578A9">
        <w:rPr>
          <w:sz w:val="20"/>
        </w:rPr>
        <w:t xml:space="preserve"> over the past three years</w:t>
      </w:r>
    </w:p>
    <w:p w:rsidR="00A46D1F" w:rsidRDefault="00A46D1F" w:rsidP="00A62FBA">
      <w:pPr>
        <w:jc w:val="center"/>
        <w:rPr>
          <w:rFonts w:ascii="Lucida Fax" w:eastAsiaTheme="majorEastAsia" w:hAnsi="Lucida Fax" w:cstheme="majorBidi"/>
          <w:sz w:val="32"/>
          <w:szCs w:val="28"/>
        </w:rPr>
      </w:pPr>
      <w:r>
        <w:rPr>
          <w:noProof/>
          <w:lang w:eastAsia="en-AU"/>
        </w:rPr>
        <w:drawing>
          <wp:inline distT="0" distB="0" distL="0" distR="0" wp14:anchorId="79FC60CB" wp14:editId="621A485A">
            <wp:extent cx="4248000" cy="260032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A4499" w:rsidRDefault="001A4499" w:rsidP="001A4499">
      <w:pPr>
        <w:rPr>
          <w:sz w:val="18"/>
          <w:szCs w:val="18"/>
        </w:rPr>
      </w:pPr>
      <w:r>
        <w:rPr>
          <w:sz w:val="18"/>
          <w:szCs w:val="18"/>
        </w:rPr>
        <w:t xml:space="preserve">Source: Data provided by Emerald </w:t>
      </w:r>
    </w:p>
    <w:p w:rsidR="00A46D1F" w:rsidRPr="006B17BE" w:rsidRDefault="00A46D1F" w:rsidP="001A4499">
      <w:pPr>
        <w:rPr>
          <w:rFonts w:eastAsiaTheme="majorEastAsia"/>
        </w:rPr>
      </w:pPr>
      <w:r>
        <w:rPr>
          <w:rFonts w:eastAsiaTheme="majorEastAsia"/>
        </w:rPr>
        <w:t xml:space="preserve">Emerald has been the largest exporter out of its own port terminal facility with a share of 42 per cent on average over three years. The next four largest exporters using the Melbourne facility </w:t>
      </w:r>
      <w:r w:rsidR="00842ADE">
        <w:rPr>
          <w:rFonts w:eastAsiaTheme="majorEastAsia"/>
        </w:rPr>
        <w:t xml:space="preserve">were </w:t>
      </w:r>
      <w:r>
        <w:rPr>
          <w:rFonts w:eastAsiaTheme="majorEastAsia"/>
        </w:rPr>
        <w:t xml:space="preserve">Cargill, Bunge, Noble Grain and Glencore/Viterra. GrainCorp has not exported from </w:t>
      </w:r>
      <w:r w:rsidR="007C129D">
        <w:rPr>
          <w:rFonts w:eastAsiaTheme="majorEastAsia"/>
        </w:rPr>
        <w:t>MPT</w:t>
      </w:r>
      <w:r>
        <w:rPr>
          <w:rFonts w:eastAsiaTheme="majorEastAsia"/>
        </w:rPr>
        <w:t xml:space="preserve">. </w:t>
      </w:r>
    </w:p>
    <w:p w:rsidR="00A46D1F" w:rsidRPr="00DF73A1" w:rsidRDefault="00A46D1F" w:rsidP="00A46D1F">
      <w:pPr>
        <w:pStyle w:val="Caption"/>
        <w:keepNext/>
        <w:rPr>
          <w:sz w:val="20"/>
        </w:rPr>
      </w:pPr>
      <w:r w:rsidRPr="00DF73A1">
        <w:rPr>
          <w:sz w:val="20"/>
        </w:rPr>
        <w:lastRenderedPageBreak/>
        <w:t xml:space="preserve">Figure </w:t>
      </w:r>
      <w:r w:rsidR="008A1251" w:rsidRPr="00DF73A1">
        <w:rPr>
          <w:sz w:val="20"/>
        </w:rPr>
        <w:fldChar w:fldCharType="begin"/>
      </w:r>
      <w:r w:rsidR="008A1251" w:rsidRPr="00DF73A1">
        <w:rPr>
          <w:sz w:val="20"/>
        </w:rPr>
        <w:instrText xml:space="preserve"> SEQ Figure \* ARABIC </w:instrText>
      </w:r>
      <w:r w:rsidR="008A1251" w:rsidRPr="00DF73A1">
        <w:rPr>
          <w:sz w:val="20"/>
        </w:rPr>
        <w:fldChar w:fldCharType="separate"/>
      </w:r>
      <w:r w:rsidR="0090671A" w:rsidRPr="00DF73A1">
        <w:rPr>
          <w:sz w:val="20"/>
        </w:rPr>
        <w:t>5</w:t>
      </w:r>
      <w:r w:rsidR="008A1251" w:rsidRPr="00DF73A1">
        <w:rPr>
          <w:sz w:val="20"/>
        </w:rPr>
        <w:fldChar w:fldCharType="end"/>
      </w:r>
      <w:r w:rsidRPr="00DF73A1">
        <w:rPr>
          <w:sz w:val="20"/>
        </w:rPr>
        <w:t>: Share of exports at Geelong port terminal over the past three years</w:t>
      </w:r>
    </w:p>
    <w:p w:rsidR="00A46D1F" w:rsidRDefault="00A46D1F" w:rsidP="00A62FBA">
      <w:pPr>
        <w:jc w:val="center"/>
        <w:rPr>
          <w:rFonts w:ascii="Lucida Fax" w:eastAsiaTheme="majorEastAsia" w:hAnsi="Lucida Fax" w:cstheme="majorBidi"/>
          <w:sz w:val="32"/>
          <w:szCs w:val="28"/>
        </w:rPr>
      </w:pPr>
      <w:r>
        <w:rPr>
          <w:noProof/>
          <w:lang w:eastAsia="en-AU"/>
        </w:rPr>
        <w:drawing>
          <wp:inline distT="0" distB="0" distL="0" distR="0" wp14:anchorId="2556813C" wp14:editId="02A89ACA">
            <wp:extent cx="4248000" cy="260032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578A9" w:rsidRPr="00FE3EF3" w:rsidRDefault="00FE3EF3" w:rsidP="00E578A9">
      <w:pPr>
        <w:rPr>
          <w:sz w:val="18"/>
          <w:szCs w:val="18"/>
        </w:rPr>
      </w:pPr>
      <w:r>
        <w:rPr>
          <w:sz w:val="18"/>
          <w:szCs w:val="18"/>
        </w:rPr>
        <w:t xml:space="preserve">Source: Data provided by GrainCorp </w:t>
      </w:r>
    </w:p>
    <w:p w:rsidR="00A46D1F" w:rsidRDefault="00A46D1F" w:rsidP="00A46D1F">
      <w:r>
        <w:t xml:space="preserve">GrainCorp has exported on average 33 per cent of total exports from its Geelong port terminal. The next four largest exporters from Geelong were Glencore, Cargill, ADM and Emerald.  </w:t>
      </w:r>
    </w:p>
    <w:p w:rsidR="00A46D1F" w:rsidRPr="00DF73A1" w:rsidRDefault="00A46D1F" w:rsidP="00A46D1F">
      <w:pPr>
        <w:pStyle w:val="Caption"/>
        <w:keepNext/>
        <w:rPr>
          <w:sz w:val="20"/>
        </w:rPr>
      </w:pPr>
      <w:r w:rsidRPr="00DF73A1">
        <w:rPr>
          <w:sz w:val="20"/>
        </w:rPr>
        <w:t xml:space="preserve">Figure </w:t>
      </w:r>
      <w:r w:rsidR="008A1251" w:rsidRPr="00DF73A1">
        <w:rPr>
          <w:sz w:val="20"/>
        </w:rPr>
        <w:fldChar w:fldCharType="begin"/>
      </w:r>
      <w:r w:rsidR="008A1251" w:rsidRPr="00DF73A1">
        <w:rPr>
          <w:sz w:val="20"/>
        </w:rPr>
        <w:instrText xml:space="preserve"> SEQ Figure \* ARABIC </w:instrText>
      </w:r>
      <w:r w:rsidR="008A1251" w:rsidRPr="00DF73A1">
        <w:rPr>
          <w:sz w:val="20"/>
        </w:rPr>
        <w:fldChar w:fldCharType="separate"/>
      </w:r>
      <w:r w:rsidR="0090671A" w:rsidRPr="00DF73A1">
        <w:rPr>
          <w:sz w:val="20"/>
        </w:rPr>
        <w:t>6</w:t>
      </w:r>
      <w:r w:rsidR="008A1251" w:rsidRPr="00DF73A1">
        <w:rPr>
          <w:sz w:val="20"/>
        </w:rPr>
        <w:fldChar w:fldCharType="end"/>
      </w:r>
      <w:r w:rsidRPr="00DF73A1">
        <w:rPr>
          <w:sz w:val="20"/>
        </w:rPr>
        <w:t>: Share of exports at Portland port terminal over the past three years</w:t>
      </w:r>
    </w:p>
    <w:p w:rsidR="00A46D1F" w:rsidRDefault="00A46D1F" w:rsidP="00A62FBA">
      <w:pPr>
        <w:jc w:val="center"/>
        <w:rPr>
          <w:rFonts w:ascii="Lucida Fax" w:eastAsiaTheme="majorEastAsia" w:hAnsi="Lucida Fax" w:cstheme="majorBidi"/>
          <w:sz w:val="32"/>
          <w:szCs w:val="28"/>
        </w:rPr>
      </w:pPr>
      <w:r>
        <w:rPr>
          <w:noProof/>
          <w:lang w:eastAsia="en-AU"/>
        </w:rPr>
        <w:drawing>
          <wp:inline distT="0" distB="0" distL="0" distR="0" wp14:anchorId="1946EF82" wp14:editId="515F0394">
            <wp:extent cx="4248150" cy="2592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578A9" w:rsidRPr="00FE3EF3" w:rsidRDefault="00FE3EF3" w:rsidP="00E578A9">
      <w:pPr>
        <w:rPr>
          <w:sz w:val="18"/>
          <w:szCs w:val="18"/>
        </w:rPr>
      </w:pPr>
      <w:r>
        <w:rPr>
          <w:sz w:val="18"/>
          <w:szCs w:val="18"/>
        </w:rPr>
        <w:t xml:space="preserve">Source: Data provided by GrainCorp </w:t>
      </w:r>
    </w:p>
    <w:p w:rsidR="00A46D1F" w:rsidRDefault="00A46D1F" w:rsidP="00A46D1F">
      <w:r>
        <w:t>At GrainCorp’s Portland facility, Cargill has been the largest exporter on average over the past three years with 35 per cent of the total exports. GrainCorp was the second largest with 29 per cent. The next three largest exporters were Glencore, Emerald and ADM. Smaller exporters have represented 16 per cent of total exports at the Portland facility compared with 13 per cent at Geelong and nine per cent at Melbourne.</w:t>
      </w:r>
    </w:p>
    <w:p w:rsidR="00A46D1F" w:rsidRDefault="00A46D1F" w:rsidP="00A46D1F">
      <w:r>
        <w:t xml:space="preserve">In summary, under the current regulated system, GrainCorp and Emerald face significant competition in the downstream export market from large players such as Cargill, Glencore and ADM. GrainCorp is the largest exporter from Victoria with 22 per cent of total Victorian exports over the past three years, the majority being from its Geelong facility. However, the </w:t>
      </w:r>
      <w:r>
        <w:lastRenderedPageBreak/>
        <w:t xml:space="preserve">second largest exporter, Cargill, is not far behind with 21 per cent of total Victorian exports. </w:t>
      </w:r>
      <w:r w:rsidRPr="00C606D8">
        <w:t xml:space="preserve">While Emerald is easily the largest </w:t>
      </w:r>
      <w:r>
        <w:t>exporter</w:t>
      </w:r>
      <w:r w:rsidRPr="00C606D8">
        <w:t xml:space="preserve"> </w:t>
      </w:r>
      <w:r>
        <w:t xml:space="preserve">at its own port terminal, it is </w:t>
      </w:r>
      <w:r w:rsidRPr="00C606D8">
        <w:t>the fourth largest exporter from Victoria as a whole.</w:t>
      </w:r>
      <w:r>
        <w:t xml:space="preserve"> These larger exporters also face competition from a number of smaller players which in total represent 16 per cent of bulk grain exports from Victoria. </w:t>
      </w:r>
    </w:p>
    <w:p w:rsidR="00A46D1F" w:rsidRPr="008611AB" w:rsidRDefault="00A46D1F" w:rsidP="00A46D1F">
      <w:r w:rsidRPr="008611AB">
        <w:t xml:space="preserve">In light of the </w:t>
      </w:r>
      <w:r w:rsidR="00694DC8">
        <w:t xml:space="preserve">preceding </w:t>
      </w:r>
      <w:r w:rsidRPr="008611AB">
        <w:t xml:space="preserve">discussion regarding peak capacity in section </w:t>
      </w:r>
      <w:r w:rsidR="00694DC8">
        <w:t>2.2.2</w:t>
      </w:r>
      <w:r w:rsidRPr="008611AB">
        <w:t xml:space="preserve">, the ACCC has also considered the relative share of exports during peak periods compared with non-peak periods. </w:t>
      </w:r>
      <w:r w:rsidRPr="00F2549B">
        <w:t xml:space="preserve">Figure </w:t>
      </w:r>
      <w:r w:rsidR="00F47761" w:rsidRPr="00F2549B">
        <w:t>7</w:t>
      </w:r>
      <w:r w:rsidRPr="008611AB">
        <w:t xml:space="preserve"> shows the share of total exports over the whole year </w:t>
      </w:r>
      <w:r>
        <w:t>compared with</w:t>
      </w:r>
      <w:r w:rsidRPr="008611AB">
        <w:t xml:space="preserve"> just the peak period (February to May). </w:t>
      </w:r>
    </w:p>
    <w:p w:rsidR="00A46D1F" w:rsidRDefault="00A46D1F" w:rsidP="00B75E5A">
      <w:pPr>
        <w:pStyle w:val="Caption"/>
        <w:keepNext/>
      </w:pPr>
      <w:r w:rsidRPr="00DF73A1">
        <w:rPr>
          <w:sz w:val="20"/>
        </w:rPr>
        <w:t xml:space="preserve">Figure </w:t>
      </w:r>
      <w:r w:rsidR="008A1251" w:rsidRPr="00DF73A1">
        <w:rPr>
          <w:sz w:val="20"/>
        </w:rPr>
        <w:fldChar w:fldCharType="begin"/>
      </w:r>
      <w:r w:rsidR="008A1251" w:rsidRPr="00DF73A1">
        <w:rPr>
          <w:sz w:val="20"/>
        </w:rPr>
        <w:instrText xml:space="preserve"> SEQ Figure \* ARABIC </w:instrText>
      </w:r>
      <w:r w:rsidR="008A1251" w:rsidRPr="00DF73A1">
        <w:rPr>
          <w:sz w:val="20"/>
        </w:rPr>
        <w:fldChar w:fldCharType="separate"/>
      </w:r>
      <w:r w:rsidR="0090671A" w:rsidRPr="00DF73A1">
        <w:rPr>
          <w:sz w:val="20"/>
        </w:rPr>
        <w:t>7</w:t>
      </w:r>
      <w:r w:rsidR="008A1251" w:rsidRPr="00DF73A1">
        <w:rPr>
          <w:sz w:val="20"/>
        </w:rPr>
        <w:fldChar w:fldCharType="end"/>
      </w:r>
      <w:r w:rsidRPr="00DF73A1">
        <w:rPr>
          <w:sz w:val="20"/>
        </w:rPr>
        <w:t>: Share of exports annually and during peak periods</w:t>
      </w:r>
      <w:r w:rsidR="00CF12F0" w:rsidRPr="00CF12F0">
        <w:t xml:space="preserve"> </w:t>
      </w:r>
    </w:p>
    <w:p w:rsidR="00FE3EF3" w:rsidRDefault="00B75E5A" w:rsidP="0007238F">
      <w:pPr>
        <w:spacing w:before="0" w:after="120"/>
        <w:rPr>
          <w:sz w:val="18"/>
        </w:rPr>
      </w:pPr>
      <w:r w:rsidRPr="00B75E5A">
        <w:rPr>
          <w:noProof/>
          <w:lang w:eastAsia="en-AU"/>
        </w:rPr>
        <w:drawing>
          <wp:inline distT="0" distB="0" distL="0" distR="0" wp14:anchorId="45191BD5" wp14:editId="6F4D96C3">
            <wp:extent cx="5731510" cy="37250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3725051"/>
                    </a:xfrm>
                    <a:prstGeom prst="rect">
                      <a:avLst/>
                    </a:prstGeom>
                    <a:noFill/>
                    <a:ln>
                      <a:noFill/>
                    </a:ln>
                  </pic:spPr>
                </pic:pic>
              </a:graphicData>
            </a:graphic>
          </wp:inline>
        </w:drawing>
      </w:r>
      <w:r w:rsidR="00FE3EF3">
        <w:rPr>
          <w:sz w:val="18"/>
        </w:rPr>
        <w:t>Notes: Data for Melbourne port terminal is average exports over two years (2012-13 and 2013-14</w:t>
      </w:r>
      <w:r w:rsidR="00787D6C">
        <w:rPr>
          <w:sz w:val="18"/>
        </w:rPr>
        <w:t>)</w:t>
      </w:r>
      <w:r w:rsidR="00FE3EF3">
        <w:rPr>
          <w:sz w:val="18"/>
        </w:rPr>
        <w:t>. Data for the Geelong and Portland port terminals is average exports over three years to 2013-14</w:t>
      </w:r>
    </w:p>
    <w:p w:rsidR="00C620CE" w:rsidRPr="00E578A9" w:rsidRDefault="00C620CE" w:rsidP="00C620CE">
      <w:pPr>
        <w:rPr>
          <w:sz w:val="18"/>
        </w:rPr>
      </w:pPr>
      <w:r w:rsidRPr="00E578A9">
        <w:rPr>
          <w:sz w:val="18"/>
        </w:rPr>
        <w:t xml:space="preserve">Source: </w:t>
      </w:r>
      <w:r w:rsidR="00FE3EF3">
        <w:rPr>
          <w:sz w:val="18"/>
        </w:rPr>
        <w:t xml:space="preserve">Emerald loading statement dated 23 December 2014 and </w:t>
      </w:r>
      <w:r w:rsidR="0007238F">
        <w:rPr>
          <w:sz w:val="18"/>
        </w:rPr>
        <w:t>data provided by GrainCorp.</w:t>
      </w:r>
    </w:p>
    <w:p w:rsidR="00A46D1F" w:rsidRDefault="00A46D1F" w:rsidP="00A46D1F">
      <w:r>
        <w:t xml:space="preserve">There does not appear to be a significant difference between the share of exports during peak periods compared with the year as a whole. Importantly, exporters other than GrainCorp and Emerald have been able to access </w:t>
      </w:r>
      <w:r w:rsidR="003C3393">
        <w:t xml:space="preserve">similar levels of </w:t>
      </w:r>
      <w:r>
        <w:t xml:space="preserve">capacity during peak periods. At Portland, GrainCorp’s share of exports is actually lower during peak periods compared with the year as a whole. </w:t>
      </w:r>
    </w:p>
    <w:p w:rsidR="00A46D1F" w:rsidRDefault="00A46D1F" w:rsidP="00F2549B">
      <w:pPr>
        <w:keepNext/>
      </w:pPr>
      <w:r>
        <w:lastRenderedPageBreak/>
        <w:t xml:space="preserve">Based on the above analysis, the ACCC considers that there is currently </w:t>
      </w:r>
      <w:r w:rsidR="000F479F">
        <w:t xml:space="preserve">some level of effective </w:t>
      </w:r>
      <w:r>
        <w:t xml:space="preserve">competition in the downstream market for bulk wheat exports. Regarding the impact of the Code on this level of competition, the VFF submits that an exemption would restrict competition and that: </w:t>
      </w:r>
    </w:p>
    <w:p w:rsidR="00A46D1F" w:rsidRPr="00F2549B" w:rsidRDefault="00A46D1F" w:rsidP="00A46D1F">
      <w:pPr>
        <w:ind w:left="720"/>
        <w:rPr>
          <w:sz w:val="20"/>
        </w:rPr>
      </w:pPr>
      <w:r w:rsidRPr="00F2549B">
        <w:rPr>
          <w:sz w:val="20"/>
        </w:rPr>
        <w:t>the Code encourages competition and promotes efficiency in the market by driving volume through ports through providing provisions for all exporters to not be excluded or priced out of a market service provision.</w:t>
      </w:r>
      <w:r w:rsidRPr="00F2549B">
        <w:rPr>
          <w:rStyle w:val="FootnoteReference"/>
          <w:sz w:val="18"/>
        </w:rPr>
        <w:footnoteReference w:id="38"/>
      </w:r>
      <w:r w:rsidRPr="00F2549B">
        <w:rPr>
          <w:sz w:val="20"/>
        </w:rPr>
        <w:t xml:space="preserve"> </w:t>
      </w:r>
    </w:p>
    <w:p w:rsidR="00A46D1F" w:rsidRDefault="00A46D1F" w:rsidP="00A46D1F">
      <w:r w:rsidRPr="00D43E54">
        <w:t>Conversely, AGEA submits that</w:t>
      </w:r>
      <w:r w:rsidR="003C3393">
        <w:t>:</w:t>
      </w:r>
    </w:p>
    <w:p w:rsidR="00A46D1F" w:rsidRPr="00F2549B" w:rsidRDefault="00A46D1F" w:rsidP="00A46D1F">
      <w:pPr>
        <w:ind w:left="720"/>
        <w:rPr>
          <w:sz w:val="20"/>
        </w:rPr>
      </w:pPr>
      <w:r w:rsidRPr="00F2549B">
        <w:rPr>
          <w:sz w:val="20"/>
        </w:rPr>
        <w:t>the exemptions will assist to promote competition, flexibility and supply chain efficiencies and that the industry will be best served by moving to a fully deregulated market.</w:t>
      </w:r>
      <w:r w:rsidRPr="00F2549B">
        <w:rPr>
          <w:rStyle w:val="FootnoteReference"/>
          <w:sz w:val="18"/>
        </w:rPr>
        <w:footnoteReference w:id="39"/>
      </w:r>
    </w:p>
    <w:p w:rsidR="00A46D1F" w:rsidRDefault="00A46D1F" w:rsidP="00A46D1F">
      <w:r>
        <w:t xml:space="preserve">The ACCC is considering whether the current level of competition is likely to be maintained if one or more of the Victorian port terminal service providers are granted an exemption under the Code. This depends in part on the reasons behind the current level of competition, which include consideration of the presence and impact of capacity constraints (discussed above) and upcountry supply chain (discussed in chapter 3). </w:t>
      </w:r>
    </w:p>
    <w:p w:rsidR="00A46D1F" w:rsidRDefault="00A46D1F" w:rsidP="00A46D1F">
      <w:r>
        <w:t xml:space="preserve">If an exemption were granted, the ACCC considers there may be a risk that port terminal operators would favour larger exporters, who are more likely to have greater bargaining power in negotiating the terms of access given that their volumes would be needed to maximise throughput. This is particularly the case for exporters who are </w:t>
      </w:r>
      <w:r w:rsidR="00E153C5">
        <w:t xml:space="preserve">building or </w:t>
      </w:r>
      <w:r>
        <w:t>able to build their own port terminal (such as Bunge</w:t>
      </w:r>
      <w:r w:rsidR="00E153C5">
        <w:t xml:space="preserve"> at Geelong</w:t>
      </w:r>
      <w:r>
        <w:t xml:space="preserve">, </w:t>
      </w:r>
      <w:r w:rsidR="00AC3415">
        <w:t xml:space="preserve">and potentially </w:t>
      </w:r>
      <w:r>
        <w:t>Cargill and Noble</w:t>
      </w:r>
      <w:r w:rsidR="00E153C5">
        <w:t xml:space="preserve"> at Portland</w:t>
      </w:r>
      <w:r>
        <w:t xml:space="preserve">). It is therefore possible that </w:t>
      </w:r>
      <w:r w:rsidR="00C620CE">
        <w:t>if the exemptions were granted so that parts 3 to 6 of the Code did not apply</w:t>
      </w:r>
      <w:r>
        <w:t xml:space="preserve">, smaller exporters would have a reduced ability to negotiate terms of access and may be unable to obtain capacity (particularly during peak times) at an exempt port terminal. The extent to which these concerns apply to each of the Victorian port terminal facilities is discussed in each of the assessments at </w:t>
      </w:r>
      <w:r w:rsidR="00C620CE" w:rsidRPr="00F2549B">
        <w:t>c</w:t>
      </w:r>
      <w:r w:rsidRPr="00F2549B">
        <w:t>hapters 4</w:t>
      </w:r>
      <w:r w:rsidR="00B6254A" w:rsidRPr="00F2549B">
        <w:t xml:space="preserve"> to </w:t>
      </w:r>
      <w:r w:rsidRPr="00F2549B">
        <w:t>6</w:t>
      </w:r>
      <w:r>
        <w:t>.</w:t>
      </w:r>
    </w:p>
    <w:bookmarkEnd w:id="66"/>
    <w:p w:rsidR="00761EE7" w:rsidRDefault="00761EE7">
      <w:pPr>
        <w:spacing w:before="0" w:after="200" w:line="276" w:lineRule="auto"/>
        <w:rPr>
          <w:rFonts w:ascii="Lucida Fax" w:eastAsiaTheme="majorEastAsia" w:hAnsi="Lucida Fax" w:cstheme="majorBidi"/>
          <w:bCs/>
          <w:color w:val="51626F"/>
          <w:sz w:val="32"/>
          <w:szCs w:val="28"/>
        </w:rPr>
      </w:pPr>
      <w:r>
        <w:br w:type="page"/>
      </w:r>
    </w:p>
    <w:p w:rsidR="00612939" w:rsidRDefault="006B7A57" w:rsidP="00B77B94">
      <w:pPr>
        <w:pStyle w:val="Heading1"/>
      </w:pPr>
      <w:bookmarkStart w:id="68" w:name="_Toc416360492"/>
      <w:r>
        <w:lastRenderedPageBreak/>
        <w:t xml:space="preserve">Competition </w:t>
      </w:r>
      <w:r w:rsidR="00023083">
        <w:t>across</w:t>
      </w:r>
      <w:r w:rsidR="00C87905">
        <w:t xml:space="preserve"> the </w:t>
      </w:r>
      <w:r w:rsidR="00B24766">
        <w:t xml:space="preserve">bulk wheat </w:t>
      </w:r>
      <w:r w:rsidR="00C87905">
        <w:t xml:space="preserve">supply chain, </w:t>
      </w:r>
      <w:r>
        <w:t>container exports and domestic demand</w:t>
      </w:r>
      <w:bookmarkEnd w:id="68"/>
    </w:p>
    <w:p w:rsidR="006B7A57" w:rsidRDefault="002E0669" w:rsidP="002E0669">
      <w:r>
        <w:t xml:space="preserve">This chapter </w:t>
      </w:r>
      <w:r w:rsidR="00643051">
        <w:t xml:space="preserve">sets out the ACCC’s </w:t>
      </w:r>
      <w:r w:rsidR="00B5416B">
        <w:t>preliminary</w:t>
      </w:r>
      <w:r w:rsidR="00643051">
        <w:t xml:space="preserve"> views on </w:t>
      </w:r>
      <w:r w:rsidR="008E547D">
        <w:t xml:space="preserve">bulk wheat supply chain </w:t>
      </w:r>
      <w:r w:rsidR="00E448F6">
        <w:t>services</w:t>
      </w:r>
      <w:r>
        <w:t xml:space="preserve"> upstream from the port such as upcountry storage and grain transportation services. </w:t>
      </w:r>
      <w:r w:rsidR="008E547D">
        <w:t xml:space="preserve">In particular, the ACCC has considered the extent to which each of the port terminals draw grain from overlapping catchment areas, and therefore the extent to which the port terminals compete with each other </w:t>
      </w:r>
      <w:r w:rsidR="00076F2A">
        <w:t xml:space="preserve">for bulk wheat export volumes. </w:t>
      </w:r>
    </w:p>
    <w:p w:rsidR="002E0669" w:rsidRDefault="002E0669" w:rsidP="002E0669">
      <w:r>
        <w:t xml:space="preserve">This chapter also </w:t>
      </w:r>
      <w:r w:rsidR="00B6254A">
        <w:t>discusses</w:t>
      </w:r>
      <w:r w:rsidR="006B7A57">
        <w:t xml:space="preserve"> </w:t>
      </w:r>
      <w:r w:rsidR="00A95697">
        <w:t>the competitive</w:t>
      </w:r>
      <w:r w:rsidR="006B7A57">
        <w:t xml:space="preserve"> effect of </w:t>
      </w:r>
      <w:r>
        <w:t xml:space="preserve">container export </w:t>
      </w:r>
      <w:r w:rsidR="006B7A57">
        <w:t xml:space="preserve">services </w:t>
      </w:r>
      <w:r>
        <w:t xml:space="preserve">and the domestic </w:t>
      </w:r>
      <w:r w:rsidR="00946506">
        <w:t xml:space="preserve">demand </w:t>
      </w:r>
      <w:r>
        <w:t>for wheat.</w:t>
      </w:r>
      <w:r w:rsidR="00076F2A">
        <w:t xml:space="preserve"> </w:t>
      </w:r>
      <w:r w:rsidR="006B7A57">
        <w:t xml:space="preserve">In particular, </w:t>
      </w:r>
      <w:r w:rsidR="00946506">
        <w:t xml:space="preserve">containerised exports and </w:t>
      </w:r>
      <w:r w:rsidR="00076F2A">
        <w:t xml:space="preserve">domestic </w:t>
      </w:r>
      <w:r w:rsidR="00946506">
        <w:t xml:space="preserve">demand </w:t>
      </w:r>
      <w:r w:rsidR="00076F2A">
        <w:t xml:space="preserve">are alternative options for grain </w:t>
      </w:r>
      <w:r w:rsidR="00946506">
        <w:t xml:space="preserve">marketers </w:t>
      </w:r>
      <w:r w:rsidR="00076F2A">
        <w:t xml:space="preserve">wishing to sell wheat, and therefore potentially provide a competitive constraint on the </w:t>
      </w:r>
      <w:r w:rsidR="00946506">
        <w:t xml:space="preserve">bulk wheat </w:t>
      </w:r>
      <w:r w:rsidR="00076F2A">
        <w:t xml:space="preserve">port terminal service providers. </w:t>
      </w:r>
    </w:p>
    <w:p w:rsidR="00076F2A" w:rsidRDefault="00076F2A" w:rsidP="00F47761">
      <w:pPr>
        <w:pStyle w:val="Normalparagraph"/>
      </w:pPr>
      <w:r>
        <w:t xml:space="preserve">The ACCC’s consideration of the extent to which the port terminal service providers compete with each other and are constrained by </w:t>
      </w:r>
      <w:r w:rsidR="00103BE8">
        <w:t xml:space="preserve">containerised exports and </w:t>
      </w:r>
      <w:r>
        <w:t xml:space="preserve">domestic </w:t>
      </w:r>
      <w:r w:rsidR="00103BE8">
        <w:t xml:space="preserve">demand </w:t>
      </w:r>
      <w:r w:rsidR="000E5E46">
        <w:t>is relevant to the ACCC’s assessment of the exemption application</w:t>
      </w:r>
      <w:r w:rsidR="006F3505">
        <w:t xml:space="preserve">, having regard to the matters </w:t>
      </w:r>
      <w:r w:rsidR="000E5E46">
        <w:t xml:space="preserve">under subclause 5(3) of the Code. </w:t>
      </w:r>
      <w:r>
        <w:t xml:space="preserve">. </w:t>
      </w:r>
    </w:p>
    <w:p w:rsidR="00927468" w:rsidRDefault="00927468" w:rsidP="00927468">
      <w:r>
        <w:t xml:space="preserve">Stakeholder views from the ACCC’s consultation process on the exemption applications are also included </w:t>
      </w:r>
      <w:r w:rsidR="0076447D">
        <w:t xml:space="preserve">as relevant </w:t>
      </w:r>
      <w:r>
        <w:t>through this chapter.</w:t>
      </w:r>
    </w:p>
    <w:p w:rsidR="00B77B94" w:rsidRDefault="00085D30" w:rsidP="00B77B94">
      <w:pPr>
        <w:pStyle w:val="Heading2"/>
      </w:pPr>
      <w:bookmarkStart w:id="69" w:name="_Toc416360493"/>
      <w:r>
        <w:t xml:space="preserve">Victorian port terminals’ </w:t>
      </w:r>
      <w:r w:rsidR="00C301B5">
        <w:t>upcountry links</w:t>
      </w:r>
      <w:bookmarkEnd w:id="69"/>
    </w:p>
    <w:p w:rsidR="00CC535B" w:rsidRDefault="00CC535B" w:rsidP="00CC535B">
      <w:r>
        <w:t xml:space="preserve">The upcountry </w:t>
      </w:r>
      <w:r w:rsidR="00D46527">
        <w:t>environment</w:t>
      </w:r>
      <w:r>
        <w:t xml:space="preserve"> relating to the Victorian port terminals is a relevant consideration </w:t>
      </w:r>
      <w:r w:rsidR="00B31CB0">
        <w:t xml:space="preserve">in the ACCC’s assessment </w:t>
      </w:r>
      <w:r>
        <w:t xml:space="preserve">as both GrainCorp and Emerald </w:t>
      </w:r>
      <w:r w:rsidR="003061F6">
        <w:t>have</w:t>
      </w:r>
      <w:r>
        <w:t xml:space="preserve"> vertically integrated </w:t>
      </w:r>
      <w:r w:rsidR="003061F6">
        <w:t xml:space="preserve">operations </w:t>
      </w:r>
      <w:r w:rsidR="00B31CB0">
        <w:t>in Victoria</w:t>
      </w:r>
      <w:r>
        <w:t xml:space="preserve">. </w:t>
      </w:r>
      <w:r w:rsidR="00B6254A">
        <w:t>Whether either of the port operators is able to use its position in upcountry markets to limit the ability of competing exporters to access port terminal services is relevant to the ACCC’s consideration of the exemption applications.</w:t>
      </w:r>
    </w:p>
    <w:p w:rsidR="001608F3" w:rsidRDefault="00E21C89" w:rsidP="001608F3">
      <w:r>
        <w:t xml:space="preserve">GrainCorp and Emerald </w:t>
      </w:r>
      <w:r w:rsidR="00794063">
        <w:t xml:space="preserve">have </w:t>
      </w:r>
      <w:r w:rsidR="001608F3">
        <w:t>identif</w:t>
      </w:r>
      <w:r w:rsidR="00794063">
        <w:t>ied</w:t>
      </w:r>
      <w:r w:rsidR="001608F3">
        <w:t xml:space="preserve"> </w:t>
      </w:r>
      <w:r w:rsidR="00DD2E5C">
        <w:t>the</w:t>
      </w:r>
      <w:r w:rsidR="001608F3">
        <w:t xml:space="preserve"> </w:t>
      </w:r>
      <w:r w:rsidR="003F12C9">
        <w:t xml:space="preserve">broad </w:t>
      </w:r>
      <w:r w:rsidR="001608F3">
        <w:t>geographic area</w:t>
      </w:r>
      <w:r w:rsidR="00C5269B">
        <w:t>s</w:t>
      </w:r>
      <w:r w:rsidR="00DD2E5C">
        <w:t xml:space="preserve"> </w:t>
      </w:r>
      <w:r w:rsidR="008A15C0">
        <w:t>which produce grain that can be exported through their</w:t>
      </w:r>
      <w:r w:rsidR="00DD2E5C">
        <w:t xml:space="preserve"> </w:t>
      </w:r>
      <w:r w:rsidR="008A15C0">
        <w:t xml:space="preserve">Victorian </w:t>
      </w:r>
      <w:r w:rsidR="00DD2E5C">
        <w:t>port terminals</w:t>
      </w:r>
      <w:r w:rsidR="001608F3">
        <w:t>.</w:t>
      </w:r>
      <w:r w:rsidR="005A0F8E">
        <w:t xml:space="preserve"> </w:t>
      </w:r>
      <w:r w:rsidR="005A0F8E" w:rsidRPr="001608F3">
        <w:t>E</w:t>
      </w:r>
      <w:r w:rsidR="00565285">
        <w:t xml:space="preserve">merald’s website states that its </w:t>
      </w:r>
      <w:r w:rsidR="005A0F8E" w:rsidRPr="001608F3">
        <w:t xml:space="preserve">upcountry facilities in Victoria and </w:t>
      </w:r>
      <w:r w:rsidR="00C5269B">
        <w:t>s</w:t>
      </w:r>
      <w:r w:rsidR="005A0F8E" w:rsidRPr="001608F3">
        <w:t xml:space="preserve">outhern New South Wales feed its </w:t>
      </w:r>
      <w:r w:rsidR="007C129D">
        <w:t>MPT</w:t>
      </w:r>
      <w:r w:rsidR="005A0F8E">
        <w:t xml:space="preserve"> (a</w:t>
      </w:r>
      <w:r w:rsidR="005A0F8E" w:rsidRPr="007E1A53">
        <w:t xml:space="preserve">nd </w:t>
      </w:r>
      <w:r w:rsidR="005A0F8E">
        <w:t xml:space="preserve">Emerald’s </w:t>
      </w:r>
      <w:r w:rsidR="005A0F8E" w:rsidRPr="007E1A53">
        <w:t>new joint v</w:t>
      </w:r>
      <w:r w:rsidR="005A0F8E">
        <w:t xml:space="preserve">enture terminal at Port Kembla which is </w:t>
      </w:r>
      <w:r w:rsidR="005A0F8E" w:rsidRPr="007E1A53">
        <w:t>due for completion October 2015)</w:t>
      </w:r>
      <w:r w:rsidR="005A0F8E">
        <w:t>.</w:t>
      </w:r>
      <w:r w:rsidR="005A0F8E">
        <w:rPr>
          <w:rStyle w:val="FootnoteReference"/>
        </w:rPr>
        <w:footnoteReference w:id="40"/>
      </w:r>
      <w:r w:rsidR="005A0F8E">
        <w:t xml:space="preserve"> </w:t>
      </w:r>
      <w:r w:rsidR="001608F3">
        <w:t>Emerald submits that:</w:t>
      </w:r>
    </w:p>
    <w:p w:rsidR="001608F3" w:rsidRPr="001608F3" w:rsidRDefault="001608F3" w:rsidP="001608F3">
      <w:pPr>
        <w:ind w:left="576"/>
        <w:rPr>
          <w:sz w:val="20"/>
        </w:rPr>
      </w:pPr>
      <w:r w:rsidRPr="001608F3">
        <w:rPr>
          <w:sz w:val="20"/>
        </w:rPr>
        <w:t>Victoria’s key catchment areas include the Melbourne, Loddon, Goulburn, Ovens-Murray, Gippsland, East Gippsland, Central Highlands, Barwon, Western District, Wimmera an</w:t>
      </w:r>
      <w:r w:rsidR="00B47A56">
        <w:rPr>
          <w:sz w:val="20"/>
        </w:rPr>
        <w:t>d Mallee statistical divisions.</w:t>
      </w:r>
      <w:r w:rsidR="00B47A56">
        <w:rPr>
          <w:rStyle w:val="FootnoteReference"/>
        </w:rPr>
        <w:footnoteReference w:id="41"/>
      </w:r>
    </w:p>
    <w:p w:rsidR="001608F3" w:rsidRPr="001608F3" w:rsidRDefault="001608F3" w:rsidP="001608F3">
      <w:pPr>
        <w:ind w:left="576"/>
        <w:rPr>
          <w:sz w:val="20"/>
        </w:rPr>
      </w:pPr>
      <w:r w:rsidRPr="001608F3">
        <w:rPr>
          <w:sz w:val="20"/>
        </w:rPr>
        <w:t>Grain produced in Victoria is consumed domestically or exported through Melbourne port terminal or its competitor ports, primarily Geelong and Portland but also Port Kembla and Port Adelaide.</w:t>
      </w:r>
      <w:r w:rsidR="00B47A56">
        <w:rPr>
          <w:rStyle w:val="FootnoteReference"/>
        </w:rPr>
        <w:footnoteReference w:id="42"/>
      </w:r>
    </w:p>
    <w:p w:rsidR="00E21C89" w:rsidRDefault="00B47A56" w:rsidP="00C301B5">
      <w:pPr>
        <w:rPr>
          <w:sz w:val="20"/>
        </w:rPr>
      </w:pPr>
      <w:r>
        <w:t xml:space="preserve">GrainCorp </w:t>
      </w:r>
      <w:r w:rsidR="003F12C9">
        <w:t>submits that Vict</w:t>
      </w:r>
      <w:r w:rsidR="00DD2E5C">
        <w:t>oria operates as one port zone, whereby Victorian grain can feed ports in Melbourne, Geelong, Portland and Adelaide.</w:t>
      </w:r>
      <w:r w:rsidR="00DD2E5C">
        <w:rPr>
          <w:rStyle w:val="FootnoteReference"/>
        </w:rPr>
        <w:footnoteReference w:id="43"/>
      </w:r>
      <w:r w:rsidR="00D946C9">
        <w:t xml:space="preserve"> </w:t>
      </w:r>
    </w:p>
    <w:p w:rsidR="008A15C0" w:rsidRDefault="00F23F96" w:rsidP="00F23F96">
      <w:r>
        <w:lastRenderedPageBreak/>
        <w:t>T</w:t>
      </w:r>
      <w:r w:rsidR="008A15C0">
        <w:t xml:space="preserve">otal grain production in Victoria </w:t>
      </w:r>
      <w:r>
        <w:t>has varied over the last ten years. According to data from</w:t>
      </w:r>
      <w:r w:rsidR="00DF1E20">
        <w:t xml:space="preserve"> the</w:t>
      </w:r>
      <w:r>
        <w:t xml:space="preserve"> Australian Bureau of Agricultural and Resource Economics and Sciences</w:t>
      </w:r>
      <w:r w:rsidR="00DF1E20">
        <w:t xml:space="preserve"> (ABARES)</w:t>
      </w:r>
      <w:r>
        <w:t xml:space="preserve">, winter grain production in Victoria ranged from a low of 1.7 million tonnes in 2006-07 to </w:t>
      </w:r>
      <w:r w:rsidR="00DF1E20">
        <w:t>7.6 </w:t>
      </w:r>
      <w:r>
        <w:t>million tonnes in 2010-11.</w:t>
      </w:r>
      <w:r>
        <w:rPr>
          <w:rStyle w:val="FootnoteReference"/>
        </w:rPr>
        <w:footnoteReference w:id="44"/>
      </w:r>
      <w:r>
        <w:t xml:space="preserve"> In three out of the last four years to 2013-14, </w:t>
      </w:r>
      <w:r w:rsidR="000E2403">
        <w:t xml:space="preserve">Victorian grain </w:t>
      </w:r>
      <w:r>
        <w:t>production exceeded 7 million tonnes.</w:t>
      </w:r>
      <w:r w:rsidR="00211DC2">
        <w:t xml:space="preserve"> </w:t>
      </w:r>
    </w:p>
    <w:p w:rsidR="00211DC2" w:rsidRDefault="00211DC2" w:rsidP="00F23F96">
      <w:r w:rsidRPr="00211DC2">
        <w:t>Wheat is Victoria's largest crop, followed by barley, canola, oats and lentils.</w:t>
      </w:r>
      <w:r>
        <w:rPr>
          <w:rStyle w:val="FootnoteReference"/>
        </w:rPr>
        <w:footnoteReference w:id="45"/>
      </w:r>
    </w:p>
    <w:p w:rsidR="00C301B5" w:rsidRDefault="00C301B5" w:rsidP="00C301B5">
      <w:pPr>
        <w:pStyle w:val="Heading3"/>
      </w:pPr>
      <w:r>
        <w:t xml:space="preserve">Upcountry storage </w:t>
      </w:r>
      <w:r w:rsidR="00E16D5F">
        <w:t>and handling</w:t>
      </w:r>
    </w:p>
    <w:p w:rsidR="00F025C2" w:rsidRDefault="00A05E90" w:rsidP="00F025C2">
      <w:r>
        <w:t>The Productivity Commission (PC) addressed upcountry storage and handling and transport networks in its</w:t>
      </w:r>
      <w:r w:rsidRPr="00A05E90">
        <w:t xml:space="preserve"> inquiry</w:t>
      </w:r>
      <w:r>
        <w:t xml:space="preserve"> report</w:t>
      </w:r>
      <w:r w:rsidRPr="00A05E90">
        <w:t xml:space="preserve"> into Wheat Export Marketing Arrangements in July 2010</w:t>
      </w:r>
      <w:r>
        <w:t xml:space="preserve">. The PC noted three findings </w:t>
      </w:r>
      <w:r w:rsidR="00597F0B">
        <w:t xml:space="preserve">relating to upcountry networks </w:t>
      </w:r>
      <w:r>
        <w:t>from its inquiry, specifically:</w:t>
      </w:r>
    </w:p>
    <w:p w:rsidR="00A05E90" w:rsidRPr="00A05E90" w:rsidRDefault="00A05E90" w:rsidP="00A05E90">
      <w:pPr>
        <w:spacing w:before="0" w:after="120"/>
        <w:ind w:left="578"/>
        <w:rPr>
          <w:sz w:val="20"/>
        </w:rPr>
      </w:pPr>
      <w:r w:rsidRPr="00A05E90">
        <w:rPr>
          <w:sz w:val="20"/>
        </w:rPr>
        <w:t>Greater competition can improve the efficiency of the grain supply chain. These efficiency improvements lower the costs of the supply chain, providing benefits to the industry, and particularly to growers.</w:t>
      </w:r>
    </w:p>
    <w:p w:rsidR="00A05E90" w:rsidRPr="00A05E90" w:rsidRDefault="00A05E90" w:rsidP="00A05E90">
      <w:pPr>
        <w:spacing w:before="0" w:after="120"/>
        <w:ind w:left="578"/>
        <w:rPr>
          <w:sz w:val="20"/>
        </w:rPr>
      </w:pPr>
      <w:r w:rsidRPr="00A05E90">
        <w:rPr>
          <w:sz w:val="20"/>
        </w:rPr>
        <w:t>Up-country storage facilities do not exhibit natural monopoly characteristics. There is no case for specific third party access regulation. Specific access regulation is likely to hinder the development of efficient supply chains.</w:t>
      </w:r>
    </w:p>
    <w:p w:rsidR="00A05E90" w:rsidRPr="00A05E90" w:rsidRDefault="00A05E90" w:rsidP="00EB7C04">
      <w:pPr>
        <w:spacing w:before="0"/>
        <w:ind w:left="578"/>
        <w:rPr>
          <w:sz w:val="20"/>
        </w:rPr>
      </w:pPr>
      <w:r w:rsidRPr="00A05E90">
        <w:rPr>
          <w:sz w:val="20"/>
        </w:rPr>
        <w:t>Competition in the grain supply chain requires that participants have the ability to by-pass the bulk handling system.</w:t>
      </w:r>
      <w:r w:rsidRPr="00A05E90">
        <w:rPr>
          <w:vertAlign w:val="superscript"/>
        </w:rPr>
        <w:footnoteReference w:id="46"/>
      </w:r>
    </w:p>
    <w:p w:rsidR="00597F0B" w:rsidRDefault="007933C2" w:rsidP="00597F0B">
      <w:r>
        <w:t xml:space="preserve">The ACCC considers that the </w:t>
      </w:r>
      <w:r w:rsidR="009E1C05">
        <w:t xml:space="preserve">current </w:t>
      </w:r>
      <w:r>
        <w:t>state of competit</w:t>
      </w:r>
      <w:r w:rsidR="008C5AC3">
        <w:t>ion</w:t>
      </w:r>
      <w:r>
        <w:t xml:space="preserve"> in upcountry storage and handling </w:t>
      </w:r>
      <w:r w:rsidR="00543E88">
        <w:t xml:space="preserve">facilities </w:t>
      </w:r>
      <w:r w:rsidR="00434F6D">
        <w:t xml:space="preserve">across Victoria and southern NSW </w:t>
      </w:r>
      <w:r w:rsidR="00543E88">
        <w:t>is</w:t>
      </w:r>
      <w:r w:rsidR="009E1C05">
        <w:t xml:space="preserve"> relevant to the assessments of GrainCorp and Emerald’s exemption applications</w:t>
      </w:r>
      <w:r w:rsidR="00597F0B">
        <w:t>.</w:t>
      </w:r>
      <w:r w:rsidR="0097784A">
        <w:t xml:space="preserve"> If there is a sufficient degree of competition in upcountry services</w:t>
      </w:r>
      <w:r w:rsidR="00382851">
        <w:t>,</w:t>
      </w:r>
      <w:r w:rsidR="0097784A">
        <w:t xml:space="preserve"> it would limit the ability for a port operator </w:t>
      </w:r>
      <w:r w:rsidR="0097784A" w:rsidRPr="0097784A">
        <w:t xml:space="preserve">to leverage market power from </w:t>
      </w:r>
      <w:r w:rsidR="0097784A">
        <w:t xml:space="preserve">its </w:t>
      </w:r>
      <w:r w:rsidR="0097784A" w:rsidRPr="0097784A">
        <w:t xml:space="preserve">upcountry networks to </w:t>
      </w:r>
      <w:r w:rsidR="0097784A">
        <w:t xml:space="preserve">its </w:t>
      </w:r>
      <w:r w:rsidR="0097784A" w:rsidRPr="0097784A">
        <w:t>port terminal services.</w:t>
      </w:r>
    </w:p>
    <w:p w:rsidR="00F025C2" w:rsidRDefault="00F025C2" w:rsidP="00F025C2">
      <w:r>
        <w:t>Emerald and GrainCorp submit that there is excess upcountry storage capacity in Victoria. Emerald submits that:</w:t>
      </w:r>
    </w:p>
    <w:p w:rsidR="00F025C2" w:rsidRDefault="00F025C2" w:rsidP="00F025C2">
      <w:pPr>
        <w:spacing w:before="0" w:after="120"/>
        <w:ind w:left="578"/>
        <w:rPr>
          <w:sz w:val="20"/>
        </w:rPr>
      </w:pPr>
      <w:r w:rsidRPr="00FF5445">
        <w:rPr>
          <w:sz w:val="20"/>
        </w:rPr>
        <w:t>The competitive landscape exhibits a storage and handling network with greater capacity then the volume of grain produced</w:t>
      </w:r>
      <w:r w:rsidRPr="00091B2A">
        <w:rPr>
          <w:sz w:val="20"/>
        </w:rPr>
        <w:t>.</w:t>
      </w:r>
    </w:p>
    <w:p w:rsidR="00F025C2" w:rsidRDefault="00F025C2" w:rsidP="00F025C2">
      <w:pPr>
        <w:spacing w:before="0" w:after="360"/>
        <w:ind w:left="578"/>
      </w:pPr>
      <w:r>
        <w:rPr>
          <w:sz w:val="20"/>
        </w:rPr>
        <w:t xml:space="preserve">GrainCorp has a significantly larger and more geographically diversified upcountry storage and handling network than Emerald. This assists GrainCorp in providing more competitive pricing around its upcountry silos. In doing so GrainCorp draws grain that is naturally freight </w:t>
      </w:r>
      <w:r w:rsidRPr="00DF0315">
        <w:rPr>
          <w:sz w:val="20"/>
        </w:rPr>
        <w:t>advantage</w:t>
      </w:r>
      <w:r w:rsidR="00DF0315" w:rsidRPr="00E221E8">
        <w:rPr>
          <w:sz w:val="20"/>
        </w:rPr>
        <w:t>d</w:t>
      </w:r>
      <w:r>
        <w:rPr>
          <w:sz w:val="20"/>
        </w:rPr>
        <w:t xml:space="preserve"> to Melbourne into its upcountry silos, and then uses a less efficient pathway to move that grain through bulk export out of Geelong.</w:t>
      </w:r>
      <w:r w:rsidRPr="00091B2A">
        <w:rPr>
          <w:rStyle w:val="FootnoteReference"/>
        </w:rPr>
        <w:t xml:space="preserve"> </w:t>
      </w:r>
      <w:r>
        <w:rPr>
          <w:rStyle w:val="FootnoteReference"/>
        </w:rPr>
        <w:footnoteReference w:id="47"/>
      </w:r>
    </w:p>
    <w:p w:rsidR="00F025C2" w:rsidRDefault="00F025C2" w:rsidP="00F025C2">
      <w:r>
        <w:t>GrainCorp submits that:</w:t>
      </w:r>
    </w:p>
    <w:p w:rsidR="00F025C2" w:rsidRDefault="00F025C2" w:rsidP="00F025C2">
      <w:pPr>
        <w:spacing w:before="0" w:after="0"/>
        <w:ind w:left="578"/>
        <w:rPr>
          <w:sz w:val="20"/>
        </w:rPr>
      </w:pPr>
      <w:r w:rsidRPr="00FF5445">
        <w:rPr>
          <w:sz w:val="20"/>
        </w:rPr>
        <w:t>The large range of marketing options in Victoria has supported the construction and operation of a substantial and competitive country storage network. Various storage providers can readily supply wheat and other grains into alternative local and exports channels, depending on the market price and supply chain cost for grain.</w:t>
      </w:r>
    </w:p>
    <w:p w:rsidR="00F025C2" w:rsidRDefault="00F025C2" w:rsidP="00F025C2">
      <w:pPr>
        <w:spacing w:after="360"/>
        <w:ind w:left="578"/>
        <w:rPr>
          <w:sz w:val="20"/>
        </w:rPr>
      </w:pPr>
      <w:r w:rsidRPr="00FF5445">
        <w:rPr>
          <w:sz w:val="20"/>
        </w:rPr>
        <w:lastRenderedPageBreak/>
        <w:t>Victoria has significant excess country storage capacity. GrainCorp estimates that Victoria has total storage capacity of 14Mt. Average utilisation of country storage is only 39% based on an average grain production of 5.3Mt or 59% based on peak grain production.</w:t>
      </w:r>
      <w:r>
        <w:rPr>
          <w:rStyle w:val="FootnoteReference"/>
        </w:rPr>
        <w:footnoteReference w:id="48"/>
      </w:r>
    </w:p>
    <w:p w:rsidR="00F025C2" w:rsidRDefault="00F025C2" w:rsidP="00F025C2">
      <w:r>
        <w:t xml:space="preserve">Several </w:t>
      </w:r>
      <w:r w:rsidR="0085191F">
        <w:t xml:space="preserve">other </w:t>
      </w:r>
      <w:r>
        <w:t xml:space="preserve">public submissions made comments regarding the upcountry storage and handling facilities in Victoria and southern NSW. </w:t>
      </w:r>
    </w:p>
    <w:p w:rsidR="00F025C2" w:rsidRDefault="00F025C2" w:rsidP="00F025C2">
      <w:pPr>
        <w:pStyle w:val="Normalparagraph"/>
        <w:keepNext/>
      </w:pPr>
      <w:r>
        <w:t>GrainGrowers submits that:</w:t>
      </w:r>
    </w:p>
    <w:p w:rsidR="00F025C2" w:rsidRPr="00AD03F0" w:rsidRDefault="00F025C2" w:rsidP="00F025C2">
      <w:pPr>
        <w:ind w:left="576"/>
        <w:rPr>
          <w:sz w:val="20"/>
        </w:rPr>
      </w:pPr>
      <w:r w:rsidRPr="00023288">
        <w:rPr>
          <w:sz w:val="20"/>
        </w:rPr>
        <w:t>Emerald, compared to GrainCorp, has very minimal influence on upstream markets, and this is diminished by the strong domestic market, competing storage and container trade</w:t>
      </w:r>
      <w:r w:rsidRPr="00AD03F0">
        <w:rPr>
          <w:sz w:val="20"/>
        </w:rPr>
        <w:t>.</w:t>
      </w:r>
    </w:p>
    <w:p w:rsidR="00F025C2" w:rsidRPr="00023288" w:rsidRDefault="00F025C2" w:rsidP="00F025C2">
      <w:pPr>
        <w:spacing w:before="0" w:after="360"/>
        <w:ind w:left="578"/>
        <w:rPr>
          <w:sz w:val="20"/>
        </w:rPr>
      </w:pPr>
      <w:r w:rsidRPr="00023288">
        <w:rPr>
          <w:sz w:val="20"/>
        </w:rPr>
        <w:t>GrainCorp faces excess country and packing capacity for the majority of Victorian grain.</w:t>
      </w:r>
      <w:r w:rsidRPr="00023288">
        <w:rPr>
          <w:rStyle w:val="FootnoteReference"/>
        </w:rPr>
        <w:t xml:space="preserve"> </w:t>
      </w:r>
      <w:r>
        <w:rPr>
          <w:rStyle w:val="FootnoteReference"/>
        </w:rPr>
        <w:footnoteReference w:id="49"/>
      </w:r>
    </w:p>
    <w:p w:rsidR="00F025C2" w:rsidRDefault="00F025C2" w:rsidP="00F025C2">
      <w:pPr>
        <w:keepNext/>
      </w:pPr>
      <w:r>
        <w:t xml:space="preserve">The GIAV submits that it </w:t>
      </w:r>
      <w:r w:rsidRPr="00C5269B">
        <w:t xml:space="preserve">agrees with the </w:t>
      </w:r>
      <w:r>
        <w:t xml:space="preserve">supporting </w:t>
      </w:r>
      <w:r w:rsidRPr="00C5269B">
        <w:t xml:space="preserve">submissions made by GrainCorp and Emerald in relation to upcountry </w:t>
      </w:r>
      <w:r>
        <w:t xml:space="preserve">storage and </w:t>
      </w:r>
      <w:r w:rsidRPr="00C5269B">
        <w:t>handling</w:t>
      </w:r>
      <w:r w:rsidRPr="006224D9">
        <w:rPr>
          <w:sz w:val="20"/>
        </w:rPr>
        <w:t>.</w:t>
      </w:r>
      <w:r>
        <w:rPr>
          <w:rStyle w:val="FootnoteReference"/>
        </w:rPr>
        <w:footnoteReference w:id="50"/>
      </w:r>
    </w:p>
    <w:p w:rsidR="00F025C2" w:rsidRPr="00E60DF2" w:rsidRDefault="00F025C2" w:rsidP="00F025C2">
      <w:r>
        <w:t xml:space="preserve">The VFF presents an alternative view and submits that </w:t>
      </w:r>
      <w:r w:rsidRPr="00E60DF2">
        <w:t>the vertically integrated assets of GrainCorp and Emerald largely dominate the Victorian storage, han</w:t>
      </w:r>
      <w:r>
        <w:t>dling, port and export markets</w:t>
      </w:r>
      <w:r w:rsidR="0085191F">
        <w:t>:</w:t>
      </w:r>
    </w:p>
    <w:p w:rsidR="00F025C2" w:rsidRDefault="00F025C2" w:rsidP="00F025C2">
      <w:pPr>
        <w:spacing w:after="360"/>
        <w:ind w:left="578"/>
        <w:rPr>
          <w:sz w:val="20"/>
        </w:rPr>
      </w:pPr>
      <w:r w:rsidRPr="00AD03F0">
        <w:rPr>
          <w:sz w:val="20"/>
        </w:rPr>
        <w:t>The degree of vertical integration held by these providers is significant, as noted by the providers in their own submissions to the ACCC, and it provides a significant advantage at port as well.</w:t>
      </w:r>
      <w:r>
        <w:rPr>
          <w:rStyle w:val="FootnoteReference"/>
        </w:rPr>
        <w:footnoteReference w:id="51"/>
      </w:r>
      <w:r w:rsidRPr="00AD03F0">
        <w:rPr>
          <w:sz w:val="20"/>
        </w:rPr>
        <w:t xml:space="preserve"> </w:t>
      </w:r>
    </w:p>
    <w:p w:rsidR="00F025C2" w:rsidRDefault="00F025C2" w:rsidP="00F025C2">
      <w:r>
        <w:t>Emerald submitted that it disagrees with the VFF’s views regarding the influence of Emerald’s operations on the market. In Emerald’s supplementary submission it notes that:</w:t>
      </w:r>
    </w:p>
    <w:p w:rsidR="00F025C2" w:rsidRDefault="00F025C2" w:rsidP="00EF7EC9">
      <w:pPr>
        <w:spacing w:after="360"/>
        <w:ind w:left="578"/>
        <w:rPr>
          <w:sz w:val="20"/>
        </w:rPr>
      </w:pPr>
      <w:r w:rsidRPr="00AD03F0">
        <w:rPr>
          <w:sz w:val="20"/>
        </w:rPr>
        <w:t>Emerald’s share of the up-country storage market is relatively minor compared to the shares of GrainCorp,</w:t>
      </w:r>
      <w:r>
        <w:rPr>
          <w:sz w:val="20"/>
        </w:rPr>
        <w:t xml:space="preserve"> </w:t>
      </w:r>
      <w:r w:rsidRPr="00AD03F0">
        <w:rPr>
          <w:sz w:val="20"/>
        </w:rPr>
        <w:t>Cargill/GrainFlow, private stores and on-farm storage.</w:t>
      </w:r>
      <w:r>
        <w:rPr>
          <w:sz w:val="20"/>
        </w:rPr>
        <w:t xml:space="preserve"> While it is true that Emerald is a vertically integration operation, this is for reasons of efficiency and Emerald certainly does not have the power to leverage its structure to control the market.</w:t>
      </w:r>
      <w:r>
        <w:rPr>
          <w:rStyle w:val="FootnoteReference"/>
        </w:rPr>
        <w:footnoteReference w:id="52"/>
      </w:r>
    </w:p>
    <w:p w:rsidR="00C301B5" w:rsidRDefault="007933C2" w:rsidP="00C301B5">
      <w:r>
        <w:t xml:space="preserve">There are a range of upcountry grain storage and handling facilities located across Victoria and southern NSW. </w:t>
      </w:r>
      <w:r w:rsidR="00C301B5">
        <w:t xml:space="preserve">GrainCorp operates the largest </w:t>
      </w:r>
      <w:r w:rsidR="00643051">
        <w:t xml:space="preserve">number </w:t>
      </w:r>
      <w:r w:rsidR="00C301B5">
        <w:t xml:space="preserve">of these facilities and submits that it operates 50 country </w:t>
      </w:r>
      <w:r w:rsidR="00AE0D95">
        <w:t>sites</w:t>
      </w:r>
      <w:r w:rsidR="00C301B5">
        <w:t xml:space="preserve"> with a total storage capacity of 5 </w:t>
      </w:r>
      <w:r w:rsidR="00E71ABC">
        <w:t xml:space="preserve">mt and average </w:t>
      </w:r>
      <w:r w:rsidR="00AE0D95">
        <w:t xml:space="preserve">receivals of </w:t>
      </w:r>
      <w:r w:rsidR="00E71ABC">
        <w:t>2.4 mt of grain</w:t>
      </w:r>
      <w:r w:rsidR="00AE0D95">
        <w:t xml:space="preserve"> each year</w:t>
      </w:r>
      <w:r w:rsidR="00C301B5">
        <w:t>.</w:t>
      </w:r>
      <w:r w:rsidR="00C301B5">
        <w:rPr>
          <w:rStyle w:val="FootnoteReference"/>
        </w:rPr>
        <w:footnoteReference w:id="53"/>
      </w:r>
      <w:r w:rsidR="00C301B5">
        <w:t xml:space="preserve"> </w:t>
      </w:r>
      <w:r w:rsidR="00CD21FB">
        <w:t>GrainCorp’s upcountry facilities are located across almost all grain growing parts of Victoria</w:t>
      </w:r>
      <w:r w:rsidR="00BE0619">
        <w:t xml:space="preserve"> and most sites are situated along rail corridors throughout the region</w:t>
      </w:r>
      <w:r w:rsidR="00CD21FB">
        <w:t xml:space="preserve">. </w:t>
      </w:r>
      <w:r w:rsidR="004210B1">
        <w:t xml:space="preserve">GrainCorp submits that grain bypassing GrainCorp sites ranges </w:t>
      </w:r>
      <w:r w:rsidR="00643051">
        <w:t xml:space="preserve">between </w:t>
      </w:r>
      <w:r w:rsidR="004210B1">
        <w:t>1.2 and 4.8</w:t>
      </w:r>
      <w:r w:rsidR="00AE0D95">
        <w:t> </w:t>
      </w:r>
      <w:r w:rsidR="004210B1">
        <w:t>mt.</w:t>
      </w:r>
      <w:r w:rsidR="004210B1">
        <w:rPr>
          <w:rStyle w:val="FootnoteReference"/>
        </w:rPr>
        <w:footnoteReference w:id="54"/>
      </w:r>
    </w:p>
    <w:p w:rsidR="00C301B5" w:rsidRDefault="00C301B5" w:rsidP="00CD21FB">
      <w:r>
        <w:t>Emerald operat</w:t>
      </w:r>
      <w:r w:rsidR="00CD21FB">
        <w:t>es</w:t>
      </w:r>
      <w:r>
        <w:t xml:space="preserve"> 7 storage facilities in Victoria with estimated future annual receivals of 500,000 tonnes, and </w:t>
      </w:r>
      <w:r w:rsidR="00147550">
        <w:t xml:space="preserve">an </w:t>
      </w:r>
      <w:r>
        <w:t xml:space="preserve">approximate </w:t>
      </w:r>
      <w:r w:rsidR="00147550">
        <w:t xml:space="preserve">total </w:t>
      </w:r>
      <w:r>
        <w:t xml:space="preserve">storage capacity of 600,000 tonnes. </w:t>
      </w:r>
      <w:r w:rsidR="00CD21FB">
        <w:t xml:space="preserve">Most of Emerald’s sites are located in the north and western parts of Victoria. </w:t>
      </w:r>
      <w:r w:rsidR="00F1432A">
        <w:t xml:space="preserve">All of these sites are accessible by road and two are also accessible by rail. </w:t>
      </w:r>
      <w:r>
        <w:t>Emerald operates a further facilit</w:t>
      </w:r>
      <w:r w:rsidR="00C77EE7">
        <w:t>y</w:t>
      </w:r>
      <w:r>
        <w:t xml:space="preserve"> in </w:t>
      </w:r>
      <w:r w:rsidR="00C77EE7">
        <w:lastRenderedPageBreak/>
        <w:t xml:space="preserve">Tocumwal NSW, close to </w:t>
      </w:r>
      <w:r>
        <w:t>the Victoria/NSW boarder</w:t>
      </w:r>
      <w:r w:rsidR="00C77EE7">
        <w:t xml:space="preserve">, which has storage capacity of 230,000 tonnes and </w:t>
      </w:r>
      <w:r w:rsidR="001D19D1">
        <w:t xml:space="preserve">has </w:t>
      </w:r>
      <w:r w:rsidR="00C77EE7">
        <w:t>rail access.</w:t>
      </w:r>
      <w:r w:rsidR="00C77EE7">
        <w:rPr>
          <w:rStyle w:val="FootnoteReference"/>
        </w:rPr>
        <w:footnoteReference w:id="55"/>
      </w:r>
    </w:p>
    <w:p w:rsidR="00CD21FB" w:rsidRDefault="00CD21FB" w:rsidP="00CD21FB">
      <w:r>
        <w:t>Other major exporters also operate storage and handling facilities in the region:</w:t>
      </w:r>
    </w:p>
    <w:p w:rsidR="00C301B5" w:rsidRDefault="00C301B5" w:rsidP="00561DBA">
      <w:pPr>
        <w:pStyle w:val="ListParagraph"/>
        <w:numPr>
          <w:ilvl w:val="0"/>
          <w:numId w:val="15"/>
        </w:numPr>
        <w:ind w:left="714" w:hanging="357"/>
        <w:contextualSpacing w:val="0"/>
      </w:pPr>
      <w:r>
        <w:t>Cargill</w:t>
      </w:r>
      <w:r w:rsidR="00CD21FB">
        <w:t xml:space="preserve"> </w:t>
      </w:r>
      <w:r>
        <w:t>operat</w:t>
      </w:r>
      <w:r w:rsidR="00CD21FB">
        <w:t>es</w:t>
      </w:r>
      <w:r>
        <w:t xml:space="preserve"> 4 Victorian facilities through its wholly owned subsidiary GrainFlow. </w:t>
      </w:r>
      <w:r w:rsidR="00805C57">
        <w:t xml:space="preserve">Victorian </w:t>
      </w:r>
      <w:r w:rsidR="004C77C6">
        <w:t xml:space="preserve">GrainFlow sites </w:t>
      </w:r>
      <w:r w:rsidR="00805C57">
        <w:t xml:space="preserve">are located in </w:t>
      </w:r>
      <w:r w:rsidR="00805C57" w:rsidRPr="0022606A">
        <w:t>Sea Lake, Birchip, Charlton and Dimboola</w:t>
      </w:r>
      <w:r w:rsidR="00805C57">
        <w:t xml:space="preserve"> and </w:t>
      </w:r>
      <w:r w:rsidR="0022606A">
        <w:t xml:space="preserve">have </w:t>
      </w:r>
      <w:r w:rsidR="00805C57">
        <w:t>substantial storage capacity</w:t>
      </w:r>
      <w:r w:rsidR="00B5116D">
        <w:t xml:space="preserve"> and</w:t>
      </w:r>
      <w:r w:rsidR="00805C57">
        <w:t xml:space="preserve"> </w:t>
      </w:r>
      <w:r w:rsidR="0022606A">
        <w:t xml:space="preserve">rail access. </w:t>
      </w:r>
      <w:r>
        <w:t>There’s a further GrainFlow site in Oaklands in southern NSW.</w:t>
      </w:r>
    </w:p>
    <w:p w:rsidR="0022606A" w:rsidRDefault="0022606A" w:rsidP="000059D2">
      <w:pPr>
        <w:pStyle w:val="ListParagraph"/>
        <w:numPr>
          <w:ilvl w:val="0"/>
          <w:numId w:val="15"/>
        </w:numPr>
        <w:contextualSpacing w:val="0"/>
      </w:pPr>
      <w:r>
        <w:t xml:space="preserve">Viterra operates a storage site </w:t>
      </w:r>
      <w:r w:rsidRPr="0022606A">
        <w:t xml:space="preserve">in </w:t>
      </w:r>
      <w:r>
        <w:t>Dooen in</w:t>
      </w:r>
      <w:r w:rsidRPr="0022606A">
        <w:t xml:space="preserve"> western Victoria</w:t>
      </w:r>
      <w:r>
        <w:t xml:space="preserve"> with 200,000</w:t>
      </w:r>
      <w:r w:rsidR="00805C57">
        <w:t xml:space="preserve"> mt storage capacity, rail access and container packing capability.</w:t>
      </w:r>
    </w:p>
    <w:p w:rsidR="00C301B5" w:rsidRDefault="009A7C10" w:rsidP="00C301B5">
      <w:r>
        <w:t>Both GrainCorp and Emerald submit that apart from each other and other major grain exporters, there are around 20 other commercial storage facilities operating in Victoria.</w:t>
      </w:r>
      <w:r>
        <w:rPr>
          <w:rStyle w:val="FootnoteReference"/>
        </w:rPr>
        <w:footnoteReference w:id="56"/>
      </w:r>
      <w:r>
        <w:t xml:space="preserve"> </w:t>
      </w:r>
      <w:r w:rsidR="008D7688">
        <w:t>O</w:t>
      </w:r>
      <w:r w:rsidR="00C301B5">
        <w:t xml:space="preserve">ther companies </w:t>
      </w:r>
      <w:r w:rsidR="00A019F1">
        <w:t xml:space="preserve">that </w:t>
      </w:r>
      <w:r w:rsidR="00C5269B">
        <w:t xml:space="preserve">operate storage facilities in the region </w:t>
      </w:r>
      <w:r w:rsidR="00C301B5">
        <w:t>includ</w:t>
      </w:r>
      <w:r w:rsidR="0085191F">
        <w:t>e</w:t>
      </w:r>
      <w:r w:rsidR="00C301B5">
        <w:t xml:space="preserve"> Riordan Grains, Wilken, Broadbent Grain, Moulamein Grain Cooperative and Moore Bulk Storage. Some </w:t>
      </w:r>
      <w:r w:rsidR="001D423B">
        <w:t>can</w:t>
      </w:r>
      <w:r w:rsidR="00C301B5">
        <w:t xml:space="preserve"> provide </w:t>
      </w:r>
      <w:r w:rsidR="001D423B">
        <w:t xml:space="preserve">integrated services including </w:t>
      </w:r>
      <w:r w:rsidR="00C301B5">
        <w:t>container packing and/or grain transport services</w:t>
      </w:r>
      <w:r w:rsidR="0085191F">
        <w:t xml:space="preserve">: </w:t>
      </w:r>
    </w:p>
    <w:p w:rsidR="00C301B5" w:rsidRDefault="00C301B5" w:rsidP="00561DBA">
      <w:pPr>
        <w:pStyle w:val="ListParagraph"/>
        <w:numPr>
          <w:ilvl w:val="0"/>
          <w:numId w:val="15"/>
        </w:numPr>
        <w:ind w:left="714" w:hanging="357"/>
        <w:contextualSpacing w:val="0"/>
      </w:pPr>
      <w:r w:rsidRPr="00A20CE3">
        <w:t xml:space="preserve">Riordan Grains has access to up to 400,000 </w:t>
      </w:r>
      <w:r>
        <w:t xml:space="preserve">tonnes </w:t>
      </w:r>
      <w:r w:rsidRPr="00A20CE3">
        <w:t>of accumulation and upcountry storage capacity</w:t>
      </w:r>
      <w:r>
        <w:t xml:space="preserve"> at multiple sites</w:t>
      </w:r>
      <w:r w:rsidRPr="00A20CE3">
        <w:t xml:space="preserve"> across Victoria and </w:t>
      </w:r>
      <w:r>
        <w:t>s</w:t>
      </w:r>
      <w:r w:rsidRPr="00A20CE3">
        <w:t>outhern NSW</w:t>
      </w:r>
      <w:r>
        <w:t>. Riordan Grains also offer container packing and trucking services.</w:t>
      </w:r>
      <w:r>
        <w:rPr>
          <w:rStyle w:val="FootnoteReference"/>
        </w:rPr>
        <w:footnoteReference w:id="57"/>
      </w:r>
      <w:r>
        <w:t xml:space="preserve"> </w:t>
      </w:r>
    </w:p>
    <w:p w:rsidR="00C301B5" w:rsidRDefault="00C301B5" w:rsidP="00561DBA">
      <w:pPr>
        <w:pStyle w:val="ListParagraph"/>
        <w:numPr>
          <w:ilvl w:val="0"/>
          <w:numId w:val="15"/>
        </w:numPr>
        <w:ind w:left="714" w:hanging="357"/>
        <w:contextualSpacing w:val="0"/>
      </w:pPr>
      <w:r w:rsidRPr="00A20CE3">
        <w:t>Wilken Storage</w:t>
      </w:r>
      <w:r>
        <w:t xml:space="preserve">, located in Warracknabeal Victoria, </w:t>
      </w:r>
      <w:r w:rsidRPr="00A20CE3">
        <w:t>ha</w:t>
      </w:r>
      <w:r>
        <w:t>s</w:t>
      </w:r>
      <w:r w:rsidRPr="00A20CE3">
        <w:t xml:space="preserve"> the ability to receive, store and outload over 100,000 tonnes of grain annually.</w:t>
      </w:r>
      <w:r>
        <w:rPr>
          <w:rStyle w:val="FootnoteReference"/>
        </w:rPr>
        <w:footnoteReference w:id="58"/>
      </w:r>
    </w:p>
    <w:p w:rsidR="00C301B5" w:rsidRDefault="00C301B5" w:rsidP="00561DBA">
      <w:pPr>
        <w:pStyle w:val="ListParagraph"/>
        <w:numPr>
          <w:ilvl w:val="0"/>
          <w:numId w:val="15"/>
        </w:numPr>
        <w:ind w:left="714" w:hanging="357"/>
        <w:contextualSpacing w:val="0"/>
      </w:pPr>
      <w:r>
        <w:t xml:space="preserve">Broadbent Grain owns a grain receival facility at Lakaput in the </w:t>
      </w:r>
      <w:r w:rsidR="007704B0">
        <w:t>w</w:t>
      </w:r>
      <w:r>
        <w:t xml:space="preserve">estern </w:t>
      </w:r>
      <w:r w:rsidR="007704B0">
        <w:t>d</w:t>
      </w:r>
      <w:r>
        <w:t xml:space="preserve">istrict of Victoria and offers </w:t>
      </w:r>
      <w:r w:rsidRPr="00CD5D40">
        <w:t>road transport of bulk commodities</w:t>
      </w:r>
      <w:r>
        <w:t xml:space="preserve"> and </w:t>
      </w:r>
      <w:r w:rsidRPr="00CD5D40">
        <w:t xml:space="preserve">containerisation of grain including packing and delivery to </w:t>
      </w:r>
      <w:r>
        <w:t>p</w:t>
      </w:r>
      <w:r w:rsidRPr="00CD5D40">
        <w:t>ort</w:t>
      </w:r>
      <w:r>
        <w:t>.</w:t>
      </w:r>
      <w:r>
        <w:rPr>
          <w:rStyle w:val="FootnoteReference"/>
        </w:rPr>
        <w:footnoteReference w:id="59"/>
      </w:r>
    </w:p>
    <w:p w:rsidR="00C301B5" w:rsidRDefault="00C301B5" w:rsidP="00561DBA">
      <w:pPr>
        <w:pStyle w:val="ListParagraph"/>
        <w:numPr>
          <w:ilvl w:val="0"/>
          <w:numId w:val="15"/>
        </w:numPr>
        <w:ind w:left="714" w:hanging="357"/>
        <w:contextualSpacing w:val="0"/>
      </w:pPr>
      <w:r w:rsidRPr="00686FF1">
        <w:t>Moulamein Grain Co-operative</w:t>
      </w:r>
      <w:r>
        <w:t xml:space="preserve"> operates multiple grain storage sites in southern NSW and is associated with other cooperative owned storage facilities in Boort, Nandaly and </w:t>
      </w:r>
      <w:r w:rsidRPr="009C41C6">
        <w:t>Berriwillock</w:t>
      </w:r>
      <w:r>
        <w:t xml:space="preserve"> Victoria.</w:t>
      </w:r>
      <w:r>
        <w:rPr>
          <w:rStyle w:val="FootnoteReference"/>
        </w:rPr>
        <w:footnoteReference w:id="60"/>
      </w:r>
    </w:p>
    <w:p w:rsidR="00C301B5" w:rsidRDefault="00C301B5" w:rsidP="00561DBA">
      <w:pPr>
        <w:pStyle w:val="ListParagraph"/>
        <w:numPr>
          <w:ilvl w:val="0"/>
          <w:numId w:val="15"/>
        </w:numPr>
        <w:ind w:left="714" w:hanging="357"/>
        <w:contextualSpacing w:val="0"/>
      </w:pPr>
      <w:r>
        <w:t>Moore Bulk Storage is a commercial grain and hay storage situated at Horsham and services the west of Victoria. Operations include receival, storage, cleaning, container packing and outturn of grain to areas interstate and intrastate.</w:t>
      </w:r>
      <w:r>
        <w:rPr>
          <w:rStyle w:val="FootnoteReference"/>
        </w:rPr>
        <w:footnoteReference w:id="61"/>
      </w:r>
    </w:p>
    <w:p w:rsidR="00C301B5" w:rsidRDefault="00C301B5" w:rsidP="00561DBA">
      <w:pPr>
        <w:pStyle w:val="ListParagraph"/>
        <w:numPr>
          <w:ilvl w:val="0"/>
          <w:numId w:val="15"/>
        </w:numPr>
        <w:ind w:left="714" w:hanging="357"/>
        <w:contextualSpacing w:val="0"/>
      </w:pPr>
      <w:r>
        <w:t xml:space="preserve">Kelly Grains has a storage facility in </w:t>
      </w:r>
      <w:r w:rsidRPr="00465F7D">
        <w:t xml:space="preserve">Tocumwal </w:t>
      </w:r>
      <w:r>
        <w:t xml:space="preserve">(southern NSW) with </w:t>
      </w:r>
      <w:r w:rsidRPr="00465F7D">
        <w:t xml:space="preserve">capacity for 240,000 </w:t>
      </w:r>
      <w:r>
        <w:t>t</w:t>
      </w:r>
      <w:r w:rsidRPr="00465F7D">
        <w:t>onnes</w:t>
      </w:r>
      <w:r>
        <w:t xml:space="preserve"> and container packing capabilities.</w:t>
      </w:r>
      <w:r>
        <w:rPr>
          <w:rStyle w:val="FootnoteReference"/>
        </w:rPr>
        <w:footnoteReference w:id="62"/>
      </w:r>
    </w:p>
    <w:p w:rsidR="00A845A5" w:rsidRDefault="00A845A5" w:rsidP="00561DBA">
      <w:pPr>
        <w:pStyle w:val="ListParagraph"/>
        <w:numPr>
          <w:ilvl w:val="0"/>
          <w:numId w:val="15"/>
        </w:numPr>
        <w:ind w:left="714" w:hanging="357"/>
        <w:contextualSpacing w:val="0"/>
      </w:pPr>
      <w:r w:rsidRPr="00A845A5">
        <w:t>Pearson</w:t>
      </w:r>
      <w:r>
        <w:t>s</w:t>
      </w:r>
      <w:r w:rsidRPr="00A845A5">
        <w:t xml:space="preserve"> Group own </w:t>
      </w:r>
      <w:r>
        <w:t>g</w:t>
      </w:r>
      <w:r w:rsidRPr="00A845A5">
        <w:t xml:space="preserve">rain </w:t>
      </w:r>
      <w:r>
        <w:t>s</w:t>
      </w:r>
      <w:r w:rsidRPr="00A845A5">
        <w:t>torage facilities at Kyalite, Koraleigh, Tooleybuc, Murray Downs and Woorinen</w:t>
      </w:r>
      <w:r>
        <w:t xml:space="preserve"> (all near the Victorian/NSW boarder) and offers regular trucking services.</w:t>
      </w:r>
      <w:r>
        <w:rPr>
          <w:rStyle w:val="FootnoteReference"/>
        </w:rPr>
        <w:footnoteReference w:id="63"/>
      </w:r>
    </w:p>
    <w:p w:rsidR="008D7688" w:rsidRPr="008D7688" w:rsidRDefault="008D7688" w:rsidP="008D7688">
      <w:pPr>
        <w:rPr>
          <w:rFonts w:cs="Arial"/>
          <w:color w:val="000000"/>
        </w:rPr>
      </w:pPr>
      <w:r w:rsidRPr="008D7688">
        <w:rPr>
          <w:rFonts w:cs="Arial"/>
          <w:color w:val="000000"/>
        </w:rPr>
        <w:lastRenderedPageBreak/>
        <w:t>GrainCorp submits that competing facilities have a total estimated capacity of 5.5 mt.</w:t>
      </w:r>
      <w:r>
        <w:rPr>
          <w:rStyle w:val="FootnoteReference"/>
        </w:rPr>
        <w:footnoteReference w:id="64"/>
      </w:r>
      <w:r w:rsidRPr="008D7688">
        <w:rPr>
          <w:rFonts w:cs="Arial"/>
          <w:color w:val="000000"/>
        </w:rPr>
        <w:t xml:space="preserve"> </w:t>
      </w:r>
    </w:p>
    <w:p w:rsidR="00C301B5" w:rsidRDefault="00C301B5" w:rsidP="00C301B5">
      <w:r>
        <w:t xml:space="preserve">Figure </w:t>
      </w:r>
      <w:r w:rsidR="00B6254A">
        <w:t>8</w:t>
      </w:r>
      <w:r>
        <w:t xml:space="preserve"> is an illustration provided by GrainCorp in its supporting submission presenting the locations of GrainCorp and other grain handlers’ storage facilities.</w:t>
      </w:r>
    </w:p>
    <w:p w:rsidR="00C301B5" w:rsidRPr="0022630B" w:rsidRDefault="00C301B5" w:rsidP="00F2549B">
      <w:pPr>
        <w:pStyle w:val="Caption"/>
        <w:keepNext/>
      </w:pPr>
      <w:r w:rsidRPr="00F2549B">
        <w:rPr>
          <w:sz w:val="20"/>
        </w:rPr>
        <w:t xml:space="preserve">Figure </w:t>
      </w:r>
      <w:r w:rsidR="00B6254A" w:rsidRPr="00F2549B">
        <w:rPr>
          <w:sz w:val="20"/>
        </w:rPr>
        <w:t>8</w:t>
      </w:r>
      <w:r w:rsidRPr="00F2549B">
        <w:rPr>
          <w:sz w:val="20"/>
        </w:rPr>
        <w:t>: GrainCorp’s depiction of the upcountry storage and handling network in Victoria and southern NSW</w:t>
      </w:r>
    </w:p>
    <w:p w:rsidR="00C301B5" w:rsidRDefault="00C301B5" w:rsidP="00C301B5">
      <w:r>
        <w:rPr>
          <w:noProof/>
          <w:lang w:eastAsia="en-AU"/>
        </w:rPr>
        <w:drawing>
          <wp:inline distT="0" distB="0" distL="0" distR="0" wp14:anchorId="0E9DB59F" wp14:editId="534D5520">
            <wp:extent cx="5731510" cy="3966744"/>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731510" cy="3966744"/>
                    </a:xfrm>
                    <a:prstGeom prst="rect">
                      <a:avLst/>
                    </a:prstGeom>
                  </pic:spPr>
                </pic:pic>
              </a:graphicData>
            </a:graphic>
          </wp:inline>
        </w:drawing>
      </w:r>
    </w:p>
    <w:p w:rsidR="00C301B5" w:rsidRPr="00F2549B" w:rsidRDefault="00C301B5" w:rsidP="00C301B5">
      <w:pPr>
        <w:pStyle w:val="Source"/>
        <w:spacing w:after="360"/>
        <w:contextualSpacing w:val="0"/>
        <w:rPr>
          <w:sz w:val="18"/>
        </w:rPr>
      </w:pPr>
      <w:r w:rsidRPr="00F2549B">
        <w:rPr>
          <w:sz w:val="18"/>
        </w:rPr>
        <w:t>Source: GrainCorp, Submission in support, p. 19</w:t>
      </w:r>
    </w:p>
    <w:p w:rsidR="00F55C20" w:rsidRDefault="00F55C20" w:rsidP="00C301B5">
      <w:r w:rsidRPr="00F2549B">
        <w:t xml:space="preserve">Figure </w:t>
      </w:r>
      <w:r w:rsidR="00B6254A" w:rsidRPr="00F2549B">
        <w:t>8</w:t>
      </w:r>
      <w:r>
        <w:t xml:space="preserve"> shows that storage sites are distributed across Victoria and southern parts of NSW. In particular, larger concentrations of sites appear to be in the western and central parts of Victoria with relatively fewer sites in the north-western corner of Victoria.</w:t>
      </w:r>
    </w:p>
    <w:p w:rsidR="00C301B5" w:rsidRDefault="00C301B5" w:rsidP="00C301B5">
      <w:r>
        <w:t xml:space="preserve">On-farm storage facilities also contribute to the total Victorian upcountry storage capabilities. Recently there has been an increasing trend for on-farm storage in eastern Australia. </w:t>
      </w:r>
      <w:r w:rsidR="00DF0315">
        <w:br/>
      </w:r>
      <w:r>
        <w:t xml:space="preserve">On-farm storage </w:t>
      </w:r>
      <w:r w:rsidR="00C8072D">
        <w:t xml:space="preserve">in Victoria </w:t>
      </w:r>
      <w:r>
        <w:t xml:space="preserve">provides </w:t>
      </w:r>
      <w:r w:rsidR="00C8072D">
        <w:t xml:space="preserve">some </w:t>
      </w:r>
      <w:r>
        <w:t>growers with opportunities to:</w:t>
      </w:r>
    </w:p>
    <w:p w:rsidR="00C301B5" w:rsidRDefault="00C301B5" w:rsidP="00561DBA">
      <w:pPr>
        <w:pStyle w:val="ListParagraph"/>
        <w:numPr>
          <w:ilvl w:val="0"/>
          <w:numId w:val="15"/>
        </w:numPr>
        <w:ind w:left="714" w:hanging="357"/>
        <w:contextualSpacing w:val="0"/>
      </w:pPr>
      <w:r>
        <w:t>sell direct to local buyers</w:t>
      </w:r>
      <w:r w:rsidRPr="00EF5532">
        <w:t xml:space="preserve"> </w:t>
      </w:r>
      <w:r>
        <w:t>and assist in maximising their marketing opportunities</w:t>
      </w:r>
    </w:p>
    <w:p w:rsidR="00C301B5" w:rsidRDefault="00C301B5" w:rsidP="00561DBA">
      <w:pPr>
        <w:pStyle w:val="ListParagraph"/>
        <w:numPr>
          <w:ilvl w:val="0"/>
          <w:numId w:val="15"/>
        </w:numPr>
        <w:ind w:left="714" w:hanging="357"/>
        <w:contextualSpacing w:val="0"/>
      </w:pPr>
      <w:r>
        <w:t>avoid delays and associated costs at harvest due to slow off-site receival turnaround times</w:t>
      </w:r>
      <w:r>
        <w:rPr>
          <w:rStyle w:val="FootnoteReference"/>
        </w:rPr>
        <w:footnoteReference w:id="65"/>
      </w:r>
    </w:p>
    <w:p w:rsidR="00C301B5" w:rsidRDefault="00C301B5" w:rsidP="000059D2">
      <w:pPr>
        <w:pStyle w:val="ListParagraph"/>
        <w:numPr>
          <w:ilvl w:val="0"/>
          <w:numId w:val="15"/>
        </w:numPr>
        <w:ind w:left="714" w:hanging="357"/>
        <w:contextualSpacing w:val="0"/>
      </w:pPr>
      <w:r>
        <w:t xml:space="preserve">accumulate grain for transport to domestic users </w:t>
      </w:r>
      <w:r w:rsidR="00CE77E5">
        <w:t xml:space="preserve">and possibly </w:t>
      </w:r>
      <w:r w:rsidR="00DF3D39">
        <w:t xml:space="preserve">for </w:t>
      </w:r>
      <w:r>
        <w:t>export</w:t>
      </w:r>
      <w:r w:rsidR="00DF3D39">
        <w:t xml:space="preserve"> via containers</w:t>
      </w:r>
      <w:r>
        <w:t xml:space="preserve">. </w:t>
      </w:r>
    </w:p>
    <w:p w:rsidR="00EF7EC9" w:rsidRDefault="00EF7EC9" w:rsidP="00EF7EC9">
      <w:r>
        <w:lastRenderedPageBreak/>
        <w:t>The PC</w:t>
      </w:r>
      <w:r w:rsidR="00F951D1">
        <w:t xml:space="preserve"> also </w:t>
      </w:r>
      <w:r>
        <w:t>considered on</w:t>
      </w:r>
      <w:r w:rsidR="00F02A31">
        <w:t>-</w:t>
      </w:r>
      <w:r>
        <w:t>farm storage in the course of its inquiry into Wheat Export Marketing Arrangements</w:t>
      </w:r>
      <w:r w:rsidR="00F951D1">
        <w:t xml:space="preserve"> and </w:t>
      </w:r>
      <w:r>
        <w:t>noted</w:t>
      </w:r>
      <w:r w:rsidR="00F951D1">
        <w:t xml:space="preserve"> that</w:t>
      </w:r>
      <w:r>
        <w:t>:</w:t>
      </w:r>
    </w:p>
    <w:p w:rsidR="00EF7EC9" w:rsidRPr="00EF7EC9" w:rsidRDefault="00EF7EC9" w:rsidP="00EF7EC9">
      <w:pPr>
        <w:ind w:left="576"/>
        <w:rPr>
          <w:sz w:val="20"/>
        </w:rPr>
      </w:pPr>
      <w:r w:rsidRPr="00EF7EC9">
        <w:rPr>
          <w:sz w:val="20"/>
        </w:rPr>
        <w:t>On-farm storage capacity also makes up a relatively greater proportion of the total storage in the eastern states than in Western Australian and South Australia which rely more heavily on bulk hand</w:t>
      </w:r>
      <w:r w:rsidR="00CE77E5">
        <w:rPr>
          <w:sz w:val="20"/>
        </w:rPr>
        <w:t>l</w:t>
      </w:r>
      <w:r w:rsidRPr="00EF7EC9">
        <w:rPr>
          <w:sz w:val="20"/>
        </w:rPr>
        <w:t>ers for grain storage.</w:t>
      </w:r>
      <w:r>
        <w:rPr>
          <w:rStyle w:val="FootnoteReference"/>
        </w:rPr>
        <w:footnoteReference w:id="66"/>
      </w:r>
    </w:p>
    <w:p w:rsidR="00C301B5" w:rsidRDefault="00C301B5" w:rsidP="00C301B5">
      <w:r>
        <w:t xml:space="preserve">Victoria ranks second behind NSW in terms of </w:t>
      </w:r>
      <w:r w:rsidR="00077F2B">
        <w:t xml:space="preserve">the total amount of </w:t>
      </w:r>
      <w:r>
        <w:t xml:space="preserve">on-farm storage </w:t>
      </w:r>
      <w:r w:rsidR="00D8773F">
        <w:t>capacity</w:t>
      </w:r>
      <w:r>
        <w:t>. Recent estimates suggest there is between 3.2 and 3.5 mt of on-farm storage capacity</w:t>
      </w:r>
      <w:r w:rsidRPr="009E305D">
        <w:t xml:space="preserve"> </w:t>
      </w:r>
      <w:r>
        <w:t>in Victoria.</w:t>
      </w:r>
      <w:r>
        <w:rPr>
          <w:rStyle w:val="FootnoteReference"/>
        </w:rPr>
        <w:footnoteReference w:id="67"/>
      </w:r>
    </w:p>
    <w:p w:rsidR="0064058F" w:rsidRDefault="004F08A2" w:rsidP="00C301B5">
      <w:r>
        <w:t>T</w:t>
      </w:r>
      <w:r w:rsidR="00C301B5">
        <w:t xml:space="preserve">he ACCC </w:t>
      </w:r>
      <w:r w:rsidR="00B6254A">
        <w:t xml:space="preserve">understands </w:t>
      </w:r>
      <w:r w:rsidR="00C301B5">
        <w:t xml:space="preserve">that a variety </w:t>
      </w:r>
      <w:r w:rsidR="00551271">
        <w:t xml:space="preserve">of </w:t>
      </w:r>
      <w:r w:rsidR="00C301B5">
        <w:t xml:space="preserve">upcountry </w:t>
      </w:r>
      <w:r>
        <w:t xml:space="preserve">bulk (off-farm) </w:t>
      </w:r>
      <w:r w:rsidR="00C301B5">
        <w:t>storage and handling facilities operate across Victoria and southern NSW, with a number of competing operators</w:t>
      </w:r>
      <w:r w:rsidR="00C91FD8">
        <w:t xml:space="preserve"> including GrainCorp, Emerald and various other large, medium and smaller operators</w:t>
      </w:r>
      <w:r w:rsidR="00C301B5">
        <w:t xml:space="preserve">. </w:t>
      </w:r>
    </w:p>
    <w:p w:rsidR="00713A95" w:rsidRDefault="00407D0D" w:rsidP="00C301B5">
      <w:r>
        <w:t>A number of c</w:t>
      </w:r>
      <w:r w:rsidR="00C91FD8">
        <w:t xml:space="preserve">ompeting sites are located </w:t>
      </w:r>
      <w:r>
        <w:t>relatively close to each</w:t>
      </w:r>
      <w:r w:rsidR="00CC4085">
        <w:t xml:space="preserve"> other</w:t>
      </w:r>
      <w:r w:rsidR="0039161B">
        <w:t>, including to the sites of GrainCorp and Emerald</w:t>
      </w:r>
      <w:r>
        <w:t>. I</w:t>
      </w:r>
      <w:r w:rsidR="00C91FD8">
        <w:t xml:space="preserve">n some cases competing sites are located in the same town and </w:t>
      </w:r>
      <w:r>
        <w:t xml:space="preserve">some are even situated </w:t>
      </w:r>
      <w:r w:rsidR="00C91FD8">
        <w:t>in adjacent block</w:t>
      </w:r>
      <w:r w:rsidR="0064058F">
        <w:t>s</w:t>
      </w:r>
      <w:r>
        <w:t xml:space="preserve"> to a competi</w:t>
      </w:r>
      <w:r w:rsidR="0064058F">
        <w:t>ng site</w:t>
      </w:r>
      <w:r w:rsidR="00C91FD8">
        <w:t xml:space="preserve">. In Boort Victoria, for example, </w:t>
      </w:r>
      <w:r w:rsidR="007E646D" w:rsidRPr="00686FF1">
        <w:t>Moulamein Grain Co-operative</w:t>
      </w:r>
      <w:r w:rsidR="007E646D">
        <w:t>’s storage site neighbours GrainCorp’s site</w:t>
      </w:r>
      <w:r w:rsidR="001C5103">
        <w:t xml:space="preserve">. In Tocumwal in southern NSW, at least three operators including Emerald, Kelly Grains and GrainCorp each operate </w:t>
      </w:r>
      <w:r w:rsidR="0064058F">
        <w:t xml:space="preserve">their own </w:t>
      </w:r>
      <w:r w:rsidR="001C5103">
        <w:t>storage sites.</w:t>
      </w:r>
    </w:p>
    <w:p w:rsidR="00F47761" w:rsidRDefault="00445D79" w:rsidP="00C301B5">
      <w:r>
        <w:t>Upcountry</w:t>
      </w:r>
      <w:r w:rsidR="003E700F">
        <w:t xml:space="preserve"> bulk </w:t>
      </w:r>
      <w:r>
        <w:t xml:space="preserve">storage sites are able to </w:t>
      </w:r>
      <w:r w:rsidR="0039161B">
        <w:t xml:space="preserve">service </w:t>
      </w:r>
      <w:r w:rsidR="00382351">
        <w:t xml:space="preserve">both </w:t>
      </w:r>
      <w:r>
        <w:t xml:space="preserve">the bulk wheat export market and the </w:t>
      </w:r>
      <w:r w:rsidR="00382351" w:rsidRPr="00F2549B">
        <w:t xml:space="preserve">relatively large Victorian </w:t>
      </w:r>
      <w:r w:rsidRPr="00F2549B">
        <w:t>domestic market for grain</w:t>
      </w:r>
      <w:r w:rsidR="00382351" w:rsidRPr="00F2549B">
        <w:t xml:space="preserve"> (discussed in section </w:t>
      </w:r>
      <w:r w:rsidR="00BC2D21" w:rsidRPr="00F2549B">
        <w:t>3.4</w:t>
      </w:r>
      <w:r w:rsidR="00382351" w:rsidRPr="00F2549B">
        <w:t>)</w:t>
      </w:r>
      <w:r w:rsidRPr="00F2549B">
        <w:t>.</w:t>
      </w:r>
      <w:r w:rsidR="00382351" w:rsidRPr="00F2549B">
        <w:t xml:space="preserve"> Some sites can also serve Victoria’s growing containerised grain export market (discussed in section </w:t>
      </w:r>
      <w:r w:rsidR="00BC2D21" w:rsidRPr="00F2549B">
        <w:t>3.3</w:t>
      </w:r>
      <w:r w:rsidR="00382351" w:rsidRPr="00F2549B">
        <w:t>).</w:t>
      </w:r>
      <w:r w:rsidR="00382351">
        <w:t xml:space="preserve"> </w:t>
      </w:r>
      <w:r w:rsidR="0039161B">
        <w:t>Given the fixed costs of these facilities, the ACCC considers that companies will generally want to maximise throughput in the facility.</w:t>
      </w:r>
    </w:p>
    <w:p w:rsidR="00C301B5" w:rsidRDefault="00C301B5" w:rsidP="00C301B5">
      <w:r>
        <w:t xml:space="preserve">In addition to GrainCorp and Emerald, a number of other companies have integrated operations with </w:t>
      </w:r>
      <w:r w:rsidR="00382351">
        <w:t xml:space="preserve">offering storage together with </w:t>
      </w:r>
      <w:r>
        <w:t>container packing or transport services, or both.</w:t>
      </w:r>
      <w:r w:rsidR="00382351">
        <w:t xml:space="preserve"> </w:t>
      </w:r>
      <w:r w:rsidR="00F47761">
        <w:t xml:space="preserve">The ACCC’s market inquiries suggest that these sites are competitive options for exporters and farmers to use. </w:t>
      </w:r>
      <w:r w:rsidR="00382351">
        <w:t xml:space="preserve">Although many sites have road only transport access, road transport is a viable option </w:t>
      </w:r>
      <w:r w:rsidR="00DD0623">
        <w:t>being used to</w:t>
      </w:r>
      <w:r w:rsidR="00382351">
        <w:t xml:space="preserve"> transport </w:t>
      </w:r>
      <w:r w:rsidR="00DD0623">
        <w:t xml:space="preserve">a large proportion of </w:t>
      </w:r>
      <w:r w:rsidR="00382351">
        <w:t>grain in Victoria (as discussed below).</w:t>
      </w:r>
    </w:p>
    <w:p w:rsidR="00C301B5" w:rsidRDefault="00C301B5" w:rsidP="00C301B5">
      <w:r>
        <w:t xml:space="preserve">GrainCorp </w:t>
      </w:r>
      <w:r w:rsidR="00BC5793">
        <w:t xml:space="preserve">operates the largest number </w:t>
      </w:r>
      <w:r w:rsidR="00040686">
        <w:t xml:space="preserve">of storage sites </w:t>
      </w:r>
      <w:r w:rsidR="00BC5793">
        <w:t xml:space="preserve">in Victoria </w:t>
      </w:r>
      <w:r>
        <w:t xml:space="preserve">but </w:t>
      </w:r>
      <w:r w:rsidR="00BC5793">
        <w:t xml:space="preserve">this </w:t>
      </w:r>
      <w:r w:rsidR="00F47761">
        <w:t xml:space="preserve">is not a </w:t>
      </w:r>
      <w:r w:rsidR="00552C01">
        <w:t xml:space="preserve">substantial </w:t>
      </w:r>
      <w:r w:rsidR="00F47761">
        <w:t xml:space="preserve">majority and </w:t>
      </w:r>
      <w:r>
        <w:t xml:space="preserve">has reduced from historic levels and </w:t>
      </w:r>
      <w:r w:rsidR="00551271">
        <w:t>may</w:t>
      </w:r>
      <w:r>
        <w:t xml:space="preserve"> reduce further </w:t>
      </w:r>
      <w:r w:rsidR="00040686">
        <w:t xml:space="preserve">if </w:t>
      </w:r>
      <w:r>
        <w:t xml:space="preserve">GrainCorp </w:t>
      </w:r>
      <w:r w:rsidR="00040686">
        <w:t xml:space="preserve">opts to </w:t>
      </w:r>
      <w:r>
        <w:t>close more of its Victorian sites under Project Regeneration.</w:t>
      </w:r>
      <w:r>
        <w:rPr>
          <w:rStyle w:val="FootnoteReference"/>
        </w:rPr>
        <w:footnoteReference w:id="68"/>
      </w:r>
      <w:r>
        <w:t xml:space="preserve"> Additionally, GrainCorp’s group of storage facilities face certain pressures from newer and more efficient sites owned by its competitors. S</w:t>
      </w:r>
      <w:r w:rsidRPr="00D223AD">
        <w:t>ome of GrainCorp’s receival sites were established as early as 1918 and most of its</w:t>
      </w:r>
      <w:r>
        <w:t xml:space="preserve"> </w:t>
      </w:r>
      <w:r w:rsidRPr="00D223AD">
        <w:t>older infrastructure was established in the 1960s.</w:t>
      </w:r>
      <w:r>
        <w:rPr>
          <w:rStyle w:val="FootnoteReference"/>
        </w:rPr>
        <w:footnoteReference w:id="69"/>
      </w:r>
    </w:p>
    <w:p w:rsidR="00C301B5" w:rsidRDefault="00C301B5" w:rsidP="00C301B5">
      <w:r>
        <w:t>While Emerald is the second largest upcountry player in terms of the number of sites, its storage capacity is only marginally larger than some other storage providers.</w:t>
      </w:r>
    </w:p>
    <w:p w:rsidR="00040686" w:rsidRPr="00040686" w:rsidRDefault="00040686" w:rsidP="00A9160A">
      <w:r w:rsidRPr="00040686">
        <w:t>The ACCC understands that</w:t>
      </w:r>
      <w:r w:rsidR="00195E62">
        <w:t xml:space="preserve"> </w:t>
      </w:r>
      <w:r w:rsidR="00552C01">
        <w:t xml:space="preserve">bulk (off-farm) </w:t>
      </w:r>
      <w:r w:rsidR="00195E62">
        <w:t xml:space="preserve">storage sites, other than those owned by Emerald and GrainCorp, are viable alternatives </w:t>
      </w:r>
      <w:r w:rsidR="00B35DB3">
        <w:t xml:space="preserve">currently </w:t>
      </w:r>
      <w:r w:rsidR="003C675C">
        <w:t>being utilised by</w:t>
      </w:r>
      <w:r w:rsidR="00195E62">
        <w:t xml:space="preserve"> exporters and </w:t>
      </w:r>
      <w:r w:rsidR="00195E62">
        <w:lastRenderedPageBreak/>
        <w:t xml:space="preserve">farmers. Moore </w:t>
      </w:r>
      <w:r w:rsidR="00195E62" w:rsidRPr="00195E62">
        <w:t>Bulk Storage</w:t>
      </w:r>
      <w:r w:rsidR="00195E62">
        <w:t xml:space="preserve">, for example, lists exporters ADM and Agrex </w:t>
      </w:r>
      <w:r w:rsidR="001B598B">
        <w:t xml:space="preserve">and domestic miller JK Milling </w:t>
      </w:r>
      <w:r w:rsidR="00195E62">
        <w:t xml:space="preserve">as </w:t>
      </w:r>
      <w:r w:rsidR="003C675C">
        <w:t xml:space="preserve">some </w:t>
      </w:r>
      <w:r w:rsidR="0039161B">
        <w:t xml:space="preserve">of </w:t>
      </w:r>
      <w:r w:rsidR="00195E62">
        <w:t>its current clients.</w:t>
      </w:r>
      <w:r w:rsidR="00195E62">
        <w:rPr>
          <w:rStyle w:val="FootnoteReference"/>
        </w:rPr>
        <w:footnoteReference w:id="70"/>
      </w:r>
      <w:r w:rsidR="00195E62">
        <w:t xml:space="preserve"> Additionally, Bunge is proposing to build a new port facility in Geelong but does not own an upcountry storage network, suggesting that </w:t>
      </w:r>
      <w:r w:rsidR="003A731F">
        <w:t>Bunge</w:t>
      </w:r>
      <w:r w:rsidR="00195E62">
        <w:t xml:space="preserve"> would u</w:t>
      </w:r>
      <w:r w:rsidR="00505277">
        <w:t>tilise</w:t>
      </w:r>
      <w:r w:rsidR="00195E62">
        <w:t xml:space="preserve"> </w:t>
      </w:r>
      <w:r w:rsidR="001B598B">
        <w:t>storage facilities owned by other companies</w:t>
      </w:r>
      <w:r w:rsidR="00505277">
        <w:t xml:space="preserve"> to support its </w:t>
      </w:r>
      <w:r w:rsidR="008B68DD">
        <w:t xml:space="preserve">proposed </w:t>
      </w:r>
      <w:r w:rsidR="00505277">
        <w:t xml:space="preserve">port </w:t>
      </w:r>
      <w:r w:rsidR="008B68DD">
        <w:t xml:space="preserve">terminal </w:t>
      </w:r>
      <w:r w:rsidR="00505277">
        <w:t>operations</w:t>
      </w:r>
      <w:r w:rsidR="001B598B">
        <w:t>.</w:t>
      </w:r>
      <w:r w:rsidR="00195E62">
        <w:t xml:space="preserve"> </w:t>
      </w:r>
    </w:p>
    <w:p w:rsidR="00CA02A2" w:rsidRDefault="00DD0623" w:rsidP="00A9160A">
      <w:r>
        <w:t xml:space="preserve">Given that there are a large number of competing </w:t>
      </w:r>
      <w:r w:rsidR="00552C01">
        <w:t xml:space="preserve">bulk storage </w:t>
      </w:r>
      <w:r>
        <w:t xml:space="preserve">sites in the region </w:t>
      </w:r>
      <w:r w:rsidR="000C542A">
        <w:t xml:space="preserve">which </w:t>
      </w:r>
      <w:r>
        <w:t>servic</w:t>
      </w:r>
      <w:r w:rsidR="000C542A">
        <w:t>e</w:t>
      </w:r>
      <w:r>
        <w:t xml:space="preserve"> a number of markets</w:t>
      </w:r>
      <w:r w:rsidR="000C542A">
        <w:t xml:space="preserve"> and provide significant capacity</w:t>
      </w:r>
      <w:r>
        <w:t xml:space="preserve">, storage companies have an incentive to compete and draw grain through their own facilities. </w:t>
      </w:r>
      <w:r w:rsidR="00CA02A2">
        <w:t>While GrainCorp has a stronger presence than Emerald or other storage providers, this does not equate to GrainCorp (or Emerald) having market power</w:t>
      </w:r>
      <w:r w:rsidR="00613BD4">
        <w:t>, particularly</w:t>
      </w:r>
      <w:r w:rsidR="00CA02A2">
        <w:t xml:space="preserve"> in such a region where there are a large number of viable competitors. </w:t>
      </w:r>
    </w:p>
    <w:p w:rsidR="00A9160A" w:rsidRDefault="00EF73E3" w:rsidP="00A9160A">
      <w:r>
        <w:t xml:space="preserve">The ACCC’s preliminary view is therefore that there is a significant degree of competition in upcountry storage </w:t>
      </w:r>
      <w:r w:rsidR="00216BDE">
        <w:t>facilities</w:t>
      </w:r>
      <w:r>
        <w:t xml:space="preserve"> in the region and a</w:t>
      </w:r>
      <w:r w:rsidR="00A9160A">
        <w:t>s such</w:t>
      </w:r>
      <w:r>
        <w:t>,</w:t>
      </w:r>
      <w:r w:rsidR="00A9160A">
        <w:t xml:space="preserve"> the upcountry storage and handling environment does not appear to be a factor limiting competition at port. </w:t>
      </w:r>
    </w:p>
    <w:p w:rsidR="00C301B5" w:rsidRDefault="00825A04" w:rsidP="00C301B5">
      <w:pPr>
        <w:pStyle w:val="Heading3"/>
      </w:pPr>
      <w:r>
        <w:t>Grain t</w:t>
      </w:r>
      <w:r w:rsidR="00C301B5">
        <w:t>ransport services</w:t>
      </w:r>
    </w:p>
    <w:p w:rsidR="003E1B0A" w:rsidRDefault="00C301B5" w:rsidP="003E1B0A">
      <w:r>
        <w:t xml:space="preserve">The use of rail and/or road networks to transport grain </w:t>
      </w:r>
      <w:r w:rsidR="00C5269B">
        <w:t xml:space="preserve">from </w:t>
      </w:r>
      <w:r w:rsidR="00E16D5F">
        <w:t>storage facilities</w:t>
      </w:r>
      <w:r w:rsidR="00C5269B">
        <w:t xml:space="preserve"> </w:t>
      </w:r>
      <w:r>
        <w:t xml:space="preserve">to port is </w:t>
      </w:r>
      <w:r w:rsidR="00EC1792">
        <w:t>a</w:t>
      </w:r>
      <w:r>
        <w:t xml:space="preserve"> relevant consideration in examining the level of competition between various Victorian port terminals. </w:t>
      </w:r>
      <w:r w:rsidR="00C5269B">
        <w:t>T</w:t>
      </w:r>
      <w:r>
        <w:t>ransport networks and the associated freight charges to move grain</w:t>
      </w:r>
      <w:r w:rsidR="00675BD5">
        <w:t xml:space="preserve"> to port</w:t>
      </w:r>
      <w:r>
        <w:t xml:space="preserve"> is</w:t>
      </w:r>
      <w:r w:rsidR="00AB1C3C">
        <w:t xml:space="preserve"> </w:t>
      </w:r>
      <w:r>
        <w:t xml:space="preserve">a </w:t>
      </w:r>
      <w:r w:rsidR="00E153C5">
        <w:t xml:space="preserve">key </w:t>
      </w:r>
      <w:r>
        <w:t xml:space="preserve">factor </w:t>
      </w:r>
      <w:r w:rsidR="00B15B93">
        <w:t xml:space="preserve">for marketers </w:t>
      </w:r>
      <w:r>
        <w:t xml:space="preserve">in determining which port terminal </w:t>
      </w:r>
      <w:r w:rsidR="00675BD5">
        <w:t xml:space="preserve">to export </w:t>
      </w:r>
      <w:r>
        <w:t>grain from.</w:t>
      </w:r>
      <w:r w:rsidR="003E1B0A" w:rsidRPr="003E1B0A">
        <w:t xml:space="preserve"> </w:t>
      </w:r>
      <w:r w:rsidR="00AB1C3C">
        <w:t xml:space="preserve">In particular, port terminals would generally only be viable substitutes for each other where a sufficient number of marketers can transport grain to either port at a similar cost.  </w:t>
      </w:r>
    </w:p>
    <w:p w:rsidR="003E1B0A" w:rsidRDefault="003E1B0A" w:rsidP="003E1B0A">
      <w:r>
        <w:t>AEGIC notes that</w:t>
      </w:r>
      <w:r w:rsidR="00E153C5">
        <w:t>,</w:t>
      </w:r>
      <w:r>
        <w:t xml:space="preserve"> for port zones</w:t>
      </w:r>
      <w:r w:rsidRPr="002A7298">
        <w:t xml:space="preserve"> </w:t>
      </w:r>
      <w:r>
        <w:t>across Australia</w:t>
      </w:r>
      <w:r w:rsidR="00E153C5">
        <w:t>,</w:t>
      </w:r>
      <w:r>
        <w:t xml:space="preserve"> </w:t>
      </w:r>
      <w:r w:rsidRPr="002A7298">
        <w:t>there is a significant catchment area</w:t>
      </w:r>
      <w:r>
        <w:t xml:space="preserve">, upwards of a 200 km radius from port depending on the season and subsequent road freight, </w:t>
      </w:r>
      <w:r w:rsidRPr="002A7298">
        <w:t>where road transport costs are competitive with rail costs.</w:t>
      </w:r>
      <w:r>
        <w:rPr>
          <w:rStyle w:val="FootnoteReference"/>
        </w:rPr>
        <w:footnoteReference w:id="71"/>
      </w:r>
      <w:r w:rsidR="00360377">
        <w:t xml:space="preserve"> In a smaller </w:t>
      </w:r>
      <w:r w:rsidR="00F47761">
        <w:t>s</w:t>
      </w:r>
      <w:r w:rsidR="00E768F4">
        <w:t xml:space="preserve">tate such as Victoria, a 200 to 300 km radius from </w:t>
      </w:r>
      <w:r w:rsidR="00360377">
        <w:t xml:space="preserve">the </w:t>
      </w:r>
      <w:r w:rsidR="00E768F4">
        <w:t xml:space="preserve">port </w:t>
      </w:r>
      <w:r w:rsidR="00DB722F">
        <w:t xml:space="preserve">terminals </w:t>
      </w:r>
      <w:r w:rsidR="00E768F4">
        <w:t xml:space="preserve">covers a large </w:t>
      </w:r>
      <w:r w:rsidR="00360377">
        <w:t>proportion of the State</w:t>
      </w:r>
      <w:r w:rsidR="00E768F4">
        <w:t>. For example, Echuca (on the Victoria/NSW boarder) is around 215km from Melbourne</w:t>
      </w:r>
      <w:r w:rsidR="00360377">
        <w:t xml:space="preserve"> and </w:t>
      </w:r>
      <w:r w:rsidR="00E768F4">
        <w:t xml:space="preserve">Horsham is about the same distance from Portland. Wycheproof is about </w:t>
      </w:r>
      <w:r w:rsidR="00360377">
        <w:t xml:space="preserve">280 km from Melbourne and about </w:t>
      </w:r>
      <w:r w:rsidR="00E768F4">
        <w:t>300 km from Geelong.</w:t>
      </w:r>
    </w:p>
    <w:p w:rsidR="00FE6D4E" w:rsidRDefault="00FE6D4E" w:rsidP="00C301B5">
      <w:r>
        <w:t xml:space="preserve">In Victoria, </w:t>
      </w:r>
      <w:r w:rsidR="0054710B">
        <w:t xml:space="preserve">large amounts of </w:t>
      </w:r>
      <w:r>
        <w:t xml:space="preserve">grain </w:t>
      </w:r>
      <w:r w:rsidR="0054710B">
        <w:t>are</w:t>
      </w:r>
      <w:r>
        <w:t xml:space="preserve"> transported by both rail and road. AEGIC indicate</w:t>
      </w:r>
      <w:r w:rsidR="005D0881">
        <w:t>s</w:t>
      </w:r>
      <w:r>
        <w:t xml:space="preserve"> that around 53 per cent of grain is transported by rail, with the remainder </w:t>
      </w:r>
      <w:r w:rsidR="00EA673C">
        <w:t>arriving</w:t>
      </w:r>
      <w:r>
        <w:t xml:space="preserve"> </w:t>
      </w:r>
      <w:r w:rsidR="00065475">
        <w:t>at</w:t>
      </w:r>
      <w:r>
        <w:t xml:space="preserve"> port</w:t>
      </w:r>
      <w:r w:rsidR="00EA673C">
        <w:t xml:space="preserve"> by road</w:t>
      </w:r>
      <w:r>
        <w:t>.</w:t>
      </w:r>
      <w:r>
        <w:rPr>
          <w:rStyle w:val="FootnoteReference"/>
        </w:rPr>
        <w:footnoteReference w:id="72"/>
      </w:r>
    </w:p>
    <w:p w:rsidR="00C5269B" w:rsidRDefault="00C5269B" w:rsidP="00C5269B">
      <w:pPr>
        <w:keepNext/>
      </w:pPr>
      <w:r>
        <w:t xml:space="preserve">GrainCorp submits that: </w:t>
      </w:r>
    </w:p>
    <w:p w:rsidR="00675BD5" w:rsidRDefault="00C5269B" w:rsidP="00675BD5">
      <w:pPr>
        <w:ind w:left="576"/>
        <w:rPr>
          <w:sz w:val="20"/>
        </w:rPr>
      </w:pPr>
      <w:r w:rsidRPr="003334D3">
        <w:rPr>
          <w:sz w:val="20"/>
        </w:rPr>
        <w:t>Victoria is a geographically compact State with relatively short hauls for grain to both the domestic</w:t>
      </w:r>
      <w:r>
        <w:rPr>
          <w:sz w:val="20"/>
        </w:rPr>
        <w:t xml:space="preserve"> </w:t>
      </w:r>
      <w:r w:rsidRPr="003334D3">
        <w:rPr>
          <w:sz w:val="20"/>
        </w:rPr>
        <w:t>and export markets.</w:t>
      </w:r>
      <w:r>
        <w:rPr>
          <w:sz w:val="20"/>
        </w:rPr>
        <w:t xml:space="preserve"> </w:t>
      </w:r>
      <w:r w:rsidRPr="003334D3">
        <w:rPr>
          <w:sz w:val="20"/>
        </w:rPr>
        <w:t>Rail’s transport role is generally limited to the longer hauls of over 400kms for export grain f</w:t>
      </w:r>
      <w:r>
        <w:rPr>
          <w:sz w:val="20"/>
        </w:rPr>
        <w:t>r</w:t>
      </w:r>
      <w:r w:rsidRPr="003334D3">
        <w:rPr>
          <w:sz w:val="20"/>
        </w:rPr>
        <w:t>om</w:t>
      </w:r>
      <w:r>
        <w:rPr>
          <w:sz w:val="20"/>
        </w:rPr>
        <w:t xml:space="preserve"> </w:t>
      </w:r>
      <w:r w:rsidRPr="003334D3">
        <w:rPr>
          <w:sz w:val="20"/>
        </w:rPr>
        <w:t xml:space="preserve">north west Victoria. </w:t>
      </w:r>
      <w:r w:rsidR="00675BD5" w:rsidRPr="00675BD5">
        <w:rPr>
          <w:sz w:val="20"/>
        </w:rPr>
        <w:t>Rail efficiency and the ability to use rail resources efficiently is restrained by</w:t>
      </w:r>
      <w:r w:rsidR="00675BD5">
        <w:rPr>
          <w:sz w:val="20"/>
        </w:rPr>
        <w:t xml:space="preserve"> </w:t>
      </w:r>
      <w:r w:rsidR="00675BD5" w:rsidRPr="00675BD5">
        <w:rPr>
          <w:sz w:val="20"/>
        </w:rPr>
        <w:t xml:space="preserve">Victoria having two rail track gauges and weight restrictions from most grain lines. </w:t>
      </w:r>
    </w:p>
    <w:p w:rsidR="00C5269B" w:rsidRPr="00416D85" w:rsidRDefault="00C5269B" w:rsidP="00675BD5">
      <w:pPr>
        <w:ind w:left="576"/>
        <w:rPr>
          <w:sz w:val="20"/>
        </w:rPr>
      </w:pPr>
      <w:r w:rsidRPr="00416D85">
        <w:rPr>
          <w:sz w:val="20"/>
        </w:rPr>
        <w:t>Road has become the primary means of transport to port, as most grain is located within distances of 250-350km, where road is more competitive.</w:t>
      </w:r>
      <w:r>
        <w:rPr>
          <w:rStyle w:val="FootnoteReference"/>
        </w:rPr>
        <w:footnoteReference w:id="73"/>
      </w:r>
    </w:p>
    <w:p w:rsidR="00065475" w:rsidRPr="00065475" w:rsidRDefault="00065475" w:rsidP="00F2549B">
      <w:pPr>
        <w:keepNext/>
        <w:rPr>
          <w:i/>
        </w:rPr>
      </w:pPr>
      <w:r w:rsidRPr="00065475">
        <w:rPr>
          <w:i/>
        </w:rPr>
        <w:lastRenderedPageBreak/>
        <w:t>Rail</w:t>
      </w:r>
    </w:p>
    <w:p w:rsidR="00C301B5" w:rsidRDefault="00C301B5" w:rsidP="00C301B5">
      <w:r>
        <w:t xml:space="preserve">Rail in Victoria is complicated by the presence of </w:t>
      </w:r>
      <w:r w:rsidR="00675BD5">
        <w:t xml:space="preserve">multiple rail </w:t>
      </w:r>
      <w:r>
        <w:t xml:space="preserve">gauge </w:t>
      </w:r>
      <w:r w:rsidR="00675BD5">
        <w:t xml:space="preserve">configurations </w:t>
      </w:r>
      <w:r w:rsidR="006579CD">
        <w:t>running</w:t>
      </w:r>
      <w:r>
        <w:t xml:space="preserve"> across the </w:t>
      </w:r>
      <w:r w:rsidR="00D65025">
        <w:t>different parts of the S</w:t>
      </w:r>
      <w:r>
        <w:t>tate.</w:t>
      </w:r>
    </w:p>
    <w:p w:rsidR="00E153C5" w:rsidRDefault="00E16D5F" w:rsidP="00E16D5F">
      <w:r>
        <w:t xml:space="preserve">GrainCorp’s Geelong port terminal can receive rail deliveries from upcountry through </w:t>
      </w:r>
      <w:r w:rsidR="006579CD">
        <w:t xml:space="preserve">both </w:t>
      </w:r>
      <w:r>
        <w:t>broad and standard gauge rail networks</w:t>
      </w:r>
      <w:r w:rsidR="006D2CDB">
        <w:t>. It is connected to broad gauge lines running from north west and northern Victoria and southern NSW.</w:t>
      </w:r>
      <w:r w:rsidR="006D2CDB" w:rsidRPr="006D2CDB">
        <w:t xml:space="preserve"> </w:t>
      </w:r>
      <w:r w:rsidR="006D2CDB">
        <w:t xml:space="preserve">Emerald’s </w:t>
      </w:r>
      <w:r w:rsidR="007C129D">
        <w:t>MPT</w:t>
      </w:r>
      <w:r w:rsidR="006D2CDB">
        <w:t xml:space="preserve"> also has rail access from almost all the</w:t>
      </w:r>
      <w:r w:rsidR="00E5235F">
        <w:t>se</w:t>
      </w:r>
      <w:r w:rsidR="006D2CDB">
        <w:t xml:space="preserve"> same broad gauge </w:t>
      </w:r>
      <w:r w:rsidR="006579CD">
        <w:t>lines.</w:t>
      </w:r>
      <w:r w:rsidR="000220B7">
        <w:t xml:space="preserve"> </w:t>
      </w:r>
      <w:r w:rsidR="006579CD">
        <w:t xml:space="preserve">A separate standard gauge rail network runs from western Victoria to GrainCorp’s Geelong port terminal, and then subsequently links to </w:t>
      </w:r>
      <w:r w:rsidR="007C129D">
        <w:t>MPT</w:t>
      </w:r>
      <w:r w:rsidR="006579CD">
        <w:t xml:space="preserve">. </w:t>
      </w:r>
    </w:p>
    <w:p w:rsidR="00E16D5F" w:rsidRDefault="00E153C5" w:rsidP="00E16D5F">
      <w:r>
        <w:t xml:space="preserve">The </w:t>
      </w:r>
      <w:r w:rsidR="006579CD">
        <w:t xml:space="preserve">standard gauge network also connects GrainCorp’s Portland terminal to growing regions in western Victorian by rail. </w:t>
      </w:r>
      <w:r w:rsidR="009A406A">
        <w:t xml:space="preserve">Additionally, the Australia Rail Track Corporation’s (ARTC) interstate rail line allows certain sites in western Victoria access to port terminals in Adelaide. </w:t>
      </w:r>
      <w:r w:rsidR="006579CD">
        <w:t>GrainCorp</w:t>
      </w:r>
      <w:r w:rsidR="00E16D5F">
        <w:t xml:space="preserve"> submits</w:t>
      </w:r>
      <w:r w:rsidR="00990E69">
        <w:t xml:space="preserve"> that</w:t>
      </w:r>
      <w:r w:rsidR="00E16D5F">
        <w:t>:</w:t>
      </w:r>
    </w:p>
    <w:p w:rsidR="00E16D5F" w:rsidRPr="00FC78B3" w:rsidRDefault="00E16D5F" w:rsidP="00E16D5F">
      <w:pPr>
        <w:spacing w:after="0"/>
        <w:ind w:left="578"/>
        <w:rPr>
          <w:sz w:val="20"/>
        </w:rPr>
      </w:pPr>
      <w:r w:rsidRPr="00CD6641">
        <w:rPr>
          <w:sz w:val="20"/>
        </w:rPr>
        <w:t>Portland terminal has poor rail access compared to the other ports</w:t>
      </w:r>
      <w:r>
        <w:rPr>
          <w:sz w:val="20"/>
        </w:rPr>
        <w:t>, as the line is</w:t>
      </w:r>
      <w:r w:rsidRPr="00CD6641">
        <w:rPr>
          <w:sz w:val="20"/>
        </w:rPr>
        <w:t>:</w:t>
      </w:r>
    </w:p>
    <w:p w:rsidR="00E16D5F" w:rsidRPr="00FC78B3" w:rsidRDefault="00E16D5F" w:rsidP="000059D2">
      <w:pPr>
        <w:pStyle w:val="ListParagraph"/>
        <w:numPr>
          <w:ilvl w:val="0"/>
          <w:numId w:val="16"/>
        </w:numPr>
        <w:spacing w:after="60"/>
        <w:ind w:left="1293" w:hanging="357"/>
        <w:contextualSpacing w:val="0"/>
        <w:rPr>
          <w:sz w:val="20"/>
        </w:rPr>
      </w:pPr>
      <w:r w:rsidRPr="00FC78B3">
        <w:rPr>
          <w:sz w:val="20"/>
        </w:rPr>
        <w:t>Weight restricted;</w:t>
      </w:r>
    </w:p>
    <w:p w:rsidR="00E16D5F" w:rsidRPr="00FC78B3" w:rsidRDefault="00E16D5F" w:rsidP="000059D2">
      <w:pPr>
        <w:pStyle w:val="ListParagraph"/>
        <w:numPr>
          <w:ilvl w:val="0"/>
          <w:numId w:val="16"/>
        </w:numPr>
        <w:spacing w:after="60"/>
        <w:ind w:left="1293" w:hanging="357"/>
        <w:contextualSpacing w:val="0"/>
        <w:rPr>
          <w:sz w:val="20"/>
        </w:rPr>
      </w:pPr>
      <w:r w:rsidRPr="00FC78B3">
        <w:rPr>
          <w:sz w:val="20"/>
        </w:rPr>
        <w:t>Routed a longer distance than road, as all trains must travel via Ararat, which is towards Melbourne; and</w:t>
      </w:r>
    </w:p>
    <w:p w:rsidR="00E16D5F" w:rsidRPr="00B87D50" w:rsidRDefault="00E16D5F" w:rsidP="000059D2">
      <w:pPr>
        <w:pStyle w:val="ListParagraph"/>
        <w:numPr>
          <w:ilvl w:val="0"/>
          <w:numId w:val="16"/>
        </w:numPr>
        <w:spacing w:after="60"/>
        <w:ind w:left="1293" w:hanging="357"/>
        <w:contextualSpacing w:val="0"/>
        <w:rPr>
          <w:sz w:val="20"/>
        </w:rPr>
      </w:pPr>
      <w:r w:rsidRPr="00FC78B3">
        <w:rPr>
          <w:sz w:val="20"/>
        </w:rPr>
        <w:t>Standard gauge rail only, which excludes the port from drawing grain by rail from north western Victoria</w:t>
      </w:r>
      <w:r w:rsidRPr="00B87D50">
        <w:rPr>
          <w:sz w:val="20"/>
        </w:rPr>
        <w:t>.</w:t>
      </w:r>
    </w:p>
    <w:p w:rsidR="00E16D5F" w:rsidRPr="00B352F6" w:rsidRDefault="00E16D5F" w:rsidP="00E16D5F">
      <w:pPr>
        <w:spacing w:after="360"/>
        <w:ind w:left="578"/>
        <w:rPr>
          <w:sz w:val="20"/>
        </w:rPr>
      </w:pPr>
      <w:r w:rsidRPr="00B352F6">
        <w:rPr>
          <w:sz w:val="20"/>
        </w:rPr>
        <w:t>The Victorian standard gauge network from western Victoria has access to the higher standard ARTC interstate track that can efficiently move grain into either Geelong/Melbourne or Adelaide Port Terminals.</w:t>
      </w:r>
      <w:r>
        <w:rPr>
          <w:rStyle w:val="FootnoteReference"/>
        </w:rPr>
        <w:footnoteReference w:id="74"/>
      </w:r>
    </w:p>
    <w:p w:rsidR="00C66500" w:rsidRDefault="00C66500" w:rsidP="00E16D5F">
      <w:r>
        <w:t>Grain marketers engage rail providers such as Pacific National and Qube to operate trains and transport grain to port under fixed volume take or pay contractual arrangements.</w:t>
      </w:r>
      <w:r>
        <w:rPr>
          <w:rStyle w:val="FootnoteReference"/>
        </w:rPr>
        <w:footnoteReference w:id="75"/>
      </w:r>
      <w:r>
        <w:t xml:space="preserve"> </w:t>
      </w:r>
      <w:r w:rsidR="009043B5">
        <w:t xml:space="preserve">The ACCC understands that </w:t>
      </w:r>
      <w:r w:rsidR="00065475">
        <w:t xml:space="preserve">larger exporters of grain such as </w:t>
      </w:r>
      <w:r w:rsidR="009043B5">
        <w:t xml:space="preserve">GrainCorp, Cargill, Emerald and Viterra </w:t>
      </w:r>
      <w:r w:rsidR="00B31D3E">
        <w:t xml:space="preserve">have typically </w:t>
      </w:r>
      <w:r w:rsidR="009043B5">
        <w:t>engage</w:t>
      </w:r>
      <w:r w:rsidR="00B31D3E">
        <w:t>d</w:t>
      </w:r>
      <w:r w:rsidR="009043B5">
        <w:t xml:space="preserve"> rail providers </w:t>
      </w:r>
      <w:r w:rsidR="00AC4700">
        <w:t>to varying degrees</w:t>
      </w:r>
      <w:r w:rsidR="00A20CA6">
        <w:t>.</w:t>
      </w:r>
      <w:r w:rsidR="00AC4700">
        <w:t xml:space="preserve"> </w:t>
      </w:r>
      <w:r w:rsidR="00A20CA6">
        <w:t>S</w:t>
      </w:r>
      <w:r w:rsidR="00065475">
        <w:t xml:space="preserve">ome other marketers </w:t>
      </w:r>
      <w:r w:rsidR="00A20CA6">
        <w:t xml:space="preserve">however </w:t>
      </w:r>
      <w:r w:rsidR="00065475">
        <w:t xml:space="preserve">choose to avoid the risks associated with take of pay contracts </w:t>
      </w:r>
      <w:r w:rsidR="002614DB">
        <w:t xml:space="preserve">combined with </w:t>
      </w:r>
      <w:r w:rsidR="00C14F1B">
        <w:t xml:space="preserve">the </w:t>
      </w:r>
      <w:r w:rsidR="00065475">
        <w:t xml:space="preserve">uncertainty of </w:t>
      </w:r>
      <w:r w:rsidR="00C14F1B">
        <w:t>harvest</w:t>
      </w:r>
      <w:r w:rsidR="002614DB">
        <w:t>,</w:t>
      </w:r>
      <w:r w:rsidR="00C14F1B">
        <w:t xml:space="preserve"> </w:t>
      </w:r>
      <w:r w:rsidR="00065475">
        <w:t xml:space="preserve">and </w:t>
      </w:r>
      <w:r w:rsidR="006566FC">
        <w:t xml:space="preserve">prefer to </w:t>
      </w:r>
      <w:r w:rsidR="00065475">
        <w:t>utilise trucks to transport grain</w:t>
      </w:r>
      <w:r w:rsidR="00903293">
        <w:t xml:space="preserve"> to port</w:t>
      </w:r>
      <w:r w:rsidR="00065475">
        <w:t>.</w:t>
      </w:r>
    </w:p>
    <w:p w:rsidR="00C755DC" w:rsidRDefault="00C755DC" w:rsidP="00E16D5F">
      <w:r>
        <w:t xml:space="preserve">Grain freight trains must </w:t>
      </w:r>
      <w:r w:rsidR="00E9461A">
        <w:t xml:space="preserve">also </w:t>
      </w:r>
      <w:r>
        <w:t xml:space="preserve">share some parts of the rail networks with passenger </w:t>
      </w:r>
      <w:r w:rsidR="00E9461A">
        <w:t>services.</w:t>
      </w:r>
    </w:p>
    <w:p w:rsidR="00992C4B" w:rsidRDefault="00095776" w:rsidP="00E16D5F">
      <w:r>
        <w:t>R</w:t>
      </w:r>
      <w:r w:rsidR="00992C4B">
        <w:t xml:space="preserve">ail does not dominate grain transport services in Victoria, </w:t>
      </w:r>
      <w:r>
        <w:t xml:space="preserve">and </w:t>
      </w:r>
      <w:r w:rsidR="00992C4B">
        <w:t xml:space="preserve">evidence suggests that rail services are accessible to </w:t>
      </w:r>
      <w:r>
        <w:t xml:space="preserve">those </w:t>
      </w:r>
      <w:r w:rsidR="00992C4B">
        <w:t xml:space="preserve">exporters who wish to use them. </w:t>
      </w:r>
      <w:r w:rsidR="00927ED5">
        <w:t>The ACCC considers that g</w:t>
      </w:r>
      <w:r w:rsidR="00992C4B">
        <w:t xml:space="preserve">iven that road transport appears to be </w:t>
      </w:r>
      <w:r w:rsidR="00B370D1">
        <w:t xml:space="preserve">cost effective across </w:t>
      </w:r>
      <w:r w:rsidR="00992C4B">
        <w:t xml:space="preserve">many locations </w:t>
      </w:r>
      <w:r w:rsidR="00B370D1">
        <w:t xml:space="preserve">in Victoria, the use of rail </w:t>
      </w:r>
      <w:r w:rsidR="00CC7C28">
        <w:t xml:space="preserve">in Victoria </w:t>
      </w:r>
      <w:r w:rsidR="00434EBC">
        <w:t>is of less significance than in some other parts of Australia.</w:t>
      </w:r>
    </w:p>
    <w:p w:rsidR="000817BF" w:rsidRPr="000817BF" w:rsidRDefault="000817BF" w:rsidP="00E16D5F">
      <w:pPr>
        <w:rPr>
          <w:i/>
        </w:rPr>
      </w:pPr>
      <w:r w:rsidRPr="000817BF">
        <w:rPr>
          <w:i/>
        </w:rPr>
        <w:t>Road</w:t>
      </w:r>
    </w:p>
    <w:p w:rsidR="00E16D5F" w:rsidRDefault="00E16D5F" w:rsidP="00E16D5F">
      <w:r>
        <w:t xml:space="preserve">The three Victorian port terminals can </w:t>
      </w:r>
      <w:r w:rsidR="00422721">
        <w:t xml:space="preserve">receive grain </w:t>
      </w:r>
      <w:r>
        <w:t xml:space="preserve">by road. Given the relatively short distances from some Victorian growing regions to the various port terminals, road transport represents a significant proportion </w:t>
      </w:r>
      <w:r w:rsidR="000E652B">
        <w:t xml:space="preserve">of </w:t>
      </w:r>
      <w:r>
        <w:t>grain receivals at each port:</w:t>
      </w:r>
    </w:p>
    <w:p w:rsidR="00E16D5F" w:rsidRDefault="00E16D5F" w:rsidP="00561DBA">
      <w:pPr>
        <w:pStyle w:val="ListParagraph"/>
        <w:numPr>
          <w:ilvl w:val="0"/>
          <w:numId w:val="15"/>
        </w:numPr>
        <w:ind w:left="714" w:hanging="357"/>
        <w:contextualSpacing w:val="0"/>
      </w:pPr>
      <w:r>
        <w:t>GrainCorp submits that in 2013-14 its Geelong terminal received around 50 per cent of receivals via road.</w:t>
      </w:r>
    </w:p>
    <w:p w:rsidR="00E16D5F" w:rsidRDefault="00E16D5F" w:rsidP="00561DBA">
      <w:pPr>
        <w:pStyle w:val="ListParagraph"/>
        <w:numPr>
          <w:ilvl w:val="0"/>
          <w:numId w:val="15"/>
        </w:numPr>
        <w:ind w:left="714" w:hanging="357"/>
        <w:contextualSpacing w:val="0"/>
      </w:pPr>
      <w:r w:rsidRPr="00FC78B3">
        <w:lastRenderedPageBreak/>
        <w:t xml:space="preserve">GrainCorp submits that the proportion of grain intake by </w:t>
      </w:r>
      <w:r>
        <w:t>road</w:t>
      </w:r>
      <w:r w:rsidRPr="00FC78B3">
        <w:t xml:space="preserve"> at its Portland facility generally </w:t>
      </w:r>
      <w:r>
        <w:t xml:space="preserve">increased </w:t>
      </w:r>
      <w:r w:rsidRPr="00FC78B3">
        <w:t xml:space="preserve">over the last 5 years and in 2013-14 </w:t>
      </w:r>
      <w:r>
        <w:t xml:space="preserve">it </w:t>
      </w:r>
      <w:r w:rsidRPr="00FC78B3">
        <w:t>received around 80</w:t>
      </w:r>
      <w:r>
        <w:t> </w:t>
      </w:r>
      <w:r w:rsidRPr="00FC78B3">
        <w:t>per</w:t>
      </w:r>
      <w:r>
        <w:t> </w:t>
      </w:r>
      <w:r w:rsidRPr="00FC78B3">
        <w:t>cent of its grain receivals via road.</w:t>
      </w:r>
      <w:r>
        <w:rPr>
          <w:rStyle w:val="FootnoteReference"/>
        </w:rPr>
        <w:footnoteReference w:id="76"/>
      </w:r>
    </w:p>
    <w:p w:rsidR="005C43EB" w:rsidRDefault="005C43EB" w:rsidP="000059D2">
      <w:pPr>
        <w:pStyle w:val="ListParagraph"/>
        <w:numPr>
          <w:ilvl w:val="0"/>
          <w:numId w:val="15"/>
        </w:numPr>
        <w:ind w:left="714" w:hanging="357"/>
        <w:contextualSpacing w:val="0"/>
      </w:pPr>
      <w:r>
        <w:t xml:space="preserve">Emerald’s </w:t>
      </w:r>
      <w:r w:rsidR="007C129D">
        <w:t>MPT</w:t>
      </w:r>
      <w:r>
        <w:t xml:space="preserve"> receives grain via road transport, and has recently increased its terminal’s road receivals capability.</w:t>
      </w:r>
    </w:p>
    <w:p w:rsidR="002A7298" w:rsidRDefault="005B2029" w:rsidP="00C301B5">
      <w:r>
        <w:t xml:space="preserve">There are a number of trucking companies operating in Victoria. Many of these companies are noted in section 3.1.1 and offer integrated services with transport, storage and handling and some also container packing services. </w:t>
      </w:r>
      <w:r w:rsidR="003F43EB">
        <w:t xml:space="preserve">Other </w:t>
      </w:r>
      <w:r>
        <w:t>companies</w:t>
      </w:r>
      <w:r w:rsidR="003F43EB">
        <w:t>,</w:t>
      </w:r>
      <w:r>
        <w:t xml:space="preserve"> </w:t>
      </w:r>
      <w:r w:rsidR="003F43EB">
        <w:t>such as</w:t>
      </w:r>
      <w:r>
        <w:t xml:space="preserve"> Brooks Logistics</w:t>
      </w:r>
      <w:r w:rsidR="003F43EB">
        <w:t xml:space="preserve"> and Porthaul, also offer grain transport services.</w:t>
      </w:r>
    </w:p>
    <w:p w:rsidR="00AC72AF" w:rsidRDefault="00AC72AF" w:rsidP="00C301B5">
      <w:r>
        <w:t xml:space="preserve">An additional incentive to use road transport in Victoria is the opportunity for trucking companies to access certain back-loading </w:t>
      </w:r>
      <w:r w:rsidR="003C33BF">
        <w:t>markets</w:t>
      </w:r>
      <w:r>
        <w:t xml:space="preserve"> at port. </w:t>
      </w:r>
      <w:r w:rsidR="003C33BF">
        <w:t xml:space="preserve">In particular, the fertiliser back-loading market at certain ports is an attractive market that supports </w:t>
      </w:r>
      <w:r w:rsidR="00130FE2">
        <w:t xml:space="preserve">the use of </w:t>
      </w:r>
      <w:r w:rsidR="003C33BF">
        <w:t>truck</w:t>
      </w:r>
      <w:r w:rsidR="00130FE2">
        <w:t>s to transport</w:t>
      </w:r>
      <w:r w:rsidR="003C33BF">
        <w:t xml:space="preserve"> grain to the port.</w:t>
      </w:r>
      <w:r w:rsidR="0091399C">
        <w:rPr>
          <w:rStyle w:val="FootnoteReference"/>
        </w:rPr>
        <w:footnoteReference w:id="77"/>
      </w:r>
    </w:p>
    <w:p w:rsidR="0066710A" w:rsidRDefault="00061164" w:rsidP="00C301B5">
      <w:r>
        <w:t xml:space="preserve">The ACCC considers that </w:t>
      </w:r>
      <w:r w:rsidR="0030348D">
        <w:t xml:space="preserve">relatively shorter distances to port </w:t>
      </w:r>
      <w:r w:rsidR="008E45BB">
        <w:t xml:space="preserve">in Victoria </w:t>
      </w:r>
      <w:r w:rsidR="0030348D">
        <w:t xml:space="preserve">and </w:t>
      </w:r>
      <w:r w:rsidR="008E45BB">
        <w:t xml:space="preserve">the </w:t>
      </w:r>
      <w:r w:rsidR="00C939AA">
        <w:t xml:space="preserve">wide use of </w:t>
      </w:r>
      <w:r>
        <w:t xml:space="preserve">road </w:t>
      </w:r>
      <w:r w:rsidR="00C939AA">
        <w:t>a</w:t>
      </w:r>
      <w:r w:rsidR="00194E2A">
        <w:t xml:space="preserve">s a </w:t>
      </w:r>
      <w:r w:rsidR="002F4419">
        <w:t xml:space="preserve">method of grain transport </w:t>
      </w:r>
      <w:r>
        <w:t>across</w:t>
      </w:r>
      <w:r w:rsidR="002F4419">
        <w:t xml:space="preserve"> </w:t>
      </w:r>
      <w:r w:rsidR="00C939AA">
        <w:t xml:space="preserve">many parts of </w:t>
      </w:r>
      <w:r w:rsidR="008E45BB">
        <w:t xml:space="preserve">the State </w:t>
      </w:r>
      <w:r w:rsidR="00C939AA">
        <w:t xml:space="preserve">shows that it is not only </w:t>
      </w:r>
      <w:r w:rsidR="0065010B">
        <w:t xml:space="preserve">a </w:t>
      </w:r>
      <w:r w:rsidR="00C939AA">
        <w:t>viable</w:t>
      </w:r>
      <w:r w:rsidR="0065010B">
        <w:t xml:space="preserve"> alternative</w:t>
      </w:r>
      <w:r w:rsidR="00C939AA">
        <w:t xml:space="preserve">, but </w:t>
      </w:r>
      <w:r w:rsidR="00E03AA4">
        <w:t xml:space="preserve">in the current environment </w:t>
      </w:r>
      <w:r w:rsidR="0065010B">
        <w:t xml:space="preserve">is the </w:t>
      </w:r>
      <w:r w:rsidR="00C939AA">
        <w:t xml:space="preserve">preferred </w:t>
      </w:r>
      <w:r w:rsidR="0065010B">
        <w:t xml:space="preserve">form of transport </w:t>
      </w:r>
      <w:r w:rsidR="00C939AA">
        <w:t xml:space="preserve">by a </w:t>
      </w:r>
      <w:r w:rsidR="0065010B">
        <w:t>number of industry participants</w:t>
      </w:r>
      <w:r w:rsidR="00C939AA">
        <w:t>.</w:t>
      </w:r>
      <w:r w:rsidR="00A83EB2">
        <w:t xml:space="preserve"> </w:t>
      </w:r>
    </w:p>
    <w:p w:rsidR="00194E2A" w:rsidRDefault="00A83EB2" w:rsidP="00C301B5">
      <w:r>
        <w:t xml:space="preserve">The implications of the </w:t>
      </w:r>
      <w:r w:rsidR="0066710A">
        <w:t xml:space="preserve">significant </w:t>
      </w:r>
      <w:r>
        <w:t xml:space="preserve">use of road transport </w:t>
      </w:r>
      <w:r w:rsidR="0066710A">
        <w:t>suggest that each port terminal</w:t>
      </w:r>
      <w:r w:rsidR="00A44FC9">
        <w:t>’</w:t>
      </w:r>
      <w:r w:rsidR="0066710A">
        <w:t>s grain catchment area is likely to have a degree of flexibility and not be limited to certain boundaries</w:t>
      </w:r>
      <w:r w:rsidR="00811B6C">
        <w:t xml:space="preserve"> or rail paths</w:t>
      </w:r>
      <w:r w:rsidR="0066710A">
        <w:t xml:space="preserve">. Grain catchment areas for each port terminal and </w:t>
      </w:r>
      <w:r>
        <w:t>discussed further in the following section</w:t>
      </w:r>
      <w:r w:rsidR="0066710A">
        <w:t>.</w:t>
      </w:r>
    </w:p>
    <w:p w:rsidR="000E2403" w:rsidRDefault="00E16D5F" w:rsidP="000059D2">
      <w:pPr>
        <w:pStyle w:val="Heading2"/>
      </w:pPr>
      <w:bookmarkStart w:id="70" w:name="_Toc416360494"/>
      <w:r>
        <w:t>Grain catchment</w:t>
      </w:r>
      <w:r w:rsidR="000E2403">
        <w:t xml:space="preserve"> areas by port</w:t>
      </w:r>
      <w:bookmarkEnd w:id="70"/>
    </w:p>
    <w:p w:rsidR="00A518FF" w:rsidRDefault="004E2670" w:rsidP="00BD6EAE">
      <w:r>
        <w:t>In general, t</w:t>
      </w:r>
      <w:r w:rsidR="00345360">
        <w:t>he ACCC’s assessment</w:t>
      </w:r>
      <w:r>
        <w:t>s</w:t>
      </w:r>
      <w:r w:rsidR="00345360">
        <w:t xml:space="preserve"> of exemption applications </w:t>
      </w:r>
      <w:r>
        <w:t xml:space="preserve">will </w:t>
      </w:r>
      <w:r w:rsidR="00345360">
        <w:t xml:space="preserve">consider the extent to which port terminals </w:t>
      </w:r>
      <w:r w:rsidR="00C52DCA">
        <w:t xml:space="preserve">can </w:t>
      </w:r>
      <w:r w:rsidR="00345360">
        <w:t xml:space="preserve">compete with each </w:t>
      </w:r>
      <w:r w:rsidR="007D5924">
        <w:t>other</w:t>
      </w:r>
      <w:r w:rsidR="005A0F8E">
        <w:t>. As such</w:t>
      </w:r>
      <w:r w:rsidR="007D5924">
        <w:t xml:space="preserve"> it is important to consider the </w:t>
      </w:r>
      <w:r w:rsidR="009E76E8">
        <w:t>relevant</w:t>
      </w:r>
      <w:r w:rsidR="005A0F8E">
        <w:t xml:space="preserve"> </w:t>
      </w:r>
      <w:r w:rsidR="00C56930">
        <w:t xml:space="preserve">grain </w:t>
      </w:r>
      <w:r w:rsidR="00F57DC4">
        <w:t>catchment area</w:t>
      </w:r>
      <w:r w:rsidR="007D5924">
        <w:t>s</w:t>
      </w:r>
      <w:r w:rsidR="005A0F8E">
        <w:t xml:space="preserve"> </w:t>
      </w:r>
      <w:r w:rsidR="00F57DC4">
        <w:t>for each port</w:t>
      </w:r>
      <w:r w:rsidR="007D5924">
        <w:t xml:space="preserve"> </w:t>
      </w:r>
      <w:r w:rsidR="00907555">
        <w:t xml:space="preserve">terminal </w:t>
      </w:r>
      <w:r w:rsidR="007D5924">
        <w:t xml:space="preserve">and </w:t>
      </w:r>
      <w:r w:rsidR="00907555">
        <w:t xml:space="preserve">the extent to which these </w:t>
      </w:r>
      <w:r w:rsidR="00C56930">
        <w:t xml:space="preserve">areas </w:t>
      </w:r>
      <w:r w:rsidR="009E0E98">
        <w:t xml:space="preserve">can </w:t>
      </w:r>
      <w:r w:rsidR="007D5924">
        <w:t xml:space="preserve">supply </w:t>
      </w:r>
      <w:r w:rsidR="00907555">
        <w:t xml:space="preserve">grain to </w:t>
      </w:r>
      <w:r w:rsidR="005A0F8E">
        <w:t>alternative</w:t>
      </w:r>
      <w:r w:rsidR="00C56930">
        <w:t xml:space="preserve"> </w:t>
      </w:r>
      <w:r w:rsidR="007D5924">
        <w:t>terminals</w:t>
      </w:r>
      <w:r w:rsidR="00C52DCA">
        <w:t xml:space="preserve"> to facilitate competition</w:t>
      </w:r>
      <w:r w:rsidR="00F57DC4">
        <w:t>.</w:t>
      </w:r>
      <w:r w:rsidR="00904B2A">
        <w:t xml:space="preserve"> </w:t>
      </w:r>
      <w:r w:rsidR="009B0138">
        <w:t>Port terminals may be in competition with each other i</w:t>
      </w:r>
      <w:r w:rsidR="00061164">
        <w:t>f</w:t>
      </w:r>
      <w:r w:rsidR="009B0138">
        <w:t>,</w:t>
      </w:r>
      <w:r w:rsidR="00061164">
        <w:t xml:space="preserve"> </w:t>
      </w:r>
      <w:r w:rsidR="00D02126">
        <w:t xml:space="preserve">for instance, grain from one area could </w:t>
      </w:r>
      <w:r w:rsidR="009B0138">
        <w:t xml:space="preserve">practically </w:t>
      </w:r>
      <w:r w:rsidR="00D02126">
        <w:t xml:space="preserve">move to either </w:t>
      </w:r>
      <w:r w:rsidR="0085191F">
        <w:t xml:space="preserve">of </w:t>
      </w:r>
      <w:r w:rsidR="009B0138">
        <w:t xml:space="preserve">the </w:t>
      </w:r>
      <w:r w:rsidR="00D02126">
        <w:t xml:space="preserve">two </w:t>
      </w:r>
      <w:r w:rsidR="009B0138">
        <w:t>(</w:t>
      </w:r>
      <w:r w:rsidR="00D02126">
        <w:t>or more</w:t>
      </w:r>
      <w:r w:rsidR="009B0138">
        <w:t>)</w:t>
      </w:r>
      <w:r w:rsidR="00D02126">
        <w:t xml:space="preserve"> </w:t>
      </w:r>
      <w:r w:rsidR="005D5657">
        <w:t xml:space="preserve">other </w:t>
      </w:r>
      <w:r w:rsidR="00D02126">
        <w:t>terminals</w:t>
      </w:r>
      <w:r w:rsidR="0085191F">
        <w:t>.</w:t>
      </w:r>
      <w:r w:rsidR="00D02126">
        <w:t xml:space="preserve"> </w:t>
      </w:r>
    </w:p>
    <w:p w:rsidR="00F23F96" w:rsidRDefault="00F23F96" w:rsidP="00F23F96">
      <w:r>
        <w:t>The relevant catchment area for each Victorian port terminal is likely to be related to established transport</w:t>
      </w:r>
      <w:r w:rsidR="00E51D40">
        <w:t xml:space="preserve">ation links to </w:t>
      </w:r>
      <w:r w:rsidR="0013753F">
        <w:t>each</w:t>
      </w:r>
      <w:r w:rsidR="00E51D40">
        <w:t xml:space="preserve"> port</w:t>
      </w:r>
      <w:r>
        <w:t xml:space="preserve"> including rail </w:t>
      </w:r>
      <w:r w:rsidR="00E51D40">
        <w:t xml:space="preserve">networks </w:t>
      </w:r>
      <w:r>
        <w:t xml:space="preserve">and road pathways </w:t>
      </w:r>
      <w:r w:rsidR="0013753F">
        <w:t xml:space="preserve">that </w:t>
      </w:r>
      <w:r>
        <w:t xml:space="preserve">connect the port terminals to growing regions and the associated upcountry </w:t>
      </w:r>
      <w:r w:rsidR="00ED0B42">
        <w:t xml:space="preserve">storage </w:t>
      </w:r>
      <w:r>
        <w:t xml:space="preserve">infrastructure. </w:t>
      </w:r>
    </w:p>
    <w:p w:rsidR="00F83F8F" w:rsidRDefault="00E51D40" w:rsidP="00F83F8F">
      <w:r>
        <w:t xml:space="preserve">Emerald submits that </w:t>
      </w:r>
      <w:r w:rsidR="007C129D">
        <w:t>MPT’s</w:t>
      </w:r>
      <w:r>
        <w:t xml:space="preserve"> catchment area could be considered as the region which should be freight advantaged to Melbourne under normal circumstances.</w:t>
      </w:r>
      <w:r>
        <w:rPr>
          <w:rStyle w:val="FootnoteReference"/>
        </w:rPr>
        <w:footnoteReference w:id="78"/>
      </w:r>
      <w:r>
        <w:t xml:space="preserve"> </w:t>
      </w:r>
      <w:r w:rsidR="00375A10">
        <w:t xml:space="preserve">Emerald </w:t>
      </w:r>
      <w:r w:rsidR="00C755DC">
        <w:t xml:space="preserve">notes </w:t>
      </w:r>
      <w:r w:rsidR="00D568FE">
        <w:t xml:space="preserve">that there </w:t>
      </w:r>
      <w:r w:rsidR="000860F6">
        <w:t xml:space="preserve">is </w:t>
      </w:r>
      <w:r w:rsidR="00E64D0C">
        <w:t xml:space="preserve">a </w:t>
      </w:r>
      <w:r w:rsidR="000860F6">
        <w:t>significant amount of grain considered contestable between Melbourne and other ports/port zones</w:t>
      </w:r>
      <w:r w:rsidR="00C755DC">
        <w:t xml:space="preserve">, and </w:t>
      </w:r>
      <w:r w:rsidR="00F83F8F">
        <w:t>submits that:</w:t>
      </w:r>
    </w:p>
    <w:p w:rsidR="00F83F8F" w:rsidRPr="00EF0C6A" w:rsidRDefault="00F83F8F" w:rsidP="00F83F8F">
      <w:pPr>
        <w:ind w:left="576"/>
        <w:rPr>
          <w:sz w:val="20"/>
        </w:rPr>
      </w:pPr>
      <w:r w:rsidRPr="00EF0C6A">
        <w:rPr>
          <w:sz w:val="20"/>
        </w:rPr>
        <w:lastRenderedPageBreak/>
        <w:t>Geelong already exports grain from locations that would most efficiently flow to Melbourne. Notwithstanding freight cost differentials, grain often flows to either Melbourne or Geelong from Victorian sites.</w:t>
      </w:r>
      <w:r>
        <w:rPr>
          <w:rStyle w:val="FootnoteReference"/>
        </w:rPr>
        <w:footnoteReference w:id="79"/>
      </w:r>
    </w:p>
    <w:p w:rsidR="00181DA9" w:rsidRDefault="00D568FE" w:rsidP="007E1A53">
      <w:r>
        <w:t>T</w:t>
      </w:r>
      <w:r w:rsidR="00375A10">
        <w:t xml:space="preserve">he following illustration </w:t>
      </w:r>
      <w:r>
        <w:t>was provided in Emerald’</w:t>
      </w:r>
      <w:r w:rsidR="001942BE">
        <w:t>s supporting submission</w:t>
      </w:r>
      <w:r w:rsidR="00F33969">
        <w:t xml:space="preserve"> which indicates that </w:t>
      </w:r>
      <w:r w:rsidR="000F2710">
        <w:t xml:space="preserve">the </w:t>
      </w:r>
      <w:r w:rsidR="004E3092">
        <w:t>northern</w:t>
      </w:r>
      <w:r w:rsidR="00F47907">
        <w:t xml:space="preserve"> and</w:t>
      </w:r>
      <w:r w:rsidR="004E3092">
        <w:t xml:space="preserve"> </w:t>
      </w:r>
      <w:r w:rsidR="00F33969">
        <w:t>central</w:t>
      </w:r>
      <w:r w:rsidR="00F47907">
        <w:t xml:space="preserve"> </w:t>
      </w:r>
      <w:r w:rsidR="00AC32A4">
        <w:t xml:space="preserve">parts of Victoria and </w:t>
      </w:r>
      <w:r w:rsidR="00F33969">
        <w:t xml:space="preserve">southern </w:t>
      </w:r>
      <w:r w:rsidR="00AC32A4">
        <w:t xml:space="preserve">parts of </w:t>
      </w:r>
      <w:r w:rsidR="00F33969">
        <w:t xml:space="preserve">NSW </w:t>
      </w:r>
      <w:r w:rsidR="00A30399">
        <w:t xml:space="preserve">are part of </w:t>
      </w:r>
      <w:r w:rsidR="00094B0B">
        <w:t xml:space="preserve">both </w:t>
      </w:r>
      <w:r w:rsidR="00F33969">
        <w:t xml:space="preserve">the Melbourne and Geelong </w:t>
      </w:r>
      <w:r w:rsidR="00A30399">
        <w:t xml:space="preserve">port </w:t>
      </w:r>
      <w:r w:rsidR="00F33969">
        <w:t>terminal</w:t>
      </w:r>
      <w:r w:rsidR="00A30399">
        <w:t>s</w:t>
      </w:r>
      <w:r w:rsidR="00AC32A4">
        <w:t>’</w:t>
      </w:r>
      <w:r w:rsidR="00A30399">
        <w:t xml:space="preserve"> catchment areas</w:t>
      </w:r>
      <w:r w:rsidR="001942BE">
        <w:t>.</w:t>
      </w:r>
    </w:p>
    <w:p w:rsidR="00604BD8" w:rsidRPr="0022630B" w:rsidRDefault="00604BD8" w:rsidP="00F2549B">
      <w:pPr>
        <w:pStyle w:val="Caption"/>
        <w:keepNext/>
      </w:pPr>
      <w:r w:rsidRPr="00F2549B">
        <w:rPr>
          <w:sz w:val="20"/>
        </w:rPr>
        <w:t xml:space="preserve">Figure </w:t>
      </w:r>
      <w:r w:rsidR="006127BF" w:rsidRPr="00F2549B">
        <w:rPr>
          <w:sz w:val="20"/>
        </w:rPr>
        <w:t>9</w:t>
      </w:r>
      <w:r w:rsidRPr="00F2549B">
        <w:rPr>
          <w:sz w:val="20"/>
        </w:rPr>
        <w:t xml:space="preserve">: Emerald’s depiction of the grain draw to Melbourne and Geelong </w:t>
      </w:r>
      <w:r w:rsidR="005F0C89" w:rsidRPr="00F2549B">
        <w:rPr>
          <w:sz w:val="20"/>
        </w:rPr>
        <w:t>port terminals</w:t>
      </w:r>
    </w:p>
    <w:p w:rsidR="00604BD8" w:rsidRPr="007E1A53" w:rsidRDefault="00604BD8" w:rsidP="00811EAF">
      <w:pPr>
        <w:keepNext/>
      </w:pPr>
      <w:r>
        <w:rPr>
          <w:noProof/>
          <w:lang w:eastAsia="en-AU"/>
        </w:rPr>
        <w:drawing>
          <wp:inline distT="0" distB="0" distL="0" distR="0" wp14:anchorId="58C78796" wp14:editId="79A972F6">
            <wp:extent cx="5731510" cy="349524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731510" cy="3495241"/>
                    </a:xfrm>
                    <a:prstGeom prst="rect">
                      <a:avLst/>
                    </a:prstGeom>
                  </pic:spPr>
                </pic:pic>
              </a:graphicData>
            </a:graphic>
          </wp:inline>
        </w:drawing>
      </w:r>
    </w:p>
    <w:p w:rsidR="003F12C9" w:rsidRPr="00F2549B" w:rsidRDefault="00604BD8" w:rsidP="00F33969">
      <w:pPr>
        <w:pStyle w:val="Source"/>
        <w:spacing w:after="360"/>
        <w:rPr>
          <w:sz w:val="18"/>
        </w:rPr>
      </w:pPr>
      <w:r w:rsidRPr="00F2549B">
        <w:rPr>
          <w:sz w:val="18"/>
        </w:rPr>
        <w:t>Source: Emerald Grain, Submission in support, p. 6</w:t>
      </w:r>
    </w:p>
    <w:p w:rsidR="008136BF" w:rsidRDefault="008136BF" w:rsidP="008136BF">
      <w:r>
        <w:t xml:space="preserve">The relatively close proximity of Melbourne and Geelong and the established rail and road networks suggests that grain originating </w:t>
      </w:r>
      <w:r w:rsidR="00CE77E5">
        <w:t xml:space="preserve">in </w:t>
      </w:r>
      <w:r>
        <w:t xml:space="preserve">a number of areas in Victoria could supply either port. </w:t>
      </w:r>
    </w:p>
    <w:p w:rsidR="008136BF" w:rsidRDefault="008136BF" w:rsidP="008136BF">
      <w:r>
        <w:t>In contrast, GrainCorp’s Portland port terminal is positioned in a more isolated location.</w:t>
      </w:r>
    </w:p>
    <w:p w:rsidR="000F2710" w:rsidRDefault="00F33969" w:rsidP="00604BD8">
      <w:pPr>
        <w:pStyle w:val="Normalparagraph"/>
      </w:pPr>
      <w:r>
        <w:t>GrainCorp also provided an illustration</w:t>
      </w:r>
      <w:r w:rsidR="00A30399">
        <w:t xml:space="preserve"> in its supporting submission </w:t>
      </w:r>
      <w:r w:rsidR="00F569B6">
        <w:t>of</w:t>
      </w:r>
      <w:r>
        <w:t xml:space="preserve"> what it believed to be the relevant catchment areas for </w:t>
      </w:r>
      <w:r w:rsidR="00DA292F">
        <w:t xml:space="preserve">all three </w:t>
      </w:r>
      <w:r>
        <w:t>Victorian port terminal</w:t>
      </w:r>
      <w:r w:rsidR="00DA292F">
        <w:t>s</w:t>
      </w:r>
      <w:r>
        <w:t xml:space="preserve"> (see </w:t>
      </w:r>
      <w:r w:rsidRPr="00F2549B">
        <w:t xml:space="preserve">figure </w:t>
      </w:r>
      <w:r w:rsidR="006127BF" w:rsidRPr="00F2549B">
        <w:t>10</w:t>
      </w:r>
      <w:r>
        <w:t xml:space="preserve">). Similar to Emerald’s submission, GrainCorp also </w:t>
      </w:r>
      <w:r w:rsidR="00AC32A4">
        <w:t>views</w:t>
      </w:r>
      <w:r>
        <w:t xml:space="preserve"> the </w:t>
      </w:r>
      <w:r w:rsidR="004E3092">
        <w:t xml:space="preserve">northern, </w:t>
      </w:r>
      <w:r>
        <w:t xml:space="preserve">central, and north eastern parts of Victoria to be part of both the Melbourne and Geelong </w:t>
      </w:r>
      <w:r w:rsidR="00A30399">
        <w:t>terminals</w:t>
      </w:r>
      <w:r>
        <w:t xml:space="preserve">’ catchment areas. </w:t>
      </w:r>
    </w:p>
    <w:p w:rsidR="00181DA9" w:rsidRPr="0022630B" w:rsidRDefault="00181DA9" w:rsidP="00F2549B">
      <w:pPr>
        <w:pStyle w:val="Caption"/>
        <w:keepNext/>
      </w:pPr>
      <w:r w:rsidRPr="00F2549B">
        <w:rPr>
          <w:sz w:val="20"/>
        </w:rPr>
        <w:lastRenderedPageBreak/>
        <w:t xml:space="preserve">Figure </w:t>
      </w:r>
      <w:r w:rsidR="006127BF" w:rsidRPr="00F2549B">
        <w:rPr>
          <w:sz w:val="20"/>
        </w:rPr>
        <w:t>10</w:t>
      </w:r>
      <w:r w:rsidRPr="00F2549B">
        <w:rPr>
          <w:sz w:val="20"/>
        </w:rPr>
        <w:t>: GrainCorp’s depiction of the grain draw to Victorian port</w:t>
      </w:r>
      <w:r w:rsidR="005F0C89" w:rsidRPr="00F2549B">
        <w:rPr>
          <w:sz w:val="20"/>
        </w:rPr>
        <w:t xml:space="preserve"> terminals</w:t>
      </w:r>
    </w:p>
    <w:p w:rsidR="00181DA9" w:rsidRDefault="00181DA9" w:rsidP="00604BD8">
      <w:pPr>
        <w:pStyle w:val="Normalparagraph"/>
      </w:pPr>
      <w:r>
        <w:rPr>
          <w:noProof/>
          <w:lang w:eastAsia="en-AU"/>
        </w:rPr>
        <w:drawing>
          <wp:inline distT="0" distB="0" distL="0" distR="0" wp14:anchorId="74AC2FAA" wp14:editId="0CAD86F8">
            <wp:extent cx="5731510" cy="3670983"/>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731510" cy="3670983"/>
                    </a:xfrm>
                    <a:prstGeom prst="rect">
                      <a:avLst/>
                    </a:prstGeom>
                  </pic:spPr>
                </pic:pic>
              </a:graphicData>
            </a:graphic>
          </wp:inline>
        </w:drawing>
      </w:r>
    </w:p>
    <w:p w:rsidR="00181DA9" w:rsidRPr="00F2549B" w:rsidRDefault="00181DA9" w:rsidP="005F0C89">
      <w:pPr>
        <w:pStyle w:val="Source"/>
        <w:spacing w:after="360"/>
        <w:contextualSpacing w:val="0"/>
        <w:rPr>
          <w:sz w:val="18"/>
        </w:rPr>
      </w:pPr>
      <w:r w:rsidRPr="00F2549B">
        <w:rPr>
          <w:sz w:val="18"/>
        </w:rPr>
        <w:t>Source: GrainCorp, Submission in support, p. 6</w:t>
      </w:r>
    </w:p>
    <w:p w:rsidR="0087086E" w:rsidRDefault="00D04138" w:rsidP="008809ED">
      <w:pPr>
        <w:pStyle w:val="Normalparagraph"/>
      </w:pPr>
      <w:r w:rsidRPr="00F2549B">
        <w:t xml:space="preserve">Figure </w:t>
      </w:r>
      <w:r w:rsidR="006127BF" w:rsidRPr="00F2549B">
        <w:t>10</w:t>
      </w:r>
      <w:r>
        <w:t xml:space="preserve"> also shows GrainCorp</w:t>
      </w:r>
      <w:r w:rsidR="00C83866">
        <w:t>’</w:t>
      </w:r>
      <w:r>
        <w:t xml:space="preserve">s </w:t>
      </w:r>
      <w:r w:rsidR="00C83866">
        <w:t xml:space="preserve">interpretation of </w:t>
      </w:r>
      <w:r>
        <w:t>the</w:t>
      </w:r>
      <w:r w:rsidR="008809ED">
        <w:t xml:space="preserve"> catchment areas for its Portland port terminal. </w:t>
      </w:r>
      <w:r>
        <w:t>According to GrainCorp, the c</w:t>
      </w:r>
      <w:r w:rsidR="008809ED">
        <w:t xml:space="preserve">atchments areas for </w:t>
      </w:r>
      <w:r>
        <w:t xml:space="preserve">its </w:t>
      </w:r>
      <w:r w:rsidR="008809ED">
        <w:t xml:space="preserve">Portland terminal include </w:t>
      </w:r>
      <w:r w:rsidR="0087086E">
        <w:t xml:space="preserve">north western and </w:t>
      </w:r>
      <w:r w:rsidR="008809ED">
        <w:t>west</w:t>
      </w:r>
      <w:r w:rsidR="0087086E">
        <w:t>ern</w:t>
      </w:r>
      <w:r w:rsidR="008809ED">
        <w:t xml:space="preserve"> </w:t>
      </w:r>
      <w:r>
        <w:t xml:space="preserve">parts of </w:t>
      </w:r>
      <w:r w:rsidR="0087086E">
        <w:t xml:space="preserve">Victoria where north western regions are likely to access the </w:t>
      </w:r>
      <w:r w:rsidR="00F47062">
        <w:t xml:space="preserve">Portland terminal primarily </w:t>
      </w:r>
      <w:r w:rsidR="0087086E">
        <w:t xml:space="preserve">via road. </w:t>
      </w:r>
    </w:p>
    <w:p w:rsidR="008809ED" w:rsidRDefault="008809ED" w:rsidP="008809ED">
      <w:pPr>
        <w:pStyle w:val="Normalparagraph"/>
      </w:pPr>
      <w:r>
        <w:t>GrainCorp submits that west</w:t>
      </w:r>
      <w:r w:rsidR="00D04138">
        <w:t xml:space="preserve">ern </w:t>
      </w:r>
      <w:r>
        <w:t>Victoria also form</w:t>
      </w:r>
      <w:r w:rsidR="001A2B68">
        <w:t>s</w:t>
      </w:r>
      <w:r>
        <w:t xml:space="preserve"> part of the catchment areas for its Geelong </w:t>
      </w:r>
      <w:r w:rsidR="001A2B68">
        <w:t xml:space="preserve">terminal </w:t>
      </w:r>
      <w:r>
        <w:t>and Emerald’s Melbourne terminal</w:t>
      </w:r>
      <w:r w:rsidR="00ED5056">
        <w:t>. GrainCorp also</w:t>
      </w:r>
      <w:r>
        <w:t xml:space="preserve"> </w:t>
      </w:r>
      <w:r w:rsidR="00C301B5">
        <w:t>considers</w:t>
      </w:r>
      <w:r w:rsidR="00ED5056">
        <w:t xml:space="preserve"> </w:t>
      </w:r>
      <w:r>
        <w:t xml:space="preserve">that north western Victorian </w:t>
      </w:r>
      <w:r w:rsidR="001A2B68">
        <w:t xml:space="preserve">grain </w:t>
      </w:r>
      <w:r>
        <w:t>form</w:t>
      </w:r>
      <w:r w:rsidR="001A2B68">
        <w:t>s</w:t>
      </w:r>
      <w:r>
        <w:t xml:space="preserve"> part of its Geelong terminal</w:t>
      </w:r>
      <w:r w:rsidR="00331BB8">
        <w:t xml:space="preserve"> </w:t>
      </w:r>
      <w:r w:rsidR="001A2B68">
        <w:t>and</w:t>
      </w:r>
      <w:r w:rsidR="00331BB8">
        <w:t xml:space="preserve"> Viterra’s Adelaide terminal</w:t>
      </w:r>
      <w:r>
        <w:t>s</w:t>
      </w:r>
      <w:r w:rsidR="001A2B68">
        <w:t>’</w:t>
      </w:r>
      <w:r w:rsidR="00331BB8">
        <w:t xml:space="preserve"> catchment areas</w:t>
      </w:r>
      <w:r>
        <w:t>.</w:t>
      </w:r>
      <w:r w:rsidR="005F0C89">
        <w:rPr>
          <w:rStyle w:val="FootnoteReference"/>
        </w:rPr>
        <w:footnoteReference w:id="80"/>
      </w:r>
    </w:p>
    <w:p w:rsidR="00C301B5" w:rsidRDefault="00C301B5" w:rsidP="00C301B5">
      <w:r>
        <w:t>GrainCorp submits that:</w:t>
      </w:r>
    </w:p>
    <w:p w:rsidR="00C301B5" w:rsidRPr="00EE5D26" w:rsidRDefault="00C301B5" w:rsidP="00EE5D26">
      <w:pPr>
        <w:ind w:left="576"/>
        <w:rPr>
          <w:sz w:val="20"/>
        </w:rPr>
      </w:pPr>
      <w:r w:rsidRPr="00E21C89">
        <w:rPr>
          <w:sz w:val="20"/>
        </w:rPr>
        <w:t>The road and rail distance (and therefore cost) to sell export grain through Melbourne and Geelong Port Terminals or Melbourne / Geelong and Portland Port Terminal or Portland and Adelaide Port Terminals is comparable.</w:t>
      </w:r>
      <w:r>
        <w:rPr>
          <w:rStyle w:val="FootnoteReference"/>
        </w:rPr>
        <w:footnoteReference w:id="81"/>
      </w:r>
    </w:p>
    <w:p w:rsidR="00E559D0" w:rsidRDefault="005F0C89" w:rsidP="005134BE">
      <w:pPr>
        <w:pStyle w:val="Normalparagraph"/>
        <w:keepNext/>
      </w:pPr>
      <w:r>
        <w:t xml:space="preserve">Some stakeholders made submissions </w:t>
      </w:r>
      <w:r w:rsidR="005134BE">
        <w:t xml:space="preserve">that </w:t>
      </w:r>
      <w:r w:rsidR="00023288">
        <w:t xml:space="preserve">addressed </w:t>
      </w:r>
      <w:r>
        <w:t>Emerald and GrainCorp’s representation of the catchment areas</w:t>
      </w:r>
      <w:r w:rsidR="00677464">
        <w:t xml:space="preserve"> for </w:t>
      </w:r>
      <w:r w:rsidR="00510BA9">
        <w:t>the</w:t>
      </w:r>
      <w:r w:rsidR="00677464">
        <w:t xml:space="preserve"> </w:t>
      </w:r>
      <w:r w:rsidR="00510BA9">
        <w:t xml:space="preserve">Victorian </w:t>
      </w:r>
      <w:r w:rsidR="00677464">
        <w:t>ports</w:t>
      </w:r>
      <w:r w:rsidR="00510BA9">
        <w:t xml:space="preserve"> terminals</w:t>
      </w:r>
      <w:r w:rsidR="00023288">
        <w:t>.</w:t>
      </w:r>
    </w:p>
    <w:p w:rsidR="005F0C89" w:rsidRDefault="005F0C89" w:rsidP="005134BE">
      <w:pPr>
        <w:pStyle w:val="Normalparagraph"/>
        <w:keepNext/>
      </w:pPr>
      <w:r>
        <w:t>GrainGrowers submit</w:t>
      </w:r>
      <w:r w:rsidR="00DF63C9">
        <w:t>s</w:t>
      </w:r>
      <w:r>
        <w:t xml:space="preserve"> that:</w:t>
      </w:r>
    </w:p>
    <w:p w:rsidR="005F0C89" w:rsidRDefault="005F0C89" w:rsidP="005F0C89">
      <w:pPr>
        <w:ind w:left="576"/>
      </w:pPr>
      <w:r w:rsidRPr="005F0C89">
        <w:rPr>
          <w:sz w:val="20"/>
        </w:rPr>
        <w:t>there will likely be sufficient competition in the grain catchment area in question</w:t>
      </w:r>
      <w:r>
        <w:t>.</w:t>
      </w:r>
      <w:r w:rsidR="006224D9">
        <w:rPr>
          <w:rStyle w:val="FootnoteReference"/>
        </w:rPr>
        <w:footnoteReference w:id="82"/>
      </w:r>
    </w:p>
    <w:p w:rsidR="006224D9" w:rsidRDefault="00BE1421" w:rsidP="006224D9">
      <w:pPr>
        <w:pStyle w:val="Normalparagraph"/>
        <w:keepNext/>
      </w:pPr>
      <w:r>
        <w:lastRenderedPageBreak/>
        <w:t xml:space="preserve">The Grain Industry Association of Victoria (GIAV) </w:t>
      </w:r>
      <w:r w:rsidR="006224D9">
        <w:t>submit</w:t>
      </w:r>
      <w:r w:rsidR="00DF63C9">
        <w:t>s</w:t>
      </w:r>
      <w:r w:rsidR="006224D9">
        <w:t>:</w:t>
      </w:r>
    </w:p>
    <w:p w:rsidR="00CC6DDB" w:rsidRPr="009C45FE" w:rsidRDefault="00CC6DDB" w:rsidP="009C45FE">
      <w:pPr>
        <w:ind w:left="576"/>
        <w:rPr>
          <w:sz w:val="20"/>
        </w:rPr>
      </w:pPr>
      <w:r w:rsidRPr="009C45FE">
        <w:rPr>
          <w:sz w:val="20"/>
        </w:rPr>
        <w:t>Currently port terminal operators have a strong vested interest to maintain fair access arrangements with third party exporters. This is due to the:</w:t>
      </w:r>
    </w:p>
    <w:p w:rsidR="00CC6DDB" w:rsidRPr="009C45FE" w:rsidRDefault="00CC6DDB" w:rsidP="000059D2">
      <w:pPr>
        <w:pStyle w:val="ListParagraph"/>
        <w:numPr>
          <w:ilvl w:val="0"/>
          <w:numId w:val="16"/>
        </w:numPr>
        <w:spacing w:after="60"/>
        <w:ind w:left="1293" w:hanging="357"/>
        <w:contextualSpacing w:val="0"/>
        <w:rPr>
          <w:sz w:val="20"/>
        </w:rPr>
      </w:pPr>
      <w:r w:rsidRPr="009C45FE">
        <w:rPr>
          <w:sz w:val="20"/>
        </w:rPr>
        <w:t>Direct and viable competition between GrainCorp’s Geelong and Emerald’s Melbourne</w:t>
      </w:r>
      <w:r w:rsidR="009C45FE" w:rsidRPr="009C45FE">
        <w:rPr>
          <w:sz w:val="20"/>
        </w:rPr>
        <w:t xml:space="preserve"> </w:t>
      </w:r>
      <w:r w:rsidRPr="009C45FE">
        <w:rPr>
          <w:sz w:val="20"/>
        </w:rPr>
        <w:t>terminals</w:t>
      </w:r>
    </w:p>
    <w:p w:rsidR="00CC6DDB" w:rsidRPr="009C45FE" w:rsidRDefault="00CC6DDB" w:rsidP="000059D2">
      <w:pPr>
        <w:pStyle w:val="ListParagraph"/>
        <w:numPr>
          <w:ilvl w:val="0"/>
          <w:numId w:val="16"/>
        </w:numPr>
        <w:spacing w:after="60"/>
        <w:ind w:left="1293" w:hanging="357"/>
        <w:contextualSpacing w:val="0"/>
        <w:rPr>
          <w:sz w:val="20"/>
        </w:rPr>
      </w:pPr>
      <w:r w:rsidRPr="009C45FE">
        <w:rPr>
          <w:sz w:val="20"/>
        </w:rPr>
        <w:t>The less direct yet still viable competition between GrainCorp’s Portland and Emerald’s</w:t>
      </w:r>
      <w:r w:rsidR="0085191F">
        <w:rPr>
          <w:sz w:val="20"/>
        </w:rPr>
        <w:t xml:space="preserve"> </w:t>
      </w:r>
      <w:r w:rsidRPr="009C45FE">
        <w:rPr>
          <w:sz w:val="20"/>
        </w:rPr>
        <w:t>Melbourne terminals</w:t>
      </w:r>
    </w:p>
    <w:p w:rsidR="00604BD8" w:rsidRDefault="00677464" w:rsidP="00604BD8">
      <w:pPr>
        <w:pStyle w:val="Normalparagraph"/>
      </w:pPr>
      <w:r>
        <w:t>The Victorian Farmers Federation</w:t>
      </w:r>
      <w:r w:rsidR="00331BB8">
        <w:t xml:space="preserve"> (VFF)</w:t>
      </w:r>
      <w:r>
        <w:t>, however, expressed a</w:t>
      </w:r>
      <w:r w:rsidR="00331BB8">
        <w:t>n</w:t>
      </w:r>
      <w:r>
        <w:t xml:space="preserve"> </w:t>
      </w:r>
      <w:r w:rsidR="00331BB8">
        <w:t>alternative</w:t>
      </w:r>
      <w:r>
        <w:t xml:space="preserve"> view of the catchment areas applicable to each port terminal.</w:t>
      </w:r>
      <w:r w:rsidR="00331BB8">
        <w:t xml:space="preserve"> While both GrainCorp and Emerald </w:t>
      </w:r>
      <w:r w:rsidR="00C22075">
        <w:t xml:space="preserve">suggest that their </w:t>
      </w:r>
      <w:r w:rsidR="00943F15">
        <w:t xml:space="preserve">Victorian </w:t>
      </w:r>
      <w:r w:rsidR="00C22075">
        <w:t>ports catchment areas overlap</w:t>
      </w:r>
      <w:r w:rsidR="00943F15">
        <w:t xml:space="preserve"> with each other to some extent</w:t>
      </w:r>
      <w:r w:rsidR="00C22075">
        <w:t>, t</w:t>
      </w:r>
      <w:r w:rsidR="00331BB8">
        <w:t xml:space="preserve">he VFF </w:t>
      </w:r>
      <w:r w:rsidR="00CB5533">
        <w:t>suggests</w:t>
      </w:r>
      <w:r w:rsidR="00C22075">
        <w:t xml:space="preserve"> </w:t>
      </w:r>
      <w:r w:rsidR="00943F15">
        <w:t>th</w:t>
      </w:r>
      <w:r w:rsidR="00B52A02">
        <w:t>at</w:t>
      </w:r>
      <w:r w:rsidR="00943F15">
        <w:t xml:space="preserve"> </w:t>
      </w:r>
      <w:r w:rsidR="00B52A02">
        <w:t xml:space="preserve">there are separate </w:t>
      </w:r>
      <w:r w:rsidR="00943F15">
        <w:t xml:space="preserve">catchment areas for </w:t>
      </w:r>
      <w:r w:rsidR="004C1062">
        <w:t xml:space="preserve">each of </w:t>
      </w:r>
      <w:r w:rsidR="00943F15">
        <w:t xml:space="preserve">the three </w:t>
      </w:r>
      <w:r w:rsidR="00197814">
        <w:t xml:space="preserve">Victorian </w:t>
      </w:r>
      <w:r w:rsidR="00943F15">
        <w:t xml:space="preserve">port </w:t>
      </w:r>
      <w:r w:rsidR="00B52A02">
        <w:t>terminals</w:t>
      </w:r>
      <w:r w:rsidR="00943F15">
        <w:t xml:space="preserve">. Specifically, the VFF submits </w:t>
      </w:r>
      <w:r w:rsidR="00C22075">
        <w:t>that:</w:t>
      </w:r>
    </w:p>
    <w:p w:rsidR="00C22075" w:rsidRDefault="00C22075" w:rsidP="00C22075">
      <w:pPr>
        <w:ind w:left="576"/>
        <w:rPr>
          <w:sz w:val="20"/>
        </w:rPr>
      </w:pPr>
      <w:r w:rsidRPr="00C22075">
        <w:rPr>
          <w:sz w:val="20"/>
        </w:rPr>
        <w:t>Historically rail lines and silo networks delivered to a particular port with the least cost – that is the Natural Terminal Port (NTP) for that catchment area. For example, Portland zone silos would deliver to Portland because it has the lowest freight cost, or NTP freight. Ports will all have a port zone, or catchment area, of silos with the least cost NTP freight pathway. i.e. the freight advantage to that port. Freight differentials between port zones are published by Grain Trade Australia.</w:t>
      </w:r>
      <w:r w:rsidR="001E7FD3">
        <w:rPr>
          <w:sz w:val="20"/>
        </w:rPr>
        <w:t xml:space="preserve"> </w:t>
      </w:r>
    </w:p>
    <w:p w:rsidR="001E7FD3" w:rsidRDefault="001E7FD3" w:rsidP="00C22075">
      <w:pPr>
        <w:ind w:left="576"/>
        <w:rPr>
          <w:sz w:val="20"/>
        </w:rPr>
      </w:pPr>
      <w:r w:rsidRPr="001E7FD3">
        <w:rPr>
          <w:sz w:val="20"/>
        </w:rPr>
        <w:t>This is a critical point as having acquired grain in the Portland zone an exporter may have no economic alternative other than exporting from the single port facility at Portland, for example. Especially where the only physically viable alternative is owned by the same port provider,</w:t>
      </w:r>
      <w:r w:rsidR="00DC2101">
        <w:rPr>
          <w:sz w:val="20"/>
        </w:rPr>
        <w:t xml:space="preserve"> </w:t>
      </w:r>
      <w:r w:rsidRPr="001E7FD3">
        <w:rPr>
          <w:sz w:val="20"/>
        </w:rPr>
        <w:t>potentially at an economic (freight) disadvantage.</w:t>
      </w:r>
    </w:p>
    <w:p w:rsidR="00C22075" w:rsidRDefault="00943F15" w:rsidP="00C22075">
      <w:pPr>
        <w:ind w:left="576"/>
        <w:rPr>
          <w:sz w:val="20"/>
        </w:rPr>
      </w:pPr>
      <w:r>
        <w:rPr>
          <w:sz w:val="20"/>
        </w:rPr>
        <w:t>T</w:t>
      </w:r>
      <w:r w:rsidR="00C22075" w:rsidRPr="00C22075">
        <w:rPr>
          <w:sz w:val="20"/>
        </w:rPr>
        <w:t>here are only two applicants with 3 separate port terminals in 3 distinct NTP port zones or catchment areas.</w:t>
      </w:r>
      <w:r w:rsidR="00C22075">
        <w:rPr>
          <w:rStyle w:val="FootnoteReference"/>
        </w:rPr>
        <w:footnoteReference w:id="83"/>
      </w:r>
    </w:p>
    <w:p w:rsidR="00E64D0C" w:rsidRDefault="00E64D0C" w:rsidP="002D36F5">
      <w:r>
        <w:t xml:space="preserve">Emerald and </w:t>
      </w:r>
      <w:r w:rsidR="00530138">
        <w:t xml:space="preserve">GrainCorp </w:t>
      </w:r>
      <w:r w:rsidR="00A533CD">
        <w:t xml:space="preserve">disagree with </w:t>
      </w:r>
      <w:r w:rsidR="00530138">
        <w:t xml:space="preserve">the VFF’s </w:t>
      </w:r>
      <w:r w:rsidR="00A533CD">
        <w:t>view</w:t>
      </w:r>
      <w:r w:rsidR="00530138">
        <w:t xml:space="preserve"> of </w:t>
      </w:r>
      <w:r w:rsidR="000B52D6">
        <w:t>distinct catchment areas for the</w:t>
      </w:r>
      <w:r w:rsidR="00530138">
        <w:t xml:space="preserve"> three </w:t>
      </w:r>
      <w:r w:rsidR="003B369C">
        <w:t>Victorian port</w:t>
      </w:r>
      <w:r w:rsidR="00A710F5">
        <w:t xml:space="preserve"> terminals</w:t>
      </w:r>
      <w:r w:rsidR="00530138">
        <w:t>.</w:t>
      </w:r>
      <w:r w:rsidR="00A533CD">
        <w:t xml:space="preserve"> </w:t>
      </w:r>
      <w:r>
        <w:t>Emerald’s supplementary submission note</w:t>
      </w:r>
      <w:r w:rsidR="00DF63C9">
        <w:t>s</w:t>
      </w:r>
      <w:r>
        <w:t xml:space="preserve"> that:</w:t>
      </w:r>
    </w:p>
    <w:p w:rsidR="00D37AF6" w:rsidRDefault="00E64D0C" w:rsidP="00E64D0C">
      <w:pPr>
        <w:ind w:left="576"/>
        <w:rPr>
          <w:sz w:val="20"/>
        </w:rPr>
      </w:pPr>
      <w:r w:rsidRPr="00E64D0C">
        <w:rPr>
          <w:sz w:val="20"/>
        </w:rPr>
        <w:t>There is a strong overlap in the catchment area of Melbourne and Geelong</w:t>
      </w:r>
      <w:r>
        <w:rPr>
          <w:sz w:val="20"/>
        </w:rPr>
        <w:t xml:space="preserve">. </w:t>
      </w:r>
      <w:r w:rsidRPr="00E64D0C">
        <w:rPr>
          <w:sz w:val="20"/>
        </w:rPr>
        <w:t xml:space="preserve">The GrainCorp sites that compete up-country with Emerald sites, due to proximity, direct their grain through Geelong whereas the clients at Emerald sites direct their grain to either Geelong or Melbourne or sometimes both. </w:t>
      </w:r>
    </w:p>
    <w:p w:rsidR="00E64D0C" w:rsidRPr="00E64D0C" w:rsidRDefault="00E64D0C" w:rsidP="00E64D0C">
      <w:pPr>
        <w:ind w:left="576"/>
        <w:rPr>
          <w:sz w:val="20"/>
        </w:rPr>
      </w:pPr>
      <w:r w:rsidRPr="00E64D0C">
        <w:rPr>
          <w:sz w:val="20"/>
        </w:rPr>
        <w:t>The freight differential between the two ports is relatively minor, the physical attributes of the two</w:t>
      </w:r>
      <w:r>
        <w:rPr>
          <w:sz w:val="20"/>
        </w:rPr>
        <w:t xml:space="preserve"> </w:t>
      </w:r>
      <w:r w:rsidRPr="00E64D0C">
        <w:rPr>
          <w:sz w:val="20"/>
        </w:rPr>
        <w:t>ports are similar and none of the other public submissions received by the ACCC questioned the fact that the two port terminals compete with each other.</w:t>
      </w:r>
      <w:r w:rsidR="00DE212D">
        <w:rPr>
          <w:rStyle w:val="FootnoteReference"/>
        </w:rPr>
        <w:footnoteReference w:id="84"/>
      </w:r>
    </w:p>
    <w:p w:rsidR="00530138" w:rsidRDefault="00530138" w:rsidP="002D36F5">
      <w:r>
        <w:t>GrainCorp</w:t>
      </w:r>
      <w:r w:rsidR="000B52D6">
        <w:t>’s supplementary submission note</w:t>
      </w:r>
      <w:r w:rsidR="00DF63C9">
        <w:t>s</w:t>
      </w:r>
      <w:r w:rsidR="000B52D6">
        <w:t xml:space="preserve"> </w:t>
      </w:r>
      <w:r>
        <w:t xml:space="preserve">that: </w:t>
      </w:r>
    </w:p>
    <w:p w:rsidR="00AF2ABD" w:rsidRDefault="00A533CD" w:rsidP="00AF2ABD">
      <w:pPr>
        <w:ind w:left="576"/>
        <w:rPr>
          <w:sz w:val="20"/>
        </w:rPr>
      </w:pPr>
      <w:r w:rsidRPr="00A533CD">
        <w:rPr>
          <w:sz w:val="20"/>
        </w:rPr>
        <w:t>The state’s smaller geographic area and shorter distances between production and port mean grain can and does move to alternative ports by either rail or road transport.</w:t>
      </w:r>
      <w:r w:rsidR="00AF2ABD">
        <w:rPr>
          <w:sz w:val="20"/>
        </w:rPr>
        <w:t xml:space="preserve"> </w:t>
      </w:r>
      <w:r w:rsidR="00AF2ABD" w:rsidRPr="00AF2ABD">
        <w:rPr>
          <w:sz w:val="20"/>
        </w:rPr>
        <w:t>This is driven by the following:</w:t>
      </w:r>
    </w:p>
    <w:p w:rsidR="00AF2ABD" w:rsidRPr="00AF2ABD" w:rsidRDefault="00AF2ABD" w:rsidP="000059D2">
      <w:pPr>
        <w:pStyle w:val="ListParagraph"/>
        <w:numPr>
          <w:ilvl w:val="0"/>
          <w:numId w:val="16"/>
        </w:numPr>
        <w:spacing w:after="60"/>
        <w:ind w:left="1293" w:hanging="357"/>
        <w:contextualSpacing w:val="0"/>
        <w:rPr>
          <w:sz w:val="20"/>
        </w:rPr>
      </w:pPr>
      <w:r w:rsidRPr="00AF2ABD">
        <w:rPr>
          <w:sz w:val="20"/>
        </w:rPr>
        <w:t>The rail distance between western Victoria’s country sites and Geelong is only</w:t>
      </w:r>
      <w:r>
        <w:rPr>
          <w:sz w:val="20"/>
        </w:rPr>
        <w:t xml:space="preserve"> </w:t>
      </w:r>
      <w:r w:rsidRPr="00AF2ABD">
        <w:rPr>
          <w:sz w:val="20"/>
        </w:rPr>
        <w:t>~70km more than Portland and Melbourne is only ~140km more than Portland.</w:t>
      </w:r>
    </w:p>
    <w:p w:rsidR="00AF2ABD" w:rsidRPr="00AF2ABD" w:rsidRDefault="00AF2ABD" w:rsidP="000059D2">
      <w:pPr>
        <w:pStyle w:val="ListParagraph"/>
        <w:numPr>
          <w:ilvl w:val="0"/>
          <w:numId w:val="16"/>
        </w:numPr>
        <w:spacing w:after="60"/>
        <w:ind w:left="1293" w:hanging="357"/>
        <w:contextualSpacing w:val="0"/>
        <w:rPr>
          <w:sz w:val="20"/>
        </w:rPr>
      </w:pPr>
      <w:r w:rsidRPr="00AF2ABD">
        <w:rPr>
          <w:sz w:val="20"/>
        </w:rPr>
        <w:lastRenderedPageBreak/>
        <w:t>Melbourne and Geelong have access to the higher standard ARTC interstate</w:t>
      </w:r>
      <w:r>
        <w:rPr>
          <w:sz w:val="20"/>
        </w:rPr>
        <w:t xml:space="preserve"> </w:t>
      </w:r>
      <w:r w:rsidRPr="00AF2ABD">
        <w:rPr>
          <w:sz w:val="20"/>
        </w:rPr>
        <w:t>line, allowing lower cost and higher payload wagons.</w:t>
      </w:r>
    </w:p>
    <w:p w:rsidR="00AF2ABD" w:rsidRDefault="00AF2ABD" w:rsidP="000059D2">
      <w:pPr>
        <w:pStyle w:val="ListParagraph"/>
        <w:numPr>
          <w:ilvl w:val="0"/>
          <w:numId w:val="16"/>
        </w:numPr>
        <w:spacing w:after="60"/>
        <w:ind w:left="1293" w:hanging="357"/>
        <w:contextualSpacing w:val="0"/>
        <w:rPr>
          <w:sz w:val="20"/>
        </w:rPr>
      </w:pPr>
      <w:r w:rsidRPr="00AF2ABD">
        <w:rPr>
          <w:sz w:val="20"/>
        </w:rPr>
        <w:t>The Western Victoria and Oaklands lines have been standardised, with Geelong</w:t>
      </w:r>
      <w:r>
        <w:rPr>
          <w:sz w:val="20"/>
        </w:rPr>
        <w:t xml:space="preserve"> </w:t>
      </w:r>
      <w:r w:rsidRPr="00AF2ABD">
        <w:rPr>
          <w:sz w:val="20"/>
        </w:rPr>
        <w:t>(and Melbourne) port terminal now having dual rail gauge access.</w:t>
      </w:r>
    </w:p>
    <w:p w:rsidR="00AF2ABD" w:rsidRPr="00AF2ABD" w:rsidRDefault="00AF2ABD" w:rsidP="000059D2">
      <w:pPr>
        <w:pStyle w:val="ListParagraph"/>
        <w:numPr>
          <w:ilvl w:val="0"/>
          <w:numId w:val="16"/>
        </w:numPr>
        <w:spacing w:after="60"/>
        <w:ind w:left="1293" w:hanging="357"/>
        <w:contextualSpacing w:val="0"/>
        <w:rPr>
          <w:sz w:val="20"/>
        </w:rPr>
      </w:pPr>
      <w:r w:rsidRPr="00AF2ABD">
        <w:rPr>
          <w:sz w:val="20"/>
        </w:rPr>
        <w:t>Western Victoria’s country sites can readily access Adelaide (the new Outer Harbour port terminal) by the ARTC interstate line.</w:t>
      </w:r>
    </w:p>
    <w:p w:rsidR="00AF2ABD" w:rsidRPr="00AF2ABD" w:rsidRDefault="00AF2ABD" w:rsidP="000059D2">
      <w:pPr>
        <w:pStyle w:val="ListParagraph"/>
        <w:numPr>
          <w:ilvl w:val="0"/>
          <w:numId w:val="16"/>
        </w:numPr>
        <w:spacing w:after="60"/>
        <w:ind w:left="1293" w:hanging="357"/>
        <w:contextualSpacing w:val="0"/>
        <w:rPr>
          <w:sz w:val="20"/>
        </w:rPr>
      </w:pPr>
      <w:r w:rsidRPr="00AF2ABD">
        <w:rPr>
          <w:sz w:val="20"/>
        </w:rPr>
        <w:t>The difference in rail and road rates is not significant in Victoria given the short distances and access to fertiliser backload business. This has led to the use of road transport for around 50% of Victorian grain exports.</w:t>
      </w:r>
    </w:p>
    <w:p w:rsidR="00AF2ABD" w:rsidRPr="00AF2ABD" w:rsidRDefault="00AF2ABD" w:rsidP="0051793C">
      <w:pPr>
        <w:spacing w:after="360"/>
        <w:ind w:left="578"/>
        <w:rPr>
          <w:sz w:val="20"/>
        </w:rPr>
      </w:pPr>
      <w:r w:rsidRPr="00AF2ABD">
        <w:rPr>
          <w:sz w:val="20"/>
        </w:rPr>
        <w:t>Consequently, exporters frequently substitute export channels for their cargos depending on other considerations, making the concept of a “Natural Terminal Port” for silos redundant.</w:t>
      </w:r>
      <w:r>
        <w:rPr>
          <w:rStyle w:val="FootnoteReference"/>
        </w:rPr>
        <w:footnoteReference w:id="85"/>
      </w:r>
    </w:p>
    <w:p w:rsidR="00AF2ABD" w:rsidRPr="00EE5D26" w:rsidRDefault="003B369C" w:rsidP="00EE5D26">
      <w:pPr>
        <w:rPr>
          <w:i/>
        </w:rPr>
      </w:pPr>
      <w:r w:rsidRPr="00EE5D26">
        <w:rPr>
          <w:i/>
        </w:rPr>
        <w:t>Freight charges to port</w:t>
      </w:r>
      <w:r w:rsidR="0074041D" w:rsidRPr="00EE5D26">
        <w:rPr>
          <w:i/>
        </w:rPr>
        <w:t xml:space="preserve"> terminals</w:t>
      </w:r>
    </w:p>
    <w:p w:rsidR="003B0762" w:rsidRDefault="003B0762" w:rsidP="00B13A9D">
      <w:r>
        <w:t xml:space="preserve">The ACCC considers it appropriate to </w:t>
      </w:r>
      <w:r w:rsidR="00CC1497">
        <w:t>examine the relevant transportation costs to move grain from upcountry locations to each of the Victorian port terminals.</w:t>
      </w:r>
      <w:r w:rsidR="00B13A9D">
        <w:t xml:space="preserve"> This allows the ACCC to </w:t>
      </w:r>
      <w:r w:rsidR="004615C9">
        <w:t xml:space="preserve">distinguish </w:t>
      </w:r>
      <w:r w:rsidR="00B13A9D">
        <w:t xml:space="preserve">the grain catchment areas for each </w:t>
      </w:r>
      <w:r w:rsidR="004615C9">
        <w:t>terminal</w:t>
      </w:r>
      <w:r w:rsidR="00B13A9D">
        <w:t xml:space="preserve"> </w:t>
      </w:r>
      <w:r w:rsidR="00600CD3">
        <w:t>where the transport costs are lowest. This also allows the ACCC to see</w:t>
      </w:r>
      <w:r w:rsidR="00B13A9D">
        <w:t xml:space="preserve"> where the</w:t>
      </w:r>
      <w:r w:rsidR="004615C9">
        <w:t>se</w:t>
      </w:r>
      <w:r w:rsidR="00B13A9D">
        <w:t xml:space="preserve"> </w:t>
      </w:r>
      <w:r w:rsidR="00600CD3">
        <w:t xml:space="preserve">grain </w:t>
      </w:r>
      <w:r w:rsidR="00B13A9D">
        <w:t xml:space="preserve">catchment areas overlap </w:t>
      </w:r>
      <w:r w:rsidR="00600CD3">
        <w:t xml:space="preserve">and </w:t>
      </w:r>
      <w:r w:rsidR="00B13A9D">
        <w:t xml:space="preserve">allow grain to be transported </w:t>
      </w:r>
      <w:r w:rsidR="00600CD3">
        <w:t xml:space="preserve">to alternative </w:t>
      </w:r>
      <w:r w:rsidR="006C3400">
        <w:t>(</w:t>
      </w:r>
      <w:r w:rsidR="00600CD3">
        <w:t>or substitute</w:t>
      </w:r>
      <w:r w:rsidR="006C3400">
        <w:t>)</w:t>
      </w:r>
      <w:r w:rsidR="00600CD3">
        <w:t xml:space="preserve"> </w:t>
      </w:r>
      <w:r w:rsidR="00CC1497">
        <w:t xml:space="preserve">terminals at a similar </w:t>
      </w:r>
      <w:r w:rsidR="00B13A9D">
        <w:t xml:space="preserve">transport </w:t>
      </w:r>
      <w:r w:rsidR="00CC1497">
        <w:t>cost</w:t>
      </w:r>
      <w:r w:rsidR="00600CD3">
        <w:t xml:space="preserve"> which </w:t>
      </w:r>
      <w:r w:rsidR="004B0882">
        <w:t xml:space="preserve">would </w:t>
      </w:r>
      <w:r w:rsidR="00600CD3">
        <w:t xml:space="preserve">facilitate competition between </w:t>
      </w:r>
      <w:r w:rsidR="006C3400">
        <w:t>the terminals</w:t>
      </w:r>
      <w:r w:rsidR="00B13A9D">
        <w:t>.</w:t>
      </w:r>
    </w:p>
    <w:p w:rsidR="00DF63C9" w:rsidRDefault="00AC17D6" w:rsidP="00530138">
      <w:r w:rsidRPr="00AF2ABD">
        <w:t xml:space="preserve">Grain Trade Australia </w:t>
      </w:r>
      <w:r w:rsidR="00AF2ABD">
        <w:t>(GTA) produces ‘</w:t>
      </w:r>
      <w:r w:rsidR="00763965">
        <w:t>L</w:t>
      </w:r>
      <w:r w:rsidR="00AF2ABD">
        <w:t xml:space="preserve">ocation </w:t>
      </w:r>
      <w:r w:rsidR="00763965">
        <w:t>D</w:t>
      </w:r>
      <w:r w:rsidR="00AF2ABD">
        <w:t>ifferentials’</w:t>
      </w:r>
      <w:r w:rsidR="00D37AF6">
        <w:t xml:space="preserve"> to value upcountry grain on a port basis.</w:t>
      </w:r>
      <w:r w:rsidR="00D37AF6">
        <w:rPr>
          <w:rStyle w:val="FootnoteReference"/>
        </w:rPr>
        <w:footnoteReference w:id="86"/>
      </w:r>
      <w:r w:rsidR="00D37AF6">
        <w:t xml:space="preserve"> </w:t>
      </w:r>
      <w:r w:rsidR="00763965" w:rsidRPr="00763965">
        <w:t xml:space="preserve">A Location Differential is </w:t>
      </w:r>
      <w:r w:rsidR="00763965">
        <w:t xml:space="preserve">a </w:t>
      </w:r>
      <w:r w:rsidR="00763965" w:rsidRPr="00763965">
        <w:t>value attributed to an upcountry grain bulk storage and handling facility</w:t>
      </w:r>
      <w:r w:rsidR="00763965">
        <w:t>.</w:t>
      </w:r>
      <w:r w:rsidR="00763965">
        <w:rPr>
          <w:rStyle w:val="FootnoteReference"/>
        </w:rPr>
        <w:footnoteReference w:id="87"/>
      </w:r>
      <w:r w:rsidR="00857420">
        <w:t xml:space="preserve"> These value</w:t>
      </w:r>
      <w:r w:rsidR="006B1814">
        <w:t>s</w:t>
      </w:r>
      <w:r w:rsidR="00857420">
        <w:t xml:space="preserve"> are representative of transport costs to move grain from and upcountry site to a port terminal facility for export. </w:t>
      </w:r>
    </w:p>
    <w:p w:rsidR="0051793C" w:rsidRDefault="00DB3B5D" w:rsidP="00DB3B5D">
      <w:r>
        <w:t xml:space="preserve">GTA notes that its </w:t>
      </w:r>
      <w:r w:rsidR="0051793C">
        <w:t>L</w:t>
      </w:r>
      <w:r>
        <w:t xml:space="preserve">ocation </w:t>
      </w:r>
      <w:r w:rsidR="0051793C">
        <w:t>D</w:t>
      </w:r>
      <w:r>
        <w:t>ifferentials are not actual freight rates</w:t>
      </w:r>
      <w:r w:rsidR="0074041D">
        <w:t xml:space="preserve"> from storage facilities to port</w:t>
      </w:r>
      <w:r>
        <w:t xml:space="preserve">, but are </w:t>
      </w:r>
      <w:r w:rsidR="00763965">
        <w:t>widely used by the Australian grain industry to price “port based” contracts.</w:t>
      </w:r>
      <w:r>
        <w:rPr>
          <w:rStyle w:val="FootnoteReference"/>
        </w:rPr>
        <w:footnoteReference w:id="88"/>
      </w:r>
      <w:r>
        <w:t xml:space="preserve"> </w:t>
      </w:r>
      <w:r w:rsidR="00C628C6">
        <w:t xml:space="preserve">GrainCorp </w:t>
      </w:r>
      <w:r w:rsidR="00F20E3E">
        <w:t xml:space="preserve">uses </w:t>
      </w:r>
      <w:r w:rsidR="00C628C6">
        <w:t xml:space="preserve">GTA </w:t>
      </w:r>
      <w:r w:rsidR="0051793C">
        <w:t>L</w:t>
      </w:r>
      <w:r w:rsidR="00C628C6">
        <w:t>ocation</w:t>
      </w:r>
      <w:r w:rsidR="0051793C">
        <w:t xml:space="preserve"> Differentials</w:t>
      </w:r>
      <w:r w:rsidR="00C628C6">
        <w:t xml:space="preserve"> </w:t>
      </w:r>
      <w:r w:rsidR="00F20E3E">
        <w:t xml:space="preserve">to assist in </w:t>
      </w:r>
      <w:r w:rsidR="00C628C6">
        <w:t xml:space="preserve">in calculating </w:t>
      </w:r>
      <w:r w:rsidR="00F20E3E">
        <w:t>some of its freight charges</w:t>
      </w:r>
      <w:r w:rsidR="00F20E3E">
        <w:rPr>
          <w:rStyle w:val="FootnoteReference"/>
        </w:rPr>
        <w:footnoteReference w:id="89"/>
      </w:r>
      <w:r w:rsidR="00857420">
        <w:t xml:space="preserve"> and t</w:t>
      </w:r>
      <w:r>
        <w:t>he Australia Export Grains Innovation Centre</w:t>
      </w:r>
      <w:r w:rsidR="006A634F">
        <w:t xml:space="preserve"> </w:t>
      </w:r>
      <w:r>
        <w:t xml:space="preserve">(AEGIC) </w:t>
      </w:r>
      <w:r w:rsidR="0051793C">
        <w:t>notes that:</w:t>
      </w:r>
    </w:p>
    <w:p w:rsidR="0051793C" w:rsidRDefault="0051793C" w:rsidP="0051793C">
      <w:pPr>
        <w:ind w:left="576"/>
      </w:pPr>
      <w:r w:rsidRPr="0051793C">
        <w:rPr>
          <w:sz w:val="20"/>
        </w:rPr>
        <w:t>Industry sources have indicated while GTA freight differentials are not the actual freight rates charged by GrainCorp, they are close approximations and it would be reasonable to use them as an indication of actual rates. They are more likely to be used by traders who will on sell based on track prices without intending to physically shift the grain to an end user.</w:t>
      </w:r>
      <w:r w:rsidR="00DB3B5D">
        <w:rPr>
          <w:rStyle w:val="FootnoteReference"/>
        </w:rPr>
        <w:footnoteReference w:id="90"/>
      </w:r>
      <w:r w:rsidR="00DB3B5D">
        <w:t xml:space="preserve"> </w:t>
      </w:r>
    </w:p>
    <w:p w:rsidR="0051793C" w:rsidRDefault="0051793C" w:rsidP="00A34D9B">
      <w:r>
        <w:t xml:space="preserve">Table </w:t>
      </w:r>
      <w:r w:rsidR="006127BF">
        <w:t>6</w:t>
      </w:r>
      <w:r>
        <w:t xml:space="preserve"> presents </w:t>
      </w:r>
      <w:r w:rsidR="004D701F">
        <w:t>various Location Differentials from upcountry sites across parts of Victoria and southern NSW</w:t>
      </w:r>
      <w:r w:rsidR="0074041D">
        <w:t xml:space="preserve"> to the Victorian port terminals</w:t>
      </w:r>
      <w:r w:rsidR="004D701F">
        <w:t>.</w:t>
      </w:r>
      <w:r w:rsidR="00857420" w:rsidRPr="00857420">
        <w:t xml:space="preserve"> </w:t>
      </w:r>
      <w:r w:rsidR="00857420">
        <w:t>The ACCC considers that the Locational Differentials provide an indication of the costs to move grain from a specific upcountry site to port</w:t>
      </w:r>
      <w:r w:rsidR="00A16F5C">
        <w:t xml:space="preserve"> and </w:t>
      </w:r>
      <w:r w:rsidR="00857420">
        <w:t>are expressed as indicative costs on a dollars per tonne basis.</w:t>
      </w:r>
    </w:p>
    <w:p w:rsidR="00AC17D6" w:rsidRPr="0022630B" w:rsidRDefault="00AC17D6" w:rsidP="00F2549B">
      <w:pPr>
        <w:pStyle w:val="Caption"/>
        <w:keepNext/>
      </w:pPr>
      <w:r w:rsidRPr="00F2549B">
        <w:rPr>
          <w:sz w:val="20"/>
        </w:rPr>
        <w:lastRenderedPageBreak/>
        <w:t xml:space="preserve">Table </w:t>
      </w:r>
      <w:r w:rsidR="006127BF" w:rsidRPr="00F2549B">
        <w:rPr>
          <w:sz w:val="20"/>
        </w:rPr>
        <w:t>6</w:t>
      </w:r>
      <w:r w:rsidRPr="00F2549B">
        <w:rPr>
          <w:sz w:val="20"/>
        </w:rPr>
        <w:t xml:space="preserve">: </w:t>
      </w:r>
      <w:r w:rsidR="004D701F" w:rsidRPr="00F2549B">
        <w:rPr>
          <w:sz w:val="20"/>
        </w:rPr>
        <w:t>Various GTA Location Differentials to Victorian port terminals</w:t>
      </w:r>
      <w:r w:rsidR="00857420">
        <w:rPr>
          <w:sz w:val="20"/>
        </w:rPr>
        <w:t xml:space="preserve"> (indicative dollars per tonne)</w:t>
      </w:r>
    </w:p>
    <w:tbl>
      <w:tblPr>
        <w:tblStyle w:val="ACCCTable1"/>
        <w:tblW w:w="9180" w:type="dxa"/>
        <w:tblLayout w:type="fixed"/>
        <w:tblLook w:val="04A0" w:firstRow="1" w:lastRow="0" w:firstColumn="1" w:lastColumn="0" w:noHBand="0" w:noVBand="1"/>
      </w:tblPr>
      <w:tblGrid>
        <w:gridCol w:w="3652"/>
        <w:gridCol w:w="1296"/>
        <w:gridCol w:w="1422"/>
        <w:gridCol w:w="1168"/>
        <w:gridCol w:w="1642"/>
      </w:tblGrid>
      <w:tr w:rsidR="00DB0B9B" w:rsidRPr="004F6B2D" w:rsidTr="00F47761">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652" w:type="dxa"/>
            <w:vAlign w:val="center"/>
          </w:tcPr>
          <w:p w:rsidR="00DB0B9B" w:rsidRPr="004F6B2D" w:rsidRDefault="00DB0B9B" w:rsidP="00980B77">
            <w:pPr>
              <w:keepNext/>
              <w:spacing w:before="0" w:after="0"/>
              <w:rPr>
                <w:rFonts w:eastAsia="Arial"/>
              </w:rPr>
            </w:pPr>
            <w:r>
              <w:rPr>
                <w:rFonts w:eastAsia="Arial"/>
              </w:rPr>
              <w:t>Region, s</w:t>
            </w:r>
            <w:r w:rsidRPr="004F6B2D">
              <w:rPr>
                <w:rFonts w:eastAsia="Arial"/>
              </w:rPr>
              <w:t xml:space="preserve">ite </w:t>
            </w:r>
            <w:r>
              <w:rPr>
                <w:rFonts w:eastAsia="Arial"/>
              </w:rPr>
              <w:t xml:space="preserve">and site </w:t>
            </w:r>
            <w:r w:rsidRPr="004F6B2D">
              <w:rPr>
                <w:rFonts w:eastAsia="Arial"/>
              </w:rPr>
              <w:t>operator</w:t>
            </w:r>
          </w:p>
        </w:tc>
        <w:tc>
          <w:tcPr>
            <w:tcW w:w="1296" w:type="dxa"/>
            <w:vAlign w:val="center"/>
          </w:tcPr>
          <w:p w:rsidR="00DB0B9B" w:rsidRPr="004F6B2D" w:rsidRDefault="00DB0B9B" w:rsidP="00980B77">
            <w:pPr>
              <w:keepNext/>
              <w:spacing w:before="0" w:after="0"/>
              <w:jc w:val="center"/>
              <w:cnfStyle w:val="100000000000" w:firstRow="1" w:lastRow="0" w:firstColumn="0" w:lastColumn="0" w:oddVBand="0" w:evenVBand="0" w:oddHBand="0" w:evenHBand="0" w:firstRowFirstColumn="0" w:firstRowLastColumn="0" w:lastRowFirstColumn="0" w:lastRowLastColumn="0"/>
              <w:rPr>
                <w:rFonts w:eastAsia="Arial"/>
              </w:rPr>
            </w:pPr>
            <w:r w:rsidRPr="004F6B2D">
              <w:rPr>
                <w:rFonts w:eastAsia="Arial"/>
              </w:rPr>
              <w:t>Geelong</w:t>
            </w:r>
          </w:p>
        </w:tc>
        <w:tc>
          <w:tcPr>
            <w:tcW w:w="1422" w:type="dxa"/>
            <w:vAlign w:val="center"/>
          </w:tcPr>
          <w:p w:rsidR="00DB0B9B" w:rsidRPr="004F6B2D" w:rsidRDefault="00DB0B9B" w:rsidP="00980B77">
            <w:pPr>
              <w:keepNext/>
              <w:spacing w:before="0" w:after="0"/>
              <w:jc w:val="center"/>
              <w:cnfStyle w:val="100000000000" w:firstRow="1" w:lastRow="0" w:firstColumn="0" w:lastColumn="0" w:oddVBand="0" w:evenVBand="0" w:oddHBand="0" w:evenHBand="0" w:firstRowFirstColumn="0" w:firstRowLastColumn="0" w:lastRowFirstColumn="0" w:lastRowLastColumn="0"/>
              <w:rPr>
                <w:rFonts w:eastAsia="Arial"/>
              </w:rPr>
            </w:pPr>
            <w:r w:rsidRPr="004F6B2D">
              <w:rPr>
                <w:rFonts w:eastAsia="Arial"/>
              </w:rPr>
              <w:t>Melbourne</w:t>
            </w:r>
          </w:p>
        </w:tc>
        <w:tc>
          <w:tcPr>
            <w:tcW w:w="1168" w:type="dxa"/>
            <w:vAlign w:val="center"/>
          </w:tcPr>
          <w:p w:rsidR="00DB0B9B" w:rsidRPr="004F6B2D" w:rsidRDefault="00DB0B9B" w:rsidP="00980B77">
            <w:pPr>
              <w:keepNext/>
              <w:spacing w:before="0" w:after="0"/>
              <w:jc w:val="cente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Portland</w:t>
            </w:r>
          </w:p>
        </w:tc>
        <w:tc>
          <w:tcPr>
            <w:tcW w:w="1642" w:type="dxa"/>
            <w:vAlign w:val="center"/>
          </w:tcPr>
          <w:p w:rsidR="00DB0B9B" w:rsidRDefault="00DB0B9B" w:rsidP="00DB0B9B">
            <w:pPr>
              <w:keepNext/>
              <w:spacing w:before="0" w:after="0"/>
              <w:jc w:val="cente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Adelaide (Outer Harbor)</w:t>
            </w:r>
          </w:p>
        </w:tc>
      </w:tr>
      <w:tr w:rsidR="00DB0B9B" w:rsidRPr="004F6B2D" w:rsidTr="00F47761">
        <w:trPr>
          <w:trHeight w:val="397"/>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BFBFBF"/>
              <w:bottom w:val="nil"/>
            </w:tcBorders>
            <w:vAlign w:val="center"/>
          </w:tcPr>
          <w:p w:rsidR="00DB0B9B" w:rsidRPr="004F6B2D" w:rsidRDefault="00DB0B9B" w:rsidP="00980B77">
            <w:pPr>
              <w:keepNext/>
              <w:spacing w:before="0" w:after="0"/>
              <w:rPr>
                <w:rFonts w:eastAsia="Arial"/>
                <w:i/>
              </w:rPr>
            </w:pPr>
            <w:r>
              <w:rPr>
                <w:rFonts w:eastAsia="Arial"/>
                <w:i/>
              </w:rPr>
              <w:t>North western Victoria</w:t>
            </w:r>
            <w:r w:rsidRPr="004F6B2D">
              <w:rPr>
                <w:rFonts w:eastAsia="Arial"/>
                <w:i/>
              </w:rPr>
              <w:t xml:space="preserve"> </w:t>
            </w:r>
          </w:p>
        </w:tc>
        <w:tc>
          <w:tcPr>
            <w:tcW w:w="1296" w:type="dxa"/>
            <w:tcBorders>
              <w:top w:val="single" w:sz="4" w:space="0" w:color="BFBFBF"/>
              <w:bottom w:val="nil"/>
            </w:tcBorders>
            <w:vAlign w:val="center"/>
          </w:tcPr>
          <w:p w:rsidR="00DB0B9B" w:rsidRPr="004F6B2D"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p>
        </w:tc>
        <w:tc>
          <w:tcPr>
            <w:tcW w:w="1422" w:type="dxa"/>
            <w:tcBorders>
              <w:top w:val="single" w:sz="4" w:space="0" w:color="BFBFBF"/>
              <w:bottom w:val="nil"/>
            </w:tcBorders>
            <w:vAlign w:val="center"/>
          </w:tcPr>
          <w:p w:rsidR="00DB0B9B" w:rsidRPr="004F6B2D"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p>
        </w:tc>
        <w:tc>
          <w:tcPr>
            <w:tcW w:w="1168" w:type="dxa"/>
            <w:tcBorders>
              <w:top w:val="single" w:sz="4" w:space="0" w:color="BFBFBF"/>
              <w:bottom w:val="nil"/>
              <w:right w:val="nil"/>
            </w:tcBorders>
          </w:tcPr>
          <w:p w:rsidR="00DB0B9B" w:rsidRPr="004F6B2D"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p>
        </w:tc>
        <w:tc>
          <w:tcPr>
            <w:tcW w:w="1642" w:type="dxa"/>
            <w:tcBorders>
              <w:top w:val="single" w:sz="4" w:space="0" w:color="BFBFBF"/>
              <w:bottom w:val="nil"/>
              <w:right w:val="nil"/>
            </w:tcBorders>
          </w:tcPr>
          <w:p w:rsidR="00DB0B9B" w:rsidRPr="004F6B2D"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p>
        </w:tc>
      </w:tr>
      <w:tr w:rsidR="00DB0B9B" w:rsidRPr="004F6B2D" w:rsidTr="00F47761">
        <w:trPr>
          <w:trHeight w:val="312"/>
        </w:trPr>
        <w:tc>
          <w:tcPr>
            <w:cnfStyle w:val="001000000000" w:firstRow="0" w:lastRow="0" w:firstColumn="1" w:lastColumn="0" w:oddVBand="0" w:evenVBand="0" w:oddHBand="0" w:evenHBand="0" w:firstRowFirstColumn="0" w:firstRowLastColumn="0" w:lastRowFirstColumn="0" w:lastRowLastColumn="0"/>
            <w:tcW w:w="3652" w:type="dxa"/>
            <w:tcBorders>
              <w:top w:val="nil"/>
              <w:bottom w:val="nil"/>
            </w:tcBorders>
            <w:vAlign w:val="center"/>
          </w:tcPr>
          <w:p w:rsidR="00DB0B9B" w:rsidRPr="004F6B2D" w:rsidRDefault="00DB0B9B" w:rsidP="00980B77">
            <w:pPr>
              <w:keepNext/>
              <w:spacing w:before="0" w:after="0"/>
              <w:rPr>
                <w:rFonts w:eastAsia="Arial"/>
                <w:b w:val="0"/>
              </w:rPr>
            </w:pPr>
            <w:r w:rsidRPr="004F6B2D">
              <w:rPr>
                <w:rFonts w:eastAsia="Arial"/>
                <w:b w:val="0"/>
              </w:rPr>
              <w:t>Carwarp (GrainCorp)</w:t>
            </w:r>
          </w:p>
        </w:tc>
        <w:tc>
          <w:tcPr>
            <w:tcW w:w="1296" w:type="dxa"/>
            <w:tcBorders>
              <w:top w:val="nil"/>
              <w:bottom w:val="nil"/>
            </w:tcBorders>
            <w:vAlign w:val="center"/>
          </w:tcPr>
          <w:p w:rsidR="00DB0B9B" w:rsidRPr="004F6B2D"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r w:rsidRPr="004F6B2D">
              <w:rPr>
                <w:rFonts w:eastAsia="Arial"/>
              </w:rPr>
              <w:t>48.5</w:t>
            </w:r>
          </w:p>
        </w:tc>
        <w:tc>
          <w:tcPr>
            <w:tcW w:w="1422" w:type="dxa"/>
            <w:tcBorders>
              <w:top w:val="nil"/>
              <w:bottom w:val="nil"/>
            </w:tcBorders>
            <w:vAlign w:val="center"/>
          </w:tcPr>
          <w:p w:rsidR="00DB0B9B" w:rsidRPr="004F6B2D"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r w:rsidRPr="004F6B2D">
              <w:rPr>
                <w:rFonts w:eastAsia="Arial"/>
              </w:rPr>
              <w:t>48.5</w:t>
            </w:r>
          </w:p>
        </w:tc>
        <w:tc>
          <w:tcPr>
            <w:tcW w:w="1168" w:type="dxa"/>
            <w:tcBorders>
              <w:top w:val="nil"/>
              <w:bottom w:val="nil"/>
              <w:right w:val="nil"/>
            </w:tcBorders>
            <w:vAlign w:val="center"/>
          </w:tcPr>
          <w:p w:rsidR="00DB0B9B" w:rsidRPr="004F6B2D"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p>
        </w:tc>
        <w:tc>
          <w:tcPr>
            <w:tcW w:w="1642" w:type="dxa"/>
            <w:tcBorders>
              <w:top w:val="nil"/>
              <w:bottom w:val="nil"/>
              <w:right w:val="nil"/>
            </w:tcBorders>
            <w:vAlign w:val="center"/>
          </w:tcPr>
          <w:p w:rsidR="00DB0B9B" w:rsidRPr="004F6B2D" w:rsidRDefault="00DB0B9B" w:rsidP="00DB0B9B">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41.5</w:t>
            </w:r>
          </w:p>
        </w:tc>
      </w:tr>
      <w:tr w:rsidR="00DB0B9B" w:rsidRPr="004F6B2D" w:rsidTr="00F47761">
        <w:trPr>
          <w:trHeight w:val="312"/>
        </w:trPr>
        <w:tc>
          <w:tcPr>
            <w:cnfStyle w:val="001000000000" w:firstRow="0" w:lastRow="0" w:firstColumn="1" w:lastColumn="0" w:oddVBand="0" w:evenVBand="0" w:oddHBand="0" w:evenHBand="0" w:firstRowFirstColumn="0" w:firstRowLastColumn="0" w:lastRowFirstColumn="0" w:lastRowLastColumn="0"/>
            <w:tcW w:w="3652" w:type="dxa"/>
            <w:tcBorders>
              <w:top w:val="nil"/>
              <w:bottom w:val="single" w:sz="4" w:space="0" w:color="BFBFBF" w:themeColor="background1" w:themeShade="BF"/>
            </w:tcBorders>
            <w:vAlign w:val="center"/>
          </w:tcPr>
          <w:p w:rsidR="00DB0B9B" w:rsidRPr="004F6B2D" w:rsidRDefault="00DB0B9B" w:rsidP="00980B77">
            <w:pPr>
              <w:keepNext/>
              <w:spacing w:before="0" w:after="0"/>
              <w:rPr>
                <w:rFonts w:eastAsia="Arial"/>
                <w:b w:val="0"/>
              </w:rPr>
            </w:pPr>
            <w:r w:rsidRPr="004F6B2D">
              <w:rPr>
                <w:rFonts w:eastAsia="Arial"/>
                <w:b w:val="0"/>
              </w:rPr>
              <w:t>Ouyen (GrainCorp)</w:t>
            </w:r>
          </w:p>
        </w:tc>
        <w:tc>
          <w:tcPr>
            <w:tcW w:w="1296" w:type="dxa"/>
            <w:tcBorders>
              <w:top w:val="nil"/>
              <w:bottom w:val="single" w:sz="4" w:space="0" w:color="BFBFBF" w:themeColor="background1" w:themeShade="BF"/>
            </w:tcBorders>
            <w:vAlign w:val="center"/>
          </w:tcPr>
          <w:p w:rsidR="00DB0B9B" w:rsidRPr="004F6B2D"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r w:rsidRPr="004F6B2D">
              <w:rPr>
                <w:rFonts w:eastAsia="Arial"/>
              </w:rPr>
              <w:t>43.5</w:t>
            </w:r>
          </w:p>
        </w:tc>
        <w:tc>
          <w:tcPr>
            <w:tcW w:w="1422" w:type="dxa"/>
            <w:tcBorders>
              <w:top w:val="nil"/>
              <w:bottom w:val="single" w:sz="4" w:space="0" w:color="BFBFBF" w:themeColor="background1" w:themeShade="BF"/>
            </w:tcBorders>
            <w:vAlign w:val="center"/>
          </w:tcPr>
          <w:p w:rsidR="00DB0B9B" w:rsidRPr="004F6B2D"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r w:rsidRPr="004F6B2D">
              <w:rPr>
                <w:rFonts w:eastAsia="Arial"/>
              </w:rPr>
              <w:t>42.75</w:t>
            </w:r>
          </w:p>
        </w:tc>
        <w:tc>
          <w:tcPr>
            <w:tcW w:w="1168" w:type="dxa"/>
            <w:tcBorders>
              <w:top w:val="nil"/>
              <w:bottom w:val="single" w:sz="4" w:space="0" w:color="BFBFBF" w:themeColor="background1" w:themeShade="BF"/>
              <w:right w:val="nil"/>
            </w:tcBorders>
            <w:vAlign w:val="center"/>
          </w:tcPr>
          <w:p w:rsidR="00DB0B9B" w:rsidRPr="004F6B2D"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p>
        </w:tc>
        <w:tc>
          <w:tcPr>
            <w:tcW w:w="1642" w:type="dxa"/>
            <w:tcBorders>
              <w:top w:val="nil"/>
              <w:bottom w:val="single" w:sz="4" w:space="0" w:color="BFBFBF" w:themeColor="background1" w:themeShade="BF"/>
              <w:right w:val="nil"/>
            </w:tcBorders>
            <w:vAlign w:val="center"/>
          </w:tcPr>
          <w:p w:rsidR="00DB0B9B" w:rsidRPr="004F6B2D" w:rsidRDefault="00DB0B9B" w:rsidP="00DB0B9B">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38.75</w:t>
            </w:r>
          </w:p>
        </w:tc>
      </w:tr>
      <w:tr w:rsidR="00DB0B9B" w:rsidRPr="004F6B2D" w:rsidTr="00F47761">
        <w:trPr>
          <w:trHeight w:val="397"/>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BFBFBF" w:themeColor="background1" w:themeShade="BF"/>
              <w:bottom w:val="nil"/>
            </w:tcBorders>
            <w:vAlign w:val="center"/>
          </w:tcPr>
          <w:p w:rsidR="00DB0B9B" w:rsidRPr="004F6B2D" w:rsidRDefault="00DB0B9B" w:rsidP="00980B77">
            <w:pPr>
              <w:keepNext/>
              <w:spacing w:before="0" w:after="0"/>
              <w:rPr>
                <w:rFonts w:eastAsia="Arial"/>
                <w:i/>
              </w:rPr>
            </w:pPr>
            <w:r w:rsidRPr="004F6B2D">
              <w:rPr>
                <w:rFonts w:eastAsia="Arial"/>
                <w:i/>
              </w:rPr>
              <w:t>Central Victoria</w:t>
            </w:r>
          </w:p>
        </w:tc>
        <w:tc>
          <w:tcPr>
            <w:tcW w:w="1296" w:type="dxa"/>
            <w:tcBorders>
              <w:top w:val="single" w:sz="4" w:space="0" w:color="BFBFBF" w:themeColor="background1" w:themeShade="BF"/>
              <w:bottom w:val="nil"/>
            </w:tcBorders>
            <w:vAlign w:val="center"/>
          </w:tcPr>
          <w:p w:rsidR="00DB0B9B" w:rsidRPr="004F6B2D"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p>
        </w:tc>
        <w:tc>
          <w:tcPr>
            <w:tcW w:w="1422" w:type="dxa"/>
            <w:tcBorders>
              <w:top w:val="single" w:sz="4" w:space="0" w:color="BFBFBF" w:themeColor="background1" w:themeShade="BF"/>
              <w:bottom w:val="nil"/>
            </w:tcBorders>
            <w:vAlign w:val="center"/>
          </w:tcPr>
          <w:p w:rsidR="00DB0B9B" w:rsidRPr="004F6B2D"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p>
        </w:tc>
        <w:tc>
          <w:tcPr>
            <w:tcW w:w="1168" w:type="dxa"/>
            <w:tcBorders>
              <w:top w:val="single" w:sz="4" w:space="0" w:color="BFBFBF" w:themeColor="background1" w:themeShade="BF"/>
              <w:bottom w:val="nil"/>
              <w:right w:val="nil"/>
            </w:tcBorders>
            <w:vAlign w:val="center"/>
          </w:tcPr>
          <w:p w:rsidR="00DB0B9B" w:rsidRPr="004F6B2D"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p>
        </w:tc>
        <w:tc>
          <w:tcPr>
            <w:tcW w:w="1642" w:type="dxa"/>
            <w:tcBorders>
              <w:top w:val="single" w:sz="4" w:space="0" w:color="BFBFBF" w:themeColor="background1" w:themeShade="BF"/>
              <w:bottom w:val="nil"/>
              <w:right w:val="nil"/>
            </w:tcBorders>
          </w:tcPr>
          <w:p w:rsidR="00DB0B9B" w:rsidRPr="004F6B2D"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p>
        </w:tc>
      </w:tr>
      <w:tr w:rsidR="00DB0B9B" w:rsidTr="00F47761">
        <w:trPr>
          <w:trHeight w:val="312"/>
        </w:trPr>
        <w:tc>
          <w:tcPr>
            <w:cnfStyle w:val="001000000000" w:firstRow="0" w:lastRow="0" w:firstColumn="1" w:lastColumn="0" w:oddVBand="0" w:evenVBand="0" w:oddHBand="0" w:evenHBand="0" w:firstRowFirstColumn="0" w:firstRowLastColumn="0" w:lastRowFirstColumn="0" w:lastRowLastColumn="0"/>
            <w:tcW w:w="3652" w:type="dxa"/>
            <w:tcBorders>
              <w:top w:val="nil"/>
            </w:tcBorders>
            <w:vAlign w:val="center"/>
          </w:tcPr>
          <w:p w:rsidR="00DB0B9B" w:rsidRPr="002E262F" w:rsidRDefault="00DB0B9B" w:rsidP="00980B77">
            <w:pPr>
              <w:keepNext/>
              <w:spacing w:before="0" w:after="0"/>
              <w:rPr>
                <w:rFonts w:eastAsia="Arial"/>
                <w:b w:val="0"/>
              </w:rPr>
            </w:pPr>
            <w:r w:rsidRPr="002E262F">
              <w:rPr>
                <w:rFonts w:eastAsia="Arial"/>
                <w:b w:val="0"/>
              </w:rPr>
              <w:t>Woomelang (GrainCorp)</w:t>
            </w:r>
          </w:p>
        </w:tc>
        <w:tc>
          <w:tcPr>
            <w:tcW w:w="1296" w:type="dxa"/>
            <w:tcBorders>
              <w:top w:val="nil"/>
            </w:tcBorders>
            <w:vAlign w:val="center"/>
          </w:tcPr>
          <w:p w:rsidR="00DB0B9B" w:rsidRPr="002E262F"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r w:rsidRPr="002E262F">
              <w:rPr>
                <w:rFonts w:eastAsia="Arial"/>
              </w:rPr>
              <w:t>36</w:t>
            </w:r>
          </w:p>
        </w:tc>
        <w:tc>
          <w:tcPr>
            <w:tcW w:w="1422" w:type="dxa"/>
            <w:tcBorders>
              <w:top w:val="nil"/>
            </w:tcBorders>
            <w:vAlign w:val="center"/>
          </w:tcPr>
          <w:p w:rsidR="00DB0B9B" w:rsidRPr="002E262F"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r w:rsidRPr="002E262F">
              <w:rPr>
                <w:rFonts w:eastAsia="Arial"/>
              </w:rPr>
              <w:t>36.25</w:t>
            </w:r>
          </w:p>
        </w:tc>
        <w:tc>
          <w:tcPr>
            <w:tcW w:w="1168" w:type="dxa"/>
            <w:tcBorders>
              <w:top w:val="nil"/>
            </w:tcBorders>
            <w:vAlign w:val="center"/>
          </w:tcPr>
          <w:p w:rsidR="00DB0B9B" w:rsidRPr="002E262F"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p>
        </w:tc>
        <w:tc>
          <w:tcPr>
            <w:tcW w:w="1642" w:type="dxa"/>
            <w:tcBorders>
              <w:top w:val="nil"/>
            </w:tcBorders>
          </w:tcPr>
          <w:p w:rsidR="00DB0B9B" w:rsidRPr="002E262F"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p>
        </w:tc>
      </w:tr>
      <w:tr w:rsidR="00DB0B9B" w:rsidTr="00F47761">
        <w:trPr>
          <w:trHeight w:val="312"/>
        </w:trPr>
        <w:tc>
          <w:tcPr>
            <w:cnfStyle w:val="001000000000" w:firstRow="0" w:lastRow="0" w:firstColumn="1" w:lastColumn="0" w:oddVBand="0" w:evenVBand="0" w:oddHBand="0" w:evenHBand="0" w:firstRowFirstColumn="0" w:firstRowLastColumn="0" w:lastRowFirstColumn="0" w:lastRowLastColumn="0"/>
            <w:tcW w:w="3652" w:type="dxa"/>
            <w:vAlign w:val="center"/>
          </w:tcPr>
          <w:p w:rsidR="00DB0B9B" w:rsidRPr="002E262F" w:rsidRDefault="00DB0B9B" w:rsidP="00980B77">
            <w:pPr>
              <w:keepNext/>
              <w:spacing w:before="0" w:after="0"/>
              <w:rPr>
                <w:rFonts w:eastAsia="Arial"/>
                <w:b w:val="0"/>
              </w:rPr>
            </w:pPr>
            <w:r w:rsidRPr="002E262F">
              <w:rPr>
                <w:rFonts w:eastAsia="Arial"/>
                <w:b w:val="0"/>
              </w:rPr>
              <w:t>Boort (Boort Co-op)</w:t>
            </w:r>
          </w:p>
        </w:tc>
        <w:tc>
          <w:tcPr>
            <w:tcW w:w="1296" w:type="dxa"/>
            <w:vAlign w:val="center"/>
          </w:tcPr>
          <w:p w:rsidR="00DB0B9B" w:rsidRPr="002E262F"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r w:rsidRPr="002E262F">
              <w:rPr>
                <w:rFonts w:eastAsia="Arial"/>
              </w:rPr>
              <w:t>30.25</w:t>
            </w:r>
          </w:p>
        </w:tc>
        <w:tc>
          <w:tcPr>
            <w:tcW w:w="1422" w:type="dxa"/>
            <w:vAlign w:val="center"/>
          </w:tcPr>
          <w:p w:rsidR="00DB0B9B" w:rsidRPr="002E262F"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r w:rsidRPr="002E262F">
              <w:rPr>
                <w:rFonts w:eastAsia="Arial"/>
              </w:rPr>
              <w:t>27.75</w:t>
            </w:r>
          </w:p>
        </w:tc>
        <w:tc>
          <w:tcPr>
            <w:tcW w:w="1168" w:type="dxa"/>
            <w:vAlign w:val="center"/>
          </w:tcPr>
          <w:p w:rsidR="00DB0B9B" w:rsidRPr="002E262F"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p>
        </w:tc>
        <w:tc>
          <w:tcPr>
            <w:tcW w:w="1642" w:type="dxa"/>
          </w:tcPr>
          <w:p w:rsidR="00DB0B9B" w:rsidRPr="002E262F"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p>
        </w:tc>
      </w:tr>
      <w:tr w:rsidR="00DB0B9B" w:rsidRPr="00D1396E" w:rsidTr="00F47761">
        <w:trPr>
          <w:trHeight w:val="312"/>
        </w:trPr>
        <w:tc>
          <w:tcPr>
            <w:cnfStyle w:val="001000000000" w:firstRow="0" w:lastRow="0" w:firstColumn="1" w:lastColumn="0" w:oddVBand="0" w:evenVBand="0" w:oddHBand="0" w:evenHBand="0" w:firstRowFirstColumn="0" w:firstRowLastColumn="0" w:lastRowFirstColumn="0" w:lastRowLastColumn="0"/>
            <w:tcW w:w="3652" w:type="dxa"/>
            <w:tcBorders>
              <w:bottom w:val="single" w:sz="4" w:space="0" w:color="BFBFBF" w:themeColor="background1" w:themeShade="BF"/>
            </w:tcBorders>
            <w:vAlign w:val="center"/>
          </w:tcPr>
          <w:p w:rsidR="00DB0B9B" w:rsidRPr="002E262F" w:rsidRDefault="00DB0B9B" w:rsidP="00980B77">
            <w:pPr>
              <w:keepNext/>
              <w:spacing w:before="0" w:after="0"/>
              <w:rPr>
                <w:rFonts w:eastAsia="Arial"/>
                <w:b w:val="0"/>
              </w:rPr>
            </w:pPr>
            <w:r w:rsidRPr="002E262F">
              <w:rPr>
                <w:rFonts w:eastAsia="Arial"/>
                <w:b w:val="0"/>
              </w:rPr>
              <w:t xml:space="preserve">Mitiamo (GrainCorp) </w:t>
            </w:r>
          </w:p>
        </w:tc>
        <w:tc>
          <w:tcPr>
            <w:tcW w:w="1296" w:type="dxa"/>
            <w:tcBorders>
              <w:bottom w:val="single" w:sz="4" w:space="0" w:color="BFBFBF" w:themeColor="background1" w:themeShade="BF"/>
            </w:tcBorders>
            <w:vAlign w:val="center"/>
          </w:tcPr>
          <w:p w:rsidR="00DB0B9B" w:rsidRPr="002E262F"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r w:rsidRPr="002E262F">
              <w:rPr>
                <w:rFonts w:eastAsia="Arial"/>
              </w:rPr>
              <w:t>29.25</w:t>
            </w:r>
          </w:p>
        </w:tc>
        <w:tc>
          <w:tcPr>
            <w:tcW w:w="1422" w:type="dxa"/>
            <w:tcBorders>
              <w:bottom w:val="single" w:sz="4" w:space="0" w:color="BFBFBF" w:themeColor="background1" w:themeShade="BF"/>
            </w:tcBorders>
            <w:vAlign w:val="center"/>
          </w:tcPr>
          <w:p w:rsidR="00DB0B9B" w:rsidRPr="002E262F"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r w:rsidRPr="002E262F">
              <w:rPr>
                <w:rFonts w:eastAsia="Arial"/>
              </w:rPr>
              <w:t>24.5</w:t>
            </w:r>
          </w:p>
        </w:tc>
        <w:tc>
          <w:tcPr>
            <w:tcW w:w="1168" w:type="dxa"/>
            <w:tcBorders>
              <w:bottom w:val="single" w:sz="4" w:space="0" w:color="BFBFBF" w:themeColor="background1" w:themeShade="BF"/>
            </w:tcBorders>
            <w:vAlign w:val="center"/>
          </w:tcPr>
          <w:p w:rsidR="00DB0B9B" w:rsidRPr="002E262F"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p>
        </w:tc>
        <w:tc>
          <w:tcPr>
            <w:tcW w:w="1642" w:type="dxa"/>
            <w:tcBorders>
              <w:bottom w:val="single" w:sz="4" w:space="0" w:color="BFBFBF" w:themeColor="background1" w:themeShade="BF"/>
            </w:tcBorders>
          </w:tcPr>
          <w:p w:rsidR="00DB0B9B" w:rsidRPr="002E262F"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p>
        </w:tc>
      </w:tr>
      <w:tr w:rsidR="00DB0B9B" w:rsidRPr="00894590" w:rsidTr="00F47761">
        <w:trPr>
          <w:trHeight w:val="397"/>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BFBFBF" w:themeColor="background1" w:themeShade="BF"/>
              <w:bottom w:val="nil"/>
            </w:tcBorders>
            <w:vAlign w:val="center"/>
          </w:tcPr>
          <w:p w:rsidR="00DB0B9B" w:rsidRPr="002E262F" w:rsidRDefault="00DB0B9B" w:rsidP="00980B77">
            <w:pPr>
              <w:keepNext/>
              <w:spacing w:before="0" w:after="0"/>
              <w:rPr>
                <w:rFonts w:eastAsia="Arial"/>
                <w:i/>
              </w:rPr>
            </w:pPr>
            <w:r w:rsidRPr="002E262F">
              <w:rPr>
                <w:rFonts w:eastAsia="Arial"/>
                <w:i/>
              </w:rPr>
              <w:t>Western Victoria</w:t>
            </w:r>
          </w:p>
        </w:tc>
        <w:tc>
          <w:tcPr>
            <w:tcW w:w="1296" w:type="dxa"/>
            <w:tcBorders>
              <w:top w:val="single" w:sz="4" w:space="0" w:color="BFBFBF" w:themeColor="background1" w:themeShade="BF"/>
              <w:bottom w:val="nil"/>
            </w:tcBorders>
            <w:vAlign w:val="center"/>
          </w:tcPr>
          <w:p w:rsidR="00DB0B9B" w:rsidRPr="002E262F"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p>
        </w:tc>
        <w:tc>
          <w:tcPr>
            <w:tcW w:w="1422" w:type="dxa"/>
            <w:tcBorders>
              <w:top w:val="single" w:sz="4" w:space="0" w:color="BFBFBF" w:themeColor="background1" w:themeShade="BF"/>
              <w:bottom w:val="nil"/>
            </w:tcBorders>
            <w:vAlign w:val="center"/>
          </w:tcPr>
          <w:p w:rsidR="00DB0B9B" w:rsidRPr="002E262F"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p>
        </w:tc>
        <w:tc>
          <w:tcPr>
            <w:tcW w:w="1168" w:type="dxa"/>
            <w:tcBorders>
              <w:top w:val="single" w:sz="4" w:space="0" w:color="BFBFBF" w:themeColor="background1" w:themeShade="BF"/>
              <w:bottom w:val="nil"/>
            </w:tcBorders>
            <w:vAlign w:val="center"/>
          </w:tcPr>
          <w:p w:rsidR="00DB0B9B" w:rsidRPr="002E262F"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p>
        </w:tc>
        <w:tc>
          <w:tcPr>
            <w:tcW w:w="1642" w:type="dxa"/>
            <w:tcBorders>
              <w:top w:val="single" w:sz="4" w:space="0" w:color="BFBFBF" w:themeColor="background1" w:themeShade="BF"/>
              <w:bottom w:val="nil"/>
            </w:tcBorders>
          </w:tcPr>
          <w:p w:rsidR="00DB0B9B" w:rsidRPr="002E262F"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p>
        </w:tc>
      </w:tr>
      <w:tr w:rsidR="00DB0B9B" w:rsidRPr="00894590" w:rsidTr="00F47761">
        <w:trPr>
          <w:trHeight w:val="312"/>
        </w:trPr>
        <w:tc>
          <w:tcPr>
            <w:cnfStyle w:val="001000000000" w:firstRow="0" w:lastRow="0" w:firstColumn="1" w:lastColumn="0" w:oddVBand="0" w:evenVBand="0" w:oddHBand="0" w:evenHBand="0" w:firstRowFirstColumn="0" w:firstRowLastColumn="0" w:lastRowFirstColumn="0" w:lastRowLastColumn="0"/>
            <w:tcW w:w="3652" w:type="dxa"/>
            <w:tcBorders>
              <w:top w:val="nil"/>
            </w:tcBorders>
            <w:vAlign w:val="center"/>
          </w:tcPr>
          <w:p w:rsidR="00DB0B9B" w:rsidRPr="002E262F" w:rsidRDefault="00DB0B9B" w:rsidP="00980B77">
            <w:pPr>
              <w:keepNext/>
              <w:spacing w:before="0" w:after="0"/>
              <w:rPr>
                <w:rFonts w:eastAsia="Arial"/>
                <w:b w:val="0"/>
              </w:rPr>
            </w:pPr>
            <w:r w:rsidRPr="002E262F">
              <w:rPr>
                <w:rFonts w:eastAsia="Arial"/>
                <w:b w:val="0"/>
              </w:rPr>
              <w:t>Warracknabeal (Wilken, GrainCorp)</w:t>
            </w:r>
          </w:p>
        </w:tc>
        <w:tc>
          <w:tcPr>
            <w:tcW w:w="1296" w:type="dxa"/>
            <w:tcBorders>
              <w:top w:val="nil"/>
            </w:tcBorders>
            <w:vAlign w:val="center"/>
          </w:tcPr>
          <w:p w:rsidR="00DB0B9B" w:rsidRPr="002E262F"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r w:rsidRPr="002E262F">
              <w:rPr>
                <w:rFonts w:eastAsia="Arial"/>
              </w:rPr>
              <w:t>33.5</w:t>
            </w:r>
          </w:p>
        </w:tc>
        <w:tc>
          <w:tcPr>
            <w:tcW w:w="1422" w:type="dxa"/>
            <w:tcBorders>
              <w:top w:val="nil"/>
            </w:tcBorders>
            <w:vAlign w:val="center"/>
          </w:tcPr>
          <w:p w:rsidR="00DB0B9B" w:rsidRPr="002E262F"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r w:rsidRPr="002E262F">
              <w:rPr>
                <w:rFonts w:eastAsia="Arial"/>
              </w:rPr>
              <w:t>34.5</w:t>
            </w:r>
          </w:p>
        </w:tc>
        <w:tc>
          <w:tcPr>
            <w:tcW w:w="1168" w:type="dxa"/>
            <w:tcBorders>
              <w:top w:val="nil"/>
            </w:tcBorders>
            <w:vAlign w:val="center"/>
          </w:tcPr>
          <w:p w:rsidR="00DB0B9B" w:rsidRPr="002E262F"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r w:rsidRPr="002E262F">
              <w:rPr>
                <w:rFonts w:eastAsia="Arial"/>
              </w:rPr>
              <w:t>28.75</w:t>
            </w:r>
          </w:p>
        </w:tc>
        <w:tc>
          <w:tcPr>
            <w:tcW w:w="1642" w:type="dxa"/>
            <w:tcBorders>
              <w:top w:val="nil"/>
            </w:tcBorders>
          </w:tcPr>
          <w:p w:rsidR="00DB0B9B" w:rsidRPr="002E262F"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p>
        </w:tc>
      </w:tr>
      <w:tr w:rsidR="00DB0B9B" w:rsidRPr="00894590" w:rsidTr="00F47761">
        <w:trPr>
          <w:trHeight w:val="312"/>
        </w:trPr>
        <w:tc>
          <w:tcPr>
            <w:cnfStyle w:val="001000000000" w:firstRow="0" w:lastRow="0" w:firstColumn="1" w:lastColumn="0" w:oddVBand="0" w:evenVBand="0" w:oddHBand="0" w:evenHBand="0" w:firstRowFirstColumn="0" w:firstRowLastColumn="0" w:lastRowFirstColumn="0" w:lastRowLastColumn="0"/>
            <w:tcW w:w="3652" w:type="dxa"/>
            <w:vAlign w:val="center"/>
          </w:tcPr>
          <w:p w:rsidR="00DB0B9B" w:rsidRPr="002E262F" w:rsidRDefault="00DB0B9B" w:rsidP="00980B77">
            <w:pPr>
              <w:keepNext/>
              <w:spacing w:before="0" w:after="0"/>
              <w:rPr>
                <w:rFonts w:eastAsia="Arial"/>
                <w:b w:val="0"/>
              </w:rPr>
            </w:pPr>
            <w:r w:rsidRPr="002E262F">
              <w:rPr>
                <w:rFonts w:eastAsia="Arial"/>
                <w:b w:val="0"/>
              </w:rPr>
              <w:t>Rainbow (GrainCorp)</w:t>
            </w:r>
          </w:p>
        </w:tc>
        <w:tc>
          <w:tcPr>
            <w:tcW w:w="1296" w:type="dxa"/>
            <w:vAlign w:val="center"/>
          </w:tcPr>
          <w:p w:rsidR="00DB0B9B" w:rsidRPr="002E262F"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r w:rsidRPr="002E262F">
              <w:rPr>
                <w:rFonts w:eastAsia="Arial"/>
              </w:rPr>
              <w:t>38</w:t>
            </w:r>
          </w:p>
        </w:tc>
        <w:tc>
          <w:tcPr>
            <w:tcW w:w="1422" w:type="dxa"/>
            <w:vAlign w:val="center"/>
          </w:tcPr>
          <w:p w:rsidR="00DB0B9B" w:rsidRPr="002E262F"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r w:rsidRPr="002E262F">
              <w:rPr>
                <w:rFonts w:eastAsia="Arial"/>
              </w:rPr>
              <w:t>40</w:t>
            </w:r>
          </w:p>
        </w:tc>
        <w:tc>
          <w:tcPr>
            <w:tcW w:w="1168" w:type="dxa"/>
            <w:vAlign w:val="center"/>
          </w:tcPr>
          <w:p w:rsidR="00DB0B9B" w:rsidRPr="002E262F"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r w:rsidRPr="002E262F">
              <w:rPr>
                <w:rFonts w:eastAsia="Arial"/>
              </w:rPr>
              <w:t>32.75</w:t>
            </w:r>
          </w:p>
        </w:tc>
        <w:tc>
          <w:tcPr>
            <w:tcW w:w="1642" w:type="dxa"/>
            <w:vAlign w:val="center"/>
          </w:tcPr>
          <w:p w:rsidR="00DB0B9B" w:rsidRPr="002E262F" w:rsidRDefault="00DB0B9B" w:rsidP="00DB0B9B">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42</w:t>
            </w:r>
          </w:p>
        </w:tc>
      </w:tr>
      <w:tr w:rsidR="00DB0B9B" w:rsidTr="00F47761">
        <w:trPr>
          <w:trHeight w:val="312"/>
        </w:trPr>
        <w:tc>
          <w:tcPr>
            <w:cnfStyle w:val="001000000000" w:firstRow="0" w:lastRow="0" w:firstColumn="1" w:lastColumn="0" w:oddVBand="0" w:evenVBand="0" w:oddHBand="0" w:evenHBand="0" w:firstRowFirstColumn="0" w:firstRowLastColumn="0" w:lastRowFirstColumn="0" w:lastRowLastColumn="0"/>
            <w:tcW w:w="3652" w:type="dxa"/>
            <w:tcBorders>
              <w:bottom w:val="single" w:sz="4" w:space="0" w:color="BFBFBF" w:themeColor="background1" w:themeShade="BF"/>
            </w:tcBorders>
            <w:vAlign w:val="center"/>
          </w:tcPr>
          <w:p w:rsidR="00DB0B9B" w:rsidRPr="002E262F" w:rsidRDefault="00DB0B9B" w:rsidP="00980B77">
            <w:pPr>
              <w:keepNext/>
              <w:spacing w:before="0" w:after="0"/>
              <w:rPr>
                <w:rFonts w:eastAsia="Arial"/>
                <w:b w:val="0"/>
              </w:rPr>
            </w:pPr>
            <w:r w:rsidRPr="004D701F">
              <w:rPr>
                <w:rFonts w:eastAsia="Arial"/>
                <w:b w:val="0"/>
              </w:rPr>
              <w:t>N</w:t>
            </w:r>
            <w:r>
              <w:rPr>
                <w:rFonts w:eastAsia="Arial"/>
                <w:b w:val="0"/>
              </w:rPr>
              <w:t>hill (GrainCorp)</w:t>
            </w:r>
            <w:r w:rsidRPr="004D701F">
              <w:rPr>
                <w:rFonts w:eastAsia="Arial"/>
                <w:b w:val="0"/>
              </w:rPr>
              <w:tab/>
            </w:r>
            <w:r w:rsidRPr="004D701F">
              <w:rPr>
                <w:rFonts w:eastAsia="Arial"/>
                <w:b w:val="0"/>
              </w:rPr>
              <w:tab/>
            </w:r>
          </w:p>
        </w:tc>
        <w:tc>
          <w:tcPr>
            <w:tcW w:w="1296" w:type="dxa"/>
            <w:tcBorders>
              <w:bottom w:val="single" w:sz="4" w:space="0" w:color="BFBFBF" w:themeColor="background1" w:themeShade="BF"/>
            </w:tcBorders>
            <w:vAlign w:val="center"/>
          </w:tcPr>
          <w:p w:rsidR="00DB0B9B" w:rsidRPr="002E262F"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r w:rsidRPr="004D701F">
              <w:rPr>
                <w:rFonts w:eastAsia="Arial"/>
              </w:rPr>
              <w:t>36.25</w:t>
            </w:r>
          </w:p>
        </w:tc>
        <w:tc>
          <w:tcPr>
            <w:tcW w:w="1422" w:type="dxa"/>
            <w:tcBorders>
              <w:bottom w:val="single" w:sz="4" w:space="0" w:color="BFBFBF" w:themeColor="background1" w:themeShade="BF"/>
            </w:tcBorders>
            <w:vAlign w:val="center"/>
          </w:tcPr>
          <w:p w:rsidR="00DB0B9B" w:rsidRPr="002E262F"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r w:rsidRPr="004D701F">
              <w:rPr>
                <w:rFonts w:eastAsia="Arial"/>
              </w:rPr>
              <w:t>37</w:t>
            </w:r>
          </w:p>
        </w:tc>
        <w:tc>
          <w:tcPr>
            <w:tcW w:w="1168" w:type="dxa"/>
            <w:tcBorders>
              <w:bottom w:val="single" w:sz="4" w:space="0" w:color="BFBFBF" w:themeColor="background1" w:themeShade="BF"/>
            </w:tcBorders>
            <w:vAlign w:val="center"/>
          </w:tcPr>
          <w:p w:rsidR="00DB0B9B" w:rsidRPr="002E262F"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r w:rsidRPr="004D701F">
              <w:rPr>
                <w:rFonts w:eastAsia="Arial"/>
              </w:rPr>
              <w:t>27.25</w:t>
            </w:r>
          </w:p>
        </w:tc>
        <w:tc>
          <w:tcPr>
            <w:tcW w:w="1642" w:type="dxa"/>
            <w:tcBorders>
              <w:bottom w:val="single" w:sz="4" w:space="0" w:color="BFBFBF" w:themeColor="background1" w:themeShade="BF"/>
            </w:tcBorders>
            <w:vAlign w:val="center"/>
          </w:tcPr>
          <w:p w:rsidR="00DB0B9B" w:rsidRPr="004D701F" w:rsidRDefault="00DB0B9B" w:rsidP="00DB0B9B">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36.5</w:t>
            </w:r>
          </w:p>
        </w:tc>
      </w:tr>
      <w:tr w:rsidR="00DB0B9B" w:rsidTr="00F47761">
        <w:trPr>
          <w:trHeight w:val="397"/>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BFBFBF" w:themeColor="background1" w:themeShade="BF"/>
              <w:bottom w:val="nil"/>
            </w:tcBorders>
            <w:vAlign w:val="center"/>
          </w:tcPr>
          <w:p w:rsidR="00DB0B9B" w:rsidRPr="002E262F" w:rsidRDefault="00DB0B9B" w:rsidP="00980B77">
            <w:pPr>
              <w:keepNext/>
              <w:spacing w:before="0" w:after="0"/>
              <w:rPr>
                <w:i/>
              </w:rPr>
            </w:pPr>
            <w:r w:rsidRPr="002E262F">
              <w:rPr>
                <w:i/>
              </w:rPr>
              <w:t>Southern NSW</w:t>
            </w:r>
          </w:p>
        </w:tc>
        <w:tc>
          <w:tcPr>
            <w:tcW w:w="1296" w:type="dxa"/>
            <w:tcBorders>
              <w:top w:val="single" w:sz="4" w:space="0" w:color="BFBFBF" w:themeColor="background1" w:themeShade="BF"/>
              <w:bottom w:val="nil"/>
            </w:tcBorders>
            <w:vAlign w:val="center"/>
          </w:tcPr>
          <w:p w:rsidR="00DB0B9B" w:rsidRPr="00221071"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pPr>
          </w:p>
        </w:tc>
        <w:tc>
          <w:tcPr>
            <w:tcW w:w="1422" w:type="dxa"/>
            <w:tcBorders>
              <w:top w:val="single" w:sz="4" w:space="0" w:color="BFBFBF" w:themeColor="background1" w:themeShade="BF"/>
              <w:bottom w:val="nil"/>
            </w:tcBorders>
            <w:vAlign w:val="center"/>
          </w:tcPr>
          <w:p w:rsidR="00DB0B9B" w:rsidRPr="00221071"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pPr>
          </w:p>
        </w:tc>
        <w:tc>
          <w:tcPr>
            <w:tcW w:w="1168" w:type="dxa"/>
            <w:tcBorders>
              <w:top w:val="single" w:sz="4" w:space="0" w:color="BFBFBF" w:themeColor="background1" w:themeShade="BF"/>
              <w:bottom w:val="nil"/>
            </w:tcBorders>
            <w:vAlign w:val="center"/>
          </w:tcPr>
          <w:p w:rsidR="00DB0B9B" w:rsidRPr="002E262F"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p>
        </w:tc>
        <w:tc>
          <w:tcPr>
            <w:tcW w:w="1642" w:type="dxa"/>
            <w:tcBorders>
              <w:top w:val="single" w:sz="4" w:space="0" w:color="BFBFBF" w:themeColor="background1" w:themeShade="BF"/>
              <w:bottom w:val="nil"/>
            </w:tcBorders>
          </w:tcPr>
          <w:p w:rsidR="00DB0B9B" w:rsidRPr="002E262F"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p>
        </w:tc>
      </w:tr>
      <w:tr w:rsidR="00DB0B9B" w:rsidTr="00F47761">
        <w:trPr>
          <w:trHeight w:val="312"/>
        </w:trPr>
        <w:tc>
          <w:tcPr>
            <w:cnfStyle w:val="001000000000" w:firstRow="0" w:lastRow="0" w:firstColumn="1" w:lastColumn="0" w:oddVBand="0" w:evenVBand="0" w:oddHBand="0" w:evenHBand="0" w:firstRowFirstColumn="0" w:firstRowLastColumn="0" w:lastRowFirstColumn="0" w:lastRowLastColumn="0"/>
            <w:tcW w:w="3652" w:type="dxa"/>
            <w:tcBorders>
              <w:top w:val="nil"/>
            </w:tcBorders>
            <w:vAlign w:val="center"/>
          </w:tcPr>
          <w:p w:rsidR="00DB0B9B" w:rsidRPr="00E10043" w:rsidRDefault="00DB0B9B" w:rsidP="00980B77">
            <w:pPr>
              <w:keepNext/>
              <w:spacing w:before="0" w:after="0"/>
              <w:rPr>
                <w:b w:val="0"/>
              </w:rPr>
            </w:pPr>
            <w:r w:rsidRPr="00221071">
              <w:rPr>
                <w:b w:val="0"/>
              </w:rPr>
              <w:t>O</w:t>
            </w:r>
            <w:r>
              <w:rPr>
                <w:b w:val="0"/>
              </w:rPr>
              <w:t>aklands (</w:t>
            </w:r>
            <w:r w:rsidRPr="00221071">
              <w:rPr>
                <w:b w:val="0"/>
              </w:rPr>
              <w:t>AWB</w:t>
            </w:r>
            <w:r>
              <w:rPr>
                <w:b w:val="0"/>
              </w:rPr>
              <w:t>, Brooks, GrainCorp</w:t>
            </w:r>
            <w:r w:rsidRPr="00221071">
              <w:rPr>
                <w:b w:val="0"/>
              </w:rPr>
              <w:t>)</w:t>
            </w:r>
          </w:p>
        </w:tc>
        <w:tc>
          <w:tcPr>
            <w:tcW w:w="1296" w:type="dxa"/>
            <w:tcBorders>
              <w:top w:val="nil"/>
            </w:tcBorders>
            <w:vAlign w:val="center"/>
          </w:tcPr>
          <w:p w:rsidR="00DB0B9B" w:rsidRPr="00E10043"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pPr>
            <w:r w:rsidRPr="00221071">
              <w:t>40.25</w:t>
            </w:r>
          </w:p>
        </w:tc>
        <w:tc>
          <w:tcPr>
            <w:tcW w:w="1422" w:type="dxa"/>
            <w:tcBorders>
              <w:top w:val="nil"/>
            </w:tcBorders>
            <w:vAlign w:val="center"/>
          </w:tcPr>
          <w:p w:rsidR="00DB0B9B" w:rsidRPr="00E10043"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pPr>
            <w:r w:rsidRPr="00221071">
              <w:t>33.75</w:t>
            </w:r>
          </w:p>
        </w:tc>
        <w:tc>
          <w:tcPr>
            <w:tcW w:w="1168" w:type="dxa"/>
            <w:tcBorders>
              <w:top w:val="nil"/>
            </w:tcBorders>
            <w:vAlign w:val="center"/>
          </w:tcPr>
          <w:p w:rsidR="00DB0B9B" w:rsidRPr="002E262F"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p>
        </w:tc>
        <w:tc>
          <w:tcPr>
            <w:tcW w:w="1642" w:type="dxa"/>
            <w:tcBorders>
              <w:top w:val="nil"/>
            </w:tcBorders>
          </w:tcPr>
          <w:p w:rsidR="00DB0B9B" w:rsidRPr="002E262F"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p>
        </w:tc>
      </w:tr>
      <w:tr w:rsidR="00DB0B9B" w:rsidTr="00F47761">
        <w:trPr>
          <w:trHeight w:val="312"/>
        </w:trPr>
        <w:tc>
          <w:tcPr>
            <w:cnfStyle w:val="001000000000" w:firstRow="0" w:lastRow="0" w:firstColumn="1" w:lastColumn="0" w:oddVBand="0" w:evenVBand="0" w:oddHBand="0" w:evenHBand="0" w:firstRowFirstColumn="0" w:firstRowLastColumn="0" w:lastRowFirstColumn="0" w:lastRowLastColumn="0"/>
            <w:tcW w:w="3652" w:type="dxa"/>
            <w:vAlign w:val="center"/>
          </w:tcPr>
          <w:p w:rsidR="00DB0B9B" w:rsidRPr="00AC17D6" w:rsidRDefault="00DB0B9B" w:rsidP="00980B77">
            <w:pPr>
              <w:keepNext/>
              <w:spacing w:before="0" w:after="0"/>
              <w:rPr>
                <w:b w:val="0"/>
              </w:rPr>
            </w:pPr>
            <w:r w:rsidRPr="00AC17D6">
              <w:rPr>
                <w:b w:val="0"/>
              </w:rPr>
              <w:t>T</w:t>
            </w:r>
            <w:r>
              <w:rPr>
                <w:b w:val="0"/>
              </w:rPr>
              <w:t>ocumwal (Emerald)</w:t>
            </w:r>
          </w:p>
        </w:tc>
        <w:tc>
          <w:tcPr>
            <w:tcW w:w="1296" w:type="dxa"/>
            <w:vAlign w:val="center"/>
          </w:tcPr>
          <w:p w:rsidR="00DB0B9B" w:rsidRPr="00221071"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pPr>
            <w:r>
              <w:t>34</w:t>
            </w:r>
          </w:p>
        </w:tc>
        <w:tc>
          <w:tcPr>
            <w:tcW w:w="1422" w:type="dxa"/>
            <w:vAlign w:val="center"/>
          </w:tcPr>
          <w:p w:rsidR="00DB0B9B" w:rsidRPr="00221071"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pPr>
            <w:r>
              <w:t>29</w:t>
            </w:r>
          </w:p>
        </w:tc>
        <w:tc>
          <w:tcPr>
            <w:tcW w:w="1168" w:type="dxa"/>
            <w:vAlign w:val="center"/>
          </w:tcPr>
          <w:p w:rsidR="00DB0B9B" w:rsidRPr="002E262F"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p>
        </w:tc>
        <w:tc>
          <w:tcPr>
            <w:tcW w:w="1642" w:type="dxa"/>
          </w:tcPr>
          <w:p w:rsidR="00DB0B9B" w:rsidRPr="002E262F" w:rsidRDefault="00DB0B9B" w:rsidP="00980B77">
            <w:pPr>
              <w:keepNext/>
              <w:spacing w:before="0" w:after="0"/>
              <w:jc w:val="center"/>
              <w:cnfStyle w:val="000000000000" w:firstRow="0" w:lastRow="0" w:firstColumn="0" w:lastColumn="0" w:oddVBand="0" w:evenVBand="0" w:oddHBand="0" w:evenHBand="0" w:firstRowFirstColumn="0" w:firstRowLastColumn="0" w:lastRowFirstColumn="0" w:lastRowLastColumn="0"/>
              <w:rPr>
                <w:rFonts w:eastAsia="Arial"/>
              </w:rPr>
            </w:pPr>
          </w:p>
        </w:tc>
      </w:tr>
    </w:tbl>
    <w:p w:rsidR="00A34D9B" w:rsidRPr="007704B0" w:rsidRDefault="0051793C" w:rsidP="00EF0FFE">
      <w:pPr>
        <w:pStyle w:val="Source"/>
        <w:spacing w:before="120" w:after="360"/>
        <w:rPr>
          <w:sz w:val="18"/>
        </w:rPr>
      </w:pPr>
      <w:r w:rsidRPr="007704B0">
        <w:rPr>
          <w:sz w:val="18"/>
        </w:rPr>
        <w:t>Source: GTA 2014/2015 Location Differentials</w:t>
      </w:r>
    </w:p>
    <w:p w:rsidR="000E2EBE" w:rsidRDefault="00D653EE" w:rsidP="0051793C">
      <w:r>
        <w:t>GTA</w:t>
      </w:r>
      <w:r w:rsidR="0074041D">
        <w:t>’s</w:t>
      </w:r>
      <w:r>
        <w:t xml:space="preserve"> L</w:t>
      </w:r>
      <w:r w:rsidR="0051793C">
        <w:t xml:space="preserve">ocation </w:t>
      </w:r>
      <w:r>
        <w:t>D</w:t>
      </w:r>
      <w:r w:rsidR="0051793C">
        <w:t xml:space="preserve">ifferentials suggests that there are upcountry sites within the Victorian and southern NSW region where the </w:t>
      </w:r>
      <w:r>
        <w:t xml:space="preserve">difference in </w:t>
      </w:r>
      <w:r w:rsidR="000E2EBE">
        <w:t xml:space="preserve">indicative </w:t>
      </w:r>
      <w:r>
        <w:t xml:space="preserve">freight costs </w:t>
      </w:r>
      <w:r w:rsidR="0051793C">
        <w:t xml:space="preserve">to either the Melbourne or Geelong port terminal </w:t>
      </w:r>
      <w:r w:rsidR="00406131">
        <w:t>are</w:t>
      </w:r>
      <w:r w:rsidR="0051793C">
        <w:t xml:space="preserve"> </w:t>
      </w:r>
      <w:r>
        <w:t>small</w:t>
      </w:r>
      <w:r w:rsidR="0051793C">
        <w:t>.</w:t>
      </w:r>
    </w:p>
    <w:p w:rsidR="0049735B" w:rsidRDefault="00FF4DEF" w:rsidP="00A91E27">
      <w:pPr>
        <w:pStyle w:val="ListParagraph"/>
        <w:numPr>
          <w:ilvl w:val="0"/>
          <w:numId w:val="15"/>
        </w:numPr>
        <w:ind w:left="714" w:hanging="357"/>
        <w:contextualSpacing w:val="0"/>
      </w:pPr>
      <w:r>
        <w:t>In the north western region</w:t>
      </w:r>
      <w:r w:rsidR="00C31E29">
        <w:t xml:space="preserve"> of Victoria</w:t>
      </w:r>
      <w:r>
        <w:t xml:space="preserve">, for example, the Location Differential from the Carwarp site is the same to both the Geelong and </w:t>
      </w:r>
      <w:r w:rsidR="007C129D">
        <w:t>MPT</w:t>
      </w:r>
      <w:r>
        <w:t xml:space="preserve">. </w:t>
      </w:r>
      <w:r w:rsidR="0049735B">
        <w:t xml:space="preserve">The </w:t>
      </w:r>
      <w:r w:rsidR="0006267C">
        <w:t xml:space="preserve">Location </w:t>
      </w:r>
      <w:r w:rsidR="0049735B">
        <w:t xml:space="preserve">Differential for this site is lowest to Viterra’s Outer Harbour terminal in Adelaide. </w:t>
      </w:r>
    </w:p>
    <w:p w:rsidR="000E2EBE" w:rsidRDefault="00FF4DEF" w:rsidP="00A91E27">
      <w:pPr>
        <w:pStyle w:val="ListParagraph"/>
        <w:numPr>
          <w:ilvl w:val="0"/>
          <w:numId w:val="15"/>
        </w:numPr>
        <w:ind w:left="714" w:hanging="357"/>
        <w:contextualSpacing w:val="0"/>
      </w:pPr>
      <w:r w:rsidRPr="00F2549B">
        <w:t xml:space="preserve">For sites in central Victoria the Location Differentials appear to be slightly lower to </w:t>
      </w:r>
      <w:r w:rsidR="007C129D">
        <w:t>MPT</w:t>
      </w:r>
      <w:r w:rsidR="00C31E29" w:rsidRPr="00F2549B">
        <w:t xml:space="preserve"> than to Geelong</w:t>
      </w:r>
      <w:r w:rsidRPr="00F2549B">
        <w:t xml:space="preserve">. </w:t>
      </w:r>
    </w:p>
    <w:p w:rsidR="0051793C" w:rsidRDefault="00FF4DEF" w:rsidP="00A91E27">
      <w:pPr>
        <w:pStyle w:val="ListParagraph"/>
        <w:numPr>
          <w:ilvl w:val="0"/>
          <w:numId w:val="15"/>
        </w:numPr>
        <w:ind w:left="714" w:hanging="357"/>
        <w:contextualSpacing w:val="0"/>
      </w:pPr>
      <w:r w:rsidRPr="00F2549B">
        <w:t xml:space="preserve">For sites in </w:t>
      </w:r>
      <w:r w:rsidR="007704B0">
        <w:t>w</w:t>
      </w:r>
      <w:r w:rsidRPr="00F2549B">
        <w:t>estern Victoria the Location Differentials are lowe</w:t>
      </w:r>
      <w:r w:rsidR="000E2EBE">
        <w:t>st</w:t>
      </w:r>
      <w:r w:rsidRPr="00F2549B">
        <w:t xml:space="preserve"> to Portland port terminal</w:t>
      </w:r>
      <w:r w:rsidR="004037DB">
        <w:t xml:space="preserve">. </w:t>
      </w:r>
      <w:r w:rsidR="001855AD">
        <w:t xml:space="preserve">In contrast to the differences between MPT and Geelong, the differences are noticeably higher between </w:t>
      </w:r>
      <w:r w:rsidR="004037DB">
        <w:t>Portland</w:t>
      </w:r>
      <w:r w:rsidR="001855AD">
        <w:t xml:space="preserve"> and other </w:t>
      </w:r>
      <w:r w:rsidR="004037DB">
        <w:t>port terminals</w:t>
      </w:r>
      <w:r w:rsidR="00E65AE8">
        <w:t xml:space="preserve"> such as Melbourne and Outer Harbor.</w:t>
      </w:r>
      <w:r w:rsidR="004037DB">
        <w:t xml:space="preserve"> </w:t>
      </w:r>
    </w:p>
    <w:p w:rsidR="006127BF" w:rsidRDefault="006127BF" w:rsidP="006127BF">
      <w:r>
        <w:t>The ACCC considers transport costs are particularly relevant to determining the degree of substitutability between each of the Victorian port</w:t>
      </w:r>
      <w:r w:rsidR="003109D1">
        <w:t xml:space="preserve"> terminal</w:t>
      </w:r>
      <w:r>
        <w:t xml:space="preserve">s. Relative transport costs will affect </w:t>
      </w:r>
      <w:r w:rsidR="00811B6C">
        <w:t xml:space="preserve">the extent to which </w:t>
      </w:r>
      <w:r>
        <w:t>a particular port can raise its prices (due to being closer to growers) before it will lose business to another port</w:t>
      </w:r>
      <w:r w:rsidR="003109D1">
        <w:t xml:space="preserve"> terminal</w:t>
      </w:r>
      <w:r>
        <w:t xml:space="preserve">. Where switching occurs, the alternative </w:t>
      </w:r>
      <w:r w:rsidR="003109D1">
        <w:t xml:space="preserve">terminal </w:t>
      </w:r>
      <w:r>
        <w:t xml:space="preserve">would appear to be a substitute and provide competitive constraint. </w:t>
      </w:r>
    </w:p>
    <w:p w:rsidR="006127BF" w:rsidRDefault="006127BF" w:rsidP="006127BF">
      <w:r>
        <w:t xml:space="preserve">To assess the degree of substitutability, the ACCC has </w:t>
      </w:r>
      <w:r w:rsidR="00CC1497">
        <w:t xml:space="preserve">also </w:t>
      </w:r>
      <w:r>
        <w:t xml:space="preserve">considered the likely effect of a five per cent increase in storage and elevation charges at each of the Victorian </w:t>
      </w:r>
      <w:r w:rsidR="003109D1">
        <w:t xml:space="preserve">facilities </w:t>
      </w:r>
      <w:r>
        <w:t xml:space="preserve">in turn. The results suggest that such an increase will lead to </w:t>
      </w:r>
      <w:r w:rsidR="00094B09">
        <w:t xml:space="preserve">some </w:t>
      </w:r>
      <w:r>
        <w:t xml:space="preserve">substitution between </w:t>
      </w:r>
      <w:r w:rsidR="003109D1">
        <w:t xml:space="preserve">MPT </w:t>
      </w:r>
      <w:r>
        <w:t xml:space="preserve">and Geelong but </w:t>
      </w:r>
      <w:r w:rsidR="00EC4223">
        <w:t xml:space="preserve">very little </w:t>
      </w:r>
      <w:r>
        <w:t>elsewhere (</w:t>
      </w:r>
      <w:r w:rsidR="008C53F5">
        <w:t>for example,</w:t>
      </w:r>
      <w:r>
        <w:t xml:space="preserve"> between Portland and the other port terminals).</w:t>
      </w:r>
    </w:p>
    <w:p w:rsidR="0051793C" w:rsidRDefault="00D653EE" w:rsidP="0051793C">
      <w:r>
        <w:lastRenderedPageBreak/>
        <w:t xml:space="preserve">While GTA Location Differentials provide an indication of freight </w:t>
      </w:r>
      <w:r w:rsidR="003F78C5">
        <w:t>rates</w:t>
      </w:r>
      <w:r w:rsidR="001949BE">
        <w:t xml:space="preserve"> to each port</w:t>
      </w:r>
      <w:r>
        <w:t xml:space="preserve">, </w:t>
      </w:r>
      <w:r w:rsidR="00C31E29">
        <w:t>they are not actual charges paid</w:t>
      </w:r>
      <w:r w:rsidR="000632BB">
        <w:t>, and a</w:t>
      </w:r>
      <w:r w:rsidR="00C31E29">
        <w:t>s such</w:t>
      </w:r>
      <w:r w:rsidR="000632BB">
        <w:t>,</w:t>
      </w:r>
      <w:r w:rsidR="00C31E29">
        <w:t xml:space="preserve"> observations from these indicators should be appropriately caveated</w:t>
      </w:r>
      <w:r w:rsidR="001949BE">
        <w:t>.</w:t>
      </w:r>
      <w:r w:rsidR="00C31E29">
        <w:t xml:space="preserve"> </w:t>
      </w:r>
      <w:r w:rsidR="00BF3C24">
        <w:t xml:space="preserve">GTA notes that </w:t>
      </w:r>
      <w:r w:rsidR="00BF3C24" w:rsidRPr="00BF3C24">
        <w:t xml:space="preserve">negotiated freight rates may vary significantly from </w:t>
      </w:r>
      <w:r w:rsidR="00E14FBC">
        <w:t xml:space="preserve">the </w:t>
      </w:r>
      <w:r w:rsidR="00BF3C24" w:rsidRPr="00BF3C24">
        <w:t>gazetted Location Differentials</w:t>
      </w:r>
      <w:r w:rsidR="00BF3C24">
        <w:t>.</w:t>
      </w:r>
      <w:r w:rsidR="00BF3C24">
        <w:rPr>
          <w:rStyle w:val="FootnoteReference"/>
        </w:rPr>
        <w:footnoteReference w:id="91"/>
      </w:r>
    </w:p>
    <w:p w:rsidR="0051793C" w:rsidRDefault="00C31E29" w:rsidP="0051793C">
      <w:r>
        <w:t xml:space="preserve">Additionally, </w:t>
      </w:r>
      <w:r w:rsidR="0051793C" w:rsidRPr="006A634F">
        <w:t xml:space="preserve">AEGIC notes that GTA </w:t>
      </w:r>
      <w:r w:rsidR="0051793C">
        <w:t xml:space="preserve">Location Differentials </w:t>
      </w:r>
      <w:r w:rsidR="0051793C" w:rsidRPr="006A634F">
        <w:t>in Australia’s eastern States are a direct function of distance to port and do not account for loading efficiencies across different sites.</w:t>
      </w:r>
      <w:r w:rsidR="0051793C">
        <w:rPr>
          <w:rStyle w:val="FootnoteReference"/>
        </w:rPr>
        <w:footnoteReference w:id="92"/>
      </w:r>
      <w:r w:rsidR="001949BE">
        <w:t xml:space="preserve"> In practice</w:t>
      </w:r>
      <w:r w:rsidR="006B1814">
        <w:t>,</w:t>
      </w:r>
      <w:r w:rsidR="001949BE">
        <w:t xml:space="preserve"> sites across Victoria do differ in their loading capabilities with some being able to load trains faster than other</w:t>
      </w:r>
      <w:r w:rsidR="00DB0B9B">
        <w:t>s</w:t>
      </w:r>
      <w:r w:rsidR="001949BE">
        <w:t xml:space="preserve">. </w:t>
      </w:r>
    </w:p>
    <w:p w:rsidR="00AF2ABD" w:rsidRDefault="00AF2ABD" w:rsidP="00A34D9B">
      <w:r>
        <w:t xml:space="preserve">GrainCorp has provided examples of actual </w:t>
      </w:r>
      <w:r w:rsidR="004749DE">
        <w:t xml:space="preserve">rail </w:t>
      </w:r>
      <w:r>
        <w:t xml:space="preserve">freight </w:t>
      </w:r>
      <w:r w:rsidR="003A6AE9">
        <w:t>rates</w:t>
      </w:r>
      <w:r>
        <w:t xml:space="preserve"> </w:t>
      </w:r>
      <w:r w:rsidR="001567DF">
        <w:t xml:space="preserve">in its supplementary submission. </w:t>
      </w:r>
      <w:r>
        <w:t>GrainCorp submits that:</w:t>
      </w:r>
    </w:p>
    <w:p w:rsidR="00AF2ABD" w:rsidRPr="00530138" w:rsidRDefault="00AF2ABD" w:rsidP="00AF2ABD">
      <w:pPr>
        <w:spacing w:before="0" w:after="0"/>
        <w:ind w:left="578"/>
        <w:rPr>
          <w:sz w:val="20"/>
        </w:rPr>
      </w:pPr>
      <w:r w:rsidRPr="00530138">
        <w:rPr>
          <w:sz w:val="20"/>
        </w:rPr>
        <w:t>Grain can readily move to alternative ports for only a small freight difference that is, in the case of rail transport, less than $3 per tonne. Examples of selected actual rail costs from different parts of Victoria [are]:</w:t>
      </w:r>
    </w:p>
    <w:p w:rsidR="00AF2ABD" w:rsidRPr="00530138" w:rsidRDefault="00AF2ABD" w:rsidP="000059D2">
      <w:pPr>
        <w:pStyle w:val="ListParagraph"/>
        <w:numPr>
          <w:ilvl w:val="0"/>
          <w:numId w:val="14"/>
        </w:numPr>
        <w:spacing w:after="60"/>
        <w:ind w:left="1293" w:hanging="357"/>
        <w:contextualSpacing w:val="0"/>
        <w:rPr>
          <w:sz w:val="20"/>
        </w:rPr>
      </w:pPr>
      <w:r w:rsidRPr="00530138">
        <w:rPr>
          <w:sz w:val="20"/>
        </w:rPr>
        <w:t>Rail from Dimboola (Western Victoria) to Portland is only ~$0.24/tonne lower than to Geelong and $2.84/tonne lower to Melbourne.</w:t>
      </w:r>
    </w:p>
    <w:p w:rsidR="00AF2ABD" w:rsidRPr="00530138" w:rsidRDefault="00AF2ABD" w:rsidP="000059D2">
      <w:pPr>
        <w:pStyle w:val="ListParagraph"/>
        <w:numPr>
          <w:ilvl w:val="0"/>
          <w:numId w:val="14"/>
        </w:numPr>
        <w:spacing w:after="60"/>
        <w:ind w:left="1293" w:hanging="357"/>
        <w:contextualSpacing w:val="0"/>
        <w:rPr>
          <w:sz w:val="20"/>
        </w:rPr>
      </w:pPr>
      <w:r w:rsidRPr="00530138">
        <w:rPr>
          <w:sz w:val="20"/>
        </w:rPr>
        <w:t>Rail from Dooen (Western Victoria) to Adelaide is $</w:t>
      </w:r>
      <w:r w:rsidRPr="00601393">
        <w:rPr>
          <w:sz w:val="20"/>
        </w:rPr>
        <w:t>0.</w:t>
      </w:r>
      <w:r w:rsidR="00601393" w:rsidRPr="00601393">
        <w:rPr>
          <w:sz w:val="20"/>
        </w:rPr>
        <w:t>98</w:t>
      </w:r>
      <w:r w:rsidRPr="00530138">
        <w:rPr>
          <w:sz w:val="20"/>
        </w:rPr>
        <w:t>/tonne lower than to Portland and $1.22/tonne lower to Geelong.</w:t>
      </w:r>
    </w:p>
    <w:p w:rsidR="00AF2ABD" w:rsidRPr="00530138" w:rsidRDefault="00AF2ABD" w:rsidP="000059D2">
      <w:pPr>
        <w:pStyle w:val="ListParagraph"/>
        <w:numPr>
          <w:ilvl w:val="0"/>
          <w:numId w:val="14"/>
        </w:numPr>
        <w:spacing w:after="60"/>
        <w:ind w:left="1293" w:hanging="357"/>
        <w:contextualSpacing w:val="0"/>
        <w:rPr>
          <w:sz w:val="20"/>
        </w:rPr>
      </w:pPr>
      <w:r w:rsidRPr="00530138">
        <w:rPr>
          <w:sz w:val="20"/>
        </w:rPr>
        <w:t>Rail from Worineen (North West Victoria) to Melbourne is $1.02/tonne lower than to Geelong</w:t>
      </w:r>
      <w:r>
        <w:rPr>
          <w:sz w:val="20"/>
        </w:rPr>
        <w:t>.</w:t>
      </w:r>
    </w:p>
    <w:p w:rsidR="00AF2ABD" w:rsidRPr="00530138" w:rsidRDefault="00AF2ABD" w:rsidP="000059D2">
      <w:pPr>
        <w:pStyle w:val="ListParagraph"/>
        <w:numPr>
          <w:ilvl w:val="0"/>
          <w:numId w:val="14"/>
        </w:numPr>
        <w:spacing w:after="360"/>
        <w:ind w:left="1293" w:hanging="357"/>
        <w:contextualSpacing w:val="0"/>
        <w:rPr>
          <w:sz w:val="20"/>
        </w:rPr>
      </w:pPr>
      <w:r w:rsidRPr="00530138">
        <w:rPr>
          <w:sz w:val="20"/>
        </w:rPr>
        <w:t>Rail from Oaklands (North East Victoria) to Melbourne is $</w:t>
      </w:r>
      <w:r w:rsidRPr="00601393">
        <w:rPr>
          <w:sz w:val="20"/>
        </w:rPr>
        <w:t>1.</w:t>
      </w:r>
      <w:r w:rsidR="00601393" w:rsidRPr="00601393">
        <w:rPr>
          <w:sz w:val="20"/>
        </w:rPr>
        <w:t>0</w:t>
      </w:r>
      <w:r w:rsidRPr="00601393">
        <w:rPr>
          <w:sz w:val="20"/>
        </w:rPr>
        <w:t>2</w:t>
      </w:r>
      <w:r w:rsidRPr="00530138">
        <w:rPr>
          <w:sz w:val="20"/>
        </w:rPr>
        <w:t>/tonne lower than to Geelong.</w:t>
      </w:r>
      <w:r>
        <w:rPr>
          <w:rStyle w:val="FootnoteReference"/>
        </w:rPr>
        <w:footnoteReference w:id="93"/>
      </w:r>
    </w:p>
    <w:p w:rsidR="008863A1" w:rsidRDefault="00441E40" w:rsidP="008863A1">
      <w:r>
        <w:t>As noted in the previous section, t</w:t>
      </w:r>
      <w:r w:rsidR="004D6614">
        <w:t xml:space="preserve">he ACCC considers that </w:t>
      </w:r>
      <w:r w:rsidR="00431A24">
        <w:t>t</w:t>
      </w:r>
      <w:r w:rsidR="008863A1">
        <w:t>he significant use of roads in the transportation of grain across Victoria suggests that each of the port terminal’s catchment areas is likely to e</w:t>
      </w:r>
      <w:r w:rsidR="00431A24">
        <w:t>xhibit a degree of flexibility and not strictly linked to established rail lines.</w:t>
      </w:r>
    </w:p>
    <w:p w:rsidR="00632A33" w:rsidRPr="00F47761" w:rsidRDefault="00BC2D21" w:rsidP="008863A1">
      <w:pPr>
        <w:rPr>
          <w:i/>
        </w:rPr>
      </w:pPr>
      <w:r w:rsidRPr="00F47761">
        <w:rPr>
          <w:i/>
        </w:rPr>
        <w:t>Melbourne and Geelong</w:t>
      </w:r>
    </w:p>
    <w:p w:rsidR="00431A24" w:rsidRDefault="00C456FF" w:rsidP="00794063">
      <w:r>
        <w:t xml:space="preserve">While </w:t>
      </w:r>
      <w:r w:rsidR="00794063">
        <w:t>GTA Location Differentials are indicative only</w:t>
      </w:r>
      <w:r w:rsidR="008E09D2">
        <w:t>, and individual site freight rate</w:t>
      </w:r>
      <w:r w:rsidR="00632298">
        <w:t>s</w:t>
      </w:r>
      <w:r w:rsidR="008E09D2">
        <w:t xml:space="preserve"> are able to be </w:t>
      </w:r>
      <w:r w:rsidR="00ED3B23">
        <w:t xml:space="preserve">commercially </w:t>
      </w:r>
      <w:r w:rsidR="008E09D2">
        <w:t>negotiated</w:t>
      </w:r>
      <w:r>
        <w:t xml:space="preserve">, </w:t>
      </w:r>
      <w:r w:rsidR="008E09D2">
        <w:t xml:space="preserve">the </w:t>
      </w:r>
      <w:r w:rsidR="00ED3B23">
        <w:t>Location D</w:t>
      </w:r>
      <w:r w:rsidR="00596B7E">
        <w:t xml:space="preserve">ifferentials </w:t>
      </w:r>
      <w:r w:rsidR="00794063">
        <w:t xml:space="preserve">suggest </w:t>
      </w:r>
      <w:r w:rsidR="00431A24">
        <w:t xml:space="preserve">that there are </w:t>
      </w:r>
      <w:r w:rsidR="00362FEC">
        <w:t xml:space="preserve">several </w:t>
      </w:r>
      <w:r w:rsidR="00794063">
        <w:t>area</w:t>
      </w:r>
      <w:r>
        <w:t>s</w:t>
      </w:r>
      <w:r w:rsidR="00794063">
        <w:t xml:space="preserve"> where grain</w:t>
      </w:r>
      <w:r>
        <w:t xml:space="preserve"> c</w:t>
      </w:r>
      <w:r w:rsidR="00596B7E">
        <w:t xml:space="preserve">ould </w:t>
      </w:r>
      <w:r w:rsidR="00431A24">
        <w:t xml:space="preserve">be expected to </w:t>
      </w:r>
      <w:r w:rsidR="00794063">
        <w:t xml:space="preserve">flow to </w:t>
      </w:r>
      <w:r w:rsidR="00431A24">
        <w:t xml:space="preserve">more than one Victorian </w:t>
      </w:r>
      <w:r w:rsidR="00794063">
        <w:t>port terminal</w:t>
      </w:r>
      <w:r w:rsidR="00632298">
        <w:t xml:space="preserve">. This </w:t>
      </w:r>
      <w:r w:rsidR="00596B7E">
        <w:t xml:space="preserve">seems to be the case in areas in </w:t>
      </w:r>
      <w:r>
        <w:t xml:space="preserve">northern and central parts of Victoria </w:t>
      </w:r>
      <w:r w:rsidR="00596B7E">
        <w:t xml:space="preserve">where grain </w:t>
      </w:r>
      <w:r w:rsidR="008B496B">
        <w:t xml:space="preserve">could </w:t>
      </w:r>
      <w:r w:rsidR="00431A24">
        <w:t>flow</w:t>
      </w:r>
      <w:r w:rsidR="008B496B">
        <w:t xml:space="preserve"> </w:t>
      </w:r>
      <w:r w:rsidR="00DB0B9B">
        <w:t xml:space="preserve">from a number of sites </w:t>
      </w:r>
      <w:r w:rsidR="008B496B">
        <w:t xml:space="preserve">to either the </w:t>
      </w:r>
      <w:r w:rsidR="00431A24">
        <w:t xml:space="preserve">Emerald’s </w:t>
      </w:r>
      <w:r w:rsidR="008B496B">
        <w:t xml:space="preserve">Melbourne or </w:t>
      </w:r>
      <w:r w:rsidR="00431A24">
        <w:t xml:space="preserve">GrainCorp’s </w:t>
      </w:r>
      <w:r w:rsidR="008B496B">
        <w:t>Geelong port</w:t>
      </w:r>
      <w:r w:rsidR="00BC4DED">
        <w:t xml:space="preserve"> terminals</w:t>
      </w:r>
      <w:r w:rsidR="008B496B">
        <w:t xml:space="preserve"> at a similar </w:t>
      </w:r>
      <w:r w:rsidR="008863A1">
        <w:t xml:space="preserve">freight </w:t>
      </w:r>
      <w:r w:rsidR="008B496B">
        <w:t xml:space="preserve">rate, </w:t>
      </w:r>
      <w:r w:rsidR="00BC4DED">
        <w:t xml:space="preserve">with the ability </w:t>
      </w:r>
      <w:r w:rsidR="005724D2">
        <w:t xml:space="preserve">for users to </w:t>
      </w:r>
      <w:r w:rsidR="008B496B">
        <w:t>negotiate</w:t>
      </w:r>
      <w:r w:rsidR="00BC4DED">
        <w:t xml:space="preserve"> </w:t>
      </w:r>
      <w:r w:rsidR="005724D2">
        <w:t xml:space="preserve">the exact </w:t>
      </w:r>
      <w:r w:rsidR="00BC4DED">
        <w:t>rate</w:t>
      </w:r>
      <w:r w:rsidR="008B496B">
        <w:t>.</w:t>
      </w:r>
      <w:r w:rsidR="00BC4DED">
        <w:t xml:space="preserve"> </w:t>
      </w:r>
      <w:r w:rsidR="00431A24">
        <w:t>Examples of actual freight rates provided by GrainCorp support this.</w:t>
      </w:r>
    </w:p>
    <w:p w:rsidR="00431A24" w:rsidRDefault="00431A24" w:rsidP="00794063">
      <w:r>
        <w:t>In addition, GrainCorp operates a number of sites in areas in the north and north east of Victoria</w:t>
      </w:r>
      <w:r w:rsidR="001B7013">
        <w:t xml:space="preserve">. While these sites are </w:t>
      </w:r>
      <w:r>
        <w:t xml:space="preserve">closest by distance to Emerald’s </w:t>
      </w:r>
      <w:r w:rsidR="007C129D">
        <w:t>MPT</w:t>
      </w:r>
      <w:r w:rsidR="001B7013">
        <w:t>, GrainCorp likely has a preference to export through its own port suggestin</w:t>
      </w:r>
      <w:r w:rsidR="00713A95">
        <w:t>g</w:t>
      </w:r>
      <w:r w:rsidR="001B7013">
        <w:t xml:space="preserve"> that grain from at least these areas </w:t>
      </w:r>
      <w:r w:rsidR="001B6907">
        <w:t xml:space="preserve">can </w:t>
      </w:r>
      <w:r w:rsidR="008B665D">
        <w:t>practically</w:t>
      </w:r>
      <w:r w:rsidR="001B6907">
        <w:t xml:space="preserve"> </w:t>
      </w:r>
      <w:r w:rsidR="001B7013">
        <w:t>flow to both Emerald’s Melbourne port and GrainCorp’</w:t>
      </w:r>
      <w:r w:rsidR="00522816">
        <w:t>s Geelong port. As Emerald submits, GrainCorp’s export grain from eastern growing regions of Victoria which should be freight advantaged into Melbourne is moved through their Geelong terminal.</w:t>
      </w:r>
      <w:r w:rsidR="00522816">
        <w:rPr>
          <w:rStyle w:val="FootnoteReference"/>
        </w:rPr>
        <w:footnoteReference w:id="94"/>
      </w:r>
    </w:p>
    <w:p w:rsidR="00E711DC" w:rsidRDefault="008863A1" w:rsidP="00794063">
      <w:r>
        <w:t xml:space="preserve">The </w:t>
      </w:r>
      <w:r w:rsidR="00522816">
        <w:t xml:space="preserve">significant </w:t>
      </w:r>
      <w:r>
        <w:t>use of road transport would seem to further promote the two ports as alternative options for marketers.</w:t>
      </w:r>
      <w:r w:rsidR="00E711DC">
        <w:t xml:space="preserve"> </w:t>
      </w:r>
      <w:r w:rsidR="008B496B">
        <w:t xml:space="preserve">Overall, </w:t>
      </w:r>
      <w:r w:rsidR="0022761D">
        <w:t xml:space="preserve">the ACCC considers that </w:t>
      </w:r>
      <w:r w:rsidR="008B496B">
        <w:t xml:space="preserve">it appears as though </w:t>
      </w:r>
      <w:r w:rsidR="008B496B">
        <w:lastRenderedPageBreak/>
        <w:t xml:space="preserve">there is </w:t>
      </w:r>
      <w:r w:rsidR="00EE7BF7">
        <w:t xml:space="preserve">significant </w:t>
      </w:r>
      <w:r w:rsidR="008B496B">
        <w:t xml:space="preserve">overlap of the grain catchment areas for GrainCorp’s Geelong and Emerald’s </w:t>
      </w:r>
      <w:r w:rsidR="007C129D">
        <w:t>MPT</w:t>
      </w:r>
      <w:r w:rsidR="003B3BC3">
        <w:t xml:space="preserve"> which facilitate competition between the two port operators</w:t>
      </w:r>
      <w:r w:rsidR="00B72108">
        <w:t>.</w:t>
      </w:r>
    </w:p>
    <w:p w:rsidR="00632A33" w:rsidRPr="00F47761" w:rsidRDefault="00BC2D21" w:rsidP="00794063">
      <w:pPr>
        <w:rPr>
          <w:i/>
        </w:rPr>
      </w:pPr>
      <w:r w:rsidRPr="00F47761">
        <w:rPr>
          <w:i/>
        </w:rPr>
        <w:t>Portland and other terminals</w:t>
      </w:r>
    </w:p>
    <w:p w:rsidR="00AC00EF" w:rsidRDefault="00FA7953" w:rsidP="00794063">
      <w:r>
        <w:t>Evidence suggests that t</w:t>
      </w:r>
      <w:r w:rsidR="00ED3B23">
        <w:t xml:space="preserve">here </w:t>
      </w:r>
      <w:r w:rsidR="00362FEC">
        <w:t xml:space="preserve">is </w:t>
      </w:r>
      <w:r w:rsidR="00D87053">
        <w:t>some</w:t>
      </w:r>
      <w:r w:rsidR="00ED3B23">
        <w:t xml:space="preserve"> overlap of the catchment areas for GrainCorp’s Portland terminal and other port terminals</w:t>
      </w:r>
      <w:r w:rsidR="00E711DC">
        <w:t xml:space="preserve">, however, the overlap is less </w:t>
      </w:r>
      <w:r w:rsidR="00B40E71">
        <w:t>pronounced</w:t>
      </w:r>
      <w:r w:rsidR="00E711DC">
        <w:t>. W</w:t>
      </w:r>
      <w:r w:rsidR="00B72108">
        <w:t>estern Victoria</w:t>
      </w:r>
      <w:r w:rsidR="00E711DC">
        <w:t xml:space="preserve"> appears to </w:t>
      </w:r>
      <w:r w:rsidR="00B72108">
        <w:t>represent</w:t>
      </w:r>
      <w:r w:rsidR="00E711DC">
        <w:t xml:space="preserve"> </w:t>
      </w:r>
      <w:r w:rsidR="00B72108">
        <w:t xml:space="preserve">the core catchment region for </w:t>
      </w:r>
      <w:r w:rsidR="00E711DC">
        <w:t xml:space="preserve">the </w:t>
      </w:r>
      <w:r w:rsidR="00B72108">
        <w:t xml:space="preserve">Portland </w:t>
      </w:r>
      <w:r w:rsidR="00E711DC">
        <w:t xml:space="preserve">terminal with </w:t>
      </w:r>
      <w:r w:rsidR="00B72108">
        <w:t xml:space="preserve">alternative ports located </w:t>
      </w:r>
      <w:r w:rsidR="00C206F9">
        <w:t xml:space="preserve">comparatively </w:t>
      </w:r>
      <w:r w:rsidR="00B72108">
        <w:t>further afield.</w:t>
      </w:r>
      <w:r w:rsidR="00E711DC">
        <w:t xml:space="preserve"> </w:t>
      </w:r>
    </w:p>
    <w:p w:rsidR="000C03DA" w:rsidRDefault="002D2239" w:rsidP="00794063">
      <w:r>
        <w:t xml:space="preserve">Potential alternative ports to the Portland terminal are Emerald’s Melbourne facility, GrainCorp’s other terminal in Geelong and Viterra’s Outer Harbor terminal in Adelaide. </w:t>
      </w:r>
      <w:r w:rsidR="00D87053">
        <w:t xml:space="preserve">While there may be some opportunities for marketers to export </w:t>
      </w:r>
      <w:r w:rsidR="003C02BD">
        <w:t>w</w:t>
      </w:r>
      <w:r w:rsidR="00D87053">
        <w:t xml:space="preserve">estern Victorian grain through terminals other than the Portland facility, the options </w:t>
      </w:r>
      <w:r w:rsidR="00882126">
        <w:t xml:space="preserve">appear to have some </w:t>
      </w:r>
      <w:r w:rsidR="00D87053">
        <w:t>limit</w:t>
      </w:r>
      <w:r w:rsidR="00882126">
        <w:t>ations</w:t>
      </w:r>
      <w:r w:rsidR="00362FEC">
        <w:t>.</w:t>
      </w:r>
    </w:p>
    <w:p w:rsidR="00047524" w:rsidRDefault="00362FEC" w:rsidP="00047524">
      <w:pPr>
        <w:pStyle w:val="ListParagraph"/>
        <w:numPr>
          <w:ilvl w:val="0"/>
          <w:numId w:val="15"/>
        </w:numPr>
        <w:ind w:left="714" w:hanging="357"/>
        <w:contextualSpacing w:val="0"/>
      </w:pPr>
      <w:r>
        <w:t xml:space="preserve">The rail freight costs from </w:t>
      </w:r>
      <w:r w:rsidR="003C02BD">
        <w:t>w</w:t>
      </w:r>
      <w:r>
        <w:t xml:space="preserve">estern Victoria to </w:t>
      </w:r>
      <w:r w:rsidR="00115D3A">
        <w:t xml:space="preserve">Emerald’s </w:t>
      </w:r>
      <w:r>
        <w:t xml:space="preserve">Melbourne </w:t>
      </w:r>
      <w:r w:rsidR="00115D3A">
        <w:t xml:space="preserve">port </w:t>
      </w:r>
      <w:r>
        <w:t xml:space="preserve">appear to be </w:t>
      </w:r>
      <w:r w:rsidR="00115D3A">
        <w:t xml:space="preserve">distinctly </w:t>
      </w:r>
      <w:r>
        <w:t xml:space="preserve">higher than from </w:t>
      </w:r>
      <w:r w:rsidR="003C02BD">
        <w:t>w</w:t>
      </w:r>
      <w:r>
        <w:t xml:space="preserve">estern Victoria to Portland. </w:t>
      </w:r>
      <w:r w:rsidR="006B1814">
        <w:t>As noted above</w:t>
      </w:r>
      <w:r w:rsidR="00E9348C">
        <w:t>,</w:t>
      </w:r>
      <w:r w:rsidR="006B1814">
        <w:t xml:space="preserve"> for a selection of sites in Table 6, there are significant differences in the order of $5 or $10 dollars </w:t>
      </w:r>
      <w:r w:rsidR="0000176A">
        <w:t xml:space="preserve">per tonne </w:t>
      </w:r>
      <w:r w:rsidR="006B1814">
        <w:t xml:space="preserve">in the </w:t>
      </w:r>
      <w:r w:rsidR="00694F3D">
        <w:t>L</w:t>
      </w:r>
      <w:r w:rsidR="006B1814">
        <w:t xml:space="preserve">ocation </w:t>
      </w:r>
      <w:r w:rsidR="00694F3D">
        <w:t>D</w:t>
      </w:r>
      <w:r w:rsidR="006B1814">
        <w:t>ifferentials for Western Victorian sites to Portland compared to Melbourne or Geelong.</w:t>
      </w:r>
      <w:r w:rsidR="006B1814">
        <w:br/>
      </w:r>
      <w:r w:rsidR="006B1814">
        <w:br/>
      </w:r>
      <w:r w:rsidR="00047524">
        <w:t xml:space="preserve">GrainCorp submits actual rail rates from Dimboola (in </w:t>
      </w:r>
      <w:r w:rsidR="003C02BD">
        <w:t>w</w:t>
      </w:r>
      <w:r w:rsidR="00047524">
        <w:t xml:space="preserve">estern Victoria) to Emerald’s MPT are $2.84 per tonne more than the actual rail rate to Portland. </w:t>
      </w:r>
      <w:r w:rsidR="000A20FE">
        <w:t>While the ACCC notes GrainCorp’s supplementary submission which suggests that up to a $3 per tonne freight difference is small, t</w:t>
      </w:r>
      <w:r w:rsidR="00047524">
        <w:t xml:space="preserve">his is almost three times the difference when compared to the $1.02 difference in rail rates from locations to either </w:t>
      </w:r>
      <w:r w:rsidR="00541893">
        <w:t xml:space="preserve">the </w:t>
      </w:r>
      <w:r w:rsidR="00047524">
        <w:t>Melbourne or Geelong</w:t>
      </w:r>
      <w:r w:rsidR="00541893">
        <w:t xml:space="preserve"> facilities</w:t>
      </w:r>
      <w:r w:rsidR="00047524">
        <w:t>.</w:t>
      </w:r>
    </w:p>
    <w:p w:rsidR="00A87DC6" w:rsidRDefault="000A20FE" w:rsidP="00A87DC6">
      <w:pPr>
        <w:pStyle w:val="ListParagraph"/>
        <w:ind w:left="714"/>
        <w:contextualSpacing w:val="0"/>
      </w:pPr>
      <w:r>
        <w:t>T</w:t>
      </w:r>
      <w:r w:rsidR="00A87DC6">
        <w:t xml:space="preserve">here is other evidence that </w:t>
      </w:r>
      <w:r w:rsidR="00105851">
        <w:t xml:space="preserve">some </w:t>
      </w:r>
      <w:r w:rsidR="00A87DC6">
        <w:t xml:space="preserve">grain from </w:t>
      </w:r>
      <w:r w:rsidR="003C02BD">
        <w:t>w</w:t>
      </w:r>
      <w:r w:rsidR="00A87DC6">
        <w:t xml:space="preserve">estern Victorian does move by rail to Melbourne. This </w:t>
      </w:r>
      <w:r w:rsidR="00105851">
        <w:t xml:space="preserve">appears to be </w:t>
      </w:r>
      <w:r w:rsidR="00A87DC6">
        <w:t xml:space="preserve">particularly the case for containerised grain. The ACCC </w:t>
      </w:r>
      <w:r w:rsidR="00967D91">
        <w:t xml:space="preserve">understands that </w:t>
      </w:r>
      <w:r w:rsidR="00A87DC6">
        <w:t xml:space="preserve">packing companies who pack grain around the Wimmera region in </w:t>
      </w:r>
      <w:r w:rsidR="003C02BD">
        <w:rPr>
          <w:rFonts w:cs="Arial"/>
          <w:color w:val="393940"/>
        </w:rPr>
        <w:t>w</w:t>
      </w:r>
      <w:r w:rsidR="00A87DC6" w:rsidRPr="00A87DC6">
        <w:rPr>
          <w:rFonts w:cs="Arial"/>
          <w:color w:val="393940"/>
        </w:rPr>
        <w:t>estern Victoria</w:t>
      </w:r>
      <w:r w:rsidR="00A87DC6">
        <w:t xml:space="preserve"> transport containers to the Port of Melbourne for export.</w:t>
      </w:r>
      <w:r w:rsidR="00A87DC6">
        <w:rPr>
          <w:rStyle w:val="FootnoteReference"/>
        </w:rPr>
        <w:footnoteReference w:id="95"/>
      </w:r>
    </w:p>
    <w:p w:rsidR="000D395B" w:rsidRDefault="000D395B" w:rsidP="000D395B">
      <w:pPr>
        <w:pStyle w:val="ListParagraph"/>
        <w:numPr>
          <w:ilvl w:val="0"/>
          <w:numId w:val="15"/>
        </w:numPr>
        <w:ind w:left="714" w:hanging="357"/>
        <w:contextualSpacing w:val="0"/>
      </w:pPr>
      <w:r>
        <w:t xml:space="preserve">GrainCorp’s </w:t>
      </w:r>
      <w:r w:rsidR="00D85A1A">
        <w:t xml:space="preserve">other Victorian port terminal in </w:t>
      </w:r>
      <w:r>
        <w:t xml:space="preserve">Geelong </w:t>
      </w:r>
      <w:r w:rsidR="00362FEC">
        <w:t xml:space="preserve">is the closest terminal to Portland and as such </w:t>
      </w:r>
      <w:r>
        <w:t>may present an alt</w:t>
      </w:r>
      <w:r w:rsidR="00541893">
        <w:t xml:space="preserve">ernative </w:t>
      </w:r>
      <w:r w:rsidR="00B20907">
        <w:t xml:space="preserve">physical path for grain </w:t>
      </w:r>
      <w:r w:rsidR="00207E82">
        <w:t>for</w:t>
      </w:r>
      <w:r w:rsidR="00541893">
        <w:t xml:space="preserve"> some growers</w:t>
      </w:r>
      <w:r w:rsidR="00362FEC">
        <w:t>, both by road and by rail</w:t>
      </w:r>
      <w:r>
        <w:t xml:space="preserve">. The actual rail rates submitted by GrainCorp </w:t>
      </w:r>
      <w:r w:rsidR="00541893">
        <w:t>indicate</w:t>
      </w:r>
      <w:r>
        <w:t xml:space="preserve"> </w:t>
      </w:r>
      <w:r w:rsidR="00541893">
        <w:t>that the differences in freight costs from some sites to either the Geelong or Portland facilities are relatively small</w:t>
      </w:r>
      <w:r w:rsidR="00362FEC">
        <w:t xml:space="preserve"> ($0.24 per tonne)</w:t>
      </w:r>
      <w:r w:rsidR="00541893">
        <w:t xml:space="preserve">, suggesting that there </w:t>
      </w:r>
      <w:r>
        <w:t xml:space="preserve">is some overlap in </w:t>
      </w:r>
      <w:r w:rsidR="00115D3A">
        <w:t xml:space="preserve">the </w:t>
      </w:r>
      <w:r>
        <w:t>catchment area</w:t>
      </w:r>
      <w:r w:rsidR="00115D3A">
        <w:t>s</w:t>
      </w:r>
      <w:r>
        <w:t xml:space="preserve"> </w:t>
      </w:r>
      <w:r w:rsidR="00115D3A">
        <w:t xml:space="preserve">of </w:t>
      </w:r>
      <w:r>
        <w:t>GrainCorp’s Geelong and Portland facilities.</w:t>
      </w:r>
    </w:p>
    <w:p w:rsidR="000C03DA" w:rsidRDefault="000C03DA" w:rsidP="00047524">
      <w:pPr>
        <w:pStyle w:val="ListParagraph"/>
        <w:numPr>
          <w:ilvl w:val="0"/>
          <w:numId w:val="15"/>
        </w:numPr>
        <w:ind w:left="714" w:hanging="357"/>
        <w:contextualSpacing w:val="0"/>
      </w:pPr>
      <w:r>
        <w:t xml:space="preserve">GrainCorp submits that </w:t>
      </w:r>
      <w:r w:rsidR="00BA38FD">
        <w:t xml:space="preserve">actual rail freight costs </w:t>
      </w:r>
      <w:r w:rsidR="00BA38FD" w:rsidRPr="00AC00EF">
        <w:t xml:space="preserve">from </w:t>
      </w:r>
      <w:r w:rsidR="00B074A6">
        <w:t xml:space="preserve">a </w:t>
      </w:r>
      <w:r w:rsidR="00BA38FD">
        <w:t xml:space="preserve">site in </w:t>
      </w:r>
      <w:r w:rsidR="00BA38FD" w:rsidRPr="00840276">
        <w:t>Dooen</w:t>
      </w:r>
      <w:r w:rsidR="00BA38FD">
        <w:t xml:space="preserve"> (</w:t>
      </w:r>
      <w:r w:rsidR="003C02BD">
        <w:t>w</w:t>
      </w:r>
      <w:r w:rsidR="00BA38FD">
        <w:t>estern Victoria) are</w:t>
      </w:r>
      <w:r w:rsidR="00A10AD8">
        <w:t xml:space="preserve"> lowest to</w:t>
      </w:r>
      <w:r>
        <w:t xml:space="preserve"> Viterra’s Outer Harbor port (via the ARTC interstate rail line)</w:t>
      </w:r>
      <w:r w:rsidR="00BA38FD">
        <w:t>, with</w:t>
      </w:r>
      <w:r w:rsidR="00A10AD8">
        <w:t xml:space="preserve"> </w:t>
      </w:r>
      <w:r w:rsidR="00BA38FD">
        <w:t>t</w:t>
      </w:r>
      <w:r w:rsidR="00A10AD8">
        <w:t xml:space="preserve">he </w:t>
      </w:r>
      <w:r w:rsidR="00BA38FD">
        <w:t xml:space="preserve">second </w:t>
      </w:r>
      <w:r w:rsidR="00A10AD8">
        <w:t xml:space="preserve">lowest </w:t>
      </w:r>
      <w:r w:rsidR="00B5211E">
        <w:t xml:space="preserve">rail rate </w:t>
      </w:r>
      <w:r w:rsidR="00BA38FD">
        <w:t xml:space="preserve">being </w:t>
      </w:r>
      <w:r w:rsidR="00B5211E">
        <w:t>to Portland</w:t>
      </w:r>
      <w:r>
        <w:t>.</w:t>
      </w:r>
      <w:r>
        <w:rPr>
          <w:rStyle w:val="FootnoteReference"/>
        </w:rPr>
        <w:footnoteReference w:id="96"/>
      </w:r>
      <w:r w:rsidR="00F02DFE">
        <w:t xml:space="preserve"> </w:t>
      </w:r>
      <w:r w:rsidR="00EB1664">
        <w:t xml:space="preserve">While Outer Harbour appears to </w:t>
      </w:r>
      <w:r w:rsidR="0077771E">
        <w:t xml:space="preserve">allow for the lowest freight </w:t>
      </w:r>
      <w:r w:rsidR="00EB1664">
        <w:t xml:space="preserve">cost in this case, it may not be the case for other sites in </w:t>
      </w:r>
      <w:r w:rsidR="003C02BD">
        <w:t>w</w:t>
      </w:r>
      <w:r w:rsidR="00EB1664">
        <w:t xml:space="preserve">estern Victoria. For instance, GrainCorp submits that the rail rate from </w:t>
      </w:r>
      <w:r w:rsidR="00B074A6">
        <w:t>a</w:t>
      </w:r>
      <w:r w:rsidR="00A10AD8">
        <w:t xml:space="preserve"> </w:t>
      </w:r>
      <w:r w:rsidR="00B074A6">
        <w:t xml:space="preserve">different </w:t>
      </w:r>
      <w:r w:rsidR="00A10AD8">
        <w:t xml:space="preserve">site in </w:t>
      </w:r>
      <w:r w:rsidR="00EB1664">
        <w:t xml:space="preserve">Dimboola </w:t>
      </w:r>
      <w:r w:rsidR="00A10AD8">
        <w:t>is lowest to Portland</w:t>
      </w:r>
      <w:r w:rsidR="000E48E2">
        <w:t xml:space="preserve">, followed by </w:t>
      </w:r>
      <w:r w:rsidR="0077771E">
        <w:t xml:space="preserve">to </w:t>
      </w:r>
      <w:r w:rsidR="000E48E2">
        <w:t>Geelong</w:t>
      </w:r>
      <w:r w:rsidR="00A10AD8">
        <w:t>. This is despite Dimboola being located closer to Adelaide than Dooen.</w:t>
      </w:r>
    </w:p>
    <w:p w:rsidR="00317980" w:rsidRDefault="00047524" w:rsidP="004C4739">
      <w:pPr>
        <w:ind w:left="714"/>
      </w:pPr>
      <w:r>
        <w:t>This e</w:t>
      </w:r>
      <w:r w:rsidR="00D24F41">
        <w:t xml:space="preserve">vidence suggests that </w:t>
      </w:r>
      <w:r w:rsidR="00317980">
        <w:t xml:space="preserve">access to competitive freight </w:t>
      </w:r>
      <w:r w:rsidR="00D24F41">
        <w:t>costs</w:t>
      </w:r>
      <w:r w:rsidR="00317980">
        <w:t xml:space="preserve"> from </w:t>
      </w:r>
      <w:r w:rsidR="003C02BD">
        <w:t>w</w:t>
      </w:r>
      <w:r w:rsidR="00317980">
        <w:t xml:space="preserve">estern Victoria to Adelaide </w:t>
      </w:r>
      <w:r w:rsidR="003305E3">
        <w:t xml:space="preserve">ports </w:t>
      </w:r>
      <w:r w:rsidR="00131882">
        <w:t xml:space="preserve">relies on access </w:t>
      </w:r>
      <w:r>
        <w:t xml:space="preserve">to </w:t>
      </w:r>
      <w:r w:rsidR="00B93601">
        <w:t xml:space="preserve">and a commitment to certain </w:t>
      </w:r>
      <w:r w:rsidR="00317980">
        <w:t>rail</w:t>
      </w:r>
      <w:r w:rsidR="00B93601">
        <w:t xml:space="preserve"> </w:t>
      </w:r>
      <w:r w:rsidR="00B074A6">
        <w:t>arrangements</w:t>
      </w:r>
      <w:r w:rsidR="006E2D24">
        <w:t xml:space="preserve">. The ACCC understands that certain rail rates to Viterra’s Adelaide ports provide a </w:t>
      </w:r>
      <w:r w:rsidR="006E2D24">
        <w:lastRenderedPageBreak/>
        <w:t xml:space="preserve">rebate to marketers using the Viterra transport system. In view of this </w:t>
      </w:r>
      <w:r w:rsidR="00317980">
        <w:t>and</w:t>
      </w:r>
      <w:r w:rsidR="006E2D24">
        <w:t>, of the evidence provided, it seems</w:t>
      </w:r>
      <w:r w:rsidR="00317980">
        <w:t xml:space="preserve"> that only some rail rates from </w:t>
      </w:r>
      <w:r w:rsidR="00D24F41">
        <w:t xml:space="preserve">certain sites in </w:t>
      </w:r>
      <w:r w:rsidR="003C02BD">
        <w:t>w</w:t>
      </w:r>
      <w:r w:rsidR="00317980">
        <w:t xml:space="preserve">estern Victoria </w:t>
      </w:r>
      <w:r w:rsidR="00D24F41">
        <w:t xml:space="preserve">may be </w:t>
      </w:r>
      <w:r w:rsidR="00317980">
        <w:t xml:space="preserve">advantaged to </w:t>
      </w:r>
      <w:r w:rsidR="00E720B2">
        <w:t>Adelaide</w:t>
      </w:r>
      <w:r w:rsidR="00D24F41">
        <w:t xml:space="preserve"> rather than to Portland</w:t>
      </w:r>
      <w:r w:rsidR="00E720B2">
        <w:t>.</w:t>
      </w:r>
    </w:p>
    <w:p w:rsidR="005712B0" w:rsidRDefault="00E711DC" w:rsidP="00794063">
      <w:r>
        <w:t xml:space="preserve">Indications from GTA’s Location Differentials suggest that </w:t>
      </w:r>
      <w:r w:rsidR="00AC00EF">
        <w:t xml:space="preserve">across a number of </w:t>
      </w:r>
      <w:r w:rsidR="00E015B7">
        <w:t xml:space="preserve">site locations, </w:t>
      </w:r>
      <w:r>
        <w:t xml:space="preserve">the cost </w:t>
      </w:r>
      <w:r w:rsidR="007B13B3">
        <w:t>(</w:t>
      </w:r>
      <w:r w:rsidR="00472A51">
        <w:t>based on</w:t>
      </w:r>
      <w:r w:rsidR="00A87DC6">
        <w:t xml:space="preserve"> </w:t>
      </w:r>
      <w:r w:rsidR="00472A51">
        <w:t>distance</w:t>
      </w:r>
      <w:r w:rsidR="007B13B3">
        <w:t>)</w:t>
      </w:r>
      <w:r w:rsidR="00472A51">
        <w:t xml:space="preserve"> </w:t>
      </w:r>
      <w:r>
        <w:t xml:space="preserve">to move grain </w:t>
      </w:r>
      <w:r w:rsidR="0011643E">
        <w:t xml:space="preserve">from </w:t>
      </w:r>
      <w:r w:rsidR="003C02BD">
        <w:t>w</w:t>
      </w:r>
      <w:r w:rsidR="0011643E">
        <w:t xml:space="preserve">estern Victoria </w:t>
      </w:r>
      <w:r>
        <w:t>to a port</w:t>
      </w:r>
      <w:r w:rsidR="0011643E">
        <w:t xml:space="preserve"> other than Portland</w:t>
      </w:r>
      <w:r>
        <w:t xml:space="preserve">, operated by a </w:t>
      </w:r>
      <w:r w:rsidR="00E015B7">
        <w:t xml:space="preserve">different </w:t>
      </w:r>
      <w:r>
        <w:t xml:space="preserve">operator, </w:t>
      </w:r>
      <w:r w:rsidR="00E015B7">
        <w:t>is likely to be higher.</w:t>
      </w:r>
      <w:r w:rsidR="00D83EDD">
        <w:t xml:space="preserve"> </w:t>
      </w:r>
      <w:r w:rsidR="005712B0">
        <w:t xml:space="preserve">As such, there appears to be a lack of a clear alternative port which would facilitate competition </w:t>
      </w:r>
      <w:r w:rsidR="005D6584">
        <w:t xml:space="preserve">for grain in </w:t>
      </w:r>
      <w:r w:rsidR="003C02BD">
        <w:t>w</w:t>
      </w:r>
      <w:r w:rsidR="005D6584">
        <w:t xml:space="preserve">estern Victoria </w:t>
      </w:r>
      <w:r w:rsidR="005712B0">
        <w:t xml:space="preserve">and provide a </w:t>
      </w:r>
      <w:r w:rsidR="00F6335F">
        <w:t xml:space="preserve">significant </w:t>
      </w:r>
      <w:r w:rsidR="005712B0">
        <w:t xml:space="preserve">competitive constraint on GrainCorp’s Portland facility. </w:t>
      </w:r>
    </w:p>
    <w:p w:rsidR="00115D3A" w:rsidRDefault="00CD442C" w:rsidP="00794063">
      <w:r>
        <w:t xml:space="preserve">While </w:t>
      </w:r>
      <w:r w:rsidR="006242D7">
        <w:t>GrainCorp’s other terminal in Geelong</w:t>
      </w:r>
      <w:r>
        <w:t xml:space="preserve"> is the closest alternative to Portland and </w:t>
      </w:r>
      <w:r w:rsidR="00B02284">
        <w:t>may</w:t>
      </w:r>
      <w:r>
        <w:t xml:space="preserve"> be accessible at a similar transport cost</w:t>
      </w:r>
      <w:r w:rsidR="00B20907">
        <w:t xml:space="preserve"> from certain upcountry locations</w:t>
      </w:r>
      <w:r>
        <w:t xml:space="preserve">, </w:t>
      </w:r>
      <w:r w:rsidR="007B13B3">
        <w:t xml:space="preserve">the ACCC </w:t>
      </w:r>
      <w:r w:rsidR="00B47221">
        <w:t xml:space="preserve">does not </w:t>
      </w:r>
      <w:r w:rsidR="007B13B3">
        <w:t>consider</w:t>
      </w:r>
      <w:r w:rsidR="00B47221">
        <w:t xml:space="preserve"> there to be any significant </w:t>
      </w:r>
      <w:r w:rsidR="006242D7" w:rsidRPr="006242D7">
        <w:t xml:space="preserve">competitive constraint </w:t>
      </w:r>
      <w:r w:rsidR="00B20907">
        <w:t xml:space="preserve">directly </w:t>
      </w:r>
      <w:r w:rsidR="00D26750">
        <w:t>between these two ports</w:t>
      </w:r>
      <w:r w:rsidR="006242D7" w:rsidRPr="006242D7">
        <w:t xml:space="preserve"> </w:t>
      </w:r>
      <w:r w:rsidR="006B1814" w:rsidRPr="006242D7">
        <w:t>given that both terminals are owned by GrainCorp</w:t>
      </w:r>
      <w:r w:rsidR="006242D7" w:rsidRPr="006242D7">
        <w:t>.</w:t>
      </w:r>
    </w:p>
    <w:p w:rsidR="00B02284" w:rsidRDefault="006242D7" w:rsidP="00794063">
      <w:r>
        <w:t xml:space="preserve">Other alternatives </w:t>
      </w:r>
      <w:r w:rsidR="00DF01EC">
        <w:t xml:space="preserve">(such as </w:t>
      </w:r>
      <w:r w:rsidRPr="006242D7">
        <w:t xml:space="preserve">containerised grain </w:t>
      </w:r>
      <w:r w:rsidR="00FD6DC3">
        <w:t xml:space="preserve">from </w:t>
      </w:r>
      <w:r w:rsidR="003C02BD">
        <w:t>w</w:t>
      </w:r>
      <w:r w:rsidR="00FD6DC3">
        <w:t xml:space="preserve">estern Victoria </w:t>
      </w:r>
      <w:r w:rsidR="00DF01EC">
        <w:t xml:space="preserve">being </w:t>
      </w:r>
      <w:r w:rsidRPr="006242D7">
        <w:t>mov</w:t>
      </w:r>
      <w:r w:rsidR="00DF01EC">
        <w:t>ed</w:t>
      </w:r>
      <w:r w:rsidRPr="006242D7">
        <w:t xml:space="preserve"> </w:t>
      </w:r>
      <w:r>
        <w:t>to the Port of Melbourne</w:t>
      </w:r>
      <w:r w:rsidR="00DF01EC">
        <w:t>,</w:t>
      </w:r>
      <w:r>
        <w:t xml:space="preserve"> </w:t>
      </w:r>
      <w:r w:rsidR="00B02284">
        <w:t xml:space="preserve">or </w:t>
      </w:r>
      <w:r w:rsidR="007B13B3">
        <w:t xml:space="preserve">grain </w:t>
      </w:r>
      <w:r w:rsidR="00DF01EC">
        <w:t xml:space="preserve">moving </w:t>
      </w:r>
      <w:r w:rsidRPr="006242D7">
        <w:t>to the Outer Harbor port in Adelaide, presumably via the Viterra system</w:t>
      </w:r>
      <w:r w:rsidR="00DF01EC">
        <w:t xml:space="preserve">) appear to </w:t>
      </w:r>
      <w:r w:rsidR="00FD6DC3">
        <w:t xml:space="preserve">be more limited options for marketers </w:t>
      </w:r>
      <w:r w:rsidR="00804C19">
        <w:t xml:space="preserve">across </w:t>
      </w:r>
      <w:r w:rsidR="00FD6DC3">
        <w:t>th</w:t>
      </w:r>
      <w:r w:rsidR="00804C19">
        <w:t>e</w:t>
      </w:r>
      <w:r w:rsidR="00FD6DC3">
        <w:t xml:space="preserve"> region</w:t>
      </w:r>
      <w:r w:rsidR="00DF01EC">
        <w:t xml:space="preserve">. This is because </w:t>
      </w:r>
      <w:r w:rsidRPr="006242D7">
        <w:t xml:space="preserve">they </w:t>
      </w:r>
      <w:r w:rsidR="00DF01EC">
        <w:t xml:space="preserve">likely </w:t>
      </w:r>
      <w:r w:rsidRPr="006242D7">
        <w:t xml:space="preserve">depend on factors like the specific location of </w:t>
      </w:r>
      <w:r w:rsidR="007B13B3">
        <w:t>sites</w:t>
      </w:r>
      <w:r w:rsidRPr="006242D7">
        <w:t xml:space="preserve"> and the willingness to enter into certain rail arrangements. </w:t>
      </w:r>
    </w:p>
    <w:p w:rsidR="007B13B3" w:rsidRDefault="007B13B3" w:rsidP="00794063">
      <w:r>
        <w:t xml:space="preserve">In contrast, the stronger overlap of the catchment areas for GrainCorp’s Geelong port terminal and Emerald’s MBT suggests that a significant number of marketers have the option of </w:t>
      </w:r>
      <w:r w:rsidR="00437381">
        <w:t xml:space="preserve">moving grain to either of </w:t>
      </w:r>
      <w:r>
        <w:t>t</w:t>
      </w:r>
      <w:r w:rsidR="00437381">
        <w:t xml:space="preserve">hese </w:t>
      </w:r>
      <w:r>
        <w:t>terminals</w:t>
      </w:r>
      <w:r w:rsidR="00437381">
        <w:t>,</w:t>
      </w:r>
      <w:r>
        <w:t xml:space="preserve"> which are run by different operators. </w:t>
      </w:r>
    </w:p>
    <w:p w:rsidR="00115D3A" w:rsidRDefault="00EB11C7" w:rsidP="00794063">
      <w:r>
        <w:t xml:space="preserve">Overall, </w:t>
      </w:r>
      <w:r w:rsidR="00EE7BF7">
        <w:t xml:space="preserve">while the </w:t>
      </w:r>
      <w:r w:rsidR="00A34B3B">
        <w:t xml:space="preserve">Portland terminal’s grain catchment </w:t>
      </w:r>
      <w:r w:rsidR="003B3BC3">
        <w:t xml:space="preserve">area </w:t>
      </w:r>
      <w:r w:rsidR="00EE7BF7">
        <w:t xml:space="preserve">has some </w:t>
      </w:r>
      <w:r w:rsidR="003B3BC3">
        <w:t xml:space="preserve">overlap </w:t>
      </w:r>
      <w:r w:rsidR="00A34B3B">
        <w:t>with</w:t>
      </w:r>
      <w:r w:rsidR="00EE7BF7">
        <w:t xml:space="preserve"> the </w:t>
      </w:r>
      <w:r w:rsidR="00A34B3B">
        <w:t xml:space="preserve"> </w:t>
      </w:r>
      <w:r w:rsidR="00A87DC6">
        <w:t>Geelong</w:t>
      </w:r>
      <w:r w:rsidR="00EE7BF7">
        <w:t xml:space="preserve"> terminal’s, and there are</w:t>
      </w:r>
      <w:r w:rsidR="00FD6DC3">
        <w:t xml:space="preserve"> </w:t>
      </w:r>
      <w:r w:rsidR="00A34B3B">
        <w:t xml:space="preserve">some </w:t>
      </w:r>
      <w:r w:rsidR="003B3BC3">
        <w:t xml:space="preserve">additional </w:t>
      </w:r>
      <w:r w:rsidR="00A34B3B">
        <w:t>specific options</w:t>
      </w:r>
      <w:r w:rsidR="00EE7BF7">
        <w:t xml:space="preserve"> </w:t>
      </w:r>
      <w:r w:rsidR="00A34B3B">
        <w:t xml:space="preserve">to </w:t>
      </w:r>
      <w:r w:rsidR="00A87DC6">
        <w:t>move</w:t>
      </w:r>
      <w:r w:rsidR="00A34B3B">
        <w:t xml:space="preserve"> grain </w:t>
      </w:r>
      <w:r w:rsidR="00EE7BF7">
        <w:t xml:space="preserve">from </w:t>
      </w:r>
      <w:r w:rsidR="003C02BD">
        <w:t>w</w:t>
      </w:r>
      <w:r w:rsidR="00EE7BF7">
        <w:t xml:space="preserve">estern Victoria </w:t>
      </w:r>
      <w:r w:rsidR="00A87DC6">
        <w:t xml:space="preserve">to </w:t>
      </w:r>
      <w:r w:rsidR="00EE7BF7">
        <w:t xml:space="preserve">the </w:t>
      </w:r>
      <w:r w:rsidR="00A87DC6">
        <w:t>Melbourne</w:t>
      </w:r>
      <w:r w:rsidR="00EE7BF7">
        <w:t xml:space="preserve"> or </w:t>
      </w:r>
      <w:r w:rsidR="00A34B3B">
        <w:t>Adelaide</w:t>
      </w:r>
      <w:r w:rsidR="00EE7BF7">
        <w:t xml:space="preserve"> ports, </w:t>
      </w:r>
      <w:r w:rsidR="003B3BC3">
        <w:t xml:space="preserve">the ACCC’s preliminary view is that </w:t>
      </w:r>
      <w:r w:rsidR="001D2CD0">
        <w:t>the</w:t>
      </w:r>
      <w:r w:rsidR="00481B63">
        <w:t xml:space="preserve">se options provided a limited competitive constraint on </w:t>
      </w:r>
      <w:r w:rsidR="00B60D95">
        <w:t xml:space="preserve">the </w:t>
      </w:r>
      <w:r w:rsidR="003B3BC3">
        <w:t xml:space="preserve">Portland </w:t>
      </w:r>
      <w:r w:rsidR="00B60D95">
        <w:t>facility</w:t>
      </w:r>
      <w:r w:rsidR="00170CDD">
        <w:t>.</w:t>
      </w:r>
    </w:p>
    <w:p w:rsidR="00762B13" w:rsidRDefault="00762B13" w:rsidP="00762B13">
      <w:pPr>
        <w:pStyle w:val="Heading2"/>
      </w:pPr>
      <w:bookmarkStart w:id="71" w:name="_Toc416360495"/>
      <w:r>
        <w:t>Container</w:t>
      </w:r>
      <w:r w:rsidR="00D81B43">
        <w:t>ised</w:t>
      </w:r>
      <w:r>
        <w:t xml:space="preserve"> export</w:t>
      </w:r>
      <w:r w:rsidR="00D81B43">
        <w:t>s</w:t>
      </w:r>
      <w:bookmarkEnd w:id="71"/>
      <w:r>
        <w:t xml:space="preserve"> </w:t>
      </w:r>
    </w:p>
    <w:p w:rsidR="00B24F2B" w:rsidRDefault="00D81B43" w:rsidP="00BD6EAE">
      <w:r>
        <w:t>G</w:t>
      </w:r>
      <w:r w:rsidR="004E2C90">
        <w:t xml:space="preserve">rain </w:t>
      </w:r>
      <w:r>
        <w:t xml:space="preserve">exports via </w:t>
      </w:r>
      <w:r w:rsidR="004E2C90">
        <w:t>container</w:t>
      </w:r>
      <w:r>
        <w:t>s</w:t>
      </w:r>
      <w:r w:rsidR="004E2C90">
        <w:t xml:space="preserve"> has expanded as a competi</w:t>
      </w:r>
      <w:r w:rsidR="008568B7">
        <w:t xml:space="preserve">ng </w:t>
      </w:r>
      <w:r>
        <w:t xml:space="preserve">path </w:t>
      </w:r>
      <w:r w:rsidR="003B2EC4">
        <w:t xml:space="preserve">to bulk export </w:t>
      </w:r>
      <w:r w:rsidR="002966A3">
        <w:t>across e</w:t>
      </w:r>
      <w:r w:rsidR="004E2C90">
        <w:t xml:space="preserve">astern Australia. </w:t>
      </w:r>
      <w:r w:rsidR="00B24F2B">
        <w:t>The growth in grain container exports is particularly significant for Victoria, where the Port of Melbourne, Victoria’s only container port, is Australia’s largest container shipping port, handling around 36 per cent of Australia’s container trade.</w:t>
      </w:r>
      <w:r w:rsidR="00B24F2B">
        <w:rPr>
          <w:rStyle w:val="FootnoteReference"/>
        </w:rPr>
        <w:footnoteReference w:id="97"/>
      </w:r>
    </w:p>
    <w:p w:rsidR="00D81B43" w:rsidRDefault="00D81B43" w:rsidP="00D81B43">
      <w:r>
        <w:t xml:space="preserve">In contrast to bulk grain export, containerised exports use </w:t>
      </w:r>
      <w:r w:rsidR="003B2EC4">
        <w:t>different infrastructure, are shipp</w:t>
      </w:r>
      <w:r w:rsidR="00A16EC4">
        <w:t>ed</w:t>
      </w:r>
      <w:r w:rsidR="003B2EC4">
        <w:t xml:space="preserve"> in smaller quantities and are not subject to the </w:t>
      </w:r>
      <w:r w:rsidR="00301AF7">
        <w:t xml:space="preserve">regulations under the </w:t>
      </w:r>
      <w:r w:rsidR="003B2EC4">
        <w:t>Code.</w:t>
      </w:r>
    </w:p>
    <w:p w:rsidR="001933B6" w:rsidRDefault="00641858" w:rsidP="00BD6EAE">
      <w:r>
        <w:t>In Victoria, the use of containers as a means of exporting grain has grown significantly from 215,528 tonnes in 2001 to 2,232,000 tonnes in 2011.</w:t>
      </w:r>
      <w:r>
        <w:rPr>
          <w:rStyle w:val="FootnoteReference"/>
        </w:rPr>
        <w:footnoteReference w:id="98"/>
      </w:r>
      <w:r>
        <w:t xml:space="preserve"> </w:t>
      </w:r>
      <w:r w:rsidR="00213F0D">
        <w:t>Emerald submits that over the five years to 2014, there has been on average 1 mt of wheat shipped out of the Port of Melbourne</w:t>
      </w:r>
      <w:r w:rsidR="00D465AA">
        <w:t xml:space="preserve"> each year</w:t>
      </w:r>
      <w:r w:rsidR="00213F0D">
        <w:t>.</w:t>
      </w:r>
      <w:r w:rsidR="00213F0D">
        <w:rPr>
          <w:rStyle w:val="FootnoteReference"/>
        </w:rPr>
        <w:footnoteReference w:id="99"/>
      </w:r>
      <w:r w:rsidR="001933B6" w:rsidRPr="001933B6">
        <w:t xml:space="preserve"> </w:t>
      </w:r>
    </w:p>
    <w:p w:rsidR="00904F8A" w:rsidRDefault="001933B6" w:rsidP="00BD6EAE">
      <w:r>
        <w:t xml:space="preserve">Data from the Victorian government and from Australian Crop Forecasters shows that wheat exports through containers increased from less than 300,000 tonnes in 2006-07 to over 1 mt in 2009-10. Over the last five years container wheat exports from Victoria continued to </w:t>
      </w:r>
      <w:r>
        <w:lastRenderedPageBreak/>
        <w:t>represent around a minimum of 1 mt of over the following five years to 2013-14 (see figure 11).</w:t>
      </w:r>
    </w:p>
    <w:p w:rsidR="001629AF" w:rsidRDefault="008F4DAF" w:rsidP="006127BF">
      <w:pPr>
        <w:pStyle w:val="Caption"/>
        <w:keepNext/>
        <w:rPr>
          <w:sz w:val="20"/>
        </w:rPr>
      </w:pPr>
      <w:r>
        <w:rPr>
          <w:sz w:val="20"/>
        </w:rPr>
        <w:t>Figure</w:t>
      </w:r>
      <w:r w:rsidRPr="006127BF">
        <w:rPr>
          <w:sz w:val="20"/>
        </w:rPr>
        <w:t xml:space="preserve"> </w:t>
      </w:r>
      <w:r>
        <w:rPr>
          <w:sz w:val="20"/>
        </w:rPr>
        <w:t>11</w:t>
      </w:r>
      <w:r w:rsidR="001629AF" w:rsidRPr="006127BF">
        <w:rPr>
          <w:sz w:val="20"/>
        </w:rPr>
        <w:t>: Containerised wheat export</w:t>
      </w:r>
      <w:r>
        <w:rPr>
          <w:sz w:val="20"/>
        </w:rPr>
        <w:t>s</w:t>
      </w:r>
      <w:r w:rsidR="001629AF" w:rsidRPr="006127BF">
        <w:rPr>
          <w:sz w:val="20"/>
        </w:rPr>
        <w:t xml:space="preserve"> from Victoria</w:t>
      </w:r>
    </w:p>
    <w:p w:rsidR="008F4DAF" w:rsidRPr="00714B06" w:rsidRDefault="008F4DAF" w:rsidP="00714B06">
      <w:pPr>
        <w:spacing w:after="0"/>
      </w:pPr>
      <w:r w:rsidRPr="00B1635A">
        <w:rPr>
          <w:noProof/>
          <w:lang w:eastAsia="en-AU"/>
        </w:rPr>
        <w:drawing>
          <wp:inline distT="0" distB="0" distL="0" distR="0" wp14:anchorId="781F9575" wp14:editId="6EB5A0A3">
            <wp:extent cx="5731510" cy="37352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3735212"/>
                    </a:xfrm>
                    <a:prstGeom prst="rect">
                      <a:avLst/>
                    </a:prstGeom>
                    <a:noFill/>
                    <a:ln>
                      <a:noFill/>
                    </a:ln>
                  </pic:spPr>
                </pic:pic>
              </a:graphicData>
            </a:graphic>
          </wp:inline>
        </w:drawing>
      </w:r>
    </w:p>
    <w:p w:rsidR="00904F8A" w:rsidRPr="007704B0" w:rsidRDefault="001629AF" w:rsidP="00842ADE">
      <w:pPr>
        <w:pStyle w:val="Source"/>
        <w:keepNext/>
        <w:rPr>
          <w:sz w:val="18"/>
        </w:rPr>
      </w:pPr>
      <w:r w:rsidRPr="007704B0">
        <w:rPr>
          <w:sz w:val="18"/>
        </w:rPr>
        <w:t xml:space="preserve">Source: </w:t>
      </w:r>
      <w:r w:rsidR="008568B7" w:rsidRPr="007704B0">
        <w:rPr>
          <w:sz w:val="18"/>
        </w:rPr>
        <w:t>Victorian Department of Economic Development, Jobs, Transport &amp; Resources</w:t>
      </w:r>
      <w:r w:rsidRPr="007704B0">
        <w:rPr>
          <w:sz w:val="18"/>
        </w:rPr>
        <w:t>, Victoria’s Containerised Grain Industry, p. 5</w:t>
      </w:r>
      <w:r w:rsidR="008F4DAF" w:rsidRPr="007704B0">
        <w:rPr>
          <w:sz w:val="18"/>
        </w:rPr>
        <w:t xml:space="preserve"> (data for 2006-07 and 2007-08) and Australian Crop Forecasters (data from 2008-09 to </w:t>
      </w:r>
      <w:r w:rsidR="007704B0">
        <w:rPr>
          <w:sz w:val="18"/>
        </w:rPr>
        <w:br/>
      </w:r>
      <w:r w:rsidR="008F4DAF" w:rsidRPr="007704B0">
        <w:rPr>
          <w:sz w:val="18"/>
        </w:rPr>
        <w:t>2013-14).</w:t>
      </w:r>
    </w:p>
    <w:p w:rsidR="00303B2C" w:rsidRPr="00303B2C" w:rsidRDefault="00707F23" w:rsidP="004F6DB6">
      <w:r>
        <w:t>On average, when compared to the harvests from 2006-07 to 201</w:t>
      </w:r>
      <w:r w:rsidR="008F4DAF">
        <w:t>3</w:t>
      </w:r>
      <w:r>
        <w:t>-</w:t>
      </w:r>
      <w:r w:rsidR="008F4DAF">
        <w:t>14</w:t>
      </w:r>
      <w:r>
        <w:t xml:space="preserve">, wheat container exports from Victoria represented about </w:t>
      </w:r>
      <w:r w:rsidR="008F4DAF">
        <w:t xml:space="preserve">30 </w:t>
      </w:r>
      <w:r>
        <w:t xml:space="preserve">per cent of Victorian wheat production. </w:t>
      </w:r>
      <w:r w:rsidR="008F4DAF">
        <w:t>Additionally, t</w:t>
      </w:r>
      <w:r w:rsidR="00303B2C" w:rsidRPr="00303B2C">
        <w:t>he Victorian Department of Economic Development, Jobs, Transport &amp; Resources estimated that containerised grain exports represent around 30 per cent of all grain exports from the Port or Melbourne.</w:t>
      </w:r>
      <w:r w:rsidR="00303B2C">
        <w:rPr>
          <w:rStyle w:val="FootnoteReference"/>
        </w:rPr>
        <w:footnoteReference w:id="100"/>
      </w:r>
    </w:p>
    <w:p w:rsidR="0016113C" w:rsidRDefault="0016113C" w:rsidP="00BD6EAE">
      <w:r>
        <w:t>The increase in containerised grain exports is attributed to a range of factors</w:t>
      </w:r>
      <w:r w:rsidR="006A7805">
        <w:t xml:space="preserve">. The majority of containerised grain exports are </w:t>
      </w:r>
      <w:r w:rsidR="00FD4A97">
        <w:t xml:space="preserve">destined for Asia, where demand for container exports has increased due various reasons such as to the availability of destination port infrastructure, better long term storage and availability of containers. </w:t>
      </w:r>
      <w:r w:rsidR="00FD4A97" w:rsidRPr="00FD4A97">
        <w:t>Australia is a net importer of packed containers from Asia and net exporter of unpacked containers making exporting grains in containers to Asia more attractive</w:t>
      </w:r>
      <w:r w:rsidR="00FD4A97">
        <w:t>.</w:t>
      </w:r>
      <w:r w:rsidR="00FD4A97">
        <w:rPr>
          <w:rStyle w:val="FootnoteReference"/>
        </w:rPr>
        <w:footnoteReference w:id="101"/>
      </w:r>
    </w:p>
    <w:p w:rsidR="00BA585A" w:rsidRDefault="00641858" w:rsidP="00BD6EAE">
      <w:r>
        <w:t xml:space="preserve">Grain for export via containers is sourced from the same Victorian </w:t>
      </w:r>
      <w:r w:rsidR="00C35DA7">
        <w:t>growing regions</w:t>
      </w:r>
      <w:r>
        <w:t xml:space="preserve"> that supply bulk wheat, as well as from </w:t>
      </w:r>
      <w:r w:rsidR="0068621B">
        <w:t xml:space="preserve">some </w:t>
      </w:r>
      <w:r w:rsidR="00C35DA7">
        <w:t xml:space="preserve">regions in </w:t>
      </w:r>
      <w:r>
        <w:t>southern NSW and South Australia.</w:t>
      </w:r>
      <w:r>
        <w:rPr>
          <w:rStyle w:val="FootnoteReference"/>
        </w:rPr>
        <w:footnoteReference w:id="102"/>
      </w:r>
      <w:r w:rsidR="00B24F2B">
        <w:t xml:space="preserve"> </w:t>
      </w:r>
      <w:r w:rsidR="008E19B3" w:rsidRPr="00BA585A">
        <w:t>In its supplementary submission GrainCorp notes that wheat for export containers is sourced</w:t>
      </w:r>
      <w:r w:rsidR="008E19B3">
        <w:t xml:space="preserve"> </w:t>
      </w:r>
      <w:r w:rsidR="008E19B3">
        <w:lastRenderedPageBreak/>
        <w:t>from all over Victoria, including Dooen in the west, Mildura in the north west and Tocumwal in the north.</w:t>
      </w:r>
      <w:r w:rsidR="008E19B3">
        <w:rPr>
          <w:rStyle w:val="FootnoteReference"/>
        </w:rPr>
        <w:footnoteReference w:id="103"/>
      </w:r>
    </w:p>
    <w:p w:rsidR="00641858" w:rsidRDefault="00CF3F65" w:rsidP="00BD6EAE">
      <w:r>
        <w:t xml:space="preserve">Grain can be packed into containers </w:t>
      </w:r>
      <w:r w:rsidR="00655079">
        <w:t>at</w:t>
      </w:r>
      <w:r>
        <w:t xml:space="preserve"> a variety of locations</w:t>
      </w:r>
      <w:r w:rsidR="00655079">
        <w:t xml:space="preserve"> along the supply chain and is most commonly packed either at port or at </w:t>
      </w:r>
      <w:r>
        <w:t>upcountry</w:t>
      </w:r>
      <w:r w:rsidR="00641858">
        <w:t xml:space="preserve"> </w:t>
      </w:r>
      <w:r>
        <w:t>storage sites</w:t>
      </w:r>
      <w:r w:rsidR="00655079">
        <w:t xml:space="preserve"> that have packing facilities. The majority of containerised grain is transported by road to the Port of Melbourne</w:t>
      </w:r>
      <w:r w:rsidR="002D7F7C">
        <w:t xml:space="preserve">, however some companies do utilise rail transport to move containers to Melbourne, particularly from </w:t>
      </w:r>
      <w:r w:rsidR="003C02BD">
        <w:t>w</w:t>
      </w:r>
      <w:r w:rsidR="002D7F7C">
        <w:t>estern Victoria</w:t>
      </w:r>
      <w:r w:rsidR="00655079">
        <w:t>.</w:t>
      </w:r>
      <w:r w:rsidR="00655079">
        <w:rPr>
          <w:rStyle w:val="FootnoteReference"/>
        </w:rPr>
        <w:footnoteReference w:id="104"/>
      </w:r>
      <w:r w:rsidR="002D7F7C">
        <w:t xml:space="preserve"> </w:t>
      </w:r>
    </w:p>
    <w:p w:rsidR="00FD0A92" w:rsidRDefault="00FD0A92" w:rsidP="00BD6EAE">
      <w:r>
        <w:t xml:space="preserve">Emerald’s </w:t>
      </w:r>
      <w:r w:rsidR="007C129D">
        <w:t>MPT</w:t>
      </w:r>
      <w:r>
        <w:t xml:space="preserve"> and GrainCorp’s Geelong terminal have container packing facilities. </w:t>
      </w:r>
      <w:r w:rsidR="00C25809">
        <w:t xml:space="preserve">Other </w:t>
      </w:r>
      <w:r w:rsidR="00655079">
        <w:t xml:space="preserve">packing facilities are located across </w:t>
      </w:r>
      <w:r w:rsidR="00C25809">
        <w:t xml:space="preserve">upcountry </w:t>
      </w:r>
      <w:r w:rsidR="00655079">
        <w:t>Victoria</w:t>
      </w:r>
      <w:r w:rsidR="00C25809">
        <w:t xml:space="preserve"> and southern NSW</w:t>
      </w:r>
      <w:r>
        <w:t xml:space="preserve">, and are operated by a range of </w:t>
      </w:r>
      <w:r w:rsidR="00646652">
        <w:t xml:space="preserve">other </w:t>
      </w:r>
      <w:r>
        <w:t>companies</w:t>
      </w:r>
      <w:r w:rsidR="005E0725">
        <w:t>:</w:t>
      </w:r>
    </w:p>
    <w:p w:rsidR="00655079" w:rsidRDefault="00646652" w:rsidP="00561DBA">
      <w:pPr>
        <w:pStyle w:val="ListParagraph"/>
        <w:numPr>
          <w:ilvl w:val="0"/>
          <w:numId w:val="15"/>
        </w:numPr>
        <w:ind w:left="714" w:hanging="357"/>
        <w:contextualSpacing w:val="0"/>
      </w:pPr>
      <w:r>
        <w:t>Viterra has a container packing plant in Laverton with capacity to pack 10,000 containers per annum.</w:t>
      </w:r>
      <w:r>
        <w:rPr>
          <w:rStyle w:val="FootnoteReference"/>
        </w:rPr>
        <w:footnoteReference w:id="105"/>
      </w:r>
      <w:r>
        <w:t xml:space="preserve"> Viterra also has container packing facilities at its grain storage and handling site in </w:t>
      </w:r>
      <w:r w:rsidR="00667B02">
        <w:t>western Victoria</w:t>
      </w:r>
      <w:r>
        <w:t>.</w:t>
      </w:r>
    </w:p>
    <w:p w:rsidR="00646652" w:rsidRDefault="00646652" w:rsidP="00561DBA">
      <w:pPr>
        <w:pStyle w:val="ListParagraph"/>
        <w:numPr>
          <w:ilvl w:val="0"/>
          <w:numId w:val="15"/>
        </w:numPr>
        <w:ind w:left="714" w:hanging="357"/>
        <w:contextualSpacing w:val="0"/>
      </w:pPr>
      <w:r>
        <w:t xml:space="preserve">Riordan Grains has three </w:t>
      </w:r>
      <w:r w:rsidR="00667B02">
        <w:t xml:space="preserve">Victorian </w:t>
      </w:r>
      <w:r w:rsidRPr="00646652">
        <w:t>container packing sites</w:t>
      </w:r>
      <w:r>
        <w:t xml:space="preserve"> at</w:t>
      </w:r>
      <w:r w:rsidRPr="00646652">
        <w:t xml:space="preserve"> Laverton, Lara and Balliang</w:t>
      </w:r>
      <w:r>
        <w:t xml:space="preserve"> and </w:t>
      </w:r>
      <w:r w:rsidRPr="00646652">
        <w:t>can pack up to 250,000</w:t>
      </w:r>
      <w:r w:rsidR="00667B02">
        <w:t xml:space="preserve"> </w:t>
      </w:r>
      <w:r>
        <w:t>mt</w:t>
      </w:r>
      <w:r w:rsidRPr="00646652">
        <w:t xml:space="preserve"> per annum of all grains, oilseeds and pulses</w:t>
      </w:r>
      <w:r>
        <w:t>.</w:t>
      </w:r>
      <w:r>
        <w:rPr>
          <w:rStyle w:val="FootnoteReference"/>
        </w:rPr>
        <w:footnoteReference w:id="106"/>
      </w:r>
    </w:p>
    <w:p w:rsidR="00742661" w:rsidRDefault="00742661" w:rsidP="00561DBA">
      <w:pPr>
        <w:pStyle w:val="ListParagraph"/>
        <w:numPr>
          <w:ilvl w:val="0"/>
          <w:numId w:val="15"/>
        </w:numPr>
        <w:ind w:left="714" w:hanging="357"/>
        <w:contextualSpacing w:val="0"/>
      </w:pPr>
      <w:r>
        <w:t>Agripak offers container packing services</w:t>
      </w:r>
      <w:r w:rsidR="00667B02">
        <w:t xml:space="preserve"> to</w:t>
      </w:r>
      <w:r>
        <w:t xml:space="preserve"> exporters, </w:t>
      </w:r>
      <w:r w:rsidR="00667B02">
        <w:t xml:space="preserve">with its facilities </w:t>
      </w:r>
      <w:r>
        <w:t xml:space="preserve">located </w:t>
      </w:r>
      <w:r w:rsidR="00667B02">
        <w:t xml:space="preserve">in </w:t>
      </w:r>
      <w:r w:rsidRPr="00742661">
        <w:t>Ballan.</w:t>
      </w:r>
      <w:r>
        <w:rPr>
          <w:rStyle w:val="FootnoteReference"/>
        </w:rPr>
        <w:footnoteReference w:id="107"/>
      </w:r>
    </w:p>
    <w:p w:rsidR="00F52E0E" w:rsidRDefault="00F52E0E" w:rsidP="00561DBA">
      <w:pPr>
        <w:pStyle w:val="ListParagraph"/>
        <w:numPr>
          <w:ilvl w:val="0"/>
          <w:numId w:val="15"/>
        </w:numPr>
        <w:ind w:left="714" w:hanging="357"/>
        <w:contextualSpacing w:val="0"/>
      </w:pPr>
      <w:r w:rsidRPr="00F52E0E">
        <w:t xml:space="preserve">Mahonys Transport offers a domestic and import </w:t>
      </w:r>
      <w:r>
        <w:t>and</w:t>
      </w:r>
      <w:r w:rsidRPr="00F52E0E">
        <w:t xml:space="preserve"> export </w:t>
      </w:r>
      <w:r>
        <w:t>c</w:t>
      </w:r>
      <w:r w:rsidRPr="00F52E0E">
        <w:t xml:space="preserve">ontainer </w:t>
      </w:r>
      <w:r>
        <w:t>p</w:t>
      </w:r>
      <w:r w:rsidRPr="00F52E0E">
        <w:t xml:space="preserve">acking </w:t>
      </w:r>
      <w:r>
        <w:t>s</w:t>
      </w:r>
      <w:r w:rsidRPr="00F52E0E">
        <w:t>ervice</w:t>
      </w:r>
      <w:r>
        <w:t xml:space="preserve"> at its Brooklyn site near </w:t>
      </w:r>
      <w:r w:rsidRPr="00F52E0E">
        <w:t>Melbourne wharf.</w:t>
      </w:r>
      <w:r>
        <w:rPr>
          <w:rStyle w:val="FootnoteReference"/>
        </w:rPr>
        <w:footnoteReference w:id="108"/>
      </w:r>
    </w:p>
    <w:p w:rsidR="00742661" w:rsidRDefault="005E0725" w:rsidP="00742661">
      <w:r>
        <w:t xml:space="preserve">A number of other companies offer container packing facilities including </w:t>
      </w:r>
      <w:r w:rsidR="00742661">
        <w:t xml:space="preserve">Kelly Grains </w:t>
      </w:r>
      <w:r w:rsidR="00D13678">
        <w:t xml:space="preserve">at Tocumwal, Moore Bulk Storage at Horsham and </w:t>
      </w:r>
      <w:r w:rsidR="00742661">
        <w:t>Broadbent Grain at Lakaput</w:t>
      </w:r>
      <w:r>
        <w:t xml:space="preserve">, </w:t>
      </w:r>
      <w:r w:rsidR="00D13678">
        <w:t>all</w:t>
      </w:r>
      <w:r>
        <w:t xml:space="preserve"> </w:t>
      </w:r>
      <w:r w:rsidR="00D13678">
        <w:t xml:space="preserve">of which </w:t>
      </w:r>
      <w:r w:rsidR="00AD7538">
        <w:t xml:space="preserve">can </w:t>
      </w:r>
      <w:r>
        <w:t xml:space="preserve">also provide </w:t>
      </w:r>
      <w:r w:rsidR="00584087">
        <w:t xml:space="preserve">various </w:t>
      </w:r>
      <w:r>
        <w:t xml:space="preserve">storage </w:t>
      </w:r>
      <w:r w:rsidR="00AD7538">
        <w:t>and logistics services</w:t>
      </w:r>
      <w:r w:rsidR="00742661">
        <w:t>.</w:t>
      </w:r>
    </w:p>
    <w:p w:rsidR="004F6DB6" w:rsidRDefault="004F6DB6" w:rsidP="004F6DB6">
      <w:r>
        <w:t>Emerald</w:t>
      </w:r>
      <w:r w:rsidR="00CC6533">
        <w:t xml:space="preserve"> submits that</w:t>
      </w:r>
      <w:r>
        <w:t xml:space="preserve"> the major exporters of containerised grain from the Port of Melbourne are Agripak, Viterra, GrainCorp, Emerald Grain, Riordan Grains and Kelly Grains. Emerald submits that it has historically exported around 10 per cent of containerised grain from Melbourne.</w:t>
      </w:r>
      <w:r>
        <w:rPr>
          <w:rStyle w:val="FootnoteReference"/>
        </w:rPr>
        <w:footnoteReference w:id="109"/>
      </w:r>
    </w:p>
    <w:p w:rsidR="004F6DB6" w:rsidRDefault="00FB17A5" w:rsidP="00742661">
      <w:r>
        <w:t>GrainCorp and Emerald submit that container</w:t>
      </w:r>
      <w:r w:rsidR="00993B5E">
        <w:t>ised</w:t>
      </w:r>
      <w:r>
        <w:t xml:space="preserve"> export</w:t>
      </w:r>
      <w:r w:rsidR="00993B5E">
        <w:t>s</w:t>
      </w:r>
      <w:r>
        <w:t xml:space="preserve"> </w:t>
      </w:r>
      <w:r w:rsidR="00993B5E">
        <w:t xml:space="preserve">are </w:t>
      </w:r>
      <w:r>
        <w:t xml:space="preserve">a major competitor for bulk wheat, </w:t>
      </w:r>
      <w:r w:rsidR="00C235C0">
        <w:t>particularly in Victoria</w:t>
      </w:r>
      <w:r w:rsidR="00BA585A">
        <w:t xml:space="preserve">. </w:t>
      </w:r>
      <w:r w:rsidR="00993B5E">
        <w:t>C</w:t>
      </w:r>
      <w:r w:rsidR="00955074">
        <w:t>ontainer</w:t>
      </w:r>
      <w:r w:rsidR="00993B5E">
        <w:t>ised</w:t>
      </w:r>
      <w:r w:rsidR="00955074">
        <w:t xml:space="preserve"> export</w:t>
      </w:r>
      <w:r w:rsidR="00993B5E">
        <w:t>s</w:t>
      </w:r>
      <w:r w:rsidR="00955074">
        <w:t xml:space="preserve"> </w:t>
      </w:r>
      <w:r w:rsidR="00993B5E">
        <w:t xml:space="preserve">are </w:t>
      </w:r>
      <w:r w:rsidR="00955074">
        <w:t>not subject to regulation and p</w:t>
      </w:r>
      <w:r w:rsidR="004F6DB6" w:rsidRPr="004F6DB6">
        <w:t>ublic submissions from GrainGrowers</w:t>
      </w:r>
      <w:r w:rsidR="004F6DB6">
        <w:t xml:space="preserve"> and</w:t>
      </w:r>
      <w:r w:rsidR="004F6DB6" w:rsidRPr="004F6DB6">
        <w:t xml:space="preserve"> </w:t>
      </w:r>
      <w:r w:rsidR="004F6DB6">
        <w:t xml:space="preserve">the </w:t>
      </w:r>
      <w:r w:rsidR="004F6DB6" w:rsidRPr="004F6DB6">
        <w:t xml:space="preserve">GIAV also suggest that </w:t>
      </w:r>
      <w:r w:rsidR="004F6DB6">
        <w:t>the container</w:t>
      </w:r>
      <w:r w:rsidR="00993B5E">
        <w:t xml:space="preserve">ised </w:t>
      </w:r>
      <w:r w:rsidR="004F6DB6">
        <w:t>export</w:t>
      </w:r>
      <w:r w:rsidR="00993B5E">
        <w:t>s</w:t>
      </w:r>
      <w:r w:rsidR="004F6DB6">
        <w:t xml:space="preserve"> </w:t>
      </w:r>
      <w:r w:rsidR="00993B5E">
        <w:t xml:space="preserve">provide grain marketers with </w:t>
      </w:r>
      <w:r w:rsidR="004F6DB6">
        <w:t xml:space="preserve">an alternative </w:t>
      </w:r>
      <w:r w:rsidR="00993B5E">
        <w:t>to bulk export</w:t>
      </w:r>
      <w:r w:rsidR="004F6DB6">
        <w:t>.</w:t>
      </w:r>
    </w:p>
    <w:p w:rsidR="00170CDD" w:rsidRDefault="00613BB2" w:rsidP="00742661">
      <w:r>
        <w:t xml:space="preserve">The ACCC considers that </w:t>
      </w:r>
      <w:r w:rsidR="00C5629F">
        <w:t xml:space="preserve">the container export market represents a </w:t>
      </w:r>
      <w:r w:rsidR="00073F81">
        <w:t xml:space="preserve">continuing </w:t>
      </w:r>
      <w:r w:rsidR="00CD7627">
        <w:t xml:space="preserve">path to </w:t>
      </w:r>
      <w:r w:rsidR="00CD7627" w:rsidRPr="00F2549B">
        <w:t>export grain from Victoria.</w:t>
      </w:r>
      <w:r w:rsidR="00C5629F" w:rsidRPr="00F2549B">
        <w:t xml:space="preserve"> Following significant growth in containerised grain exports over the </w:t>
      </w:r>
      <w:r w:rsidR="00BC2D21" w:rsidRPr="00F2549B">
        <w:t>five</w:t>
      </w:r>
      <w:r w:rsidR="00C5629F" w:rsidRPr="00C5629F">
        <w:t xml:space="preserve"> </w:t>
      </w:r>
      <w:r w:rsidR="00C5629F">
        <w:t xml:space="preserve">years </w:t>
      </w:r>
      <w:r w:rsidR="00C5629F" w:rsidRPr="00F2549B">
        <w:t xml:space="preserve">to </w:t>
      </w:r>
      <w:r w:rsidR="00BC2D21" w:rsidRPr="00F2549B">
        <w:t>2010-11</w:t>
      </w:r>
      <w:r w:rsidR="00C5629F">
        <w:t xml:space="preserve">, </w:t>
      </w:r>
      <w:r w:rsidR="00CD7627">
        <w:t xml:space="preserve">container </w:t>
      </w:r>
      <w:r w:rsidR="00C5629F">
        <w:t xml:space="preserve">exports have </w:t>
      </w:r>
      <w:r w:rsidR="00CD7627">
        <w:t xml:space="preserve">consistently </w:t>
      </w:r>
      <w:r w:rsidR="00C5629F">
        <w:t xml:space="preserve">remained </w:t>
      </w:r>
      <w:r w:rsidR="00F2549B">
        <w:t xml:space="preserve">a significant proportion </w:t>
      </w:r>
      <w:r w:rsidR="00CD7627">
        <w:t>of total Victorian grain exports</w:t>
      </w:r>
      <w:r w:rsidR="00073F81">
        <w:t xml:space="preserve"> indicating that it is an ongoing alternative to bulk export</w:t>
      </w:r>
      <w:r w:rsidR="00CD7627">
        <w:t>.</w:t>
      </w:r>
      <w:r w:rsidR="00CD7627" w:rsidRPr="00CD7627">
        <w:t xml:space="preserve"> </w:t>
      </w:r>
      <w:r w:rsidR="00CD7627">
        <w:t xml:space="preserve">Given </w:t>
      </w:r>
      <w:r w:rsidR="00CD7627">
        <w:lastRenderedPageBreak/>
        <w:t xml:space="preserve">the various factors driving demand for containerised grain, it is likely that demand </w:t>
      </w:r>
      <w:r w:rsidR="00170CDD">
        <w:t xml:space="preserve">from </w:t>
      </w:r>
      <w:r w:rsidR="00CD7627">
        <w:t>Asia will remain</w:t>
      </w:r>
      <w:r w:rsidR="00170CDD">
        <w:t xml:space="preserve">. </w:t>
      </w:r>
    </w:p>
    <w:p w:rsidR="00613BB2" w:rsidRDefault="00170CDD" w:rsidP="00742661">
      <w:r>
        <w:t xml:space="preserve">The ACCC considers that the </w:t>
      </w:r>
      <w:r w:rsidR="00481A47">
        <w:t>significant u</w:t>
      </w:r>
      <w:r w:rsidR="00CD7627">
        <w:t xml:space="preserve">pcountry storage and </w:t>
      </w:r>
      <w:r>
        <w:t>container packing facilities set up across Victoria will allow continued</w:t>
      </w:r>
      <w:r w:rsidR="00CD7627">
        <w:t xml:space="preserve"> containerised grain exports</w:t>
      </w:r>
      <w:r w:rsidR="007D4439">
        <w:t xml:space="preserve"> from </w:t>
      </w:r>
      <w:r>
        <w:t>the State</w:t>
      </w:r>
      <w:r w:rsidR="00073F81">
        <w:t>.</w:t>
      </w:r>
      <w:r>
        <w:t xml:space="preserve"> </w:t>
      </w:r>
      <w:r w:rsidR="00CD7627">
        <w:t xml:space="preserve">The ACCC’s preliminary view is therefore that the containerised grain exports appear to serve as a viable export alternative for a range of </w:t>
      </w:r>
      <w:r w:rsidR="00811B6C">
        <w:t xml:space="preserve">exporters and </w:t>
      </w:r>
      <w:r w:rsidR="00CD7627">
        <w:t>growers across Victoria.</w:t>
      </w:r>
    </w:p>
    <w:p w:rsidR="00762B13" w:rsidRDefault="00762B13" w:rsidP="00762B13">
      <w:pPr>
        <w:pStyle w:val="Heading2"/>
      </w:pPr>
      <w:bookmarkStart w:id="72" w:name="_Toc416360496"/>
      <w:r>
        <w:t xml:space="preserve">Domestic </w:t>
      </w:r>
      <w:r w:rsidR="00A16EC4">
        <w:t xml:space="preserve">demand </w:t>
      </w:r>
      <w:r>
        <w:t xml:space="preserve">for </w:t>
      </w:r>
      <w:r w:rsidR="00CF6107">
        <w:t>grain</w:t>
      </w:r>
      <w:bookmarkEnd w:id="72"/>
    </w:p>
    <w:p w:rsidR="00CF6107" w:rsidRDefault="00CF6107" w:rsidP="00CF6107">
      <w:r>
        <w:rPr>
          <w:rFonts w:hint="eastAsia"/>
        </w:rPr>
        <w:t xml:space="preserve">The domestic market is a significant </w:t>
      </w:r>
      <w:r>
        <w:t>end user</w:t>
      </w:r>
      <w:r>
        <w:rPr>
          <w:rFonts w:hint="eastAsia"/>
        </w:rPr>
        <w:t xml:space="preserve"> of grain across eastern Australia. AEGIC estimates that over the past 10 years the domestic market has consumed approximately half of the grain produced in the eastern States.</w:t>
      </w:r>
      <w:r>
        <w:rPr>
          <w:rStyle w:val="FootnoteReference"/>
        </w:rPr>
        <w:footnoteReference w:id="110"/>
      </w:r>
      <w:r w:rsidR="0069024E">
        <w:t xml:space="preserve"> Like the container market, the domestic market for grain is not subject to regulation.</w:t>
      </w:r>
    </w:p>
    <w:p w:rsidR="00CF6107" w:rsidRDefault="00CF6107" w:rsidP="00CF6107">
      <w:r>
        <w:rPr>
          <w:rFonts w:hint="eastAsia"/>
        </w:rPr>
        <w:t>In Victoria,</w:t>
      </w:r>
      <w:r w:rsidR="00A16EC4">
        <w:t xml:space="preserve"> grain is used by </w:t>
      </w:r>
      <w:r>
        <w:rPr>
          <w:rFonts w:hint="eastAsia"/>
        </w:rPr>
        <w:t xml:space="preserve">the </w:t>
      </w:r>
      <w:r w:rsidRPr="00485C0D">
        <w:t>dairy, intensive livestock, malting, oilseed crushing and milling sectors</w:t>
      </w:r>
      <w:r>
        <w:rPr>
          <w:rFonts w:hint="eastAsia"/>
        </w:rPr>
        <w:t>.</w:t>
      </w:r>
      <w:r>
        <w:rPr>
          <w:rStyle w:val="FootnoteReference"/>
        </w:rPr>
        <w:footnoteReference w:id="111"/>
      </w:r>
      <w:r>
        <w:rPr>
          <w:rFonts w:hint="eastAsia"/>
        </w:rPr>
        <w:t xml:space="preserve"> Demand for grain to feed Victoria</w:t>
      </w:r>
      <w:r>
        <w:t>’</w:t>
      </w:r>
      <w:r>
        <w:rPr>
          <w:rFonts w:hint="eastAsia"/>
        </w:rPr>
        <w:t>s mature dairy industry is significant, with around two-thirds of Australia</w:t>
      </w:r>
      <w:r>
        <w:t>’</w:t>
      </w:r>
      <w:r>
        <w:rPr>
          <w:rFonts w:hint="eastAsia"/>
        </w:rPr>
        <w:t>s dairy herd</w:t>
      </w:r>
      <w:r w:rsidR="00A16EC4">
        <w:t xml:space="preserve"> being in Victoria</w:t>
      </w:r>
      <w:r>
        <w:rPr>
          <w:rFonts w:hint="eastAsia"/>
        </w:rPr>
        <w:t>.</w:t>
      </w:r>
      <w:r>
        <w:rPr>
          <w:rStyle w:val="FootnoteReference"/>
        </w:rPr>
        <w:footnoteReference w:id="112"/>
      </w:r>
      <w:r>
        <w:rPr>
          <w:rFonts w:hint="eastAsia"/>
        </w:rPr>
        <w:t xml:space="preserve"> </w:t>
      </w:r>
    </w:p>
    <w:p w:rsidR="00CF6107" w:rsidRDefault="00CF6107" w:rsidP="00CF6107">
      <w:r>
        <w:rPr>
          <w:rFonts w:hint="eastAsia"/>
        </w:rPr>
        <w:t>According to the Victorian government</w:t>
      </w:r>
      <w:r>
        <w:t>’</w:t>
      </w:r>
      <w:r>
        <w:rPr>
          <w:rFonts w:hint="eastAsia"/>
        </w:rPr>
        <w:t>s Department of Environment and Primary Industries, the State</w:t>
      </w:r>
      <w:r>
        <w:t>’</w:t>
      </w:r>
      <w:r>
        <w:rPr>
          <w:rFonts w:hint="eastAsia"/>
        </w:rPr>
        <w:t xml:space="preserve">s </w:t>
      </w:r>
      <w:r w:rsidRPr="00110C71">
        <w:t xml:space="preserve">domestic grain consumption </w:t>
      </w:r>
      <w:r>
        <w:rPr>
          <w:rFonts w:hint="eastAsia"/>
        </w:rPr>
        <w:t xml:space="preserve">averages </w:t>
      </w:r>
      <w:r>
        <w:t xml:space="preserve">around 3 </w:t>
      </w:r>
      <w:r>
        <w:rPr>
          <w:rFonts w:hint="eastAsia"/>
        </w:rPr>
        <w:t>mt.</w:t>
      </w:r>
      <w:r>
        <w:rPr>
          <w:rStyle w:val="FootnoteReference"/>
        </w:rPr>
        <w:footnoteReference w:id="113"/>
      </w:r>
      <w:r>
        <w:rPr>
          <w:rFonts w:hint="eastAsia"/>
        </w:rPr>
        <w:t xml:space="preserve"> GrainCorp estimates that, over the past 10 years to 2013-14, t</w:t>
      </w:r>
      <w:r>
        <w:t xml:space="preserve">he domestic market </w:t>
      </w:r>
      <w:r>
        <w:rPr>
          <w:rFonts w:hint="eastAsia"/>
        </w:rPr>
        <w:t xml:space="preserve">has </w:t>
      </w:r>
      <w:r>
        <w:t>consume</w:t>
      </w:r>
      <w:r>
        <w:rPr>
          <w:rFonts w:hint="eastAsia"/>
        </w:rPr>
        <w:t>d</w:t>
      </w:r>
      <w:r>
        <w:t xml:space="preserve"> an average of 2.4</w:t>
      </w:r>
      <w:r w:rsidR="00FB17A5">
        <w:t xml:space="preserve"> </w:t>
      </w:r>
      <w:r>
        <w:rPr>
          <w:rFonts w:hint="eastAsia"/>
        </w:rPr>
        <w:t>m</w:t>
      </w:r>
      <w:r>
        <w:t>t</w:t>
      </w:r>
      <w:r>
        <w:rPr>
          <w:rFonts w:hint="eastAsia"/>
        </w:rPr>
        <w:t xml:space="preserve"> per year,</w:t>
      </w:r>
      <w:r>
        <w:t xml:space="preserve"> representing </w:t>
      </w:r>
      <w:r>
        <w:rPr>
          <w:rFonts w:hint="eastAsia"/>
        </w:rPr>
        <w:t xml:space="preserve">between </w:t>
      </w:r>
      <w:r>
        <w:t>35</w:t>
      </w:r>
      <w:r>
        <w:rPr>
          <w:rFonts w:hint="eastAsia"/>
        </w:rPr>
        <w:t xml:space="preserve"> and </w:t>
      </w:r>
      <w:r>
        <w:t>45</w:t>
      </w:r>
      <w:r>
        <w:rPr>
          <w:lang w:val="en-US"/>
        </w:rPr>
        <w:t> </w:t>
      </w:r>
      <w:r>
        <w:rPr>
          <w:rFonts w:hint="eastAsia"/>
        </w:rPr>
        <w:t xml:space="preserve">per cent </w:t>
      </w:r>
      <w:r>
        <w:t>of annual</w:t>
      </w:r>
      <w:r>
        <w:rPr>
          <w:rFonts w:hint="eastAsia"/>
        </w:rPr>
        <w:t xml:space="preserve"> </w:t>
      </w:r>
      <w:r>
        <w:t>grain</w:t>
      </w:r>
      <w:r>
        <w:rPr>
          <w:rFonts w:hint="eastAsia"/>
        </w:rPr>
        <w:t xml:space="preserve"> production.</w:t>
      </w:r>
      <w:r>
        <w:rPr>
          <w:rStyle w:val="FootnoteReference"/>
        </w:rPr>
        <w:footnoteReference w:id="114"/>
      </w:r>
    </w:p>
    <w:p w:rsidR="00A16EC4" w:rsidRDefault="00CF6107" w:rsidP="00CF6107">
      <w:r>
        <w:rPr>
          <w:rFonts w:hint="eastAsia"/>
        </w:rPr>
        <w:t xml:space="preserve">Both GrainCorp and Emerald submit that their Victorian port terminals face competition for grain from the </w:t>
      </w:r>
      <w:r>
        <w:t>domestic</w:t>
      </w:r>
      <w:r>
        <w:rPr>
          <w:rFonts w:hint="eastAsia"/>
        </w:rPr>
        <w:t xml:space="preserve"> market.</w:t>
      </w:r>
      <w:r>
        <w:rPr>
          <w:rStyle w:val="FootnoteReference"/>
        </w:rPr>
        <w:footnoteReference w:id="115"/>
      </w:r>
      <w:r>
        <w:rPr>
          <w:rFonts w:hint="eastAsia"/>
        </w:rPr>
        <w:t xml:space="preserve"> GrainCorp submits that its</w:t>
      </w:r>
      <w:r w:rsidRPr="006E5EB9">
        <w:t xml:space="preserve"> </w:t>
      </w:r>
      <w:r>
        <w:rPr>
          <w:rFonts w:hint="eastAsia"/>
        </w:rPr>
        <w:t>p</w:t>
      </w:r>
      <w:r w:rsidRPr="006E5EB9">
        <w:t xml:space="preserve">ort </w:t>
      </w:r>
      <w:r>
        <w:rPr>
          <w:rFonts w:hint="eastAsia"/>
        </w:rPr>
        <w:t>t</w:t>
      </w:r>
      <w:r w:rsidRPr="006E5EB9">
        <w:t>erminal</w:t>
      </w:r>
      <w:r>
        <w:t xml:space="preserve">s at Geelong and Portland faces </w:t>
      </w:r>
      <w:r>
        <w:rPr>
          <w:rFonts w:hint="eastAsia"/>
        </w:rPr>
        <w:t>s</w:t>
      </w:r>
      <w:r w:rsidRPr="006E5EB9">
        <w:t>trong demand from domestic end-users, lim</w:t>
      </w:r>
      <w:r>
        <w:t>iting surplus grain for export</w:t>
      </w:r>
      <w:r>
        <w:rPr>
          <w:rFonts w:hint="eastAsia"/>
        </w:rPr>
        <w:t xml:space="preserve">. </w:t>
      </w:r>
    </w:p>
    <w:p w:rsidR="00CF6107" w:rsidRDefault="00CF6107" w:rsidP="00F2549B">
      <w:pPr>
        <w:keepNext/>
      </w:pPr>
      <w:r>
        <w:rPr>
          <w:rFonts w:hint="eastAsia"/>
        </w:rPr>
        <w:t>Emerald submits that:</w:t>
      </w:r>
    </w:p>
    <w:p w:rsidR="00CF6107" w:rsidRPr="006E5EB9" w:rsidRDefault="00CF6107" w:rsidP="00CF6107">
      <w:pPr>
        <w:ind w:left="720"/>
        <w:rPr>
          <w:sz w:val="20"/>
        </w:rPr>
      </w:pPr>
      <w:r w:rsidRPr="006E5EB9">
        <w:rPr>
          <w:rFonts w:hint="eastAsia"/>
          <w:sz w:val="20"/>
        </w:rPr>
        <w:t>there are a number of large domestic consumers such as Allied</w:t>
      </w:r>
      <w:r>
        <w:rPr>
          <w:rFonts w:hint="eastAsia"/>
          <w:sz w:val="20"/>
        </w:rPr>
        <w:t xml:space="preserve"> Mills</w:t>
      </w:r>
      <w:r w:rsidRPr="006E5EB9">
        <w:rPr>
          <w:rFonts w:hint="eastAsia"/>
          <w:sz w:val="20"/>
        </w:rPr>
        <w:t>, Westons, Barrett Burston and Riverland with other consumers including Laucke, Malteurop and Cargill.</w:t>
      </w:r>
      <w:r>
        <w:rPr>
          <w:rStyle w:val="FootnoteReference"/>
        </w:rPr>
        <w:footnoteReference w:id="116"/>
      </w:r>
    </w:p>
    <w:p w:rsidR="00CF6107" w:rsidRDefault="00CF6107" w:rsidP="00CF6107">
      <w:r>
        <w:rPr>
          <w:rFonts w:hint="eastAsia"/>
        </w:rPr>
        <w:t>GrainCorp also submits that t</w:t>
      </w:r>
      <w:r>
        <w:t>he</w:t>
      </w:r>
      <w:r>
        <w:rPr>
          <w:rFonts w:hint="eastAsia"/>
        </w:rPr>
        <w:t xml:space="preserve"> </w:t>
      </w:r>
      <w:r>
        <w:t xml:space="preserve">domestic market </w:t>
      </w:r>
      <w:r>
        <w:rPr>
          <w:rFonts w:hint="eastAsia"/>
        </w:rPr>
        <w:t xml:space="preserve">has </w:t>
      </w:r>
      <w:r>
        <w:t xml:space="preserve">the ability to pay a higher price </w:t>
      </w:r>
      <w:r>
        <w:rPr>
          <w:rFonts w:hint="eastAsia"/>
        </w:rPr>
        <w:t xml:space="preserve">for grain </w:t>
      </w:r>
      <w:r>
        <w:t>than the bulk export</w:t>
      </w:r>
      <w:r>
        <w:rPr>
          <w:rFonts w:hint="eastAsia"/>
        </w:rPr>
        <w:t xml:space="preserve"> </w:t>
      </w:r>
      <w:r>
        <w:t>market due to less supply chain infrastructure and access to back loading road rates.</w:t>
      </w:r>
      <w:r>
        <w:rPr>
          <w:rFonts w:hint="eastAsia"/>
        </w:rPr>
        <w:t xml:space="preserve"> According to GrainCorp, almost all domestic grain is transported by road.</w:t>
      </w:r>
      <w:r>
        <w:rPr>
          <w:rStyle w:val="FootnoteReference"/>
        </w:rPr>
        <w:footnoteReference w:id="117"/>
      </w:r>
      <w:r>
        <w:rPr>
          <w:rFonts w:hint="eastAsia"/>
        </w:rPr>
        <w:t xml:space="preserve"> </w:t>
      </w:r>
    </w:p>
    <w:p w:rsidR="00CF6107" w:rsidRDefault="00CF6107" w:rsidP="00CF6107">
      <w:r>
        <w:rPr>
          <w:rFonts w:hint="eastAsia"/>
        </w:rPr>
        <w:t>Public submissions from GrainGrowers</w:t>
      </w:r>
      <w:r w:rsidR="004F6DB6">
        <w:t xml:space="preserve"> and the</w:t>
      </w:r>
      <w:r>
        <w:rPr>
          <w:rFonts w:hint="eastAsia"/>
        </w:rPr>
        <w:t xml:space="preserve"> GIAV also suggest that GrainCorp and Emerald face competition from the domestic market </w:t>
      </w:r>
      <w:r w:rsidR="00A16EC4">
        <w:t>for grain</w:t>
      </w:r>
      <w:r>
        <w:rPr>
          <w:rFonts w:hint="eastAsia"/>
        </w:rPr>
        <w:t xml:space="preserve">. The VFF acknowledges the </w:t>
      </w:r>
      <w:r w:rsidR="00A16EC4">
        <w:t xml:space="preserve">significance </w:t>
      </w:r>
      <w:r>
        <w:rPr>
          <w:rFonts w:hint="eastAsia"/>
        </w:rPr>
        <w:t xml:space="preserve">of the domestic </w:t>
      </w:r>
      <w:r w:rsidR="00A16EC4">
        <w:t>demand for grain</w:t>
      </w:r>
      <w:r>
        <w:rPr>
          <w:rFonts w:hint="eastAsia"/>
        </w:rPr>
        <w:t xml:space="preserve">, and submits that the price for grain </w:t>
      </w:r>
      <w:r w:rsidR="00A16EC4">
        <w:t xml:space="preserve">in </w:t>
      </w:r>
      <w:r w:rsidR="00F31AE7">
        <w:lastRenderedPageBreak/>
        <w:t>Australia</w:t>
      </w:r>
      <w:r w:rsidR="00A16EC4">
        <w:t xml:space="preserve"> </w:t>
      </w:r>
      <w:r>
        <w:rPr>
          <w:rFonts w:hint="eastAsia"/>
        </w:rPr>
        <w:t xml:space="preserve">is based on </w:t>
      </w:r>
      <w:r>
        <w:t>‘</w:t>
      </w:r>
      <w:r>
        <w:rPr>
          <w:rFonts w:hint="eastAsia"/>
        </w:rPr>
        <w:t>export parity price</w:t>
      </w:r>
      <w:r>
        <w:t>’</w:t>
      </w:r>
      <w:r>
        <w:rPr>
          <w:rFonts w:hint="eastAsia"/>
        </w:rPr>
        <w:t xml:space="preserve"> or the international price, which is largely the case with all internationally traded commodities.</w:t>
      </w:r>
    </w:p>
    <w:p w:rsidR="00B1635A" w:rsidRDefault="00A16EC4" w:rsidP="00FB17A5">
      <w:r>
        <w:t>A</w:t>
      </w:r>
      <w:r w:rsidR="00001238">
        <w:t xml:space="preserve"> large </w:t>
      </w:r>
      <w:r>
        <w:t xml:space="preserve">proportion of </w:t>
      </w:r>
      <w:r w:rsidR="00001238">
        <w:t>grain</w:t>
      </w:r>
      <w:r>
        <w:t xml:space="preserve"> produced in Victoria is used domestically.</w:t>
      </w:r>
      <w:r w:rsidR="00001238">
        <w:t xml:space="preserve"> </w:t>
      </w:r>
      <w:r w:rsidR="00B1635A">
        <w:t>According to data from Australian Crop Forecasters, o</w:t>
      </w:r>
      <w:r>
        <w:t>f Australia’s states and territories, demand for grain is highest in Victoria</w:t>
      </w:r>
      <w:r w:rsidR="00B1635A">
        <w:t xml:space="preserve"> and NSW (see figure 12)</w:t>
      </w:r>
      <w:r>
        <w:t>.</w:t>
      </w:r>
    </w:p>
    <w:p w:rsidR="00B1635A" w:rsidRDefault="00A16EC4" w:rsidP="00B1635A">
      <w:pPr>
        <w:pStyle w:val="Caption"/>
        <w:keepNext/>
        <w:rPr>
          <w:sz w:val="20"/>
        </w:rPr>
      </w:pPr>
      <w:r>
        <w:t xml:space="preserve"> </w:t>
      </w:r>
      <w:r w:rsidR="00B1635A">
        <w:rPr>
          <w:sz w:val="20"/>
        </w:rPr>
        <w:t>Figure</w:t>
      </w:r>
      <w:r w:rsidR="00B1635A" w:rsidRPr="006127BF">
        <w:rPr>
          <w:sz w:val="20"/>
        </w:rPr>
        <w:t xml:space="preserve"> </w:t>
      </w:r>
      <w:r w:rsidR="00B1635A">
        <w:rPr>
          <w:sz w:val="20"/>
        </w:rPr>
        <w:t>12</w:t>
      </w:r>
      <w:r w:rsidR="00B1635A" w:rsidRPr="006127BF">
        <w:rPr>
          <w:sz w:val="20"/>
        </w:rPr>
        <w:t xml:space="preserve">: </w:t>
      </w:r>
      <w:r w:rsidR="00B1635A">
        <w:rPr>
          <w:sz w:val="20"/>
        </w:rPr>
        <w:t>Domestic demand for grain across Australia</w:t>
      </w:r>
      <w:r w:rsidR="00B1635A" w:rsidRPr="006127BF">
        <w:rPr>
          <w:sz w:val="20"/>
        </w:rPr>
        <w:t xml:space="preserve"> </w:t>
      </w:r>
    </w:p>
    <w:p w:rsidR="00825322" w:rsidRDefault="00B1635A" w:rsidP="00B1635A">
      <w:pPr>
        <w:spacing w:after="0"/>
      </w:pPr>
      <w:r w:rsidRPr="00B1635A">
        <w:rPr>
          <w:noProof/>
          <w:lang w:eastAsia="en-AU"/>
        </w:rPr>
        <w:drawing>
          <wp:inline distT="0" distB="0" distL="0" distR="0" wp14:anchorId="48E08613" wp14:editId="6884604A">
            <wp:extent cx="5731510" cy="37338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3733815"/>
                    </a:xfrm>
                    <a:prstGeom prst="rect">
                      <a:avLst/>
                    </a:prstGeom>
                    <a:noFill/>
                    <a:ln>
                      <a:noFill/>
                    </a:ln>
                  </pic:spPr>
                </pic:pic>
              </a:graphicData>
            </a:graphic>
          </wp:inline>
        </w:drawing>
      </w:r>
    </w:p>
    <w:p w:rsidR="00B1635A" w:rsidRPr="003C02BD" w:rsidRDefault="00B1635A" w:rsidP="00B1635A">
      <w:pPr>
        <w:pStyle w:val="Source"/>
        <w:keepNext/>
        <w:rPr>
          <w:sz w:val="18"/>
        </w:rPr>
      </w:pPr>
      <w:r w:rsidRPr="003C02BD">
        <w:rPr>
          <w:sz w:val="18"/>
        </w:rPr>
        <w:t>Source: Australian Crop Forecasters</w:t>
      </w:r>
    </w:p>
    <w:p w:rsidR="00825322" w:rsidRDefault="00825322" w:rsidP="00FB17A5">
      <w:r>
        <w:t xml:space="preserve">The domestic market </w:t>
      </w:r>
      <w:r w:rsidR="00A16EC4">
        <w:t xml:space="preserve">offers </w:t>
      </w:r>
      <w:r>
        <w:t>Victoria</w:t>
      </w:r>
      <w:r w:rsidR="00A16EC4">
        <w:t xml:space="preserve">n </w:t>
      </w:r>
      <w:r>
        <w:t xml:space="preserve">growers a reliable source </w:t>
      </w:r>
      <w:r w:rsidR="00A16EC4">
        <w:t xml:space="preserve">of demand </w:t>
      </w:r>
      <w:r>
        <w:t xml:space="preserve">for grain, and </w:t>
      </w:r>
      <w:r w:rsidR="00A16EC4">
        <w:t xml:space="preserve">domestic users of grain are able </w:t>
      </w:r>
      <w:r>
        <w:t xml:space="preserve">to </w:t>
      </w:r>
      <w:r w:rsidR="00DF33FF">
        <w:t>pay</w:t>
      </w:r>
      <w:r>
        <w:t xml:space="preserve"> a higher price </w:t>
      </w:r>
      <w:r w:rsidR="00A16EC4">
        <w:t xml:space="preserve">for grain </w:t>
      </w:r>
      <w:r>
        <w:t>due to lower supply chain costs compared to the export markets.</w:t>
      </w:r>
    </w:p>
    <w:p w:rsidR="00825322" w:rsidRDefault="00001238" w:rsidP="00FB17A5">
      <w:r>
        <w:t xml:space="preserve">Although the domestic market grows most years, growth is </w:t>
      </w:r>
      <w:r w:rsidR="00746A25">
        <w:t>generally</w:t>
      </w:r>
      <w:r>
        <w:t xml:space="preserve"> slight </w:t>
      </w:r>
      <w:r w:rsidR="00746A25">
        <w:t xml:space="preserve">and domestic demand </w:t>
      </w:r>
      <w:r>
        <w:t xml:space="preserve">is rarely large enough to absorb all </w:t>
      </w:r>
      <w:r w:rsidR="00746A25">
        <w:t xml:space="preserve">Victorian </w:t>
      </w:r>
      <w:r>
        <w:t xml:space="preserve">grain production, leaving a </w:t>
      </w:r>
      <w:r w:rsidR="00DF33FF">
        <w:t xml:space="preserve">surplus to be </w:t>
      </w:r>
      <w:r>
        <w:t>expor</w:t>
      </w:r>
      <w:r w:rsidR="00DF33FF">
        <w:t>ted via either bulk export or container export.</w:t>
      </w:r>
    </w:p>
    <w:p w:rsidR="00CF6107" w:rsidRDefault="00CF6107" w:rsidP="00FB17A5">
      <w:pPr>
        <w:rPr>
          <w:rFonts w:ascii="Lucida Fax" w:eastAsiaTheme="majorEastAsia" w:hAnsi="Lucida Fax" w:cstheme="majorBidi"/>
          <w:bCs/>
          <w:color w:val="51626F"/>
          <w:sz w:val="32"/>
          <w:szCs w:val="28"/>
        </w:rPr>
      </w:pPr>
      <w:r>
        <w:br w:type="page"/>
      </w:r>
    </w:p>
    <w:p w:rsidR="00E5216E" w:rsidRDefault="00E5216E" w:rsidP="00B77B94">
      <w:pPr>
        <w:pStyle w:val="Heading1"/>
      </w:pPr>
      <w:bookmarkStart w:id="73" w:name="_Toc416360497"/>
      <w:r>
        <w:lastRenderedPageBreak/>
        <w:t>ACCC</w:t>
      </w:r>
      <w:r w:rsidR="003E679D">
        <w:t>’s preliminary</w:t>
      </w:r>
      <w:r>
        <w:t xml:space="preserve"> </w:t>
      </w:r>
      <w:r w:rsidR="00A910C3">
        <w:t xml:space="preserve">exemption </w:t>
      </w:r>
      <w:r>
        <w:t>assessment</w:t>
      </w:r>
      <w:bookmarkEnd w:id="64"/>
      <w:r w:rsidR="00612939">
        <w:t xml:space="preserve"> </w:t>
      </w:r>
      <w:r w:rsidR="00A77DDA">
        <w:t>of</w:t>
      </w:r>
      <w:r w:rsidR="00612939">
        <w:t xml:space="preserve"> Emerald’s Melbourne Port Terminal</w:t>
      </w:r>
      <w:bookmarkEnd w:id="73"/>
    </w:p>
    <w:p w:rsidR="00A87950" w:rsidRDefault="00E5216E" w:rsidP="00A87950">
      <w:pPr>
        <w:pStyle w:val="Normalparagraph"/>
      </w:pPr>
      <w:r w:rsidRPr="00E5216E">
        <w:t xml:space="preserve">The ACCC’s </w:t>
      </w:r>
      <w:r w:rsidR="00E35BC1">
        <w:t xml:space="preserve">preliminary assessment </w:t>
      </w:r>
      <w:r w:rsidR="002970DD">
        <w:t xml:space="preserve">of whether </w:t>
      </w:r>
      <w:r w:rsidR="004F0ABF">
        <w:t xml:space="preserve">it should determine under clause 5(2) of the Code that </w:t>
      </w:r>
      <w:r w:rsidR="00A910C3">
        <w:t xml:space="preserve">Emerald </w:t>
      </w:r>
      <w:r w:rsidR="004F0ABF">
        <w:t xml:space="preserve">is an exempt service provider of port terminal facilities provided by means of its </w:t>
      </w:r>
      <w:r w:rsidR="00933952">
        <w:t>MPT</w:t>
      </w:r>
      <w:r w:rsidR="004F0ABF">
        <w:t xml:space="preserve"> facility</w:t>
      </w:r>
      <w:r w:rsidR="006272C0">
        <w:t xml:space="preserve"> </w:t>
      </w:r>
      <w:r w:rsidR="00CC5F81" w:rsidRPr="004A2EE7">
        <w:t>is set out in this</w:t>
      </w:r>
      <w:r w:rsidRPr="004A2EE7">
        <w:t xml:space="preserve"> </w:t>
      </w:r>
      <w:r w:rsidR="00DB0465">
        <w:t>chapter</w:t>
      </w:r>
      <w:r w:rsidRPr="004A2EE7">
        <w:t xml:space="preserve">. </w:t>
      </w:r>
      <w:r w:rsidR="00A87950">
        <w:t xml:space="preserve">The ACCC’s preliminary assessment is set out against the matters </w:t>
      </w:r>
      <w:r w:rsidR="004F0ABF">
        <w:t xml:space="preserve">in </w:t>
      </w:r>
      <w:r w:rsidR="00A87950">
        <w:t>subclause 5(3)</w:t>
      </w:r>
      <w:r w:rsidR="004F0ABF">
        <w:t>(a) to (i)</w:t>
      </w:r>
      <w:r w:rsidR="00A87950">
        <w:t xml:space="preserve"> of the Code</w:t>
      </w:r>
      <w:r w:rsidR="004F0ABF">
        <w:t>,</w:t>
      </w:r>
      <w:r w:rsidR="00A87950">
        <w:t xml:space="preserve"> which the ACCC must have regard to.</w:t>
      </w:r>
    </w:p>
    <w:p w:rsidR="00EF0BD3" w:rsidRDefault="00C16DB1" w:rsidP="00A60FC3">
      <w:pPr>
        <w:pStyle w:val="Heading4"/>
        <w:numPr>
          <w:ilvl w:val="0"/>
          <w:numId w:val="0"/>
        </w:numPr>
        <w:tabs>
          <w:tab w:val="left" w:pos="426"/>
        </w:tabs>
        <w:spacing w:before="360"/>
        <w:ind w:left="425" w:hanging="425"/>
      </w:pPr>
      <w:r w:rsidRPr="00C16DB1">
        <w:t>(a)</w:t>
      </w:r>
      <w:r w:rsidR="0079322B">
        <w:t xml:space="preserve"> </w:t>
      </w:r>
      <w:r w:rsidR="00EF0BD3" w:rsidRPr="00C16DB1">
        <w:t>the legitimate business interests of the</w:t>
      </w:r>
      <w:r w:rsidR="00891B2A" w:rsidRPr="00C16DB1">
        <w:t xml:space="preserve"> port terminal service provider</w:t>
      </w:r>
    </w:p>
    <w:p w:rsidR="00782F9A" w:rsidRDefault="00782F9A" w:rsidP="00782F9A">
      <w:r>
        <w:t xml:space="preserve">The ACCC considers </w:t>
      </w:r>
      <w:r w:rsidR="009A0802">
        <w:t xml:space="preserve">when having regard to </w:t>
      </w:r>
      <w:r>
        <w:t xml:space="preserve">the legitimate business interests </w:t>
      </w:r>
      <w:r w:rsidR="00561DBA">
        <w:t>of the port terminal service provider</w:t>
      </w:r>
      <w:r w:rsidR="0042172E">
        <w:t xml:space="preserve"> (</w:t>
      </w:r>
      <w:r w:rsidR="00D62DA5">
        <w:t xml:space="preserve">as required under </w:t>
      </w:r>
      <w:r w:rsidR="0042172E">
        <w:t>subclause 5(3)(a) of the Code)</w:t>
      </w:r>
      <w:r w:rsidR="009A0802">
        <w:t>,</w:t>
      </w:r>
      <w:r w:rsidR="00561DBA">
        <w:t xml:space="preserve"> </w:t>
      </w:r>
      <w:r w:rsidR="0042172E">
        <w:t>the following may be relevant</w:t>
      </w:r>
      <w:r>
        <w:t>:</w:t>
      </w:r>
    </w:p>
    <w:p w:rsidR="00782F9A" w:rsidRDefault="001E2238" w:rsidP="00561DBA">
      <w:pPr>
        <w:pStyle w:val="ListParagraph"/>
        <w:numPr>
          <w:ilvl w:val="0"/>
          <w:numId w:val="15"/>
        </w:numPr>
        <w:ind w:left="714" w:hanging="357"/>
        <w:contextualSpacing w:val="0"/>
      </w:pPr>
      <w:r>
        <w:t>t</w:t>
      </w:r>
      <w:r w:rsidR="00782F9A">
        <w:t xml:space="preserve">he ongoing commercial viability of services provided from the </w:t>
      </w:r>
      <w:r w:rsidR="00561DBA">
        <w:t>relevant port terminal facility</w:t>
      </w:r>
    </w:p>
    <w:p w:rsidR="00782F9A" w:rsidRDefault="001E2238" w:rsidP="00561DBA">
      <w:pPr>
        <w:pStyle w:val="ListParagraph"/>
        <w:numPr>
          <w:ilvl w:val="0"/>
          <w:numId w:val="15"/>
        </w:numPr>
        <w:ind w:left="714" w:hanging="357"/>
        <w:contextualSpacing w:val="0"/>
      </w:pPr>
      <w:r>
        <w:t>t</w:t>
      </w:r>
      <w:r w:rsidR="00782F9A">
        <w:t xml:space="preserve">he likely impact </w:t>
      </w:r>
      <w:r w:rsidR="00503E35">
        <w:t xml:space="preserve">that greater </w:t>
      </w:r>
      <w:r w:rsidR="00782F9A">
        <w:t>regulation (</w:t>
      </w:r>
      <w:r w:rsidR="00503E35">
        <w:t xml:space="preserve">through the application of </w:t>
      </w:r>
      <w:r w:rsidR="00794F98">
        <w:t>p</w:t>
      </w:r>
      <w:r w:rsidR="00782F9A">
        <w:t xml:space="preserve">arts 3 to 6 of the Code) </w:t>
      </w:r>
      <w:r w:rsidR="0042172E">
        <w:t xml:space="preserve">may have </w:t>
      </w:r>
      <w:r w:rsidR="00782F9A">
        <w:t>on any investment decisions made by the</w:t>
      </w:r>
      <w:r w:rsidR="00561DBA">
        <w:t xml:space="preserve"> port terminal service provider</w:t>
      </w:r>
    </w:p>
    <w:p w:rsidR="00782F9A" w:rsidRDefault="001E2238" w:rsidP="00561DBA">
      <w:pPr>
        <w:pStyle w:val="ListParagraph"/>
        <w:numPr>
          <w:ilvl w:val="0"/>
          <w:numId w:val="15"/>
        </w:numPr>
        <w:ind w:left="714" w:hanging="357"/>
        <w:contextualSpacing w:val="0"/>
      </w:pPr>
      <w:r>
        <w:t>t</w:t>
      </w:r>
      <w:r w:rsidR="00782F9A">
        <w:t xml:space="preserve">he likely impact of the costs incurred by the service provider if it were subject to the requirements of </w:t>
      </w:r>
      <w:r w:rsidR="00D62DA5">
        <w:t>p</w:t>
      </w:r>
      <w:r w:rsidR="00782F9A">
        <w:t>arts 3 to 6 of the Code, including any opportunity costs arising from</w:t>
      </w:r>
      <w:r w:rsidR="00561DBA">
        <w:t xml:space="preserve"> having to comply with the</w:t>
      </w:r>
      <w:r w:rsidR="00503E35">
        <w:t xml:space="preserve">se parts of the </w:t>
      </w:r>
      <w:r w:rsidR="00561DBA">
        <w:t>Code</w:t>
      </w:r>
    </w:p>
    <w:p w:rsidR="00A77DDA" w:rsidRDefault="001E2238" w:rsidP="00782F9A">
      <w:pPr>
        <w:pStyle w:val="ListParagraph"/>
        <w:numPr>
          <w:ilvl w:val="0"/>
          <w:numId w:val="15"/>
        </w:numPr>
        <w:ind w:left="714" w:hanging="357"/>
        <w:contextualSpacing w:val="0"/>
      </w:pPr>
      <w:r>
        <w:t>t</w:t>
      </w:r>
      <w:r w:rsidR="00782F9A">
        <w:t xml:space="preserve">he likely impact of greater regulation </w:t>
      </w:r>
      <w:r w:rsidR="00D62DA5">
        <w:t>(through the application of p</w:t>
      </w:r>
      <w:r w:rsidR="00503E35">
        <w:t xml:space="preserve">arts 3 to 6 of the Code) </w:t>
      </w:r>
      <w:r w:rsidR="00782F9A">
        <w:t>on the service provider’s ability to compete in the provision of port terminal services or other upstream and downstream markets.</w:t>
      </w:r>
    </w:p>
    <w:p w:rsidR="007E08CF" w:rsidRDefault="007E08CF" w:rsidP="007E08CF">
      <w:r>
        <w:t>The ACCC notes Emerald’s submission that the requirement to comply with parts 3 to 6 of the Code is contrary to Emerald’s legitimate commercial interests, impede</w:t>
      </w:r>
      <w:r w:rsidR="003F237A">
        <w:t>s</w:t>
      </w:r>
      <w:r>
        <w:t xml:space="preserve"> Emerald in its operations and </w:t>
      </w:r>
      <w:r w:rsidR="00A67826">
        <w:t xml:space="preserve">effective </w:t>
      </w:r>
      <w:r>
        <w:t>capacity allocation procedures, and</w:t>
      </w:r>
      <w:r w:rsidR="003F237A">
        <w:t xml:space="preserve"> that</w:t>
      </w:r>
      <w:r>
        <w:t xml:space="preserve"> th</w:t>
      </w:r>
      <w:r w:rsidR="009C43F7">
        <w:t>e</w:t>
      </w:r>
      <w:r>
        <w:t xml:space="preserve"> requirement adds a compliance </w:t>
      </w:r>
      <w:r w:rsidR="009C43F7">
        <w:t>c</w:t>
      </w:r>
      <w:r>
        <w:t>ost to Emerald.</w:t>
      </w:r>
      <w:r>
        <w:rPr>
          <w:rStyle w:val="FootnoteReference"/>
        </w:rPr>
        <w:footnoteReference w:id="118"/>
      </w:r>
      <w:r w:rsidR="00794F98">
        <w:t xml:space="preserve"> </w:t>
      </w:r>
    </w:p>
    <w:p w:rsidR="00060114" w:rsidRDefault="00141D36" w:rsidP="00A77DDA">
      <w:r>
        <w:t xml:space="preserve">The Code requires Emerald to allocate port capacity using an ACCC approved system. Currently, Emerald allocates capacity at </w:t>
      </w:r>
      <w:r w:rsidR="00933952">
        <w:t>MPT</w:t>
      </w:r>
      <w:r>
        <w:t xml:space="preserve"> using an annual first-in-first-served </w:t>
      </w:r>
      <w:r w:rsidR="00381CBB">
        <w:t>system</w:t>
      </w:r>
      <w:r w:rsidR="00646672">
        <w:t xml:space="preserve"> which Emerald submits does not provide sufficient incentives for investment in storage and rail assets</w:t>
      </w:r>
      <w:r>
        <w:t>.</w:t>
      </w:r>
      <w:r w:rsidR="00646672">
        <w:rPr>
          <w:rStyle w:val="FootnoteReference"/>
        </w:rPr>
        <w:footnoteReference w:id="119"/>
      </w:r>
      <w:r w:rsidR="00646672">
        <w:t xml:space="preserve"> </w:t>
      </w:r>
      <w:r w:rsidR="00381CBB">
        <w:t xml:space="preserve">Emerald also submits that </w:t>
      </w:r>
      <w:r w:rsidR="00933952">
        <w:t>MPT</w:t>
      </w:r>
      <w:r w:rsidR="00381CBB">
        <w:t xml:space="preserve"> is not being fully utilised despite mandated open access regulation and that it needs to </w:t>
      </w:r>
      <w:r w:rsidR="00933952">
        <w:t xml:space="preserve">be able to </w:t>
      </w:r>
      <w:r w:rsidR="00381CBB">
        <w:t>offer flexible and more open arrangements to exporters to grow patronage.</w:t>
      </w:r>
      <w:r w:rsidR="00381CBB">
        <w:rPr>
          <w:rStyle w:val="FootnoteReference"/>
        </w:rPr>
        <w:footnoteReference w:id="120"/>
      </w:r>
    </w:p>
    <w:p w:rsidR="00B314C0" w:rsidRDefault="00FE7A81" w:rsidP="00FE7A81">
      <w:r>
        <w:t xml:space="preserve">The ACCC considers that </w:t>
      </w:r>
      <w:r w:rsidR="00B314C0">
        <w:t xml:space="preserve">Emerald has an inherit level of flexibility to manage its legitimate business interests even under the existing regulatory arrangements. For example, Emerald can set </w:t>
      </w:r>
      <w:r>
        <w:t xml:space="preserve">prices, </w:t>
      </w:r>
      <w:r w:rsidR="00D924A0">
        <w:t xml:space="preserve">and </w:t>
      </w:r>
      <w:r>
        <w:t xml:space="preserve">terms and conditions for elevation from </w:t>
      </w:r>
      <w:r w:rsidR="00B314C0">
        <w:t>MPT</w:t>
      </w:r>
      <w:r>
        <w:t xml:space="preserve">, and </w:t>
      </w:r>
      <w:r w:rsidR="00B314C0">
        <w:t xml:space="preserve">negotiate </w:t>
      </w:r>
      <w:r>
        <w:t xml:space="preserve">non-standard terms for different exporters. </w:t>
      </w:r>
      <w:r w:rsidR="00B314C0">
        <w:t xml:space="preserve">Emerald may </w:t>
      </w:r>
      <w:r>
        <w:t xml:space="preserve">also </w:t>
      </w:r>
      <w:r w:rsidR="00B314C0">
        <w:t xml:space="preserve">seek to use </w:t>
      </w:r>
      <w:r>
        <w:t>a range of mechanisms to allocate capacity, although there is a formal process to go through for these mechanisms to be changed.</w:t>
      </w:r>
    </w:p>
    <w:p w:rsidR="00646672" w:rsidRDefault="00772912" w:rsidP="00FE7A81">
      <w:r>
        <w:lastRenderedPageBreak/>
        <w:t>The ACCC has</w:t>
      </w:r>
      <w:r w:rsidR="00933952">
        <w:t>,</w:t>
      </w:r>
      <w:r>
        <w:t xml:space="preserve"> </w:t>
      </w:r>
      <w:r w:rsidR="001A7023">
        <w:t>however</w:t>
      </w:r>
      <w:r w:rsidR="00933952">
        <w:t>,</w:t>
      </w:r>
      <w:r w:rsidR="001A7023">
        <w:t xml:space="preserve"> </w:t>
      </w:r>
      <w:r>
        <w:t>previously recognised that</w:t>
      </w:r>
      <w:r w:rsidR="005637CD">
        <w:t xml:space="preserve"> </w:t>
      </w:r>
      <w:r w:rsidR="00272AE9">
        <w:t xml:space="preserve">more </w:t>
      </w:r>
      <w:r>
        <w:t xml:space="preserve">flexible </w:t>
      </w:r>
      <w:r w:rsidR="00B9017E">
        <w:t xml:space="preserve">capacity allocation </w:t>
      </w:r>
      <w:r>
        <w:t xml:space="preserve">arrangements can provide a number of potential benefits to both port terminal service providers </w:t>
      </w:r>
      <w:r w:rsidR="005637CD">
        <w:t xml:space="preserve">and </w:t>
      </w:r>
      <w:r>
        <w:t>access seekers</w:t>
      </w:r>
      <w:r w:rsidR="005637CD">
        <w:t xml:space="preserve">, and that </w:t>
      </w:r>
      <w:r w:rsidR="006B2DE1">
        <w:t>these types of</w:t>
      </w:r>
      <w:r w:rsidR="00060114">
        <w:t xml:space="preserve"> arrangements</w:t>
      </w:r>
      <w:r w:rsidR="005637CD">
        <w:t xml:space="preserve"> may be appropriate in some cases</w:t>
      </w:r>
      <w:r>
        <w:t xml:space="preserve">. </w:t>
      </w:r>
      <w:r w:rsidR="00D461EF">
        <w:t xml:space="preserve">Potential </w:t>
      </w:r>
      <w:r w:rsidR="00060114">
        <w:t>b</w:t>
      </w:r>
      <w:r w:rsidR="00272AE9">
        <w:t xml:space="preserve">enefits can include greater </w:t>
      </w:r>
      <w:r w:rsidR="00272AE9" w:rsidRPr="00A65856">
        <w:t>certainty for users in planning their long-term grain export programs and assist in supply-chain planning</w:t>
      </w:r>
      <w:r w:rsidR="00B9017E">
        <w:t>.</w:t>
      </w:r>
      <w:r w:rsidR="00AF3899" w:rsidRPr="00A65856">
        <w:rPr>
          <w:rStyle w:val="FootnoteReference"/>
          <w:sz w:val="22"/>
          <w:szCs w:val="21"/>
        </w:rPr>
        <w:footnoteReference w:id="121"/>
      </w:r>
      <w:r w:rsidR="00A67826">
        <w:t xml:space="preserve"> </w:t>
      </w:r>
      <w:r w:rsidR="001A7023">
        <w:t>Emerald could seek to change its capacity allocation system while remaining under the oversight of parts 3 to 6 of the Code</w:t>
      </w:r>
      <w:r w:rsidR="007D7D22">
        <w:t>. H</w:t>
      </w:r>
      <w:r w:rsidR="001A7023">
        <w:t>owever</w:t>
      </w:r>
      <w:r w:rsidR="007D7D22">
        <w:t>,</w:t>
      </w:r>
      <w:r w:rsidR="001A7023">
        <w:t xml:space="preserve"> this process may not necessarily lead to a significant change in the level of flexibility</w:t>
      </w:r>
      <w:r w:rsidR="00635850">
        <w:t>, as there is some time required for an approval to take place</w:t>
      </w:r>
      <w:r w:rsidR="001A7023">
        <w:t>.</w:t>
      </w:r>
    </w:p>
    <w:p w:rsidR="00764A9A" w:rsidRDefault="00315326" w:rsidP="00CF4AF6">
      <w:r>
        <w:t xml:space="preserve">The ACCC’s </w:t>
      </w:r>
      <w:r w:rsidR="00A42283">
        <w:t>consider</w:t>
      </w:r>
      <w:r w:rsidR="00764A9A">
        <w:t>ation of subclauses 5(3)(b) and (g) (see below) note</w:t>
      </w:r>
      <w:r w:rsidR="00A42283">
        <w:t>s</w:t>
      </w:r>
      <w:r>
        <w:t xml:space="preserve"> that </w:t>
      </w:r>
      <w:r w:rsidRPr="00315326">
        <w:t>Emerald</w:t>
      </w:r>
      <w:r>
        <w:t xml:space="preserve">’s </w:t>
      </w:r>
      <w:r w:rsidR="007C129D">
        <w:t>MPT</w:t>
      </w:r>
      <w:r w:rsidR="00B058C5" w:rsidRPr="00315326">
        <w:t xml:space="preserve"> faces competition from GrainCorp’s Geelong </w:t>
      </w:r>
      <w:r w:rsidR="00B058C5">
        <w:t xml:space="preserve">port terminal as both terminals share a similar grain catchment area and </w:t>
      </w:r>
      <w:r w:rsidR="00CC7658">
        <w:t xml:space="preserve">despite some differences in the features of the two terminals, they </w:t>
      </w:r>
      <w:r w:rsidR="00B058C5">
        <w:t>provide</w:t>
      </w:r>
      <w:r>
        <w:t xml:space="preserve"> </w:t>
      </w:r>
      <w:r w:rsidR="00CC7658">
        <w:t xml:space="preserve">broadly </w:t>
      </w:r>
      <w:r>
        <w:t xml:space="preserve">similar </w:t>
      </w:r>
      <w:r w:rsidR="004257F1">
        <w:t xml:space="preserve">port terminal </w:t>
      </w:r>
      <w:r>
        <w:t xml:space="preserve">services. Additionally </w:t>
      </w:r>
      <w:r w:rsidR="00794F98">
        <w:t xml:space="preserve">the ACCC considers that </w:t>
      </w:r>
      <w:r w:rsidR="00B058C5">
        <w:t>Emerald’s bulk export programme faces competition from the significant container export and domestic markets in Victoria.</w:t>
      </w:r>
    </w:p>
    <w:p w:rsidR="00315326" w:rsidRPr="00315326" w:rsidRDefault="00764A9A" w:rsidP="00CF4AF6">
      <w:r>
        <w:t>As an exempt port terminal services provider, i</w:t>
      </w:r>
      <w:r w:rsidRPr="00764A9A">
        <w:t xml:space="preserve">n addition to allowing Emerald </w:t>
      </w:r>
      <w:r>
        <w:t>to use more flexible</w:t>
      </w:r>
      <w:r w:rsidRPr="00764A9A">
        <w:t xml:space="preserve"> capacity allocation systems, </w:t>
      </w:r>
      <w:r>
        <w:t xml:space="preserve">Emerald could also engage more freely in </w:t>
      </w:r>
      <w:r w:rsidRPr="00764A9A">
        <w:t>direct commercial negotiations, vary operational rules for commercial reasons</w:t>
      </w:r>
      <w:r>
        <w:t xml:space="preserve"> and </w:t>
      </w:r>
      <w:r w:rsidRPr="00764A9A">
        <w:t>tailor access agreements</w:t>
      </w:r>
      <w:r>
        <w:t xml:space="preserve"> for certain customers. In an environment where Emerald faces significant competition, these flexibilities could </w:t>
      </w:r>
      <w:r w:rsidR="00794F98">
        <w:t xml:space="preserve">allow </w:t>
      </w:r>
      <w:r>
        <w:t xml:space="preserve">Emerald </w:t>
      </w:r>
      <w:r w:rsidR="00CF4AF6">
        <w:t xml:space="preserve">to compete more </w:t>
      </w:r>
      <w:r w:rsidR="00A42283">
        <w:t>vigorously in and with these markets.</w:t>
      </w:r>
      <w:r w:rsidR="00794F98">
        <w:t xml:space="preserve"> </w:t>
      </w:r>
    </w:p>
    <w:p w:rsidR="00A67826" w:rsidRDefault="00685D0A" w:rsidP="00A77DDA">
      <w:r w:rsidRPr="00685D0A">
        <w:t xml:space="preserve">The ACCC also recognises that regulation does impose some cost on the regulated business, and that it would be efficient to reduce that cost </w:t>
      </w:r>
      <w:r>
        <w:t xml:space="preserve">where </w:t>
      </w:r>
      <w:r w:rsidR="00A67826">
        <w:t xml:space="preserve">regulation </w:t>
      </w:r>
      <w:r>
        <w:t>is not necessary, such as where there are sufficient competitive constraints.</w:t>
      </w:r>
      <w:r w:rsidR="00F262F1">
        <w:t xml:space="preserve"> </w:t>
      </w:r>
      <w:r w:rsidR="0063742E">
        <w:t xml:space="preserve">Given the degree of competition that Emerald’s </w:t>
      </w:r>
      <w:r w:rsidR="007C129D">
        <w:t>MPT</w:t>
      </w:r>
      <w:r w:rsidR="0063742E">
        <w:t xml:space="preserve"> faces, and the potential to reduce regulatory costs on Emerald, </w:t>
      </w:r>
      <w:r w:rsidR="00A67826">
        <w:t xml:space="preserve">the ACCC’s preliminary view is that granting an exemption to Emerald </w:t>
      </w:r>
      <w:r w:rsidR="004201BD">
        <w:t xml:space="preserve">could </w:t>
      </w:r>
      <w:r w:rsidR="00A67826">
        <w:t>be in</w:t>
      </w:r>
      <w:r w:rsidR="00D461EF">
        <w:t xml:space="preserve"> Emerald’s </w:t>
      </w:r>
      <w:r w:rsidR="00A67826">
        <w:t>legitimate business interests.</w:t>
      </w:r>
    </w:p>
    <w:p w:rsidR="00B43C63" w:rsidRDefault="00A77DDA" w:rsidP="0079322B">
      <w:pPr>
        <w:pStyle w:val="Heading4"/>
        <w:numPr>
          <w:ilvl w:val="0"/>
          <w:numId w:val="0"/>
        </w:numPr>
        <w:tabs>
          <w:tab w:val="left" w:pos="0"/>
        </w:tabs>
        <w:spacing w:before="360"/>
      </w:pPr>
      <w:r w:rsidRPr="00A17677">
        <w:t xml:space="preserve">(b) </w:t>
      </w:r>
      <w:r w:rsidRPr="00E10B60">
        <w:t>the public interest, including the public interest in having competition in markets</w:t>
      </w:r>
      <w:r w:rsidR="0088088F">
        <w:t xml:space="preserve">; and </w:t>
      </w:r>
      <w:r w:rsidR="00B43C63">
        <w:t>(g)</w:t>
      </w:r>
      <w:r w:rsidR="0088088F">
        <w:t xml:space="preserve"> </w:t>
      </w:r>
      <w:r w:rsidR="00B43C63" w:rsidRPr="00BC1D85">
        <w:t>the promotion of competition in upstream and downstream markets</w:t>
      </w:r>
    </w:p>
    <w:p w:rsidR="00F571A3" w:rsidRDefault="0088088F" w:rsidP="00F571A3">
      <w:r>
        <w:t>The ACCC considers that subclauses 5(3)(b) and (g) relate to the promotion of competition in markets</w:t>
      </w:r>
      <w:r w:rsidR="00F261D4">
        <w:t>,</w:t>
      </w:r>
      <w:r>
        <w:t xml:space="preserve"> including the market for bulk wheat port terminal services as well as for upstream</w:t>
      </w:r>
      <w:r w:rsidR="00B2510A">
        <w:t>,</w:t>
      </w:r>
      <w:r>
        <w:t xml:space="preserve"> downstream </w:t>
      </w:r>
      <w:r w:rsidR="00B2510A">
        <w:t xml:space="preserve">and related </w:t>
      </w:r>
      <w:r>
        <w:t xml:space="preserve">markets. </w:t>
      </w:r>
      <w:r w:rsidR="009C1B32">
        <w:t>More broadly, t</w:t>
      </w:r>
      <w:r w:rsidR="00F571A3">
        <w:t>he ACCC consider</w:t>
      </w:r>
      <w:r w:rsidR="00DF3AC3">
        <w:t>s</w:t>
      </w:r>
      <w:r w:rsidR="00F571A3">
        <w:t xml:space="preserve"> the following matters </w:t>
      </w:r>
      <w:r w:rsidR="00DF3AC3">
        <w:t xml:space="preserve">are relevant to </w:t>
      </w:r>
      <w:r w:rsidR="00D62DA5">
        <w:t xml:space="preserve">having regard to </w:t>
      </w:r>
      <w:r w:rsidR="009C1B32">
        <w:t>the public interest</w:t>
      </w:r>
      <w:r w:rsidR="00D62DA5">
        <w:t xml:space="preserve"> under clause 5(3)(b)</w:t>
      </w:r>
      <w:r w:rsidR="00F571A3">
        <w:t>:</w:t>
      </w:r>
    </w:p>
    <w:p w:rsidR="00F571A3" w:rsidRDefault="00F571A3" w:rsidP="00F571A3">
      <w:pPr>
        <w:pStyle w:val="ListParagraph"/>
        <w:numPr>
          <w:ilvl w:val="0"/>
          <w:numId w:val="15"/>
        </w:numPr>
        <w:ind w:left="714" w:hanging="357"/>
        <w:contextualSpacing w:val="0"/>
      </w:pPr>
      <w:r>
        <w:t>economic and regional development, including employment and investment growth</w:t>
      </w:r>
    </w:p>
    <w:p w:rsidR="00F571A3" w:rsidRDefault="00F571A3" w:rsidP="00F571A3">
      <w:pPr>
        <w:pStyle w:val="ListParagraph"/>
        <w:numPr>
          <w:ilvl w:val="0"/>
          <w:numId w:val="15"/>
        </w:numPr>
        <w:ind w:left="714" w:hanging="357"/>
        <w:contextualSpacing w:val="0"/>
      </w:pPr>
      <w:r>
        <w:t>the interests of consumers generally or as a class of consumers</w:t>
      </w:r>
    </w:p>
    <w:p w:rsidR="00F571A3" w:rsidRDefault="00F571A3" w:rsidP="00F571A3">
      <w:pPr>
        <w:pStyle w:val="ListParagraph"/>
        <w:numPr>
          <w:ilvl w:val="0"/>
          <w:numId w:val="15"/>
        </w:numPr>
        <w:ind w:left="714" w:hanging="357"/>
        <w:contextualSpacing w:val="0"/>
      </w:pPr>
      <w:r>
        <w:t>the competitiveness of Australian businesses</w:t>
      </w:r>
    </w:p>
    <w:p w:rsidR="00F571A3" w:rsidRDefault="00F571A3" w:rsidP="00F571A3">
      <w:pPr>
        <w:pStyle w:val="ListParagraph"/>
        <w:numPr>
          <w:ilvl w:val="0"/>
          <w:numId w:val="15"/>
        </w:numPr>
        <w:ind w:left="714" w:hanging="357"/>
        <w:contextualSpacing w:val="0"/>
      </w:pPr>
      <w:r>
        <w:t>the efficient allocation of resources.</w:t>
      </w:r>
    </w:p>
    <w:p w:rsidR="00A20367" w:rsidRDefault="00A20367" w:rsidP="00F2549B">
      <w:pPr>
        <w:keepNext/>
      </w:pPr>
      <w:r>
        <w:lastRenderedPageBreak/>
        <w:t>The following factors are relevant when having regard to subclauses 5(3)(b) and (g):</w:t>
      </w:r>
    </w:p>
    <w:p w:rsidR="00A20367" w:rsidRDefault="00A20367" w:rsidP="00A20367">
      <w:pPr>
        <w:pStyle w:val="ListParagraph"/>
        <w:numPr>
          <w:ilvl w:val="0"/>
          <w:numId w:val="15"/>
        </w:numPr>
        <w:ind w:left="714" w:hanging="357"/>
        <w:contextualSpacing w:val="0"/>
      </w:pPr>
      <w:r>
        <w:t>Whether there is a sufficient competition in the market for bulk wheat export port terminal services</w:t>
      </w:r>
      <w:r w:rsidR="00811B6C">
        <w:t xml:space="preserve">, </w:t>
      </w:r>
      <w:r>
        <w:t>such that the full application of the Code may not be required to promote competition for those services or in upstream and downstream markets.</w:t>
      </w:r>
    </w:p>
    <w:p w:rsidR="00A20367" w:rsidRDefault="00A20367" w:rsidP="00A20367">
      <w:pPr>
        <w:pStyle w:val="ListParagraph"/>
        <w:numPr>
          <w:ilvl w:val="0"/>
          <w:numId w:val="15"/>
        </w:numPr>
        <w:contextualSpacing w:val="0"/>
      </w:pPr>
      <w:r>
        <w:t xml:space="preserve">Whether reducing regulation will allow the port terminal service provider to better compete in upstream or downstream markets such that it would also promote competition. </w:t>
      </w:r>
      <w:r w:rsidRPr="00A20367">
        <w:t>This consideration overlaps with the ACCC’s consideration of legitimate business interest (subclause 5(3)(a) discussed above)</w:t>
      </w:r>
      <w:r>
        <w:t>.</w:t>
      </w:r>
    </w:p>
    <w:p w:rsidR="00A20367" w:rsidRDefault="00A20367" w:rsidP="00A20367">
      <w:pPr>
        <w:pStyle w:val="ListParagraph"/>
        <w:numPr>
          <w:ilvl w:val="0"/>
          <w:numId w:val="15"/>
        </w:numPr>
        <w:ind w:left="714" w:hanging="357"/>
        <w:contextualSpacing w:val="0"/>
      </w:pPr>
      <w:r>
        <w:t>Whether there is sufficient competition in upstream and downstream markets such that there is a constraint on the exercise of market power in the provision of port terminal services in the absence of parts 3 to 6 of the Code applying.</w:t>
      </w:r>
    </w:p>
    <w:p w:rsidR="006F13D0" w:rsidRPr="006F13D0" w:rsidRDefault="006F13D0" w:rsidP="006F13D0">
      <w:pPr>
        <w:rPr>
          <w:i/>
        </w:rPr>
      </w:pPr>
      <w:r w:rsidRPr="006F13D0">
        <w:rPr>
          <w:i/>
        </w:rPr>
        <w:t xml:space="preserve">Competition </w:t>
      </w:r>
      <w:r w:rsidR="00251378">
        <w:rPr>
          <w:i/>
        </w:rPr>
        <w:t>in</w:t>
      </w:r>
      <w:r w:rsidRPr="006F13D0">
        <w:rPr>
          <w:i/>
        </w:rPr>
        <w:t xml:space="preserve"> bulk wheat export operations</w:t>
      </w:r>
    </w:p>
    <w:p w:rsidR="001F4702" w:rsidRDefault="001F4702" w:rsidP="001F4702">
      <w:r>
        <w:t xml:space="preserve">The ACCC has previously recognised a degree of competition between </w:t>
      </w:r>
      <w:r w:rsidR="007A3280">
        <w:t xml:space="preserve">Emerald’s </w:t>
      </w:r>
      <w:r w:rsidR="007C129D">
        <w:t>MPT</w:t>
      </w:r>
      <w:r w:rsidR="007A3280">
        <w:t xml:space="preserve"> facilities and </w:t>
      </w:r>
      <w:r>
        <w:t>GrainCorp</w:t>
      </w:r>
      <w:r w:rsidR="007A3280">
        <w:t>’s</w:t>
      </w:r>
      <w:r>
        <w:t xml:space="preserve"> Geelong </w:t>
      </w:r>
      <w:r w:rsidR="007A3280">
        <w:t>port terminal</w:t>
      </w:r>
      <w:r>
        <w:t>. In the ACCC’s assessment of Emerald’s (previously Australian Bulk Alliance) 2011 access undertaking, the ACCC noted that:</w:t>
      </w:r>
    </w:p>
    <w:p w:rsidR="001F4702" w:rsidRPr="001F4702" w:rsidRDefault="001F4702" w:rsidP="001F4702">
      <w:pPr>
        <w:ind w:left="720"/>
        <w:rPr>
          <w:sz w:val="20"/>
        </w:rPr>
      </w:pPr>
      <w:r w:rsidRPr="001F4702">
        <w:rPr>
          <w:sz w:val="20"/>
        </w:rPr>
        <w:t>The ACCC considers that Australian Bulk Alliance (ABA) has a lesser degree of market power than other port terminal operators. In this regard the ACCC notes that ABA provides a small proportion of total up-country storage in Victoria and New South Wales relative to that provided by upcountry competitors GrainCorp and Grainflow. There is also competition in the provision of Port Terminal Services in Victoria, particularly between ABA’s MPT and GrainCorp’s Geelong port terminal.</w:t>
      </w:r>
      <w:r>
        <w:rPr>
          <w:rStyle w:val="FootnoteReference"/>
        </w:rPr>
        <w:footnoteReference w:id="122"/>
      </w:r>
    </w:p>
    <w:p w:rsidR="006F13D0" w:rsidRDefault="006F13D0" w:rsidP="00B43C63">
      <w:r>
        <w:t>The ACCC</w:t>
      </w:r>
      <w:r w:rsidR="00E816BB">
        <w:t>’s</w:t>
      </w:r>
      <w:r>
        <w:t xml:space="preserve"> </w:t>
      </w:r>
      <w:r w:rsidR="00E816BB">
        <w:t xml:space="preserve">preliminary view is consistent with its previous views </w:t>
      </w:r>
      <w:r>
        <w:t xml:space="preserve">that there is </w:t>
      </w:r>
      <w:r w:rsidR="00641EB9">
        <w:t xml:space="preserve">some level of </w:t>
      </w:r>
      <w:r>
        <w:t xml:space="preserve">competition </w:t>
      </w:r>
      <w:r w:rsidR="00A0555B">
        <w:t>in the provision of port terminal services b</w:t>
      </w:r>
      <w:r>
        <w:t xml:space="preserve">etween </w:t>
      </w:r>
      <w:r w:rsidR="00A0555B">
        <w:t xml:space="preserve">Emerald’s </w:t>
      </w:r>
      <w:r w:rsidR="007C129D">
        <w:t>MPT</w:t>
      </w:r>
      <w:r w:rsidR="00A0555B">
        <w:t xml:space="preserve"> and GrainCorp’s Geelong port terminal.</w:t>
      </w:r>
      <w:r w:rsidR="007218C7">
        <w:t xml:space="preserve"> </w:t>
      </w:r>
      <w:r>
        <w:t xml:space="preserve">In particular, the ACCC notes </w:t>
      </w:r>
      <w:r w:rsidR="005857B3">
        <w:t xml:space="preserve">from its analysis of the port terminal services in chapter 2, and </w:t>
      </w:r>
      <w:r w:rsidR="00F83097">
        <w:t xml:space="preserve">its </w:t>
      </w:r>
      <w:r w:rsidR="005857B3">
        <w:t>consideration of upcountry and related markets in chapter 3, that</w:t>
      </w:r>
      <w:r>
        <w:t>:</w:t>
      </w:r>
    </w:p>
    <w:p w:rsidR="00F6164E" w:rsidRDefault="00F6164E" w:rsidP="00F6164E">
      <w:pPr>
        <w:pStyle w:val="ListParagraph"/>
        <w:numPr>
          <w:ilvl w:val="0"/>
          <w:numId w:val="15"/>
        </w:numPr>
        <w:ind w:left="714" w:hanging="357"/>
        <w:contextualSpacing w:val="0"/>
      </w:pPr>
      <w:r>
        <w:t xml:space="preserve">Emerald’s </w:t>
      </w:r>
      <w:r w:rsidR="007C129D">
        <w:t>MPT</w:t>
      </w:r>
      <w:r>
        <w:t xml:space="preserve"> and GrainCorp’s Geelong facility provide </w:t>
      </w:r>
      <w:r w:rsidR="00CC7658">
        <w:t>broadly similar services</w:t>
      </w:r>
      <w:r w:rsidR="00635850">
        <w:t>.</w:t>
      </w:r>
      <w:r w:rsidR="00B2363F">
        <w:t xml:space="preserve"> For instance, both port terminals </w:t>
      </w:r>
      <w:r w:rsidR="00F041C6">
        <w:t xml:space="preserve">have a comparable loading capacity, </w:t>
      </w:r>
      <w:r w:rsidR="0082162B">
        <w:t xml:space="preserve">a similar draft and </w:t>
      </w:r>
      <w:r w:rsidR="00F041C6">
        <w:t>can accommodate similar size vessels</w:t>
      </w:r>
      <w:r w:rsidR="00635850">
        <w:t>. B</w:t>
      </w:r>
      <w:r w:rsidR="0082162B">
        <w:t xml:space="preserve">oth terminals </w:t>
      </w:r>
      <w:r w:rsidR="00635850">
        <w:t xml:space="preserve">also </w:t>
      </w:r>
      <w:r w:rsidR="0082162B">
        <w:t xml:space="preserve">have </w:t>
      </w:r>
      <w:r w:rsidR="00641EB9">
        <w:t xml:space="preserve">similar </w:t>
      </w:r>
      <w:r w:rsidR="0082162B">
        <w:t>road and rail access.</w:t>
      </w:r>
    </w:p>
    <w:p w:rsidR="00DF47BD" w:rsidRDefault="00F6164E" w:rsidP="006F13D0">
      <w:pPr>
        <w:pStyle w:val="ListParagraph"/>
        <w:numPr>
          <w:ilvl w:val="0"/>
          <w:numId w:val="15"/>
        </w:numPr>
        <w:ind w:left="714" w:hanging="357"/>
        <w:contextualSpacing w:val="0"/>
      </w:pPr>
      <w:r>
        <w:t xml:space="preserve">Analysis of the </w:t>
      </w:r>
      <w:r w:rsidR="00DF47BD">
        <w:t>relevant catchment areas</w:t>
      </w:r>
      <w:r w:rsidR="0082162B">
        <w:t xml:space="preserve"> in chapter 3</w:t>
      </w:r>
      <w:r>
        <w:t xml:space="preserve"> indicates that </w:t>
      </w:r>
      <w:r w:rsidR="00DF47BD">
        <w:t xml:space="preserve">there is overlap in the grain catchment areas for </w:t>
      </w:r>
      <w:r w:rsidR="007C129D">
        <w:t>MPT</w:t>
      </w:r>
      <w:r w:rsidR="00DF47BD">
        <w:t xml:space="preserve"> and GrainCorp’s Geelong port terminal.</w:t>
      </w:r>
      <w:r>
        <w:t xml:space="preserve"> </w:t>
      </w:r>
      <w:r w:rsidR="00A027D2">
        <w:t xml:space="preserve">The indicative </w:t>
      </w:r>
      <w:r w:rsidR="00635850">
        <w:t xml:space="preserve">GTA </w:t>
      </w:r>
      <w:r w:rsidR="00A027D2">
        <w:t>freight charges are comparable to transport grain from various sites to either port. Additionally</w:t>
      </w:r>
      <w:r w:rsidR="00635850">
        <w:t>,</w:t>
      </w:r>
      <w:r w:rsidR="00A027D2">
        <w:t xml:space="preserve"> the significant use of road transport provides a degree of flexibility in grain transport </w:t>
      </w:r>
      <w:r w:rsidR="00DF0E17">
        <w:t xml:space="preserve">options </w:t>
      </w:r>
      <w:r w:rsidR="00A027D2">
        <w:t xml:space="preserve">in Victoria. </w:t>
      </w:r>
      <w:r w:rsidR="00DF6166">
        <w:t>Together, t</w:t>
      </w:r>
      <w:r>
        <w:t xml:space="preserve">his suggests that </w:t>
      </w:r>
      <w:r w:rsidR="000B483B">
        <w:t xml:space="preserve">a significant number of </w:t>
      </w:r>
      <w:r w:rsidR="00B2363F">
        <w:t xml:space="preserve">marketers </w:t>
      </w:r>
      <w:r>
        <w:t>have the option of substituting between Melbourne and Geelong port terminals</w:t>
      </w:r>
      <w:r w:rsidR="00DB03AA">
        <w:t xml:space="preserve"> to export bulk wheat</w:t>
      </w:r>
      <w:r>
        <w:t>.</w:t>
      </w:r>
    </w:p>
    <w:p w:rsidR="00F6164E" w:rsidRDefault="00DB03AA" w:rsidP="006F13D0">
      <w:pPr>
        <w:pStyle w:val="ListParagraph"/>
        <w:numPr>
          <w:ilvl w:val="0"/>
          <w:numId w:val="15"/>
        </w:numPr>
        <w:ind w:left="714" w:hanging="357"/>
        <w:contextualSpacing w:val="0"/>
      </w:pPr>
      <w:r>
        <w:t xml:space="preserve">There appears to be </w:t>
      </w:r>
      <w:r w:rsidR="007728A0">
        <w:t xml:space="preserve">significant spare </w:t>
      </w:r>
      <w:r>
        <w:t>c</w:t>
      </w:r>
      <w:r w:rsidR="008B4775">
        <w:t xml:space="preserve">apacity </w:t>
      </w:r>
      <w:r w:rsidR="007728A0">
        <w:t>availabl</w:t>
      </w:r>
      <w:r w:rsidR="004201BD">
        <w:t xml:space="preserve">e </w:t>
      </w:r>
      <w:r w:rsidR="007728A0">
        <w:t xml:space="preserve">at Emerald’s </w:t>
      </w:r>
      <w:r>
        <w:t>Melbo</w:t>
      </w:r>
      <w:r w:rsidR="00940138">
        <w:t xml:space="preserve">urne terminal. This </w:t>
      </w:r>
      <w:r w:rsidR="007728A0">
        <w:t xml:space="preserve">has </w:t>
      </w:r>
      <w:r w:rsidR="00940138">
        <w:t>occur</w:t>
      </w:r>
      <w:r w:rsidR="007728A0">
        <w:t>red</w:t>
      </w:r>
      <w:r w:rsidR="00940138">
        <w:t xml:space="preserve"> on an annual basis as well as during </w:t>
      </w:r>
      <w:r w:rsidR="007728A0">
        <w:t>non-</w:t>
      </w:r>
      <w:r w:rsidR="00940138">
        <w:t>peak shipping periods.</w:t>
      </w:r>
      <w:r w:rsidR="00395E03">
        <w:t xml:space="preserve"> </w:t>
      </w:r>
      <w:r w:rsidR="007728A0">
        <w:t xml:space="preserve">In general, there has also been spare capacity at peak times, with the exception of one or two months over a two year period. The </w:t>
      </w:r>
      <w:r w:rsidR="00395E03">
        <w:t xml:space="preserve">significant spare </w:t>
      </w:r>
      <w:r w:rsidR="00395E03">
        <w:lastRenderedPageBreak/>
        <w:t>capacity at MPT, suggest</w:t>
      </w:r>
      <w:r w:rsidR="007728A0">
        <w:t>s</w:t>
      </w:r>
      <w:r w:rsidR="00395E03">
        <w:t xml:space="preserve"> that Emerald would be commercially incentivised to compete for</w:t>
      </w:r>
      <w:r w:rsidR="00DB35C4">
        <w:t xml:space="preserve"> greater</w:t>
      </w:r>
      <w:r w:rsidR="00395E03">
        <w:t xml:space="preserve"> volume throughput.</w:t>
      </w:r>
    </w:p>
    <w:p w:rsidR="00671238" w:rsidRDefault="00B2363F" w:rsidP="00A86AC5">
      <w:pPr>
        <w:pStyle w:val="ListParagraph"/>
        <w:numPr>
          <w:ilvl w:val="0"/>
          <w:numId w:val="15"/>
        </w:numPr>
        <w:contextualSpacing w:val="0"/>
      </w:pPr>
      <w:r>
        <w:t xml:space="preserve">While the ACCC notes </w:t>
      </w:r>
      <w:r w:rsidR="00753D43">
        <w:t xml:space="preserve">that </w:t>
      </w:r>
      <w:r>
        <w:t xml:space="preserve">certain </w:t>
      </w:r>
      <w:r w:rsidR="00753D43">
        <w:t xml:space="preserve">new port </w:t>
      </w:r>
      <w:r>
        <w:t>developments are still some time from operation, there are p</w:t>
      </w:r>
      <w:r w:rsidR="00A86AC5">
        <w:t>lans to develop further bulk wheat port terminals in Victoria, in particular Bunge’s proposed Geelong facility</w:t>
      </w:r>
      <w:r>
        <w:t>. Th</w:t>
      </w:r>
      <w:r w:rsidR="00767E8F">
        <w:t>is</w:t>
      </w:r>
      <w:r>
        <w:t xml:space="preserve"> proposal is planned to link to complimentary infrastructure currently uploading woodchips, a strategy which has been successfully implemented at Bunge’s Bunbury terminal in Western Australia. </w:t>
      </w:r>
      <w:r w:rsidR="000106A3">
        <w:t>Given that the facility is not yet operational, the ACCC considers that the extent of competitive pressure is somewhat limited. However, t</w:t>
      </w:r>
      <w:r>
        <w:t xml:space="preserve">he </w:t>
      </w:r>
      <w:r w:rsidR="00767E8F">
        <w:t xml:space="preserve">proven ability for companies to implement such facilities </w:t>
      </w:r>
      <w:r w:rsidR="00A86AC5">
        <w:t xml:space="preserve">suggests that the barriers to enter the bulk wheat port terminal services market are not </w:t>
      </w:r>
      <w:r w:rsidR="00635850">
        <w:t xml:space="preserve">prohibitively </w:t>
      </w:r>
      <w:r w:rsidR="00A86AC5">
        <w:t>high</w:t>
      </w:r>
      <w:r w:rsidR="000106A3">
        <w:t xml:space="preserve"> in some cases</w:t>
      </w:r>
      <w:r w:rsidR="00635850">
        <w:t>.</w:t>
      </w:r>
      <w:r w:rsidR="00A86AC5">
        <w:t xml:space="preserve"> </w:t>
      </w:r>
      <w:r w:rsidR="00AC3415">
        <w:t xml:space="preserve">The ACCC considers that </w:t>
      </w:r>
      <w:r w:rsidR="00767E8F">
        <w:t xml:space="preserve">Bunge’s proposal represents </w:t>
      </w:r>
      <w:r w:rsidR="00A86AC5" w:rsidRPr="00A86AC5">
        <w:t xml:space="preserve">a credible threat of new entry/expansion </w:t>
      </w:r>
      <w:r w:rsidR="00767E8F">
        <w:t xml:space="preserve">in Geelong, </w:t>
      </w:r>
      <w:r w:rsidR="00A86AC5" w:rsidRPr="00A86AC5">
        <w:t>which provide</w:t>
      </w:r>
      <w:r w:rsidR="00B543DB">
        <w:t>s</w:t>
      </w:r>
      <w:r w:rsidR="00A86AC5" w:rsidRPr="00A86AC5">
        <w:t xml:space="preserve"> a</w:t>
      </w:r>
      <w:r w:rsidR="00613AAF">
        <w:t xml:space="preserve"> further </w:t>
      </w:r>
      <w:r w:rsidR="00A86AC5" w:rsidRPr="00A86AC5">
        <w:t xml:space="preserve">constraint on </w:t>
      </w:r>
      <w:r w:rsidR="00A86AC5">
        <w:t>Emerald.</w:t>
      </w:r>
      <w:r w:rsidR="00260F5A">
        <w:t xml:space="preserve"> Additionally, Bunge has been a client of both Emerald’s MPT and GrainCorp’s Geelong facility.</w:t>
      </w:r>
    </w:p>
    <w:p w:rsidR="0040677F" w:rsidRPr="0040677F" w:rsidRDefault="00DB03AA" w:rsidP="009851A5">
      <w:pPr>
        <w:keepNext/>
        <w:rPr>
          <w:i/>
        </w:rPr>
      </w:pPr>
      <w:r>
        <w:rPr>
          <w:i/>
        </w:rPr>
        <w:t>Competition in u</w:t>
      </w:r>
      <w:r w:rsidR="0040677F" w:rsidRPr="0040677F">
        <w:rPr>
          <w:i/>
        </w:rPr>
        <w:t>pstream and downstream markets</w:t>
      </w:r>
    </w:p>
    <w:p w:rsidR="00BA370E" w:rsidRDefault="00E536AC" w:rsidP="0040677F">
      <w:r>
        <w:t xml:space="preserve">The ACCC’s preliminary view is that </w:t>
      </w:r>
      <w:r w:rsidR="00906FC7">
        <w:t xml:space="preserve">the state of competition in </w:t>
      </w:r>
      <w:r w:rsidR="00BA370E">
        <w:t xml:space="preserve">upstream markets </w:t>
      </w:r>
      <w:r w:rsidR="00906FC7">
        <w:t>across Victoria and southern NSW place a</w:t>
      </w:r>
      <w:r w:rsidR="00BA370E">
        <w:t>n</w:t>
      </w:r>
      <w:r w:rsidR="00906FC7">
        <w:t xml:space="preserve"> </w:t>
      </w:r>
      <w:r w:rsidR="00BA370E">
        <w:t xml:space="preserve">additional and </w:t>
      </w:r>
      <w:r w:rsidR="00906FC7">
        <w:t>significant constraint on Emerald</w:t>
      </w:r>
      <w:r w:rsidR="004A0E30">
        <w:t>’s MPT</w:t>
      </w:r>
      <w:r w:rsidR="00906FC7">
        <w:t xml:space="preserve"> which would limit its ability to exercise </w:t>
      </w:r>
      <w:r w:rsidR="00394B3B">
        <w:t xml:space="preserve">any </w:t>
      </w:r>
      <w:r w:rsidR="00906FC7">
        <w:t>market power</w:t>
      </w:r>
      <w:r w:rsidR="00C47C8A">
        <w:t xml:space="preserve"> arising from its vertical</w:t>
      </w:r>
      <w:r w:rsidR="00FB298C">
        <w:t>ly</w:t>
      </w:r>
      <w:r w:rsidR="00C47C8A">
        <w:t xml:space="preserve"> integrat</w:t>
      </w:r>
      <w:r w:rsidR="00FB298C">
        <w:t>ed operations</w:t>
      </w:r>
      <w:r w:rsidR="00906FC7">
        <w:t xml:space="preserve">. </w:t>
      </w:r>
    </w:p>
    <w:p w:rsidR="00E536AC" w:rsidRDefault="00E12DC0" w:rsidP="0040677F">
      <w:r>
        <w:t>Based on its analysis of upcountry and related markets in chapter 3, t</w:t>
      </w:r>
      <w:r w:rsidR="004C0B77">
        <w:t>he ACCC considers that:</w:t>
      </w:r>
    </w:p>
    <w:p w:rsidR="008C6836" w:rsidRDefault="00641EB9" w:rsidP="006F13D0">
      <w:pPr>
        <w:pStyle w:val="ListParagraph"/>
        <w:numPr>
          <w:ilvl w:val="0"/>
          <w:numId w:val="15"/>
        </w:numPr>
        <w:ind w:left="714" w:hanging="357"/>
        <w:contextualSpacing w:val="0"/>
      </w:pPr>
      <w:r>
        <w:t>U</w:t>
      </w:r>
      <w:r w:rsidR="0052284C">
        <w:t>pcountry storage facilities in Victoria are run by companies with large, medium and smaller operations. In addition to Emerald, a number of other companies have integrated operations with either container packing or transport services, or both. While Emerald is the second largest upcountry player in terms of the number of sites, its storage capacity is only marginally larger tha</w:t>
      </w:r>
      <w:r w:rsidR="00931103">
        <w:t>n some other storage providers.</w:t>
      </w:r>
    </w:p>
    <w:p w:rsidR="0052284C" w:rsidRDefault="008C6836" w:rsidP="008C6836">
      <w:pPr>
        <w:pStyle w:val="ListParagraph"/>
        <w:numPr>
          <w:ilvl w:val="0"/>
          <w:numId w:val="15"/>
        </w:numPr>
        <w:contextualSpacing w:val="0"/>
      </w:pPr>
      <w:r>
        <w:t>Both road</w:t>
      </w:r>
      <w:r w:rsidR="007E3D12">
        <w:t xml:space="preserve"> and rail options are available </w:t>
      </w:r>
      <w:r>
        <w:t xml:space="preserve">to </w:t>
      </w:r>
      <w:r w:rsidR="007E3D12">
        <w:t xml:space="preserve">many </w:t>
      </w:r>
      <w:r>
        <w:t xml:space="preserve">marketers to transport grain to port. </w:t>
      </w:r>
      <w:r w:rsidRPr="008C6836">
        <w:t xml:space="preserve">The relatively shorter distances to port in Victoria </w:t>
      </w:r>
      <w:r>
        <w:t xml:space="preserve">promote the significant </w:t>
      </w:r>
      <w:r w:rsidRPr="008C6836">
        <w:t xml:space="preserve">use of road transport </w:t>
      </w:r>
      <w:r>
        <w:t xml:space="preserve">as </w:t>
      </w:r>
      <w:r w:rsidRPr="008C6836">
        <w:t>a viable alternative</w:t>
      </w:r>
      <w:r>
        <w:t xml:space="preserve"> to rail</w:t>
      </w:r>
      <w:r w:rsidRPr="008C6836">
        <w:t>.</w:t>
      </w:r>
      <w:r>
        <w:t xml:space="preserve"> </w:t>
      </w:r>
      <w:r w:rsidR="007E3D12">
        <w:t>There are also numerous providers of road transport services. Given the number and scale of options for storage, handling and logistics</w:t>
      </w:r>
      <w:r w:rsidR="00BA370E">
        <w:t>, consistent with the ACCC</w:t>
      </w:r>
      <w:r w:rsidR="004C7412">
        <w:t>’s</w:t>
      </w:r>
      <w:r w:rsidR="00BA370E">
        <w:t xml:space="preserve"> previous views,</w:t>
      </w:r>
      <w:r w:rsidR="0052284C">
        <w:t xml:space="preserve"> Emerald does not appear to have market power in upcountry </w:t>
      </w:r>
      <w:r w:rsidR="007E3D12">
        <w:t xml:space="preserve">markets. As such the ACCC considers that Emerald would not be in a position to leverage market power from upcountry networks into </w:t>
      </w:r>
      <w:r w:rsidR="00641EB9">
        <w:t xml:space="preserve">its </w:t>
      </w:r>
      <w:r w:rsidR="007E3D12">
        <w:t>port terminal services</w:t>
      </w:r>
      <w:r w:rsidR="0052284C">
        <w:t>.</w:t>
      </w:r>
    </w:p>
    <w:p w:rsidR="004C0B77" w:rsidRDefault="00D22579" w:rsidP="006F13D0">
      <w:pPr>
        <w:pStyle w:val="ListParagraph"/>
        <w:numPr>
          <w:ilvl w:val="0"/>
          <w:numId w:val="15"/>
        </w:numPr>
        <w:ind w:left="714" w:hanging="357"/>
        <w:contextualSpacing w:val="0"/>
      </w:pPr>
      <w:r>
        <w:t>C</w:t>
      </w:r>
      <w:r w:rsidR="00E92559">
        <w:t>ontainer</w:t>
      </w:r>
      <w:r>
        <w:t xml:space="preserve">ised grain </w:t>
      </w:r>
      <w:r w:rsidR="00E92559">
        <w:t>export</w:t>
      </w:r>
      <w:r>
        <w:t>s</w:t>
      </w:r>
      <w:r w:rsidR="00E92559">
        <w:t xml:space="preserve"> </w:t>
      </w:r>
      <w:r>
        <w:t xml:space="preserve">from </w:t>
      </w:r>
      <w:r w:rsidR="00E92559">
        <w:t xml:space="preserve">in Victoria </w:t>
      </w:r>
      <w:r>
        <w:t xml:space="preserve">are </w:t>
      </w:r>
      <w:r w:rsidR="00E92559">
        <w:t xml:space="preserve">significant, as shown by its growth and </w:t>
      </w:r>
      <w:r w:rsidR="00647A93">
        <w:t xml:space="preserve">its consistent presence </w:t>
      </w:r>
      <w:r w:rsidR="00E92559">
        <w:t>as</w:t>
      </w:r>
      <w:r w:rsidR="008C76A7">
        <w:t xml:space="preserve"> </w:t>
      </w:r>
      <w:r w:rsidR="00E92559">
        <w:t>an</w:t>
      </w:r>
      <w:r w:rsidR="008C76A7">
        <w:t xml:space="preserve"> alternative </w:t>
      </w:r>
      <w:r w:rsidR="00E92559">
        <w:t xml:space="preserve">and viable </w:t>
      </w:r>
      <w:r w:rsidR="008C76A7">
        <w:t>export path for grain</w:t>
      </w:r>
      <w:r w:rsidR="00647A93">
        <w:t xml:space="preserve"> over the past </w:t>
      </w:r>
      <w:r>
        <w:t xml:space="preserve">ten </w:t>
      </w:r>
      <w:r w:rsidR="00647A93">
        <w:t>years</w:t>
      </w:r>
      <w:r w:rsidR="00E92559">
        <w:t xml:space="preserve">. </w:t>
      </w:r>
      <w:r>
        <w:t>C</w:t>
      </w:r>
      <w:r w:rsidR="004C0B77">
        <w:t>ontainer</w:t>
      </w:r>
      <w:r>
        <w:t xml:space="preserve">ised </w:t>
      </w:r>
      <w:r w:rsidR="008C76A7">
        <w:t>export</w:t>
      </w:r>
      <w:r>
        <w:t>s</w:t>
      </w:r>
      <w:r w:rsidR="008C76A7">
        <w:t xml:space="preserve"> </w:t>
      </w:r>
      <w:r w:rsidR="000B69B9">
        <w:t xml:space="preserve">out of the Port of Melbourne therefore </w:t>
      </w:r>
      <w:r w:rsidR="008C76A7">
        <w:t xml:space="preserve">provide </w:t>
      </w:r>
      <w:r w:rsidR="009C632A">
        <w:t xml:space="preserve">a further </w:t>
      </w:r>
      <w:r w:rsidR="008C76A7">
        <w:t xml:space="preserve">competitive constraint on the bulk export programme at </w:t>
      </w:r>
      <w:r w:rsidR="009C632A">
        <w:t>MPT</w:t>
      </w:r>
      <w:r w:rsidR="008C76A7">
        <w:t>.</w:t>
      </w:r>
      <w:r w:rsidR="009C632A">
        <w:t xml:space="preserve"> </w:t>
      </w:r>
    </w:p>
    <w:p w:rsidR="004C0B77" w:rsidRDefault="00641EB9" w:rsidP="004C7412">
      <w:pPr>
        <w:pStyle w:val="ListParagraph"/>
        <w:numPr>
          <w:ilvl w:val="0"/>
          <w:numId w:val="15"/>
        </w:numPr>
        <w:contextualSpacing w:val="0"/>
      </w:pPr>
      <w:r>
        <w:t>There is strong and consistent demand for grain in Victoria</w:t>
      </w:r>
      <w:r w:rsidDel="00641EB9">
        <w:t xml:space="preserve"> </w:t>
      </w:r>
      <w:r w:rsidR="004C7412">
        <w:t xml:space="preserve">to support the large dairy, stockfeed and malt industries in Victoria. Generally, the domestic </w:t>
      </w:r>
      <w:r>
        <w:t>consumers are</w:t>
      </w:r>
      <w:r w:rsidR="004C7412">
        <w:t xml:space="preserve"> also able to pay a higher price for wheat compared to bulk wheat export</w:t>
      </w:r>
      <w:r>
        <w:t>ers</w:t>
      </w:r>
      <w:r w:rsidR="004C7412">
        <w:t xml:space="preserve"> due to lower transport costs, making</w:t>
      </w:r>
      <w:r w:rsidR="004C7412" w:rsidRPr="004C7412">
        <w:t xml:space="preserve"> it an attractive option over exportation</w:t>
      </w:r>
      <w:r w:rsidR="004C7412">
        <w:t>.</w:t>
      </w:r>
    </w:p>
    <w:p w:rsidR="00DC5EEC" w:rsidRDefault="007C4CE5" w:rsidP="00F2549B">
      <w:r>
        <w:t>D</w:t>
      </w:r>
      <w:r w:rsidR="00DC5EEC">
        <w:t xml:space="preserve">ue to the competitive constraints </w:t>
      </w:r>
      <w:r w:rsidR="008350E3">
        <w:t>noted above in relation to port terminal services, the ACCC considers that if an exemption were granted to Emerald, it would not be to the detr</w:t>
      </w:r>
      <w:r>
        <w:t>i</w:t>
      </w:r>
      <w:r w:rsidR="008350E3">
        <w:t xml:space="preserve">ment of </w:t>
      </w:r>
      <w:r>
        <w:t xml:space="preserve">current levels of competition in </w:t>
      </w:r>
      <w:r w:rsidR="008350E3">
        <w:t>upcountry and related markets.</w:t>
      </w:r>
      <w:r>
        <w:t xml:space="preserve"> To the extent that the lower level of regulation enabled Emerald to compete more effectively in the </w:t>
      </w:r>
      <w:r>
        <w:lastRenderedPageBreak/>
        <w:t xml:space="preserve">provision of port terminal services, this may promote competition between GrainCorp, Emerald and other storage providers upcountry. </w:t>
      </w:r>
    </w:p>
    <w:p w:rsidR="00E874BB" w:rsidRPr="00F2549B" w:rsidRDefault="00E874BB" w:rsidP="00F2549B">
      <w:pPr>
        <w:keepNext/>
        <w:rPr>
          <w:i/>
        </w:rPr>
      </w:pPr>
      <w:r>
        <w:rPr>
          <w:i/>
        </w:rPr>
        <w:t>Conclusion</w:t>
      </w:r>
    </w:p>
    <w:p w:rsidR="00782792" w:rsidRDefault="00782792" w:rsidP="00782792">
      <w:r>
        <w:t xml:space="preserve">In light of the above factors, the ACCC’s preliminary view is that there are </w:t>
      </w:r>
      <w:r w:rsidR="000059C4">
        <w:t>significant</w:t>
      </w:r>
      <w:r>
        <w:t xml:space="preserve"> </w:t>
      </w:r>
      <w:r w:rsidRPr="00782792">
        <w:t>constraint</w:t>
      </w:r>
      <w:r>
        <w:t>s</w:t>
      </w:r>
      <w:r w:rsidRPr="00782792">
        <w:t xml:space="preserve"> </w:t>
      </w:r>
      <w:r w:rsidR="000059C4">
        <w:t xml:space="preserve">on Emerald </w:t>
      </w:r>
      <w:r w:rsidRPr="00782792">
        <w:t xml:space="preserve">such that competition </w:t>
      </w:r>
      <w:r>
        <w:t xml:space="preserve">at port </w:t>
      </w:r>
      <w:r w:rsidR="008350E3">
        <w:t xml:space="preserve">and upcountry </w:t>
      </w:r>
      <w:r>
        <w:t xml:space="preserve">will not be </w:t>
      </w:r>
      <w:r w:rsidR="00641EB9">
        <w:t xml:space="preserve">significantly </w:t>
      </w:r>
      <w:r w:rsidR="000059C4">
        <w:t xml:space="preserve">reduced if </w:t>
      </w:r>
      <w:r w:rsidR="00ED2B1E">
        <w:t xml:space="preserve">an </w:t>
      </w:r>
      <w:r w:rsidR="000059C4">
        <w:t>exemption were granted</w:t>
      </w:r>
      <w:r w:rsidR="00ED2B1E">
        <w:t xml:space="preserve"> to MPT</w:t>
      </w:r>
      <w:r w:rsidR="000059C4">
        <w:t>.</w:t>
      </w:r>
    </w:p>
    <w:p w:rsidR="00CA33C2" w:rsidRDefault="000059C4" w:rsidP="0079322B">
      <w:pPr>
        <w:pStyle w:val="Heading4"/>
        <w:numPr>
          <w:ilvl w:val="0"/>
          <w:numId w:val="0"/>
        </w:numPr>
        <w:tabs>
          <w:tab w:val="left" w:pos="0"/>
        </w:tabs>
        <w:spacing w:before="360"/>
      </w:pPr>
      <w:r w:rsidDel="000059C4">
        <w:t xml:space="preserve"> </w:t>
      </w:r>
      <w:r w:rsidR="00C16DB1">
        <w:t xml:space="preserve">(c) </w:t>
      </w:r>
      <w:r w:rsidR="00C13366" w:rsidRPr="00F03F65">
        <w:t>the interests of exporters who may require access to port terminal services</w:t>
      </w:r>
      <w:r w:rsidR="00E520B6">
        <w:t>; and</w:t>
      </w:r>
      <w:r w:rsidR="0079322B">
        <w:t xml:space="preserve"> </w:t>
      </w:r>
      <w:r w:rsidR="00CA33C2">
        <w:t>(d)</w:t>
      </w:r>
      <w:r w:rsidR="0079322B">
        <w:t xml:space="preserve"> </w:t>
      </w:r>
      <w:r w:rsidR="00CA33C2" w:rsidRPr="00856A20">
        <w:t>the likelihood that exporters of bulk wheat will have fair and transparent access to port terminal services</w:t>
      </w:r>
    </w:p>
    <w:p w:rsidR="003A1139" w:rsidRDefault="003A1139" w:rsidP="00B43C63">
      <w:r w:rsidRPr="003A1139">
        <w:t xml:space="preserve">The ACCC generally considers that granting an exemption will not be </w:t>
      </w:r>
      <w:r w:rsidR="009962E0">
        <w:t xml:space="preserve">detrimental to the </w:t>
      </w:r>
      <w:r w:rsidRPr="003A1139">
        <w:t xml:space="preserve">interests of exporters requiring access to port terminal services if they can still compete in the grain export market on their relative merits. </w:t>
      </w:r>
    </w:p>
    <w:p w:rsidR="00C60C85" w:rsidRDefault="003A1139" w:rsidP="00B43C63">
      <w:r w:rsidRPr="003A1139">
        <w:t xml:space="preserve">Competition on </w:t>
      </w:r>
      <w:r w:rsidR="00BC18F1">
        <w:t>the relative</w:t>
      </w:r>
      <w:r w:rsidR="00BC18F1" w:rsidRPr="003A1139">
        <w:t xml:space="preserve"> </w:t>
      </w:r>
      <w:r w:rsidRPr="003A1139">
        <w:t xml:space="preserve">merits </w:t>
      </w:r>
      <w:r w:rsidR="00BC18F1">
        <w:t xml:space="preserve">of exporters </w:t>
      </w:r>
      <w:r w:rsidRPr="003A1139">
        <w:t>would be hindered if terms and conditions of access favour one or more exporters over others, thereby distorting the competitive process. The ACCC will also consider the bargaining power of exporters and whether exporters have a viable alternative to export through the relevant port terminal facility.</w:t>
      </w:r>
      <w:r w:rsidR="00C60C85">
        <w:t xml:space="preserve"> </w:t>
      </w:r>
    </w:p>
    <w:p w:rsidR="00A77DDA" w:rsidRDefault="00C60C85" w:rsidP="00B43C63">
      <w:r>
        <w:t>Public submissions received from exporters during the ACCC’s consultation process did not object to granting an exemption to Emerald’s MPT.</w:t>
      </w:r>
    </w:p>
    <w:p w:rsidR="00E6149D" w:rsidRDefault="009962E0" w:rsidP="00B43C63">
      <w:r>
        <w:t>As a vertically integrated terminal operator and exporter, Emerald has an incentive to favour itself over other exporters</w:t>
      </w:r>
      <w:r w:rsidR="00396ECB">
        <w:t xml:space="preserve"> at MPT</w:t>
      </w:r>
      <w:r>
        <w:t xml:space="preserve">. However, the ACCC’s preliminary view is that due to the </w:t>
      </w:r>
      <w:r w:rsidR="00396ECB">
        <w:t xml:space="preserve">amount of </w:t>
      </w:r>
      <w:r>
        <w:t xml:space="preserve">available capacity at MPT, </w:t>
      </w:r>
      <w:r w:rsidR="00396ECB">
        <w:t xml:space="preserve">the degree of competition faced by MPT from other terminals as well as from other markets and the threat of entry from new port facilities in Victoria, Emerald </w:t>
      </w:r>
      <w:r w:rsidR="00E94E3F">
        <w:t>is</w:t>
      </w:r>
      <w:r w:rsidR="00396ECB">
        <w:t xml:space="preserve"> </w:t>
      </w:r>
      <w:r w:rsidR="004B1121">
        <w:t xml:space="preserve">sufficiently </w:t>
      </w:r>
      <w:r w:rsidR="00396ECB">
        <w:t>incentivised to allow third party e</w:t>
      </w:r>
      <w:r>
        <w:t xml:space="preserve">xporters </w:t>
      </w:r>
      <w:r w:rsidR="000D75AA">
        <w:t xml:space="preserve">fair </w:t>
      </w:r>
      <w:r>
        <w:t xml:space="preserve">access </w:t>
      </w:r>
      <w:r w:rsidR="00396ECB">
        <w:t xml:space="preserve">its </w:t>
      </w:r>
      <w:r>
        <w:t>MPT</w:t>
      </w:r>
      <w:r w:rsidR="00396ECB">
        <w:t xml:space="preserve"> </w:t>
      </w:r>
      <w:r w:rsidR="00396ECB" w:rsidRPr="00396ECB">
        <w:t>rather than</w:t>
      </w:r>
      <w:r w:rsidR="00E94E3F">
        <w:t xml:space="preserve"> offer unfair terms of access, or refuse access</w:t>
      </w:r>
      <w:r w:rsidR="00396ECB">
        <w:t>.</w:t>
      </w:r>
      <w:r>
        <w:t xml:space="preserve"> </w:t>
      </w:r>
      <w:r w:rsidR="002D65C9">
        <w:t>In particular, the ACCC</w:t>
      </w:r>
      <w:r w:rsidR="004318E3">
        <w:t xml:space="preserve">’s </w:t>
      </w:r>
      <w:r w:rsidR="00815669">
        <w:t xml:space="preserve">analysis in chapter 2 </w:t>
      </w:r>
      <w:r w:rsidR="001C257E">
        <w:t>o</w:t>
      </w:r>
      <w:r w:rsidR="00210EC2">
        <w:t>f</w:t>
      </w:r>
      <w:r w:rsidR="00815669">
        <w:t xml:space="preserve"> port terminal services and the exporters using these services</w:t>
      </w:r>
      <w:r w:rsidR="002D65C9">
        <w:t xml:space="preserve"> </w:t>
      </w:r>
      <w:r w:rsidR="00815669">
        <w:t xml:space="preserve">indicates </w:t>
      </w:r>
      <w:r w:rsidR="002D65C9">
        <w:t>that:</w:t>
      </w:r>
    </w:p>
    <w:p w:rsidR="002D65C9" w:rsidRDefault="002D65C9" w:rsidP="002D65C9">
      <w:pPr>
        <w:pStyle w:val="ListParagraph"/>
        <w:numPr>
          <w:ilvl w:val="0"/>
          <w:numId w:val="15"/>
        </w:numPr>
        <w:ind w:left="714" w:hanging="357"/>
        <w:contextualSpacing w:val="0"/>
      </w:pPr>
      <w:r>
        <w:t xml:space="preserve">Emerald’s MPT appears to </w:t>
      </w:r>
      <w:r w:rsidR="009D219E">
        <w:t xml:space="preserve">have significant spare capacity </w:t>
      </w:r>
      <w:r w:rsidR="008431A2">
        <w:t xml:space="preserve">and </w:t>
      </w:r>
      <w:r w:rsidR="009D219E">
        <w:t xml:space="preserve">is </w:t>
      </w:r>
      <w:r>
        <w:t>the least utilised port terminal in Victoria.</w:t>
      </w:r>
    </w:p>
    <w:p w:rsidR="00635850" w:rsidRDefault="00635850" w:rsidP="00635850">
      <w:pPr>
        <w:pStyle w:val="ListParagraph"/>
        <w:numPr>
          <w:ilvl w:val="0"/>
          <w:numId w:val="15"/>
        </w:numPr>
        <w:ind w:left="714" w:hanging="357"/>
        <w:contextualSpacing w:val="0"/>
      </w:pPr>
      <w:r>
        <w:t xml:space="preserve">Emerald’s largest customers (Bunge, </w:t>
      </w:r>
      <w:r w:rsidR="00FD6DC3">
        <w:t>and</w:t>
      </w:r>
      <w:r>
        <w:t xml:space="preserve"> </w:t>
      </w:r>
      <w:r w:rsidR="00FD6DC3">
        <w:t>to a lesser extent</w:t>
      </w:r>
      <w:r w:rsidR="00BB3C19">
        <w:t xml:space="preserve"> </w:t>
      </w:r>
      <w:r>
        <w:t>Cargill and Noble) may be in a good position to bargain with Emerald. Not only have these customers provided Emerald with significant throughput at MPT over the last three years, but these companies are all exploring options of building their own competing terminals in Victoria. Bunge, in particular, is proposing to build a terminal in Geelong similar to the facility it built in Bunbury WA, although the ACCC notes that this facility is still seeking approval and is some time from operation. There is speculation that Quattro (including Cargill and Noble) are considering a new facility in Portland, although this is further away from being a functioning facility</w:t>
      </w:r>
      <w:r w:rsidR="00FD6DC3">
        <w:t xml:space="preserve"> and is less of a constraint in any case due to the geographic separation</w:t>
      </w:r>
      <w:r>
        <w:t>.</w:t>
      </w:r>
    </w:p>
    <w:p w:rsidR="00635850" w:rsidRDefault="00635850" w:rsidP="00635850">
      <w:pPr>
        <w:pStyle w:val="ListParagraph"/>
        <w:numPr>
          <w:ilvl w:val="0"/>
          <w:numId w:val="15"/>
        </w:numPr>
        <w:ind w:left="714" w:hanging="357"/>
        <w:contextualSpacing w:val="0"/>
      </w:pPr>
      <w:r>
        <w:t>With the current available capacity at MPT, as well as the proposed future capacity coming online, smaller exporters are likely to be able to negotiate sufficient access at Emerald’s MPT. Potentially there may not always be available capacity during the peak times of all years, but MPT appears to have spare capacity available for exporters at almost all other times. Alternatively, exporters would be able to seek access at GrainCorp’s Geelong facility which competes with MPT for a similar catchment area. GrainCorp’s Geelong facility also has a degree of spare capacity.</w:t>
      </w:r>
    </w:p>
    <w:p w:rsidR="003A1139" w:rsidRDefault="00B61A24" w:rsidP="00B43C63">
      <w:r>
        <w:lastRenderedPageBreak/>
        <w:t>In light of the above factors, t</w:t>
      </w:r>
      <w:r w:rsidR="003A1139">
        <w:t>he</w:t>
      </w:r>
      <w:r w:rsidR="003A1139" w:rsidRPr="003A1139">
        <w:t xml:space="preserve"> ACCC</w:t>
      </w:r>
      <w:r w:rsidR="003A1139">
        <w:t>’s</w:t>
      </w:r>
      <w:r w:rsidR="003A1139" w:rsidRPr="003A1139">
        <w:t xml:space="preserve"> </w:t>
      </w:r>
      <w:r w:rsidR="003A1139">
        <w:t xml:space="preserve">preliminary view is that </w:t>
      </w:r>
      <w:r w:rsidR="003A1139" w:rsidRPr="003A1139">
        <w:t xml:space="preserve">granting the exemption would not be detrimental to the interests of exporters requiring access to </w:t>
      </w:r>
      <w:r w:rsidR="003A1139">
        <w:t>Emerald’s MPT facilit</w:t>
      </w:r>
      <w:r w:rsidR="00BC18F1">
        <w:t xml:space="preserve">y, and that the greater regulation under the Code is not necessary to ensure fair and transparent access to these facilities. </w:t>
      </w:r>
    </w:p>
    <w:p w:rsidR="00CA33C2" w:rsidRDefault="00C16DB1" w:rsidP="0079322B">
      <w:pPr>
        <w:pStyle w:val="Heading4"/>
        <w:numPr>
          <w:ilvl w:val="0"/>
          <w:numId w:val="0"/>
        </w:numPr>
        <w:tabs>
          <w:tab w:val="left" w:pos="0"/>
        </w:tabs>
        <w:spacing w:before="360"/>
      </w:pPr>
      <w:r>
        <w:t>(e)</w:t>
      </w:r>
      <w:r w:rsidR="00440F36">
        <w:t xml:space="preserve"> </w:t>
      </w:r>
      <w:r w:rsidR="00EF0BD3" w:rsidRPr="00A55B3E">
        <w:t xml:space="preserve">the promotion of the economically efficient operation and use </w:t>
      </w:r>
      <w:r w:rsidR="00D120F6">
        <w:t xml:space="preserve">of the port </w:t>
      </w:r>
      <w:r w:rsidR="00EF0BD3" w:rsidRPr="00A55B3E">
        <w:t>terminal facility</w:t>
      </w:r>
      <w:r w:rsidR="0067313D">
        <w:t>; and</w:t>
      </w:r>
      <w:r w:rsidR="0079322B">
        <w:t xml:space="preserve"> </w:t>
      </w:r>
      <w:r w:rsidR="00CA33C2">
        <w:t>(f)</w:t>
      </w:r>
      <w:r w:rsidR="0079322B">
        <w:t xml:space="preserve"> </w:t>
      </w:r>
      <w:r w:rsidR="00CA33C2" w:rsidRPr="00FF6631">
        <w:t>the promotion of efficient investment in port terminal facilities</w:t>
      </w:r>
    </w:p>
    <w:p w:rsidR="00601363" w:rsidRDefault="009A0802" w:rsidP="00601363">
      <w:r>
        <w:t xml:space="preserve">The ACCC considers that when having regard to </w:t>
      </w:r>
      <w:r w:rsidR="00BC18F1">
        <w:t xml:space="preserve">the matters listed at </w:t>
      </w:r>
      <w:r>
        <w:t xml:space="preserve">subclauses </w:t>
      </w:r>
      <w:r w:rsidR="001050AE">
        <w:t>5(3)</w:t>
      </w:r>
      <w:r>
        <w:t>(e) and (f)</w:t>
      </w:r>
      <w:r w:rsidR="00BC18F1">
        <w:t xml:space="preserve"> of the Code</w:t>
      </w:r>
      <w:r>
        <w:t xml:space="preserve">, </w:t>
      </w:r>
      <w:r w:rsidR="00BC18F1">
        <w:t>the following will be relevant</w:t>
      </w:r>
      <w:r w:rsidR="00601363">
        <w:t>:</w:t>
      </w:r>
    </w:p>
    <w:p w:rsidR="00601363" w:rsidRDefault="00D45507" w:rsidP="00601363">
      <w:pPr>
        <w:pStyle w:val="ListParagraph"/>
        <w:numPr>
          <w:ilvl w:val="0"/>
          <w:numId w:val="15"/>
        </w:numPr>
        <w:ind w:left="714" w:hanging="357"/>
        <w:contextualSpacing w:val="0"/>
      </w:pPr>
      <w:r>
        <w:t xml:space="preserve">whether </w:t>
      </w:r>
      <w:r w:rsidR="00601363">
        <w:t>competition among port terminal service providers will drive efficient operation and use of the port terminal facility</w:t>
      </w:r>
      <w:r>
        <w:t xml:space="preserve"> in the absence of full regulation under the Code</w:t>
      </w:r>
    </w:p>
    <w:p w:rsidR="00601363" w:rsidRDefault="00D45507" w:rsidP="00601363">
      <w:pPr>
        <w:pStyle w:val="ListParagraph"/>
        <w:numPr>
          <w:ilvl w:val="0"/>
          <w:numId w:val="15"/>
        </w:numPr>
        <w:ind w:left="714" w:hanging="357"/>
        <w:contextualSpacing w:val="0"/>
      </w:pPr>
      <w:r>
        <w:t xml:space="preserve">whether </w:t>
      </w:r>
      <w:r w:rsidR="00601363">
        <w:t xml:space="preserve">a requirement to comply with </w:t>
      </w:r>
      <w:r w:rsidR="00707ABE">
        <w:t>parts 3 to 6 of the C</w:t>
      </w:r>
      <w:r w:rsidR="00601363">
        <w:t>ode would result in less</w:t>
      </w:r>
      <w:r>
        <w:t>er</w:t>
      </w:r>
      <w:r w:rsidR="00601363">
        <w:t xml:space="preserve"> uptake of the port terminal service th</w:t>
      </w:r>
      <w:r w:rsidR="00B5777B">
        <w:t>an would otherwise be efficient</w:t>
      </w:r>
    </w:p>
    <w:p w:rsidR="00B5777B" w:rsidRDefault="00D45507" w:rsidP="00601363">
      <w:pPr>
        <w:pStyle w:val="ListParagraph"/>
        <w:numPr>
          <w:ilvl w:val="0"/>
          <w:numId w:val="15"/>
        </w:numPr>
        <w:ind w:left="714" w:hanging="357"/>
        <w:contextualSpacing w:val="0"/>
      </w:pPr>
      <w:r>
        <w:t xml:space="preserve">whether </w:t>
      </w:r>
      <w:r w:rsidR="00B5777B">
        <w:t>efficient investment in port terminal facilities will be influenced by a reduction in regulation.</w:t>
      </w:r>
    </w:p>
    <w:p w:rsidR="004A1665" w:rsidRDefault="00B5777B" w:rsidP="00601363">
      <w:r>
        <w:t xml:space="preserve">The ACCC’s preliminary view is </w:t>
      </w:r>
      <w:r w:rsidR="00601363">
        <w:t>that the degree of competition faced by Emer</w:t>
      </w:r>
      <w:r w:rsidR="001D2921">
        <w:t>a</w:t>
      </w:r>
      <w:r w:rsidR="00601363">
        <w:t>ld’s MPT and competition in upstream and downstream markets (</w:t>
      </w:r>
      <w:r>
        <w:t>as outlined under</w:t>
      </w:r>
      <w:r w:rsidR="00601363">
        <w:t xml:space="preserve"> </w:t>
      </w:r>
      <w:r w:rsidR="00EF1B47">
        <w:t xml:space="preserve">the above discussion of </w:t>
      </w:r>
      <w:r w:rsidR="00601363">
        <w:t xml:space="preserve">subclauses (b) and (g)) will drive </w:t>
      </w:r>
      <w:r w:rsidR="00076451">
        <w:t>efficient operation and use of the</w:t>
      </w:r>
      <w:r w:rsidR="00601363">
        <w:t xml:space="preserve"> port terminal facility in the absence of full regulation under the Code.</w:t>
      </w:r>
      <w:r w:rsidR="00B36B40">
        <w:t xml:space="preserve"> </w:t>
      </w:r>
    </w:p>
    <w:p w:rsidR="00635850" w:rsidRDefault="00635850" w:rsidP="00635850">
      <w:r>
        <w:t xml:space="preserve">As noted under </w:t>
      </w:r>
      <w:r w:rsidR="00EF1B47">
        <w:t xml:space="preserve">the discussion of </w:t>
      </w:r>
      <w:r>
        <w:t xml:space="preserve">subclause 5(3)(a), </w:t>
      </w:r>
      <w:r w:rsidR="00EF1B47">
        <w:t xml:space="preserve">if </w:t>
      </w:r>
      <w:r>
        <w:t>parts 3 to 6 of the Code</w:t>
      </w:r>
      <w:r w:rsidR="00EF1B47">
        <w:t xml:space="preserve"> do not apply</w:t>
      </w:r>
      <w:r>
        <w:t xml:space="preserve">, Emerald could have greater flexibility in the way it allocates capacity and wouldn’t be required to allocate capacity in accordance with the strict timings and rules as it currently has to. This greater flexibility could provide more efficient use </w:t>
      </w:r>
      <w:r w:rsidR="004A4804">
        <w:t xml:space="preserve">and stronger uptake </w:t>
      </w:r>
      <w:r>
        <w:t>of the terminal</w:t>
      </w:r>
      <w:r w:rsidR="004A4804">
        <w:t>’s services</w:t>
      </w:r>
      <w:r>
        <w:t>. The ACCC’s analysis in chapter 2 indicates that Emerald’s MPT is the least utilised of the three established Victorian ports.</w:t>
      </w:r>
    </w:p>
    <w:p w:rsidR="0012748C" w:rsidRDefault="00B87284" w:rsidP="00601363">
      <w:r>
        <w:t>C</w:t>
      </w:r>
      <w:r w:rsidR="0012748C">
        <w:t>ontainer</w:t>
      </w:r>
      <w:r>
        <w:t xml:space="preserve">ised </w:t>
      </w:r>
      <w:r w:rsidR="0012748C">
        <w:t>export</w:t>
      </w:r>
      <w:r>
        <w:t xml:space="preserve">s shipped out of </w:t>
      </w:r>
      <w:r w:rsidR="0012748C">
        <w:t xml:space="preserve">Victoria </w:t>
      </w:r>
      <w:r>
        <w:t xml:space="preserve">are </w:t>
      </w:r>
      <w:r w:rsidR="0012748C">
        <w:t>no longer regulated, and ha</w:t>
      </w:r>
      <w:r>
        <w:t>ve</w:t>
      </w:r>
      <w:r w:rsidR="0012748C">
        <w:t xml:space="preserve"> grow</w:t>
      </w:r>
      <w:r w:rsidR="003A1139">
        <w:t>n</w:t>
      </w:r>
      <w:r w:rsidR="0012748C">
        <w:t xml:space="preserve"> in size over the last </w:t>
      </w:r>
      <w:r w:rsidR="0012748C" w:rsidRPr="00F2549B">
        <w:t xml:space="preserve">10 </w:t>
      </w:r>
      <w:r w:rsidR="0012748C">
        <w:t xml:space="preserve">years. </w:t>
      </w:r>
      <w:r w:rsidR="009851A5">
        <w:t>This significant constraint on Emerald‘s MPT bulk export programme may have the potential to distort the level of efficient investment in Emerald’s bulk wheat infrastructure, as larger quantities of wheat have been drawn into container</w:t>
      </w:r>
      <w:r>
        <w:t>s for export</w:t>
      </w:r>
      <w:r w:rsidR="009851A5">
        <w:t>. If Emerald’s MPT was no longer subject to parts 3 to 6 of the Code, but remained subject to parts 1 and 2, it would place MPT on a more level playing field with container</w:t>
      </w:r>
      <w:r>
        <w:t xml:space="preserve"> export</w:t>
      </w:r>
      <w:r w:rsidR="009851A5">
        <w:t xml:space="preserve">, as well as </w:t>
      </w:r>
      <w:r>
        <w:t xml:space="preserve">with </w:t>
      </w:r>
      <w:r w:rsidR="009851A5">
        <w:t xml:space="preserve">domestic </w:t>
      </w:r>
      <w:r>
        <w:t>industries</w:t>
      </w:r>
      <w:r w:rsidR="009851A5">
        <w:t>, and may promote further efficient investment in its bulk wheat facilities.</w:t>
      </w:r>
    </w:p>
    <w:p w:rsidR="00B5777B" w:rsidRPr="00BA477D" w:rsidRDefault="009851A5" w:rsidP="00601363">
      <w:r>
        <w:t>The ACCC’s preliminary view is that</w:t>
      </w:r>
      <w:r w:rsidR="001A4642">
        <w:t xml:space="preserve"> </w:t>
      </w:r>
      <w:r>
        <w:t>the above factors support granting the exemption.</w:t>
      </w:r>
    </w:p>
    <w:p w:rsidR="00EF0BD3" w:rsidRDefault="00C16DB1" w:rsidP="00D40236">
      <w:pPr>
        <w:pStyle w:val="Heading4"/>
        <w:numPr>
          <w:ilvl w:val="0"/>
          <w:numId w:val="0"/>
        </w:numPr>
        <w:tabs>
          <w:tab w:val="left" w:pos="0"/>
        </w:tabs>
        <w:spacing w:before="360"/>
      </w:pPr>
      <w:r>
        <w:t xml:space="preserve">(h) </w:t>
      </w:r>
      <w:r w:rsidR="00EF0BD3">
        <w:t>whether the port terminal service provider is an exporter or an associated entity of an exporter</w:t>
      </w:r>
    </w:p>
    <w:p w:rsidR="0084714E" w:rsidRDefault="0084714E" w:rsidP="00C77661">
      <w:r>
        <w:t xml:space="preserve">Under </w:t>
      </w:r>
      <w:r w:rsidR="001050AE">
        <w:t>subclause 5(3)(h)</w:t>
      </w:r>
      <w:r>
        <w:t xml:space="preserve"> the ACCC will generally consider the degree to which the port terminal service provider is vertically integrated in grain exportation. </w:t>
      </w:r>
      <w:r w:rsidR="00285644">
        <w:t>T</w:t>
      </w:r>
      <w:r w:rsidR="00285644" w:rsidRPr="00285644">
        <w:t xml:space="preserve">he extent to which </w:t>
      </w:r>
      <w:r w:rsidR="00811B6C">
        <w:t xml:space="preserve">a </w:t>
      </w:r>
      <w:r w:rsidR="00285644" w:rsidRPr="00285644">
        <w:t>vertically integrated operator favours</w:t>
      </w:r>
      <w:r w:rsidR="00285644">
        <w:t xml:space="preserve">, or </w:t>
      </w:r>
      <w:r w:rsidR="00285644" w:rsidRPr="00285644">
        <w:t>is likely to favour</w:t>
      </w:r>
      <w:r w:rsidR="00811B6C">
        <w:t>,</w:t>
      </w:r>
      <w:r w:rsidR="00285644" w:rsidRPr="00285644">
        <w:t xml:space="preserve"> its own trading arm will influence the ACCC’s decision on whether it is necessary for the </w:t>
      </w:r>
      <w:r w:rsidR="00285644">
        <w:t xml:space="preserve">full </w:t>
      </w:r>
      <w:r w:rsidR="00285644" w:rsidRPr="00285644">
        <w:t>of the Code to apply or whether an exemption should be granted</w:t>
      </w:r>
      <w:r w:rsidR="00285644">
        <w:t>.</w:t>
      </w:r>
    </w:p>
    <w:p w:rsidR="0084714E" w:rsidRDefault="0084714E" w:rsidP="0084714E">
      <w:r>
        <w:lastRenderedPageBreak/>
        <w:t xml:space="preserve">Emerald </w:t>
      </w:r>
      <w:r w:rsidR="0008474C">
        <w:t xml:space="preserve">acknowledges that it </w:t>
      </w:r>
      <w:r w:rsidR="007076CF">
        <w:t xml:space="preserve">is vertically integrated across bulk grain export </w:t>
      </w:r>
      <w:r w:rsidR="00AA464D">
        <w:t xml:space="preserve">operations </w:t>
      </w:r>
      <w:r w:rsidR="007076CF">
        <w:t xml:space="preserve">and </w:t>
      </w:r>
      <w:r w:rsidR="0008474C">
        <w:t>port terminal services</w:t>
      </w:r>
      <w:r w:rsidR="00E819FB">
        <w:t xml:space="preserve"> at </w:t>
      </w:r>
      <w:r w:rsidR="007C129D">
        <w:t>MPT</w:t>
      </w:r>
      <w:r w:rsidR="0008474C">
        <w:t>.</w:t>
      </w:r>
      <w:r w:rsidR="0008474C">
        <w:rPr>
          <w:rStyle w:val="FootnoteReference"/>
        </w:rPr>
        <w:footnoteReference w:id="123"/>
      </w:r>
    </w:p>
    <w:p w:rsidR="00ED76D7" w:rsidRDefault="00076451" w:rsidP="0084714E">
      <w:r>
        <w:t>The ACCC has taken the level of vertical integration into account when considering subclause 5(3)(c) and (d) matters.</w:t>
      </w:r>
      <w:r w:rsidR="00654710" w:rsidRPr="00654710">
        <w:t xml:space="preserve"> </w:t>
      </w:r>
      <w:r w:rsidR="00654710">
        <w:t>W</w:t>
      </w:r>
      <w:r w:rsidR="00654710" w:rsidRPr="00654710">
        <w:t xml:space="preserve">hile </w:t>
      </w:r>
      <w:r w:rsidR="00654710">
        <w:t xml:space="preserve">Emerald’s </w:t>
      </w:r>
      <w:r w:rsidR="00654710" w:rsidRPr="00654710">
        <w:t>vertical integration create</w:t>
      </w:r>
      <w:r w:rsidR="00F54598">
        <w:t>s</w:t>
      </w:r>
      <w:r w:rsidR="00654710" w:rsidRPr="00654710">
        <w:t xml:space="preserve"> </w:t>
      </w:r>
      <w:r w:rsidR="00F54598">
        <w:t xml:space="preserve">an </w:t>
      </w:r>
      <w:r w:rsidR="00654710" w:rsidRPr="00654710">
        <w:t>incentive to favour its own trading arm, competition in the provision of port terminal services</w:t>
      </w:r>
      <w:r w:rsidR="00654710">
        <w:t>, particularly with GrainCorp’s Geelong facility, as well as spare capacity and the threat of new entry</w:t>
      </w:r>
      <w:r w:rsidR="00654710" w:rsidRPr="00654710">
        <w:t xml:space="preserve"> </w:t>
      </w:r>
      <w:r w:rsidR="00654710">
        <w:t xml:space="preserve">in Victoria </w:t>
      </w:r>
      <w:r w:rsidR="00F54598">
        <w:t>limit</w:t>
      </w:r>
      <w:r w:rsidR="00F54598" w:rsidRPr="00654710">
        <w:t xml:space="preserve"> </w:t>
      </w:r>
      <w:r w:rsidR="00654710">
        <w:t>Emerald’s</w:t>
      </w:r>
      <w:r w:rsidR="00654710" w:rsidRPr="00654710">
        <w:t xml:space="preserve"> ability </w:t>
      </w:r>
      <w:r w:rsidR="00F54598">
        <w:t xml:space="preserve">and incentive </w:t>
      </w:r>
      <w:r w:rsidR="00654710" w:rsidRPr="00654710">
        <w:t xml:space="preserve">to </w:t>
      </w:r>
      <w:r w:rsidR="00654710">
        <w:t>favour itself</w:t>
      </w:r>
      <w:r w:rsidR="00F54598">
        <w:t xml:space="preserve"> to the detriment of its other customers</w:t>
      </w:r>
      <w:r w:rsidR="00654710" w:rsidRPr="00654710">
        <w:t>.</w:t>
      </w:r>
      <w:r w:rsidR="007D7D22">
        <w:t xml:space="preserve"> The ACCC notes that Emerald only utilises </w:t>
      </w:r>
      <w:r w:rsidR="00D50182">
        <w:t>about 42</w:t>
      </w:r>
      <w:r w:rsidR="007D7D22">
        <w:t xml:space="preserve"> per cent of capacity through its port terminal under the current system. </w:t>
      </w:r>
    </w:p>
    <w:p w:rsidR="0084714E" w:rsidRPr="0084714E" w:rsidRDefault="00076451" w:rsidP="0084714E">
      <w:r>
        <w:t>Also, a</w:t>
      </w:r>
      <w:r w:rsidR="00945421" w:rsidRPr="00945421">
        <w:t>s noted under con</w:t>
      </w:r>
      <w:r w:rsidR="00ED76D7">
        <w:t xml:space="preserve">sideration of subclauses 5(3)(b) and (g), the ACCC considers that the </w:t>
      </w:r>
      <w:r w:rsidR="00EC1BAC">
        <w:t xml:space="preserve">degree </w:t>
      </w:r>
      <w:r w:rsidR="00ED76D7">
        <w:t xml:space="preserve">of competition in upcountry storage and logistics </w:t>
      </w:r>
      <w:r w:rsidR="00EC1BAC">
        <w:t>significantly limit ability that Emerald may have to favour its own integrated operations</w:t>
      </w:r>
      <w:r w:rsidR="00AA464D">
        <w:t xml:space="preserve"> in practice</w:t>
      </w:r>
      <w:r w:rsidR="00EC1BAC">
        <w:t>.</w:t>
      </w:r>
    </w:p>
    <w:p w:rsidR="00B43C63" w:rsidRDefault="00C16DB1" w:rsidP="00D40236">
      <w:pPr>
        <w:pStyle w:val="Heading4"/>
        <w:numPr>
          <w:ilvl w:val="0"/>
          <w:numId w:val="0"/>
        </w:numPr>
        <w:tabs>
          <w:tab w:val="left" w:pos="0"/>
        </w:tabs>
        <w:spacing w:before="360"/>
      </w:pPr>
      <w:r>
        <w:t xml:space="preserve">(i) </w:t>
      </w:r>
      <w:r w:rsidR="00EF0BD3">
        <w:t>whether there is already an exempt service provider within the grain catchment area for the port concerne</w:t>
      </w:r>
      <w:r w:rsidR="003624BB">
        <w:t>d</w:t>
      </w:r>
    </w:p>
    <w:p w:rsidR="00C3543F" w:rsidRDefault="00F435FF" w:rsidP="00B43C63">
      <w:r w:rsidRPr="00F435FF">
        <w:t xml:space="preserve">The ACCC generally considers that, where there is already an exempt service provider within </w:t>
      </w:r>
      <w:r w:rsidR="009C7880">
        <w:t>a</w:t>
      </w:r>
      <w:r w:rsidRPr="00F435FF">
        <w:t xml:space="preserve"> grain catchment area, or where the Code does not otherwise apply to a service provider in</w:t>
      </w:r>
      <w:r w:rsidR="00143312">
        <w:t xml:space="preserve"> </w:t>
      </w:r>
      <w:r w:rsidR="009C7880">
        <w:t>a</w:t>
      </w:r>
      <w:r w:rsidR="00143312">
        <w:t xml:space="preserve"> catchment area, this </w:t>
      </w:r>
      <w:r w:rsidR="00EF1B47">
        <w:t xml:space="preserve">may </w:t>
      </w:r>
      <w:r w:rsidRPr="00F435FF">
        <w:t>support an exemption.</w:t>
      </w:r>
      <w:r w:rsidR="009C7880">
        <w:t xml:space="preserve"> T</w:t>
      </w:r>
      <w:r w:rsidR="009C7880" w:rsidRPr="009C7880">
        <w:t>he ACCC will</w:t>
      </w:r>
      <w:r w:rsidR="009C7880">
        <w:t>, however,</w:t>
      </w:r>
      <w:r w:rsidR="009C7880" w:rsidRPr="009C7880">
        <w:t xml:space="preserve"> consider this matter on a case by case basis, taking into account the full extent of competitive constraint operating on each facility.</w:t>
      </w:r>
    </w:p>
    <w:p w:rsidR="00F435FF" w:rsidRDefault="005C6BCA" w:rsidP="00B43C63">
      <w:r>
        <w:t xml:space="preserve">The ACCC discusses the relevant grain catchment area for Emerald’s MPT in chapter 3 and considers that </w:t>
      </w:r>
      <w:r w:rsidR="001B433F">
        <w:t>the area largely includes northern and central Victoria as well as parts of southern NSW. The ACCC also considers that the catchment area for Emerald’s MPT overlaps to a large degree with GrainCorp’s Geelong port terminal</w:t>
      </w:r>
      <w:r w:rsidR="00AA464D">
        <w:t>,</w:t>
      </w:r>
      <w:r w:rsidR="001B433F">
        <w:t xml:space="preserve"> and to a smaller degree with GrainCorp’s Portland facility.</w:t>
      </w:r>
    </w:p>
    <w:p w:rsidR="00C516D8" w:rsidRDefault="005A4F59" w:rsidP="00B43C63">
      <w:r>
        <w:t xml:space="preserve">At the time of forming its preliminary views in relation to MPT, no bulk wheat terminal services provider in the relevant catchment </w:t>
      </w:r>
      <w:r w:rsidR="00B815CD">
        <w:t>is</w:t>
      </w:r>
      <w:r w:rsidR="005713CA">
        <w:t xml:space="preserve"> exempt under the Code.</w:t>
      </w:r>
    </w:p>
    <w:p w:rsidR="00F435FF" w:rsidRDefault="005A4F59" w:rsidP="00B43C63">
      <w:r w:rsidRPr="00AB3863">
        <w:t>The ACCC is however in the process of assessing exemption applications for GrainCorp’s Geelong and Portland facilities</w:t>
      </w:r>
      <w:r w:rsidR="00C516D8" w:rsidRPr="00AB3863">
        <w:t>. Based on its</w:t>
      </w:r>
      <w:r w:rsidRPr="00AB3863">
        <w:t xml:space="preserve"> preliminary assessment</w:t>
      </w:r>
      <w:r w:rsidR="00B815CD" w:rsidRPr="00AB3863">
        <w:t>s</w:t>
      </w:r>
      <w:r w:rsidRPr="00AB3863">
        <w:t xml:space="preserve">, </w:t>
      </w:r>
      <w:r w:rsidR="00C516D8" w:rsidRPr="00AB3863">
        <w:t xml:space="preserve">the ACCC </w:t>
      </w:r>
      <w:r w:rsidR="00B815CD" w:rsidRPr="00AB3863">
        <w:t xml:space="preserve">is </w:t>
      </w:r>
      <w:r w:rsidRPr="00AB3863">
        <w:t>propos</w:t>
      </w:r>
      <w:r w:rsidR="00B815CD" w:rsidRPr="00AB3863">
        <w:t>ing</w:t>
      </w:r>
      <w:r w:rsidRPr="00AB3863">
        <w:t xml:space="preserve"> to grant an exemption to </w:t>
      </w:r>
      <w:r w:rsidR="00AB3863" w:rsidRPr="00AB3863">
        <w:t>GrainCorp’s Geelong port terminal</w:t>
      </w:r>
      <w:r w:rsidR="00B815CD" w:rsidRPr="00AB3863">
        <w:t>.</w:t>
      </w:r>
      <w:r w:rsidR="00AB3863">
        <w:t xml:space="preserve"> </w:t>
      </w:r>
      <w:r w:rsidR="00B815CD" w:rsidRPr="00AB3863">
        <w:t>The ACCC is seeking industry views on its preliminary assessments of GrainCorp’s facilities.</w:t>
      </w:r>
    </w:p>
    <w:p w:rsidR="00AB3863" w:rsidRDefault="00AB3863" w:rsidP="00AB3863">
      <w:r>
        <w:t xml:space="preserve">Should the ACCC make a final determination to exempt </w:t>
      </w:r>
      <w:r w:rsidR="002323F6" w:rsidRPr="00AB3863">
        <w:t>GrainCorp’s Geelong port terminal</w:t>
      </w:r>
      <w:r>
        <w:t xml:space="preserve">, this may provide support for the exemption of </w:t>
      </w:r>
      <w:r w:rsidR="002323F6">
        <w:t>Emerald’s MPT</w:t>
      </w:r>
      <w:r>
        <w:t>, particularly given the ACCC’s preliminary assessment of the level of competition between the two port terminals.</w:t>
      </w:r>
    </w:p>
    <w:p w:rsidR="00F54598" w:rsidRDefault="00F54598" w:rsidP="00F54598">
      <w:pPr>
        <w:pStyle w:val="Heading4"/>
        <w:numPr>
          <w:ilvl w:val="0"/>
          <w:numId w:val="0"/>
        </w:numPr>
        <w:tabs>
          <w:tab w:val="left" w:pos="0"/>
        </w:tabs>
        <w:spacing w:before="360"/>
      </w:pPr>
      <w:r>
        <w:t>(j) any other matters the ACCC considers relevant</w:t>
      </w:r>
    </w:p>
    <w:p w:rsidR="00056836" w:rsidRDefault="00F435FF" w:rsidP="00945421">
      <w:r>
        <w:t>The ACCC does not consider that there are any other matters relevant to its preliminary assessment</w:t>
      </w:r>
      <w:r w:rsidR="003B13FE">
        <w:t xml:space="preserve"> of Emerald’s MPT</w:t>
      </w:r>
      <w:r w:rsidR="004A545F">
        <w:t xml:space="preserve"> exemption application</w:t>
      </w:r>
      <w:r>
        <w:t>.</w:t>
      </w:r>
      <w:bookmarkStart w:id="74" w:name="_Toc320114411"/>
      <w:bookmarkStart w:id="75" w:name="_Toc330462909"/>
      <w:bookmarkStart w:id="76" w:name="_Toc330463155"/>
      <w:bookmarkStart w:id="77" w:name="_Toc333416478"/>
      <w:bookmarkStart w:id="78" w:name="_Toc393960266"/>
      <w:bookmarkEnd w:id="30"/>
      <w:bookmarkEnd w:id="31"/>
      <w:bookmarkEnd w:id="32"/>
      <w:bookmarkEnd w:id="33"/>
      <w:bookmarkEnd w:id="34"/>
      <w:bookmarkEnd w:id="35"/>
    </w:p>
    <w:p w:rsidR="005217BA" w:rsidRDefault="005217BA" w:rsidP="00945421">
      <w:pPr>
        <w:rPr>
          <w:rFonts w:ascii="Lucida Fax" w:eastAsiaTheme="majorEastAsia" w:hAnsi="Lucida Fax" w:cstheme="majorBidi"/>
          <w:bCs/>
          <w:color w:val="51626F"/>
          <w:sz w:val="32"/>
          <w:szCs w:val="28"/>
        </w:rPr>
      </w:pPr>
      <w:r>
        <w:br w:type="page"/>
      </w:r>
    </w:p>
    <w:p w:rsidR="00A77DDA" w:rsidRDefault="00A77DDA" w:rsidP="002E0669">
      <w:pPr>
        <w:pStyle w:val="Heading1"/>
      </w:pPr>
      <w:bookmarkStart w:id="79" w:name="_Toc416360498"/>
      <w:r>
        <w:lastRenderedPageBreak/>
        <w:t>ACCC’s preliminary exemption assessment of GrainCorp’s Geelong port terminal</w:t>
      </w:r>
      <w:bookmarkEnd w:id="79"/>
    </w:p>
    <w:p w:rsidR="00594925" w:rsidRDefault="00594925" w:rsidP="00594925">
      <w:pPr>
        <w:pStyle w:val="Normalparagraph"/>
      </w:pPr>
      <w:r w:rsidRPr="00E5216E">
        <w:t xml:space="preserve">The ACCC’s </w:t>
      </w:r>
      <w:r>
        <w:t>preliminary exemption assessment of GrainCorp’s Geelong port terminal, having regard to</w:t>
      </w:r>
      <w:r w:rsidRPr="004A2EE7">
        <w:t xml:space="preserve"> </w:t>
      </w:r>
      <w:r>
        <w:t>matter</w:t>
      </w:r>
      <w:r w:rsidR="00977D39">
        <w:t>s</w:t>
      </w:r>
      <w:r w:rsidR="00C61702">
        <w:t xml:space="preserve"> (a) to (j)</w:t>
      </w:r>
      <w:r>
        <w:t xml:space="preserve"> </w:t>
      </w:r>
      <w:r w:rsidR="00C61702">
        <w:t>of</w:t>
      </w:r>
      <w:r>
        <w:t xml:space="preserve"> </w:t>
      </w:r>
      <w:r w:rsidRPr="00E5216E">
        <w:t>subclause 5(3)</w:t>
      </w:r>
      <w:r>
        <w:t xml:space="preserve"> of the Code, </w:t>
      </w:r>
      <w:r w:rsidRPr="004A2EE7">
        <w:t xml:space="preserve">is set out in this </w:t>
      </w:r>
      <w:r w:rsidR="00DB0465">
        <w:t>chapter</w:t>
      </w:r>
      <w:r w:rsidRPr="004A2EE7">
        <w:t xml:space="preserve">. </w:t>
      </w:r>
    </w:p>
    <w:p w:rsidR="00977D39" w:rsidRDefault="00977D39" w:rsidP="00594925">
      <w:pPr>
        <w:pStyle w:val="Normalparagraph"/>
      </w:pPr>
      <w:r>
        <w:t xml:space="preserve">The considerations that the ACCC may </w:t>
      </w:r>
      <w:r w:rsidR="004A545F">
        <w:t xml:space="preserve">find relevant </w:t>
      </w:r>
      <w:r w:rsidR="00056836">
        <w:t xml:space="preserve">when having </w:t>
      </w:r>
      <w:r w:rsidR="004A545F">
        <w:t xml:space="preserve">regard to each of subclause 5(3) </w:t>
      </w:r>
      <w:r>
        <w:t>matter</w:t>
      </w:r>
      <w:r w:rsidR="004A545F">
        <w:t>s</w:t>
      </w:r>
      <w:r>
        <w:t xml:space="preserve">, (a) to (j) </w:t>
      </w:r>
      <w:r w:rsidR="00A85797">
        <w:t xml:space="preserve">are summarised throughout this chapter but can be found in fuller detail </w:t>
      </w:r>
      <w:r w:rsidR="001A0209">
        <w:t>throughout</w:t>
      </w:r>
      <w:r>
        <w:t xml:space="preserve"> chapter 4 in the assessment of Emerald’s </w:t>
      </w:r>
      <w:r w:rsidR="004D1A2F">
        <w:t>MPT</w:t>
      </w:r>
      <w:r>
        <w:t>.</w:t>
      </w:r>
    </w:p>
    <w:p w:rsidR="005217BA" w:rsidRDefault="005217BA" w:rsidP="005217BA">
      <w:pPr>
        <w:pStyle w:val="Heading4"/>
        <w:numPr>
          <w:ilvl w:val="0"/>
          <w:numId w:val="0"/>
        </w:numPr>
        <w:tabs>
          <w:tab w:val="left" w:pos="426"/>
        </w:tabs>
        <w:ind w:left="426" w:hanging="426"/>
      </w:pPr>
      <w:r w:rsidRPr="00C16DB1">
        <w:t>(a) the legitimate business interests of the port terminal service provider</w:t>
      </w:r>
    </w:p>
    <w:p w:rsidR="00743894" w:rsidRDefault="00743894" w:rsidP="005217BA">
      <w:r>
        <w:t>The ACCC notes GrainCorp’s submission that granting an exemption to GrainCorp’s Geelong port terminal would be in GrainCorp’s legitimate business interests by:</w:t>
      </w:r>
    </w:p>
    <w:p w:rsidR="005217BA" w:rsidRDefault="00743894" w:rsidP="00743894">
      <w:pPr>
        <w:pStyle w:val="ListParagraph"/>
        <w:numPr>
          <w:ilvl w:val="0"/>
          <w:numId w:val="15"/>
        </w:numPr>
        <w:ind w:left="714" w:hanging="357"/>
        <w:contextualSpacing w:val="0"/>
      </w:pPr>
      <w:r>
        <w:t>allowing GrainCorp to compete commercially for the export of bulk grain</w:t>
      </w:r>
    </w:p>
    <w:p w:rsidR="00743894" w:rsidRDefault="006930F0" w:rsidP="00743894">
      <w:pPr>
        <w:pStyle w:val="ListParagraph"/>
        <w:numPr>
          <w:ilvl w:val="0"/>
          <w:numId w:val="15"/>
        </w:numPr>
        <w:ind w:left="714" w:hanging="357"/>
        <w:contextualSpacing w:val="0"/>
      </w:pPr>
      <w:r>
        <w:t>s</w:t>
      </w:r>
      <w:r w:rsidR="00743894">
        <w:t>upporting operational flexibility to improve service and reduce supply chain costs</w:t>
      </w:r>
    </w:p>
    <w:p w:rsidR="00743894" w:rsidRDefault="00743894" w:rsidP="00743894">
      <w:pPr>
        <w:pStyle w:val="ListParagraph"/>
        <w:numPr>
          <w:ilvl w:val="0"/>
          <w:numId w:val="15"/>
        </w:numPr>
        <w:ind w:left="714" w:hanging="357"/>
        <w:contextualSpacing w:val="0"/>
      </w:pPr>
      <w:r>
        <w:t>providing equity with the competing export container packers that are not regulated and</w:t>
      </w:r>
    </w:p>
    <w:p w:rsidR="00743894" w:rsidRDefault="00743894" w:rsidP="00743894">
      <w:pPr>
        <w:pStyle w:val="ListParagraph"/>
        <w:numPr>
          <w:ilvl w:val="0"/>
          <w:numId w:val="15"/>
        </w:numPr>
        <w:ind w:left="714" w:hanging="357"/>
        <w:contextualSpacing w:val="0"/>
      </w:pPr>
      <w:r>
        <w:t>reducing the level of regulation and cost of compliance.</w:t>
      </w:r>
      <w:r>
        <w:rPr>
          <w:rStyle w:val="FootnoteReference"/>
        </w:rPr>
        <w:footnoteReference w:id="124"/>
      </w:r>
    </w:p>
    <w:p w:rsidR="00635850" w:rsidRDefault="00635850" w:rsidP="00635850">
      <w:pPr>
        <w:rPr>
          <w:sz w:val="21"/>
          <w:szCs w:val="21"/>
        </w:rPr>
      </w:pPr>
      <w:r w:rsidRPr="001A44F2">
        <w:t xml:space="preserve">The ACCC considers that </w:t>
      </w:r>
      <w:r>
        <w:t>GrainCorp</w:t>
      </w:r>
      <w:r w:rsidRPr="001A44F2">
        <w:t xml:space="preserve"> has an inherit level of flexibility to manage its legitimate business interests even under the existing regulatory arrangements. </w:t>
      </w:r>
      <w:r>
        <w:t xml:space="preserve">Similar to Emerald, GrainCorp </w:t>
      </w:r>
      <w:r w:rsidRPr="001A44F2">
        <w:t xml:space="preserve">can </w:t>
      </w:r>
      <w:r>
        <w:t xml:space="preserve">also </w:t>
      </w:r>
      <w:r w:rsidRPr="001A44F2">
        <w:t xml:space="preserve">set prices, terms and conditions for elevation from </w:t>
      </w:r>
      <w:r>
        <w:t xml:space="preserve">its Geelong terminal </w:t>
      </w:r>
      <w:r w:rsidRPr="001A44F2">
        <w:t xml:space="preserve">and </w:t>
      </w:r>
      <w:r>
        <w:t xml:space="preserve">can </w:t>
      </w:r>
      <w:r w:rsidRPr="001A44F2">
        <w:t xml:space="preserve">negotiate non-standard terms for different exporters. </w:t>
      </w:r>
      <w:r>
        <w:t>GrainCorp</w:t>
      </w:r>
      <w:r w:rsidRPr="001A44F2">
        <w:t xml:space="preserve"> may also seek to use a range of mechanisms to allocate </w:t>
      </w:r>
      <w:r>
        <w:t xml:space="preserve">capacity with the approval of the ACCC. In 2012, the ACCC did not object to GrainCorp varying its capacity allocation arrangements to offer long term agreements for </w:t>
      </w:r>
      <w:r>
        <w:rPr>
          <w:sz w:val="21"/>
          <w:szCs w:val="21"/>
        </w:rPr>
        <w:t>up to 60 per cent of its port capacity.</w:t>
      </w:r>
      <w:r>
        <w:rPr>
          <w:rStyle w:val="FootnoteReference"/>
          <w:szCs w:val="21"/>
        </w:rPr>
        <w:footnoteReference w:id="125"/>
      </w:r>
      <w:r>
        <w:rPr>
          <w:sz w:val="21"/>
          <w:szCs w:val="21"/>
        </w:rPr>
        <w:t xml:space="preserve"> GrainCorp also has operational flexibility under the terms of the existing capacity allocation protocols, although these are limited to specific circumstances and reasons.</w:t>
      </w:r>
    </w:p>
    <w:p w:rsidR="00635850" w:rsidRDefault="00635850" w:rsidP="00635850">
      <w:r w:rsidRPr="001A44F2">
        <w:t xml:space="preserve">The ACCC’s consideration of subclauses 5(3)(b) and (g) (see below) notes </w:t>
      </w:r>
      <w:r w:rsidRPr="004D1A2F">
        <w:t>that GrainCorp’s Geelong port terminal faces competition from Emerald’s M</w:t>
      </w:r>
      <w:r>
        <w:t>PT</w:t>
      </w:r>
      <w:r w:rsidRPr="004D1A2F">
        <w:t xml:space="preserve"> as both terminals share a similar grain catchment area and</w:t>
      </w:r>
      <w:r>
        <w:t>,</w:t>
      </w:r>
      <w:r w:rsidRPr="004D1A2F">
        <w:t xml:space="preserve"> despite some differences in the features of the two terminals, they provide broadly similar port terminal services</w:t>
      </w:r>
      <w:r>
        <w:t xml:space="preserve"> that can be utilised by gran marketers to export grain</w:t>
      </w:r>
      <w:r w:rsidRPr="004D1A2F">
        <w:t xml:space="preserve">. Additionally the ACCC considers that </w:t>
      </w:r>
      <w:r>
        <w:t xml:space="preserve">GrainCorp’s Geelong </w:t>
      </w:r>
      <w:r w:rsidRPr="004D1A2F">
        <w:t xml:space="preserve">bulk export programme faces competition from the significant container export and domestic markets in Victoria. </w:t>
      </w:r>
    </w:p>
    <w:p w:rsidR="001260D7" w:rsidRDefault="001260D7" w:rsidP="005217BA">
      <w:r w:rsidRPr="001260D7">
        <w:t xml:space="preserve">As an exempt port terminal services provider, </w:t>
      </w:r>
      <w:r>
        <w:t>GrainCorp</w:t>
      </w:r>
      <w:r w:rsidRPr="001260D7">
        <w:t xml:space="preserve"> </w:t>
      </w:r>
      <w:r>
        <w:t xml:space="preserve">could </w:t>
      </w:r>
      <w:r w:rsidRPr="001260D7">
        <w:t>engage more freely in commercial negotiations</w:t>
      </w:r>
      <w:r>
        <w:t xml:space="preserve"> and </w:t>
      </w:r>
      <w:r w:rsidRPr="001260D7">
        <w:t>tailor access agreements for certain customers</w:t>
      </w:r>
      <w:r>
        <w:t xml:space="preserve"> </w:t>
      </w:r>
      <w:r w:rsidR="00921575">
        <w:t xml:space="preserve">for its Geelong terminal in order </w:t>
      </w:r>
      <w:r>
        <w:t>to compete with MPT as well as with the container export programme at the Port of Melbourne</w:t>
      </w:r>
      <w:r w:rsidRPr="001260D7">
        <w:t xml:space="preserve">. </w:t>
      </w:r>
      <w:r>
        <w:t xml:space="preserve">As discussed further in this assessment, these factors place a degree of </w:t>
      </w:r>
      <w:r w:rsidRPr="001260D7">
        <w:t>competiti</w:t>
      </w:r>
      <w:r>
        <w:t>ve constraint on GrainCorp’</w:t>
      </w:r>
      <w:r w:rsidR="002149AD">
        <w:t xml:space="preserve">s Geelong port terminal and a greater ability for GrainCorp to negotiate with its customers </w:t>
      </w:r>
      <w:r w:rsidRPr="001260D7">
        <w:t xml:space="preserve">could allow </w:t>
      </w:r>
      <w:r w:rsidR="002149AD">
        <w:t xml:space="preserve">it </w:t>
      </w:r>
      <w:r w:rsidRPr="001260D7">
        <w:t>to compete more vigorously in and with these markets.</w:t>
      </w:r>
    </w:p>
    <w:p w:rsidR="00E50C95" w:rsidRDefault="0073002B" w:rsidP="005217BA">
      <w:r>
        <w:lastRenderedPageBreak/>
        <w:t>In addition, a</w:t>
      </w:r>
      <w:r w:rsidR="003F023E">
        <w:t xml:space="preserve">s a publically listed company GrainCorp has an incentive to minimise costs and maximise the use of its infrastructure to provide returns to its shareholders. </w:t>
      </w:r>
      <w:r w:rsidR="0010503F" w:rsidRPr="0010503F">
        <w:t xml:space="preserve">The ACCC recognises that regulation does impose some cost on the regulated business, and that it would be efficient to reduce that cost where regulation is not necessary, such as where there are sufficient competitive constraints. </w:t>
      </w:r>
    </w:p>
    <w:p w:rsidR="00635850" w:rsidRPr="00A77DDA" w:rsidRDefault="00635850" w:rsidP="00635850">
      <w:r w:rsidRPr="0010503F">
        <w:t xml:space="preserve">As such the ACCC’s preliminary view is that granting an exemption to </w:t>
      </w:r>
      <w:r>
        <w:t xml:space="preserve">GrainCorp’s Geelong facility, where a competitive constraint exists by way of Emerald’s MPT, </w:t>
      </w:r>
      <w:r w:rsidRPr="0010503F">
        <w:t xml:space="preserve">and </w:t>
      </w:r>
      <w:r>
        <w:t xml:space="preserve">the resultant </w:t>
      </w:r>
      <w:r w:rsidRPr="0010503F">
        <w:t>reduc</w:t>
      </w:r>
      <w:r>
        <w:t xml:space="preserve">tion in associated </w:t>
      </w:r>
      <w:r w:rsidRPr="0010503F">
        <w:t xml:space="preserve">regulatory costs on </w:t>
      </w:r>
      <w:r>
        <w:t xml:space="preserve">GrainCorp, could </w:t>
      </w:r>
      <w:r w:rsidRPr="0010503F">
        <w:t xml:space="preserve">be in </w:t>
      </w:r>
      <w:r>
        <w:t xml:space="preserve">GrainCorp’s </w:t>
      </w:r>
      <w:r w:rsidRPr="0010503F">
        <w:t>legitimate business interests.</w:t>
      </w:r>
    </w:p>
    <w:p w:rsidR="005217BA" w:rsidRDefault="005217BA" w:rsidP="00635850">
      <w:pPr>
        <w:pStyle w:val="Heading4"/>
        <w:numPr>
          <w:ilvl w:val="0"/>
          <w:numId w:val="0"/>
        </w:numPr>
        <w:tabs>
          <w:tab w:val="left" w:pos="0"/>
        </w:tabs>
      </w:pPr>
      <w:r w:rsidRPr="00A17677">
        <w:t>(b)</w:t>
      </w:r>
      <w:r w:rsidR="00576B60">
        <w:t xml:space="preserve"> </w:t>
      </w:r>
      <w:r w:rsidRPr="00E10B60">
        <w:t>the public interest, including the public interest in having competition in markets</w:t>
      </w:r>
      <w:r w:rsidR="00576B60">
        <w:t xml:space="preserve">; and </w:t>
      </w:r>
      <w:r>
        <w:t xml:space="preserve">(g) </w:t>
      </w:r>
      <w:r w:rsidRPr="00BC1D85">
        <w:t>the promotion of competition in upstream and downstream markets</w:t>
      </w:r>
    </w:p>
    <w:p w:rsidR="00A85797" w:rsidRPr="00A85797" w:rsidRDefault="00A85797" w:rsidP="00A85797">
      <w:r w:rsidRPr="00A85797">
        <w:t>The ACCC considers that</w:t>
      </w:r>
      <w:r w:rsidR="00F458ED">
        <w:t xml:space="preserve"> the matters at </w:t>
      </w:r>
      <w:r w:rsidRPr="00A85797">
        <w:t>subclauses 5(3)(b) and (g) relate to the promotion of competition in markets, including the market for bulk wheat port terminal services as well as for upstream, downstream and related markets.</w:t>
      </w:r>
      <w:r>
        <w:t xml:space="preserve"> The ACCC also considers broader public interests such as economic development, investment</w:t>
      </w:r>
      <w:r w:rsidR="00163967">
        <w:t xml:space="preserve"> and the efficient allocation of resources</w:t>
      </w:r>
      <w:r w:rsidR="00F458ED">
        <w:t>, are relevant to its consideration of the subclause 5(3)(b)</w:t>
      </w:r>
      <w:r>
        <w:t>.</w:t>
      </w:r>
    </w:p>
    <w:p w:rsidR="00E536AC" w:rsidRPr="00E536AC" w:rsidRDefault="00E536AC" w:rsidP="003F4DE4">
      <w:pPr>
        <w:keepNext/>
        <w:rPr>
          <w:i/>
        </w:rPr>
      </w:pPr>
      <w:r w:rsidRPr="00E536AC">
        <w:rPr>
          <w:i/>
        </w:rPr>
        <w:t xml:space="preserve">Competition </w:t>
      </w:r>
      <w:r w:rsidR="00251378">
        <w:rPr>
          <w:i/>
        </w:rPr>
        <w:t>in</w:t>
      </w:r>
      <w:r w:rsidRPr="00E536AC">
        <w:rPr>
          <w:i/>
        </w:rPr>
        <w:t xml:space="preserve"> bulk wheat export operations</w:t>
      </w:r>
    </w:p>
    <w:p w:rsidR="00C03332" w:rsidRDefault="008E552B" w:rsidP="005217BA">
      <w:r>
        <w:t>T</w:t>
      </w:r>
      <w:r w:rsidRPr="008E552B">
        <w:t xml:space="preserve">he ACCC has previously recognised </w:t>
      </w:r>
      <w:r w:rsidR="00AE3E90">
        <w:t xml:space="preserve">there to be </w:t>
      </w:r>
      <w:r w:rsidRPr="008E552B">
        <w:t>a degree of competition between GrainCorp’s Geelong port terminal and Emerald’s MPT.</w:t>
      </w:r>
      <w:r>
        <w:rPr>
          <w:rStyle w:val="FootnoteReference"/>
        </w:rPr>
        <w:footnoteReference w:id="126"/>
      </w:r>
    </w:p>
    <w:p w:rsidR="00022C00" w:rsidRDefault="00022C00" w:rsidP="00022C00">
      <w:r>
        <w:t>Overall, the ACCC’s preliminary view is that GrainCorp</w:t>
      </w:r>
      <w:r w:rsidR="00BD5B1C">
        <w:t xml:space="preserve"> faces a significant competitive pressure on its</w:t>
      </w:r>
      <w:r>
        <w:t xml:space="preserve"> provision of port terminal services at its Geelong port terminal. </w:t>
      </w:r>
      <w:r w:rsidR="00661CC0">
        <w:t>This</w:t>
      </w:r>
      <w:r w:rsidR="00C25AFE">
        <w:t xml:space="preserve"> c</w:t>
      </w:r>
      <w:r w:rsidR="00D50182">
        <w:t>ompetitive pressure</w:t>
      </w:r>
      <w:r w:rsidR="00C25AFE">
        <w:t xml:space="preserve"> come</w:t>
      </w:r>
      <w:r w:rsidR="00661CC0">
        <w:t>s</w:t>
      </w:r>
      <w:r w:rsidR="00C25AFE">
        <w:t xml:space="preserve"> from </w:t>
      </w:r>
      <w:r>
        <w:t>Emerald’s established MPT, container</w:t>
      </w:r>
      <w:r w:rsidR="00C25AFE">
        <w:t>ised exports</w:t>
      </w:r>
      <w:r>
        <w:t xml:space="preserve"> and domestic </w:t>
      </w:r>
      <w:r w:rsidR="00C25AFE">
        <w:t>demand for grain. Low barriers to entry</w:t>
      </w:r>
      <w:r w:rsidR="00661CC0">
        <w:t xml:space="preserve"> in Geelong</w:t>
      </w:r>
      <w:r w:rsidR="00C25AFE">
        <w:t xml:space="preserve"> and possible future entry also increase the level of competition faced by GrainCorp in respect of its Geelong port terminal.</w:t>
      </w:r>
      <w:r>
        <w:t xml:space="preserve"> </w:t>
      </w:r>
    </w:p>
    <w:p w:rsidR="005A2D16" w:rsidRDefault="008D1F01" w:rsidP="005217BA">
      <w:r>
        <w:t xml:space="preserve">The ACCC’s preliminary view is based </w:t>
      </w:r>
      <w:r w:rsidR="0095217E">
        <w:t>its analysis of the port terminal services markets in chapter 2, and</w:t>
      </w:r>
      <w:r w:rsidR="00F83097">
        <w:t xml:space="preserve"> its</w:t>
      </w:r>
      <w:r w:rsidR="0095217E">
        <w:t xml:space="preserve"> consideration of upcountry and related markets in chapter 3, which indicate the </w:t>
      </w:r>
      <w:r>
        <w:t>following:</w:t>
      </w:r>
    </w:p>
    <w:p w:rsidR="00022C00" w:rsidRDefault="00022C00" w:rsidP="00022C00">
      <w:pPr>
        <w:pStyle w:val="ListParagraph"/>
        <w:numPr>
          <w:ilvl w:val="0"/>
          <w:numId w:val="15"/>
        </w:numPr>
        <w:contextualSpacing w:val="0"/>
      </w:pPr>
      <w:r>
        <w:t>GrainCorp’s Geelong port terminal and Emerald’s MPT are similar facilities providing a similar range of services. B</w:t>
      </w:r>
      <w:r w:rsidRPr="0095217E">
        <w:t>oth port terminals have a comparable loading capacity, a similar draft and can accommodate similar size vessels</w:t>
      </w:r>
      <w:r>
        <w:t>. B</w:t>
      </w:r>
      <w:r w:rsidRPr="0095217E">
        <w:t xml:space="preserve">oth terminals </w:t>
      </w:r>
      <w:r>
        <w:t xml:space="preserve">also </w:t>
      </w:r>
      <w:r w:rsidRPr="0095217E">
        <w:t>have equivalent road and rail access</w:t>
      </w:r>
      <w:r>
        <w:t>. The ACCC notes that, while GrainCorp’s Geelong facility has certain advantages over MPT such having greater receivals and storage capacity, MPT is located closer, by distance, to more upcountry storage and handling facilities.</w:t>
      </w:r>
    </w:p>
    <w:p w:rsidR="00022C00" w:rsidRPr="005C1DFE" w:rsidRDefault="00022C00" w:rsidP="00022C00">
      <w:pPr>
        <w:pStyle w:val="ListParagraph"/>
        <w:numPr>
          <w:ilvl w:val="0"/>
          <w:numId w:val="15"/>
        </w:numPr>
        <w:contextualSpacing w:val="0"/>
      </w:pPr>
      <w:r w:rsidRPr="005C1DFE">
        <w:t>Analysis of the relevant catchment areas in chapter 3 indicates that there is overlap in the grain catchment areas for GrainCorp’s Geelong port terminal</w:t>
      </w:r>
      <w:r>
        <w:t xml:space="preserve"> and Emerald’s MPT</w:t>
      </w:r>
      <w:r w:rsidRPr="005C1DFE">
        <w:t xml:space="preserve">. The indicative freight charges are comparable to transport grain from various sites to either port. Additionally the significant use of road transport provides a degree of flexibility in grain transport </w:t>
      </w:r>
      <w:r>
        <w:t xml:space="preserve">options in Victoria. Together, </w:t>
      </w:r>
      <w:r w:rsidRPr="005C1DFE">
        <w:t>this suggests that a significa</w:t>
      </w:r>
      <w:r>
        <w:t xml:space="preserve">nt number of marketers </w:t>
      </w:r>
      <w:r w:rsidRPr="005C1DFE">
        <w:t xml:space="preserve">have the option of substituting between Geelong and </w:t>
      </w:r>
      <w:r w:rsidR="007C129D">
        <w:t>MPT</w:t>
      </w:r>
      <w:r w:rsidRPr="005C1DFE">
        <w:t xml:space="preserve"> to export bulk wheat.</w:t>
      </w:r>
    </w:p>
    <w:p w:rsidR="00022C00" w:rsidRDefault="00022C00" w:rsidP="00022C00">
      <w:pPr>
        <w:pStyle w:val="ListParagraph"/>
        <w:numPr>
          <w:ilvl w:val="0"/>
          <w:numId w:val="15"/>
        </w:numPr>
        <w:ind w:left="714" w:hanging="357"/>
        <w:contextualSpacing w:val="0"/>
      </w:pPr>
      <w:r>
        <w:lastRenderedPageBreak/>
        <w:t xml:space="preserve">GrainCorp’s Portland </w:t>
      </w:r>
      <w:r w:rsidR="00C25AFE">
        <w:t xml:space="preserve">facility </w:t>
      </w:r>
      <w:r>
        <w:t>may also provide some marketers from more western districts of Victoria with an alternative option to the Geelong terminal.</w:t>
      </w:r>
      <w:r w:rsidRPr="00151441">
        <w:t xml:space="preserve"> </w:t>
      </w:r>
      <w:r w:rsidR="00D50182">
        <w:rPr>
          <w:rFonts w:cs="Arial"/>
        </w:rPr>
        <w:t xml:space="preserve">However, given that both terminals are </w:t>
      </w:r>
      <w:r w:rsidR="008A0387">
        <w:rPr>
          <w:rFonts w:cs="Arial"/>
        </w:rPr>
        <w:t xml:space="preserve">operated </w:t>
      </w:r>
      <w:r w:rsidR="00D50182">
        <w:rPr>
          <w:rFonts w:cs="Arial"/>
        </w:rPr>
        <w:t xml:space="preserve">by GrainCorp the </w:t>
      </w:r>
      <w:r w:rsidR="00462411">
        <w:rPr>
          <w:rFonts w:cs="Arial"/>
        </w:rPr>
        <w:t xml:space="preserve">ACCC does not consider there to be any significant </w:t>
      </w:r>
      <w:r w:rsidR="00D50182">
        <w:rPr>
          <w:rFonts w:cs="Arial"/>
        </w:rPr>
        <w:t xml:space="preserve">competitive constraint </w:t>
      </w:r>
      <w:r w:rsidR="00B20907">
        <w:rPr>
          <w:rFonts w:cs="Arial"/>
        </w:rPr>
        <w:t xml:space="preserve">directly </w:t>
      </w:r>
      <w:r w:rsidR="00462411">
        <w:rPr>
          <w:rFonts w:cs="Arial"/>
        </w:rPr>
        <w:t>between these two port terminals</w:t>
      </w:r>
      <w:r w:rsidR="00D50182">
        <w:rPr>
          <w:rFonts w:cs="Arial"/>
        </w:rPr>
        <w:t>.</w:t>
      </w:r>
    </w:p>
    <w:p w:rsidR="00022C00" w:rsidRDefault="00022C00" w:rsidP="00022C00">
      <w:pPr>
        <w:pStyle w:val="ListParagraph"/>
        <w:numPr>
          <w:ilvl w:val="0"/>
          <w:numId w:val="15"/>
        </w:numPr>
        <w:ind w:left="714" w:hanging="357"/>
        <w:contextualSpacing w:val="0"/>
      </w:pPr>
      <w:r>
        <w:t>On average, there appears to be spare capacity available at GrainCorp’s Geelong terminal over the course of a year. There appears to be some degree of capacity constraint in certain high demand months during an especially large harvest year, which may raise some concerns about the ability of other exporters to access capacity if the terminal was unregulated. However, the ACCC notes that, in other years and in non-peak periods there is excess capacity. There may be a concern that exporters may not be able to gain sufficient access to capacity during periods of peak demand. This is discussed further in the ACCC’s consideration of subclauses 5(3)(c) and (d).</w:t>
      </w:r>
    </w:p>
    <w:p w:rsidR="00022C00" w:rsidRDefault="00022C00" w:rsidP="00022C00">
      <w:pPr>
        <w:pStyle w:val="ListParagraph"/>
        <w:numPr>
          <w:ilvl w:val="0"/>
          <w:numId w:val="15"/>
        </w:numPr>
        <w:contextualSpacing w:val="0"/>
      </w:pPr>
      <w:r>
        <w:t xml:space="preserve">While the ACCC notes that proposed new port developments are still some time from operation, there are plans to develop further bulk wheat port terminals in Victoria, in particular Bunge’s proposed Geelong facility. This proposal is planned to link to complimentary infrastructure currently uploading woodchips, a strategy which has been successfully implemented at Bunge’s Bunbury terminal in Western Australia. </w:t>
      </w:r>
      <w:r w:rsidR="00370409">
        <w:t>Given that the facility is not yet operational, the ACCC considers that the extent of competitive pressure is somewhat limited. However, t</w:t>
      </w:r>
      <w:r>
        <w:t xml:space="preserve">he proven ability for companies to implement such facilities suggests that the barriers to enter the bulk wheat port terminal services market are not </w:t>
      </w:r>
      <w:r w:rsidR="00370409">
        <w:t xml:space="preserve">prohibitively </w:t>
      </w:r>
      <w:r>
        <w:t xml:space="preserve">high </w:t>
      </w:r>
      <w:r w:rsidR="00370409">
        <w:t xml:space="preserve">in some cases. The ACCC considers </w:t>
      </w:r>
      <w:r>
        <w:t xml:space="preserve">that Bunge’s proposal represents </w:t>
      </w:r>
      <w:r w:rsidRPr="00A86AC5">
        <w:t xml:space="preserve">a credible threat of new entry/expansion </w:t>
      </w:r>
      <w:r>
        <w:t xml:space="preserve">at the Port of Geelong, </w:t>
      </w:r>
      <w:r w:rsidRPr="00A86AC5">
        <w:t>which provide</w:t>
      </w:r>
      <w:r>
        <w:t>s</w:t>
      </w:r>
      <w:r w:rsidRPr="00A86AC5">
        <w:t xml:space="preserve"> an additional constraint on </w:t>
      </w:r>
      <w:r>
        <w:t>GrainCorp. Additionally, Bunge has been a client of both GrainCorp’s Geelong and Emerald’s MPT facility.</w:t>
      </w:r>
    </w:p>
    <w:p w:rsidR="0040677F" w:rsidRPr="0040677F" w:rsidRDefault="009D14AE" w:rsidP="0054426F">
      <w:pPr>
        <w:keepNext/>
        <w:rPr>
          <w:i/>
        </w:rPr>
      </w:pPr>
      <w:r>
        <w:rPr>
          <w:i/>
        </w:rPr>
        <w:t>Competition in u</w:t>
      </w:r>
      <w:r w:rsidR="0040677F" w:rsidRPr="0040677F">
        <w:rPr>
          <w:i/>
        </w:rPr>
        <w:t>pstream and downstream markets</w:t>
      </w:r>
    </w:p>
    <w:p w:rsidR="00FF5DD6" w:rsidRDefault="00FF5DD6" w:rsidP="0040677F">
      <w:r w:rsidRPr="00FF5DD6">
        <w:t xml:space="preserve">The ACCC’s preliminary view is that the state of competition in upstream markets across Victoria and southern NSW </w:t>
      </w:r>
      <w:r w:rsidR="00683B7E">
        <w:t xml:space="preserve">place a </w:t>
      </w:r>
      <w:r w:rsidRPr="00FF5DD6">
        <w:t>constrain</w:t>
      </w:r>
      <w:r w:rsidR="00683B7E">
        <w:t xml:space="preserve">t on </w:t>
      </w:r>
      <w:r>
        <w:t>GrainCorp’s</w:t>
      </w:r>
      <w:r w:rsidRPr="00FF5DD6">
        <w:t xml:space="preserve"> ability to exercise market power </w:t>
      </w:r>
      <w:r w:rsidR="00683B7E">
        <w:t>at its Geelong</w:t>
      </w:r>
      <w:r w:rsidR="00603A66">
        <w:t xml:space="preserve"> port terminal</w:t>
      </w:r>
      <w:r w:rsidR="00683B7E">
        <w:t xml:space="preserve"> facility</w:t>
      </w:r>
      <w:r w:rsidRPr="00FF5DD6">
        <w:t>.</w:t>
      </w:r>
    </w:p>
    <w:p w:rsidR="00400319" w:rsidRDefault="00ED2B1E" w:rsidP="0040677F">
      <w:r>
        <w:t>Based on its analysis of upcountry and related markets in chapter 3, t</w:t>
      </w:r>
      <w:r w:rsidR="00400319">
        <w:t xml:space="preserve">he ACCC considers that: </w:t>
      </w:r>
    </w:p>
    <w:p w:rsidR="00022C00" w:rsidRDefault="00022C00" w:rsidP="00022C00">
      <w:pPr>
        <w:pStyle w:val="ListParagraph"/>
        <w:numPr>
          <w:ilvl w:val="0"/>
          <w:numId w:val="15"/>
        </w:numPr>
        <w:contextualSpacing w:val="0"/>
      </w:pPr>
      <w:r>
        <w:t xml:space="preserve">While </w:t>
      </w:r>
      <w:r w:rsidRPr="00060043">
        <w:t>GrainCorp has a stronger presence than other storage providers</w:t>
      </w:r>
      <w:r>
        <w:t xml:space="preserve"> across Victoria and southern NSW, its site numbers have reduced from historic levels and may reduce further under its Project Regeneration. GrainCorp also faces competition from other site operators across most parts of Victoria. A number of established competing operators have multiple sites of their own and have the ability to store significant quantities of grain. Additionally, some other operators’ newer and more efficient sites have certain attractions. For example some of the new facilities have more efficient rail loading facilities such as a balloon loop rather than rail sidings where trains may need to be shunted and split.</w:t>
      </w:r>
    </w:p>
    <w:p w:rsidR="00022C00" w:rsidRPr="00ED2B1E" w:rsidRDefault="00022C00" w:rsidP="00022C00">
      <w:pPr>
        <w:pStyle w:val="ListParagraph"/>
        <w:numPr>
          <w:ilvl w:val="0"/>
          <w:numId w:val="15"/>
        </w:numPr>
        <w:contextualSpacing w:val="0"/>
      </w:pPr>
      <w:r>
        <w:t xml:space="preserve">Transport options in Victoria have a degree of flexibility that is not </w:t>
      </w:r>
      <w:r w:rsidR="00C25AFE">
        <w:t>a</w:t>
      </w:r>
      <w:r>
        <w:t>v</w:t>
      </w:r>
      <w:r w:rsidR="00C25AFE">
        <w:t>a</w:t>
      </w:r>
      <w:r>
        <w:t>i</w:t>
      </w:r>
      <w:r w:rsidR="00C25AFE">
        <w:t>l</w:t>
      </w:r>
      <w:r>
        <w:t>able in some other parts of Australia. T</w:t>
      </w:r>
      <w:r w:rsidRPr="00ED2B1E">
        <w:t>he relatively shorter distances to port in Victoria promote road transport as a viable alternative to rail</w:t>
      </w:r>
      <w:r>
        <w:t>. Rail also appears accessible for those marketers who wish to use it and t</w:t>
      </w:r>
      <w:r w:rsidRPr="00ED2B1E">
        <w:t xml:space="preserve">here are numerous providers of road transport services. </w:t>
      </w:r>
      <w:r>
        <w:t>T</w:t>
      </w:r>
      <w:r w:rsidRPr="00ED2B1E">
        <w:t>he number and scale of options for storage</w:t>
      </w:r>
      <w:r>
        <w:t xml:space="preserve"> and handling, as well as transport, indicate that GrainCorp’s position in upcountry networks faces degrees of competition from several sources. Accordingly, the ACCC’s preliminary view is that </w:t>
      </w:r>
      <w:r w:rsidRPr="00060043">
        <w:lastRenderedPageBreak/>
        <w:t xml:space="preserve">GrainCorp </w:t>
      </w:r>
      <w:r>
        <w:t>does not have a significant degree of market power in storage and handling and transport services in Victoria</w:t>
      </w:r>
      <w:r w:rsidRPr="00060043">
        <w:t>.</w:t>
      </w:r>
      <w:r>
        <w:t xml:space="preserve"> </w:t>
      </w:r>
      <w:r w:rsidRPr="00ED2B1E">
        <w:t xml:space="preserve">As such the ACCC considers that </w:t>
      </w:r>
      <w:r>
        <w:t xml:space="preserve">GrainCorp </w:t>
      </w:r>
      <w:r w:rsidRPr="00ED2B1E">
        <w:t xml:space="preserve">would not be in a position to leverage market power from upcountry networks into </w:t>
      </w:r>
      <w:r w:rsidR="00C25AFE">
        <w:t>its</w:t>
      </w:r>
      <w:r w:rsidRPr="00ED2B1E">
        <w:t xml:space="preserve"> port terminal services</w:t>
      </w:r>
      <w:r w:rsidR="00C25AFE">
        <w:t xml:space="preserve"> at Geelong</w:t>
      </w:r>
      <w:r w:rsidRPr="00ED2B1E">
        <w:t>.</w:t>
      </w:r>
    </w:p>
    <w:p w:rsidR="00022C00" w:rsidRDefault="00077D4F" w:rsidP="00022C00">
      <w:pPr>
        <w:pStyle w:val="ListParagraph"/>
        <w:numPr>
          <w:ilvl w:val="0"/>
          <w:numId w:val="15"/>
        </w:numPr>
        <w:ind w:left="714" w:hanging="357"/>
        <w:contextualSpacing w:val="0"/>
      </w:pPr>
      <w:r>
        <w:t>C</w:t>
      </w:r>
      <w:r w:rsidR="00022C00">
        <w:t>ontainer</w:t>
      </w:r>
      <w:r>
        <w:t xml:space="preserve">ised grain </w:t>
      </w:r>
      <w:r w:rsidR="00022C00">
        <w:t>export</w:t>
      </w:r>
      <w:r>
        <w:t>s</w:t>
      </w:r>
      <w:r w:rsidR="00022C00">
        <w:t xml:space="preserve"> in Victoria </w:t>
      </w:r>
      <w:r>
        <w:t>are</w:t>
      </w:r>
      <w:r w:rsidR="00022C00">
        <w:t xml:space="preserve"> significant, as shown by its growth and its consistent presence as a viable alternative export path for grain over the past </w:t>
      </w:r>
      <w:r>
        <w:t xml:space="preserve">ten </w:t>
      </w:r>
      <w:r w:rsidR="00022C00">
        <w:t xml:space="preserve">years. </w:t>
      </w:r>
      <w:r>
        <w:t>C</w:t>
      </w:r>
      <w:r w:rsidR="00022C00">
        <w:t>ontainer</w:t>
      </w:r>
      <w:r>
        <w:t>ised</w:t>
      </w:r>
      <w:r w:rsidR="00022C00">
        <w:t xml:space="preserve"> export</w:t>
      </w:r>
      <w:r>
        <w:t>s</w:t>
      </w:r>
      <w:r w:rsidR="00022C00">
        <w:t xml:space="preserve"> provide a further and direct competitive constraint on the bulk export programme at GrainCorp’s Geelong facility, particularly when grain is packed into containers at the Geelong facility and then transported to the Port of Melbourne for export.</w:t>
      </w:r>
    </w:p>
    <w:p w:rsidR="005217BA" w:rsidRDefault="00DE52FD" w:rsidP="00DE52FD">
      <w:pPr>
        <w:pStyle w:val="ListParagraph"/>
        <w:numPr>
          <w:ilvl w:val="0"/>
          <w:numId w:val="15"/>
        </w:numPr>
        <w:ind w:left="714" w:hanging="357"/>
        <w:contextualSpacing w:val="0"/>
      </w:pPr>
      <w:r>
        <w:tab/>
      </w:r>
      <w:r w:rsidR="00C25AFE">
        <w:t>There is strong and consistent demand for grain in Victoria to support the large dairy, stockfeed and malt industries in Victoria. Generally, domestic consumers are also able to pay a higher price for wheat compared to bulk wheat exporters due to lower transport costs, making</w:t>
      </w:r>
      <w:r w:rsidR="00C25AFE" w:rsidRPr="004C7412">
        <w:t xml:space="preserve"> it an attractive option over exportation</w:t>
      </w:r>
      <w:r w:rsidR="00C25AFE">
        <w:t>.</w:t>
      </w:r>
    </w:p>
    <w:p w:rsidR="00D72B90" w:rsidRDefault="007C4CE5" w:rsidP="00F2549B">
      <w:r>
        <w:t>D</w:t>
      </w:r>
      <w:r w:rsidR="00D72B90" w:rsidRPr="00D72B90">
        <w:t>ue to the competitive constraints noted above in relation to port terminal services</w:t>
      </w:r>
      <w:r w:rsidR="00D72B90">
        <w:t xml:space="preserve"> at GrainCorp</w:t>
      </w:r>
      <w:r w:rsidR="00D96428">
        <w:t>’</w:t>
      </w:r>
      <w:r w:rsidR="00D72B90">
        <w:t>s Geelong facility</w:t>
      </w:r>
      <w:r w:rsidR="00D72B90" w:rsidRPr="00D72B90">
        <w:t>, the ACCC considers that if an exemption were granted, it would not be to the detr</w:t>
      </w:r>
      <w:r>
        <w:t>i</w:t>
      </w:r>
      <w:r w:rsidR="00D72B90" w:rsidRPr="00D72B90">
        <w:t xml:space="preserve">ment of </w:t>
      </w:r>
      <w:r>
        <w:t xml:space="preserve">current levels of competition in </w:t>
      </w:r>
      <w:r w:rsidR="00D72B90" w:rsidRPr="00D72B90">
        <w:t>upcountry and related markets.</w:t>
      </w:r>
      <w:r>
        <w:t xml:space="preserve"> To the extent that the lower level of regulation enabled GrainCorp to compete more effectively in the provision of port terminal services at Geelong, this may promote competition between GrainCorp, Emerald and other upcountry storage providers.</w:t>
      </w:r>
    </w:p>
    <w:p w:rsidR="00056836" w:rsidRPr="00F2549B" w:rsidRDefault="00056836" w:rsidP="00ED2B1E">
      <w:pPr>
        <w:rPr>
          <w:i/>
        </w:rPr>
      </w:pPr>
      <w:r>
        <w:rPr>
          <w:i/>
        </w:rPr>
        <w:t>Conclusion</w:t>
      </w:r>
    </w:p>
    <w:p w:rsidR="00ED2B1E" w:rsidRDefault="00ED2B1E" w:rsidP="00ED2B1E">
      <w:r>
        <w:t>In light of the above factors, the ACCC’s preliminary view is that</w:t>
      </w:r>
      <w:r w:rsidR="00B63311">
        <w:t>, overall,</w:t>
      </w:r>
      <w:r>
        <w:t xml:space="preserve"> there are </w:t>
      </w:r>
      <w:r w:rsidR="00B63311">
        <w:t>sufficient</w:t>
      </w:r>
      <w:r>
        <w:t xml:space="preserve"> </w:t>
      </w:r>
      <w:r w:rsidRPr="00782792">
        <w:t>constraint</w:t>
      </w:r>
      <w:r>
        <w:t>s</w:t>
      </w:r>
      <w:r w:rsidRPr="00782792">
        <w:t xml:space="preserve"> </w:t>
      </w:r>
      <w:r>
        <w:t xml:space="preserve">on </w:t>
      </w:r>
      <w:r w:rsidR="00B63311">
        <w:t xml:space="preserve">GrainCorp’s Geelong facility </w:t>
      </w:r>
      <w:r w:rsidRPr="00782792">
        <w:t>in both the port</w:t>
      </w:r>
      <w:r>
        <w:t xml:space="preserve"> terminals services</w:t>
      </w:r>
      <w:r w:rsidRPr="00782792">
        <w:t xml:space="preserve"> market and in the upstream storage and transport markets</w:t>
      </w:r>
      <w:r>
        <w:t xml:space="preserve"> and the </w:t>
      </w:r>
      <w:r w:rsidRPr="00782792">
        <w:t>container and domestic</w:t>
      </w:r>
      <w:r>
        <w:t xml:space="preserve"> markets</w:t>
      </w:r>
      <w:r w:rsidRPr="00782792">
        <w:t xml:space="preserve"> such that competition </w:t>
      </w:r>
      <w:r>
        <w:t xml:space="preserve">at port </w:t>
      </w:r>
      <w:r w:rsidR="00D72B90">
        <w:t xml:space="preserve">and upcountry </w:t>
      </w:r>
      <w:r w:rsidR="00B63311">
        <w:t xml:space="preserve">should be maintained </w:t>
      </w:r>
      <w:r>
        <w:t xml:space="preserve">if an exemption were granted to </w:t>
      </w:r>
      <w:r w:rsidR="00D941C1">
        <w:t>GrainCorp’s Geelong facility</w:t>
      </w:r>
      <w:r>
        <w:t>.</w:t>
      </w:r>
      <w:r w:rsidR="00F458ED">
        <w:t xml:space="preserve"> </w:t>
      </w:r>
    </w:p>
    <w:p w:rsidR="005217BA" w:rsidRDefault="00ED2B1E" w:rsidP="00ED2B1E">
      <w:pPr>
        <w:pStyle w:val="Heading4"/>
        <w:numPr>
          <w:ilvl w:val="0"/>
          <w:numId w:val="0"/>
        </w:numPr>
        <w:tabs>
          <w:tab w:val="left" w:pos="426"/>
        </w:tabs>
      </w:pPr>
      <w:r>
        <w:t xml:space="preserve"> </w:t>
      </w:r>
      <w:r w:rsidR="005217BA">
        <w:t xml:space="preserve">(c) </w:t>
      </w:r>
      <w:r w:rsidR="005217BA" w:rsidRPr="00F03F65">
        <w:t>the interests of exporters who may require a</w:t>
      </w:r>
      <w:r w:rsidR="00576B60">
        <w:t xml:space="preserve">ccess to port terminal services; and </w:t>
      </w:r>
      <w:r w:rsidR="005217BA">
        <w:t xml:space="preserve">(d) </w:t>
      </w:r>
      <w:r w:rsidR="005217BA" w:rsidRPr="00856A20">
        <w:t>the likelihood that exporters of bulk wheat will have fair and transparent access to port terminal services</w:t>
      </w:r>
    </w:p>
    <w:p w:rsidR="00B53F76" w:rsidRDefault="006F3714" w:rsidP="005217BA">
      <w:r>
        <w:t>If the exemption were granted, t</w:t>
      </w:r>
      <w:r w:rsidR="00B53F76">
        <w:t xml:space="preserve">he interests of exporters requiring access to port terminal services will not be affected if they can still </w:t>
      </w:r>
      <w:r w:rsidR="00B53F76" w:rsidRPr="003A1139">
        <w:t>compete in the grain export market on their relative merits</w:t>
      </w:r>
      <w:r w:rsidR="00B53F76">
        <w:t xml:space="preserve">. </w:t>
      </w:r>
    </w:p>
    <w:p w:rsidR="00022C00" w:rsidRDefault="00022C00" w:rsidP="00022C00">
      <w:r w:rsidRPr="003E097A">
        <w:t xml:space="preserve">As a vertically integrated terminal operator and exporter, </w:t>
      </w:r>
      <w:r>
        <w:t>GrainCorp</w:t>
      </w:r>
      <w:r w:rsidRPr="003E097A">
        <w:t xml:space="preserve"> has an incentive to favour itself over other exporters at </w:t>
      </w:r>
      <w:r>
        <w:t xml:space="preserve">its Geelong facility. The ACCC is considering the likelihood of this occurring, and </w:t>
      </w:r>
      <w:r w:rsidR="00F2044A">
        <w:t xml:space="preserve">whether </w:t>
      </w:r>
      <w:r>
        <w:t xml:space="preserve">exporters </w:t>
      </w:r>
      <w:r w:rsidR="00F2044A">
        <w:t xml:space="preserve">will be </w:t>
      </w:r>
      <w:r>
        <w:t>unable to negotiate on fair terms, if parts 3 to 6 of the Code did not apply to the Geelong facility</w:t>
      </w:r>
      <w:r w:rsidRPr="003E097A">
        <w:t>.</w:t>
      </w:r>
    </w:p>
    <w:p w:rsidR="001503A8" w:rsidRDefault="001503A8" w:rsidP="004B1121">
      <w:r>
        <w:t>Public submissions received from exporters during the ACCC’s consultation process did not object to granting an exemption to GrainCorp’s Geelong port terminal.</w:t>
      </w:r>
    </w:p>
    <w:p w:rsidR="00B06D17" w:rsidRDefault="001C257E" w:rsidP="004B1121">
      <w:r>
        <w:t xml:space="preserve">Chapter 2 presents the ACCC’s analysis of port terminal services and the exporters using these services. </w:t>
      </w:r>
      <w:r w:rsidR="00F6773F">
        <w:t>T</w:t>
      </w:r>
      <w:r>
        <w:t>he ACCC</w:t>
      </w:r>
      <w:r w:rsidR="00F6773F">
        <w:t xml:space="preserve">’s key findings from this analysis suggest that: </w:t>
      </w:r>
    </w:p>
    <w:p w:rsidR="00022C00" w:rsidRDefault="00022C00" w:rsidP="00022C00">
      <w:pPr>
        <w:pStyle w:val="ListParagraph"/>
        <w:numPr>
          <w:ilvl w:val="0"/>
          <w:numId w:val="15"/>
        </w:numPr>
        <w:contextualSpacing w:val="0"/>
      </w:pPr>
      <w:r>
        <w:t xml:space="preserve">There appears to be spare capacity at GrainCorp’s Geelong facility, particularly during average and low harvest years, and during non-peak times of all years. During peak times of larger harvests there may be times where capacity is constrained at Geelong. However historic export data has shown that exporters can and do spread </w:t>
      </w:r>
      <w:r>
        <w:lastRenderedPageBreak/>
        <w:t xml:space="preserve">their capacity requirements over other months of the year. The significant spare capacity at MPT, including at peak times where Geelong has been at capacity, supports the concept that exporters have a viable alternative to Geelong. The ACCC also notes that it appears that port operators </w:t>
      </w:r>
      <w:r w:rsidR="003B35D9">
        <w:t xml:space="preserve">have some </w:t>
      </w:r>
      <w:r>
        <w:t>flexibility to vary the available capacity to accommodate demand in peak periods.</w:t>
      </w:r>
    </w:p>
    <w:p w:rsidR="004B1121" w:rsidRDefault="000D68F3" w:rsidP="006012E1">
      <w:pPr>
        <w:pStyle w:val="ListParagraph"/>
        <w:numPr>
          <w:ilvl w:val="0"/>
          <w:numId w:val="15"/>
        </w:numPr>
        <w:contextualSpacing w:val="0"/>
      </w:pPr>
      <w:r>
        <w:t xml:space="preserve">GrainCorp’s largest customers </w:t>
      </w:r>
      <w:r w:rsidR="00AC77C1">
        <w:t xml:space="preserve">(Glencore, Cargill and ADM) </w:t>
      </w:r>
      <w:r>
        <w:t xml:space="preserve">represent a significant proportion of throughput at the Geelong facility suggesting that they will have ability to negotiate with GrainCorp for </w:t>
      </w:r>
      <w:r w:rsidR="00BF4857">
        <w:t xml:space="preserve">fair </w:t>
      </w:r>
      <w:r>
        <w:t xml:space="preserve">access to </w:t>
      </w:r>
      <w:r w:rsidR="00BC148B">
        <w:t xml:space="preserve">sufficient </w:t>
      </w:r>
      <w:r>
        <w:t>port capacity.</w:t>
      </w:r>
    </w:p>
    <w:p w:rsidR="009C5372" w:rsidRDefault="00D32309" w:rsidP="009C5372">
      <w:pPr>
        <w:pStyle w:val="ListParagraph"/>
        <w:numPr>
          <w:ilvl w:val="0"/>
          <w:numId w:val="15"/>
        </w:numPr>
        <w:contextualSpacing w:val="0"/>
      </w:pPr>
      <w:r>
        <w:t xml:space="preserve">Smaller exporters would appear able to access capacity at </w:t>
      </w:r>
      <w:r w:rsidR="00AC77C1">
        <w:t xml:space="preserve">least during </w:t>
      </w:r>
      <w:r>
        <w:t>non-peak times</w:t>
      </w:r>
      <w:r w:rsidR="00AC77C1">
        <w:t xml:space="preserve"> where there appears to be significant spare capacity</w:t>
      </w:r>
      <w:r>
        <w:t xml:space="preserve">. </w:t>
      </w:r>
      <w:r w:rsidR="00E25701">
        <w:t>Some e</w:t>
      </w:r>
      <w:r>
        <w:t>xporters</w:t>
      </w:r>
      <w:r w:rsidR="00571E1A">
        <w:t xml:space="preserve">, particularly </w:t>
      </w:r>
      <w:r>
        <w:t>Bunge</w:t>
      </w:r>
      <w:r w:rsidR="00571E1A">
        <w:t>,</w:t>
      </w:r>
      <w:r w:rsidR="00AC77C1">
        <w:t xml:space="preserve"> would</w:t>
      </w:r>
      <w:r>
        <w:t xml:space="preserve"> appear to have better bargaining power given the potential for </w:t>
      </w:r>
      <w:r w:rsidR="00571E1A">
        <w:t>it</w:t>
      </w:r>
      <w:r>
        <w:t xml:space="preserve"> to build </w:t>
      </w:r>
      <w:r w:rsidR="00571E1A">
        <w:t xml:space="preserve">its </w:t>
      </w:r>
      <w:r>
        <w:t xml:space="preserve">own port facilities. </w:t>
      </w:r>
    </w:p>
    <w:p w:rsidR="00B83AAF" w:rsidRDefault="009C5372" w:rsidP="009C5372">
      <w:pPr>
        <w:pStyle w:val="ListParagraph"/>
        <w:numPr>
          <w:ilvl w:val="0"/>
          <w:numId w:val="15"/>
        </w:numPr>
        <w:contextualSpacing w:val="0"/>
      </w:pPr>
      <w:r>
        <w:t>O</w:t>
      </w:r>
      <w:r w:rsidR="00E25701">
        <w:t xml:space="preserve">ther smaller exports </w:t>
      </w:r>
      <w:r>
        <w:t xml:space="preserve">however </w:t>
      </w:r>
      <w:r w:rsidR="00E25701">
        <w:t xml:space="preserve">may face some difficulties in accessing </w:t>
      </w:r>
      <w:r>
        <w:t xml:space="preserve">shipping slots, particularly in </w:t>
      </w:r>
      <w:r w:rsidR="00E25701">
        <w:t xml:space="preserve">peak shipping </w:t>
      </w:r>
      <w:r>
        <w:t xml:space="preserve">months and </w:t>
      </w:r>
      <w:r w:rsidR="00F67A2F">
        <w:t xml:space="preserve">especially in a large harvest year. </w:t>
      </w:r>
      <w:r>
        <w:t xml:space="preserve">This may be a concern </w:t>
      </w:r>
      <w:r w:rsidRPr="009C5372">
        <w:t xml:space="preserve">in the absence of </w:t>
      </w:r>
      <w:r>
        <w:t xml:space="preserve">full </w:t>
      </w:r>
      <w:r w:rsidRPr="009C5372">
        <w:t>regulation under the Code</w:t>
      </w:r>
      <w:r>
        <w:t xml:space="preserve">. </w:t>
      </w:r>
      <w:r w:rsidR="00F67A2F">
        <w:t>As a viable a</w:t>
      </w:r>
      <w:r w:rsidR="00D32309">
        <w:t>lternative</w:t>
      </w:r>
      <w:r w:rsidR="00F67A2F">
        <w:t xml:space="preserve"> however</w:t>
      </w:r>
      <w:r w:rsidR="00D32309">
        <w:t xml:space="preserve">, </w:t>
      </w:r>
      <w:r w:rsidR="007D4C4C">
        <w:t>e</w:t>
      </w:r>
      <w:r w:rsidR="00F67A2F">
        <w:t xml:space="preserve">xporters could </w:t>
      </w:r>
      <w:r w:rsidR="00BA3BFE">
        <w:t xml:space="preserve">seek </w:t>
      </w:r>
      <w:r w:rsidR="00F67A2F">
        <w:t xml:space="preserve">access shipping slots at </w:t>
      </w:r>
      <w:r w:rsidR="00B83AAF">
        <w:t>Emerald’s competing MPT</w:t>
      </w:r>
      <w:r w:rsidR="00F67A2F">
        <w:t xml:space="preserve"> which appears to have </w:t>
      </w:r>
      <w:r w:rsidR="00B83AAF">
        <w:t xml:space="preserve">significant spare capacity </w:t>
      </w:r>
      <w:r>
        <w:t xml:space="preserve">across most of the year </w:t>
      </w:r>
      <w:r w:rsidR="00F67A2F">
        <w:t xml:space="preserve">and </w:t>
      </w:r>
      <w:r>
        <w:t>would be incentivised to increase the use and customer base of its MPT</w:t>
      </w:r>
      <w:r w:rsidR="00F67A2F">
        <w:t>.</w:t>
      </w:r>
    </w:p>
    <w:p w:rsidR="004916DD" w:rsidRDefault="004916DD" w:rsidP="004916DD">
      <w:r>
        <w:t>In light of the above factors, the</w:t>
      </w:r>
      <w:r w:rsidRPr="003A1139">
        <w:t xml:space="preserve"> ACCC</w:t>
      </w:r>
      <w:r>
        <w:t>’s</w:t>
      </w:r>
      <w:r w:rsidRPr="003A1139">
        <w:t xml:space="preserve"> </w:t>
      </w:r>
      <w:r>
        <w:t>preliminary view is that</w:t>
      </w:r>
      <w:r w:rsidR="00C45B6C">
        <w:t>, overall,</w:t>
      </w:r>
      <w:r>
        <w:t xml:space="preserve"> </w:t>
      </w:r>
      <w:r w:rsidRPr="003A1139">
        <w:t xml:space="preserve">granting the exemption would not </w:t>
      </w:r>
      <w:r w:rsidR="0030214F">
        <w:t xml:space="preserve">seem to </w:t>
      </w:r>
      <w:r w:rsidRPr="003A1139">
        <w:t xml:space="preserve">be detrimental to the interests of exporters requiring access to </w:t>
      </w:r>
      <w:r>
        <w:t>GrainC</w:t>
      </w:r>
      <w:r w:rsidR="00B83AAF">
        <w:t>o</w:t>
      </w:r>
      <w:r>
        <w:t>rp’s Geelong port terminal</w:t>
      </w:r>
    </w:p>
    <w:p w:rsidR="005217BA" w:rsidRDefault="005217BA" w:rsidP="00576B60">
      <w:pPr>
        <w:pStyle w:val="Heading4"/>
        <w:numPr>
          <w:ilvl w:val="0"/>
          <w:numId w:val="0"/>
        </w:numPr>
        <w:tabs>
          <w:tab w:val="left" w:pos="0"/>
        </w:tabs>
      </w:pPr>
      <w:r>
        <w:t xml:space="preserve">(e) </w:t>
      </w:r>
      <w:r w:rsidRPr="00A55B3E">
        <w:t xml:space="preserve">the promotion of the economically efficient operation and use </w:t>
      </w:r>
      <w:r>
        <w:t xml:space="preserve">of the port </w:t>
      </w:r>
      <w:r w:rsidRPr="00A55B3E">
        <w:t>terminal facility</w:t>
      </w:r>
      <w:r w:rsidR="00576B60">
        <w:t xml:space="preserve">; </w:t>
      </w:r>
      <w:r>
        <w:t xml:space="preserve">(f) </w:t>
      </w:r>
      <w:r w:rsidRPr="00FF6631">
        <w:t>the promotion of efficient investment in port terminal facilities</w:t>
      </w:r>
    </w:p>
    <w:p w:rsidR="00EE6369" w:rsidRDefault="00EE6369" w:rsidP="00EE6369">
      <w:r>
        <w:t>The ACCC’s preliminary view is that the degree of competition faced by GrainCorp’s Geelong facility and competition is sufficient in upstream and downstream markets (as outlined under subclauses (b) and (g)) and will drive efficient operation and use of the port terminal facility in the absence of full regulation under the Code.</w:t>
      </w:r>
    </w:p>
    <w:p w:rsidR="00B84325" w:rsidRDefault="00EE6369" w:rsidP="009E3470">
      <w:r>
        <w:t xml:space="preserve">As noted under </w:t>
      </w:r>
      <w:r w:rsidR="00F2044A">
        <w:t xml:space="preserve">the </w:t>
      </w:r>
      <w:r>
        <w:t>subclause 5(3)(a)</w:t>
      </w:r>
      <w:r w:rsidR="00F2044A">
        <w:t xml:space="preserve"> discussion</w:t>
      </w:r>
      <w:r>
        <w:t xml:space="preserve">, </w:t>
      </w:r>
      <w:r w:rsidR="00B84325">
        <w:t xml:space="preserve">GrainCorp </w:t>
      </w:r>
      <w:r>
        <w:t>submit</w:t>
      </w:r>
      <w:r w:rsidR="00B84325">
        <w:t>s</w:t>
      </w:r>
      <w:r>
        <w:t xml:space="preserve"> that </w:t>
      </w:r>
      <w:r w:rsidR="00B84325">
        <w:t xml:space="preserve">granting an exemption to </w:t>
      </w:r>
      <w:r>
        <w:t xml:space="preserve">its </w:t>
      </w:r>
      <w:r w:rsidR="00B84325">
        <w:t xml:space="preserve">Geelong facility would assist GrainCorp to compete commercially </w:t>
      </w:r>
      <w:r w:rsidR="009E3470">
        <w:t xml:space="preserve">in the </w:t>
      </w:r>
      <w:r w:rsidR="00B84325">
        <w:t xml:space="preserve">bulk </w:t>
      </w:r>
      <w:r w:rsidR="009E3470">
        <w:t xml:space="preserve">and container </w:t>
      </w:r>
      <w:r w:rsidR="00B84325">
        <w:t>grain</w:t>
      </w:r>
      <w:r w:rsidR="009E3470">
        <w:t xml:space="preserve"> markets and go to reducing </w:t>
      </w:r>
      <w:r w:rsidR="00B84325">
        <w:t>supply chain costs</w:t>
      </w:r>
      <w:r w:rsidR="009E3470">
        <w:t>.</w:t>
      </w:r>
      <w:r w:rsidR="00BF4857">
        <w:t xml:space="preserve"> The ACCC considers that this would in turn promote investment in </w:t>
      </w:r>
      <w:r w:rsidR="00083523">
        <w:t>supply chain infrastructure.</w:t>
      </w:r>
    </w:p>
    <w:p w:rsidR="00EE6369" w:rsidRDefault="00044475" w:rsidP="00EE6369">
      <w:r>
        <w:t xml:space="preserve">Containerised </w:t>
      </w:r>
      <w:r w:rsidR="00EE6369">
        <w:t>export</w:t>
      </w:r>
      <w:r>
        <w:t>s</w:t>
      </w:r>
      <w:r w:rsidR="00EE6369">
        <w:t xml:space="preserve"> </w:t>
      </w:r>
      <w:r>
        <w:t xml:space="preserve">shipped out of </w:t>
      </w:r>
      <w:r w:rsidR="00EE6369">
        <w:t xml:space="preserve">Victoria </w:t>
      </w:r>
      <w:r>
        <w:t>are</w:t>
      </w:r>
      <w:r w:rsidR="00EE6369">
        <w:t xml:space="preserve"> no longer regulated, and ha</w:t>
      </w:r>
      <w:r>
        <w:t>ve</w:t>
      </w:r>
      <w:r w:rsidR="00EE6369">
        <w:t xml:space="preserve"> grown in size over the last </w:t>
      </w:r>
      <w:r w:rsidR="00EE6369" w:rsidRPr="00F2549B">
        <w:t xml:space="preserve">10 </w:t>
      </w:r>
      <w:r w:rsidR="00EE6369">
        <w:t>years. This is a significant constraint on GrainCorp’s Geelong bulk export programme and may have the potential to distort the level of efficient investment in GrainCorp’s bulk wheat infrastructure, if larger quantities of wheat are drawn into container</w:t>
      </w:r>
      <w:r>
        <w:t>s</w:t>
      </w:r>
      <w:r w:rsidR="00EE6369">
        <w:t xml:space="preserve"> </w:t>
      </w:r>
      <w:r>
        <w:t>for export</w:t>
      </w:r>
      <w:r w:rsidR="00EE6369">
        <w:t>. If GrainCorp’s Geelong facility was no longer subject to parts 3 to 6 of the Code, but remained subject to parts 1 and 2, it would place the Geelong bulk export programme on a more level playing field with container</w:t>
      </w:r>
      <w:r>
        <w:t>s</w:t>
      </w:r>
      <w:r w:rsidR="00EE6369">
        <w:t xml:space="preserve">, as well as domestic </w:t>
      </w:r>
      <w:r>
        <w:t>industries</w:t>
      </w:r>
      <w:r w:rsidR="00EE6369">
        <w:t>, and may promote further efficient investment in bulk wheat facilities.</w:t>
      </w:r>
    </w:p>
    <w:p w:rsidR="00EE6369" w:rsidRPr="00BA477D" w:rsidRDefault="00EE6369" w:rsidP="00EE6369">
      <w:r>
        <w:t>The ACCC’s preliminary view is that the above factors support granting the exemption.</w:t>
      </w:r>
    </w:p>
    <w:p w:rsidR="005217BA" w:rsidRDefault="00576B60" w:rsidP="00576B60">
      <w:pPr>
        <w:pStyle w:val="Heading4"/>
        <w:numPr>
          <w:ilvl w:val="0"/>
          <w:numId w:val="0"/>
        </w:numPr>
        <w:tabs>
          <w:tab w:val="left" w:pos="0"/>
        </w:tabs>
      </w:pPr>
      <w:r>
        <w:lastRenderedPageBreak/>
        <w:t xml:space="preserve">(h) </w:t>
      </w:r>
      <w:r w:rsidR="005217BA">
        <w:t>whether the port terminal service provider is an exporter or an associated entity of an exporter</w:t>
      </w:r>
    </w:p>
    <w:p w:rsidR="00E819FB" w:rsidRDefault="00E819FB" w:rsidP="00E819FB">
      <w:r>
        <w:t>This matter refers to the extent of vertical integration and the ability and incentive for a port terminals service provider to favour its own trading arm.</w:t>
      </w:r>
      <w:r w:rsidR="00860C81">
        <w:t xml:space="preserve"> T</w:t>
      </w:r>
      <w:r w:rsidR="00860C81" w:rsidRPr="00285644">
        <w:t>he extent to which vertically integrated operator favours</w:t>
      </w:r>
      <w:r w:rsidR="00860C81">
        <w:t xml:space="preserve">, or </w:t>
      </w:r>
      <w:r w:rsidR="00860C81" w:rsidRPr="00285644">
        <w:t xml:space="preserve">is likely to favour its own trading arm will influence the ACCC’s decision on whether it is necessary for the </w:t>
      </w:r>
      <w:r w:rsidR="00860C81">
        <w:t xml:space="preserve">full </w:t>
      </w:r>
      <w:r w:rsidR="00860C81" w:rsidRPr="00285644">
        <w:t>of the Code to apply or whether an exemption should be granted</w:t>
      </w:r>
      <w:r w:rsidR="00860C81">
        <w:t>.</w:t>
      </w:r>
    </w:p>
    <w:p w:rsidR="00E819FB" w:rsidRDefault="00E819FB" w:rsidP="00E819FB">
      <w:r>
        <w:t xml:space="preserve">GrainCorp acknowledges that it is </w:t>
      </w:r>
      <w:r w:rsidRPr="00E819FB">
        <w:t xml:space="preserve">vertically integrated as a port </w:t>
      </w:r>
      <w:r>
        <w:t xml:space="preserve">terminal </w:t>
      </w:r>
      <w:r w:rsidRPr="00E819FB">
        <w:t xml:space="preserve">service provider </w:t>
      </w:r>
      <w:r>
        <w:t xml:space="preserve">at its Geelong and Portland port terminals </w:t>
      </w:r>
      <w:r w:rsidRPr="00E819FB">
        <w:t xml:space="preserve">and an exporter of grain </w:t>
      </w:r>
      <w:r>
        <w:t>through those terminals.</w:t>
      </w:r>
      <w:r>
        <w:rPr>
          <w:rStyle w:val="FootnoteReference"/>
        </w:rPr>
        <w:footnoteReference w:id="127"/>
      </w:r>
    </w:p>
    <w:p w:rsidR="00022C00" w:rsidRDefault="00022C00" w:rsidP="00022C00">
      <w:r>
        <w:t xml:space="preserve">The ACCC has taken the level of vertical integration into account when considering subclause 5(3)(c) and (d) matters. While GrainCorp’s vertical integration will create incentives to favour its own trading arm, competition in the provision of port terminal services, particularly with Emerald’s MPT, as well as a degree of available capacity and the threat of new entry in Victoria suggests that it is likely that GrainCorp would not act in a way that </w:t>
      </w:r>
      <w:r w:rsidRPr="0074554D">
        <w:t>disadvantages competing wheat marketers</w:t>
      </w:r>
      <w:r>
        <w:t>.</w:t>
      </w:r>
    </w:p>
    <w:p w:rsidR="00022C00" w:rsidRDefault="00022C00" w:rsidP="00022C00">
      <w:r>
        <w:t>Also, as noted under consideration of subclauses 5(3)(b) and (g), the ACCC considers that the degree of competition in upcountry storage and logistics in Victoria is sufficient to limit GrainCorp’s ability to favour its own integrated operations through its Geelong terminal (and vice versa).</w:t>
      </w:r>
    </w:p>
    <w:p w:rsidR="00F2044A" w:rsidRPr="00E819FB" w:rsidRDefault="00612BC0" w:rsidP="00022C00">
      <w:r w:rsidRPr="00612BC0">
        <w:t xml:space="preserve">As the ACCC does not consider that the incentive and ability of </w:t>
      </w:r>
      <w:r>
        <w:t xml:space="preserve">GrainCorp </w:t>
      </w:r>
      <w:r w:rsidRPr="00612BC0">
        <w:t xml:space="preserve">to favour its own trading arm </w:t>
      </w:r>
      <w:r w:rsidR="009134D6" w:rsidRPr="00612BC0">
        <w:t>ar</w:t>
      </w:r>
      <w:r w:rsidR="009134D6">
        <w:t xml:space="preserve">e strong </w:t>
      </w:r>
      <w:r>
        <w:t xml:space="preserve">at its Geelong facility, it supports granting </w:t>
      </w:r>
      <w:r w:rsidRPr="00612BC0">
        <w:t>the exemption</w:t>
      </w:r>
      <w:r>
        <w:t>.</w:t>
      </w:r>
    </w:p>
    <w:p w:rsidR="005217BA" w:rsidRDefault="00022C00" w:rsidP="00022C00">
      <w:pPr>
        <w:pStyle w:val="Heading4"/>
        <w:numPr>
          <w:ilvl w:val="0"/>
          <w:numId w:val="0"/>
        </w:numPr>
        <w:tabs>
          <w:tab w:val="left" w:pos="0"/>
        </w:tabs>
      </w:pPr>
      <w:r>
        <w:t xml:space="preserve"> </w:t>
      </w:r>
      <w:r w:rsidR="005217BA">
        <w:t>(i) whether there is already an exempt service provider within the grain catchment area for the port concerned</w:t>
      </w:r>
    </w:p>
    <w:p w:rsidR="004232DF" w:rsidRDefault="004232DF" w:rsidP="004232DF">
      <w:r>
        <w:t>The ACCC discusses the relevant grain catchment area for GrainCorp’s Geelong port terminal in chapter 3 and considers that the area largely includes northern and central Victoria as well as parts of southern NSW. The ACCC also considers that the catchment area for GrainCorp’s Geelong facility overlaps to a large degree with Emerald’s MPT, and to a lesser degree with GrainCorp’s Portland facility.</w:t>
      </w:r>
    </w:p>
    <w:p w:rsidR="00292F8D" w:rsidRDefault="004232DF" w:rsidP="004232DF">
      <w:r>
        <w:t xml:space="preserve">At the time of forming its preliminary views in relation to </w:t>
      </w:r>
      <w:r w:rsidR="006144F7">
        <w:t>GrainCorp’s Geelong port terminal</w:t>
      </w:r>
      <w:r>
        <w:t xml:space="preserve">, no bulk wheat terminal services provider in the relevant catchment is exempt under the Code. </w:t>
      </w:r>
    </w:p>
    <w:p w:rsidR="004232DF" w:rsidRDefault="004232DF" w:rsidP="004232DF">
      <w:r>
        <w:t xml:space="preserve">The ACCC is however in the process of assessing exemption applications for </w:t>
      </w:r>
      <w:r w:rsidR="006144F7">
        <w:t xml:space="preserve">Emerald’s MPT as well as </w:t>
      </w:r>
      <w:r>
        <w:t>GrainCorp’s Portland facilit</w:t>
      </w:r>
      <w:r w:rsidR="006144F7">
        <w:t>y</w:t>
      </w:r>
      <w:r>
        <w:t xml:space="preserve"> </w:t>
      </w:r>
      <w:r w:rsidRPr="00292F8D">
        <w:t xml:space="preserve">and, in its preliminary assessments, is proposing to grant an exemption to </w:t>
      </w:r>
      <w:r w:rsidR="006144F7" w:rsidRPr="00292F8D">
        <w:t>Emerald’s MPT</w:t>
      </w:r>
      <w:r w:rsidRPr="00292F8D">
        <w:t xml:space="preserve">. The ACCC is seeking industry views on its preliminary assessments of </w:t>
      </w:r>
      <w:r w:rsidR="006144F7" w:rsidRPr="00292F8D">
        <w:t>Emerald’s MPT</w:t>
      </w:r>
      <w:r w:rsidRPr="00292F8D">
        <w:t>.</w:t>
      </w:r>
    </w:p>
    <w:p w:rsidR="00292F8D" w:rsidRDefault="00292F8D" w:rsidP="004232DF">
      <w:r>
        <w:t>Should the ACCC make a final determination to exempt Emerald’s MPT, this may provide support for the exemption of GrainCorp’s Geelong port terminal, particularly given the ACCC’s preliminary assessment of the level of competition between the two port terminals</w:t>
      </w:r>
      <w:r w:rsidR="00AB3863">
        <w:t>.</w:t>
      </w:r>
    </w:p>
    <w:p w:rsidR="00F54598" w:rsidRDefault="00F54598" w:rsidP="00F54598">
      <w:pPr>
        <w:pStyle w:val="Heading4"/>
        <w:numPr>
          <w:ilvl w:val="0"/>
          <w:numId w:val="0"/>
        </w:numPr>
        <w:tabs>
          <w:tab w:val="left" w:pos="0"/>
        </w:tabs>
        <w:spacing w:before="360"/>
      </w:pPr>
      <w:r>
        <w:lastRenderedPageBreak/>
        <w:t>(j) any other matters the ACCC considers relevant</w:t>
      </w:r>
    </w:p>
    <w:p w:rsidR="005217BA" w:rsidRDefault="004232DF" w:rsidP="00F2549B">
      <w:pPr>
        <w:rPr>
          <w:rFonts w:ascii="Lucida Fax" w:eastAsiaTheme="majorEastAsia" w:hAnsi="Lucida Fax" w:cstheme="majorBidi"/>
          <w:bCs/>
          <w:color w:val="51626F"/>
          <w:sz w:val="32"/>
          <w:szCs w:val="28"/>
        </w:rPr>
      </w:pPr>
      <w:r>
        <w:t xml:space="preserve">The ACCC does not consider that there are any other matters relevant to its preliminary assessment of </w:t>
      </w:r>
      <w:r w:rsidR="00F54598">
        <w:t>GrainCorp’s Geelong port terminal</w:t>
      </w:r>
      <w:r>
        <w:t>.</w:t>
      </w:r>
      <w:r w:rsidR="005217BA">
        <w:br w:type="page"/>
      </w:r>
    </w:p>
    <w:p w:rsidR="00A77DDA" w:rsidRDefault="00A77DDA" w:rsidP="002E0669">
      <w:pPr>
        <w:pStyle w:val="Heading1"/>
      </w:pPr>
      <w:bookmarkStart w:id="80" w:name="_Toc416360499"/>
      <w:r>
        <w:lastRenderedPageBreak/>
        <w:t>ACCC’s preliminary exemption assessment of GrainCorp’s Portland port terminal</w:t>
      </w:r>
      <w:bookmarkEnd w:id="80"/>
    </w:p>
    <w:p w:rsidR="00C61702" w:rsidRDefault="00C61702" w:rsidP="00C61702">
      <w:pPr>
        <w:pStyle w:val="Normalparagraph"/>
      </w:pPr>
      <w:r w:rsidRPr="00E5216E">
        <w:t xml:space="preserve">The ACCC’s </w:t>
      </w:r>
      <w:r>
        <w:t>preliminary exemption assessment of GrainCorp’s Portland port terminal, having regard to</w:t>
      </w:r>
      <w:r w:rsidRPr="004A2EE7">
        <w:t xml:space="preserve"> </w:t>
      </w:r>
      <w:r>
        <w:t xml:space="preserve">matter (a) to (j) of </w:t>
      </w:r>
      <w:r w:rsidRPr="00E5216E">
        <w:t>subclause 5(3)</w:t>
      </w:r>
      <w:r>
        <w:t xml:space="preserve"> of the Code, </w:t>
      </w:r>
      <w:r w:rsidRPr="004A2EE7">
        <w:t xml:space="preserve">is set out in this </w:t>
      </w:r>
      <w:r>
        <w:t>chapter</w:t>
      </w:r>
      <w:r w:rsidRPr="004A2EE7">
        <w:t xml:space="preserve">. </w:t>
      </w:r>
    </w:p>
    <w:p w:rsidR="00A85797" w:rsidRDefault="00A85797" w:rsidP="00A85797">
      <w:pPr>
        <w:pStyle w:val="Normalparagraph"/>
      </w:pPr>
      <w:r>
        <w:t>The considerations that the ACCC may address in regards to each matter, (a) to (j) are summarised throughout this chapter but can be found in fuller detail throughout chapter 4 in the assessment of Emerald’s MPT.</w:t>
      </w:r>
    </w:p>
    <w:p w:rsidR="005217BA" w:rsidRDefault="00A85797" w:rsidP="00A85797">
      <w:pPr>
        <w:pStyle w:val="Heading4"/>
        <w:numPr>
          <w:ilvl w:val="0"/>
          <w:numId w:val="0"/>
        </w:numPr>
        <w:tabs>
          <w:tab w:val="left" w:pos="426"/>
        </w:tabs>
        <w:ind w:left="426" w:hanging="426"/>
      </w:pPr>
      <w:r w:rsidRPr="00C16DB1">
        <w:t xml:space="preserve"> </w:t>
      </w:r>
      <w:r w:rsidR="005217BA" w:rsidRPr="00C16DB1">
        <w:t>(a) the legitimate business interests of the port terminal service provider</w:t>
      </w:r>
    </w:p>
    <w:p w:rsidR="00DF3313" w:rsidRDefault="00DF3313" w:rsidP="00DF3313">
      <w:r>
        <w:t>The ACCC notes GrainCorp’s submission that, similar to its Geelong port terminal, granting an exemption to GrainCorp’s Portland port terminal would also be in GrainCorp’s legitimate business interests by:</w:t>
      </w:r>
    </w:p>
    <w:p w:rsidR="00DF3313" w:rsidRDefault="00DF3313" w:rsidP="00DF3313">
      <w:pPr>
        <w:pStyle w:val="ListParagraph"/>
        <w:numPr>
          <w:ilvl w:val="0"/>
          <w:numId w:val="15"/>
        </w:numPr>
        <w:contextualSpacing w:val="0"/>
      </w:pPr>
      <w:r>
        <w:t>allowing GrainCorp to compete commercially for the export of bulk grain</w:t>
      </w:r>
    </w:p>
    <w:p w:rsidR="00DF3313" w:rsidRDefault="00DF3313" w:rsidP="00DF3313">
      <w:pPr>
        <w:pStyle w:val="ListParagraph"/>
        <w:numPr>
          <w:ilvl w:val="0"/>
          <w:numId w:val="15"/>
        </w:numPr>
        <w:contextualSpacing w:val="0"/>
      </w:pPr>
      <w:r>
        <w:t>supporting operational flexibility to improve service and reduce supply chain costs</w:t>
      </w:r>
    </w:p>
    <w:p w:rsidR="00DF3313" w:rsidRDefault="00DF3313" w:rsidP="00DF3313">
      <w:pPr>
        <w:pStyle w:val="ListParagraph"/>
        <w:numPr>
          <w:ilvl w:val="0"/>
          <w:numId w:val="15"/>
        </w:numPr>
        <w:contextualSpacing w:val="0"/>
      </w:pPr>
      <w:r>
        <w:t>providing equity with the competing export container packers that are not regulated and</w:t>
      </w:r>
    </w:p>
    <w:p w:rsidR="00DF3313" w:rsidRDefault="00DF3313" w:rsidP="00DF3313">
      <w:pPr>
        <w:pStyle w:val="ListParagraph"/>
        <w:numPr>
          <w:ilvl w:val="0"/>
          <w:numId w:val="15"/>
        </w:numPr>
        <w:contextualSpacing w:val="0"/>
      </w:pPr>
      <w:r>
        <w:t>reducing the level of regulation and cost of compliance.</w:t>
      </w:r>
    </w:p>
    <w:p w:rsidR="00022C00" w:rsidRDefault="00022C00" w:rsidP="00022C00">
      <w:r>
        <w:t xml:space="preserve">Similar to its GrainCorp’s Geelong port terminal, </w:t>
      </w:r>
      <w:r w:rsidRPr="001260D7">
        <w:t xml:space="preserve">GrainCorp has an inherit level of flexibility to manage its legitimate business interests </w:t>
      </w:r>
      <w:r>
        <w:t xml:space="preserve">in relation to its Portland terminal </w:t>
      </w:r>
      <w:r w:rsidRPr="001260D7">
        <w:t xml:space="preserve">under the existing regulatory arrangements. GrainCorp can set prices, terms and conditions for elevation from its Geelong terminal and can negotiate non-standard terms for different exporters. GrainCorp may also seek to use a range of mechanisms to allocate capacity with the approval of the ACCC. In 2012, the ACCC did not object to GrainCorp </w:t>
      </w:r>
      <w:r>
        <w:t>varying</w:t>
      </w:r>
      <w:r w:rsidRPr="001260D7">
        <w:t xml:space="preserve"> its capacity allocation arrangements to offer a specific format of long term agreements for up to 60</w:t>
      </w:r>
      <w:r>
        <w:t xml:space="preserve"> per cent of its port capacity.</w:t>
      </w:r>
      <w:r>
        <w:rPr>
          <w:rStyle w:val="FootnoteReference"/>
        </w:rPr>
        <w:footnoteReference w:id="128"/>
      </w:r>
    </w:p>
    <w:p w:rsidR="00022C00" w:rsidRDefault="00022C00" w:rsidP="00022C00">
      <w:r w:rsidRPr="001A44F2">
        <w:t xml:space="preserve">The ACCC’s consideration of subclauses 5(3)(b) and (g) (see below) notes </w:t>
      </w:r>
      <w:r w:rsidRPr="004D1A2F">
        <w:t>that</w:t>
      </w:r>
      <w:r>
        <w:t xml:space="preserve"> GrainCorp’s Portland terminal faces some competition from specific areas where the terminal’s catchment area overlaps with other terminals. However the degree to which this results in a sufficient competitive constraint on GrainCorp’s Portland facility is unclear. The ACCC recognises that similar to other port terminals in Victoria, the bulk export programme out of Portland competes with the significant container export and domestic markets in Victoria</w:t>
      </w:r>
      <w:r w:rsidR="007D7D22">
        <w:t>. However,</w:t>
      </w:r>
      <w:r>
        <w:t xml:space="preserve"> container exports tend to be through the MPT rather than through Portland</w:t>
      </w:r>
      <w:r w:rsidR="007D7D22">
        <w:t xml:space="preserve"> meaning that the competitive constraint is more limited</w:t>
      </w:r>
      <w:r>
        <w:t>.</w:t>
      </w:r>
    </w:p>
    <w:p w:rsidR="00C92A24" w:rsidRDefault="00C92A24" w:rsidP="00DF3313">
      <w:r>
        <w:t xml:space="preserve">As a publically listed company GrainCorp has an incentive to minimise costs and maximise the use of its infrastructure to provide returns to its shareholders. The ACCC recognises that regulation does impose some cost on the regulated business, and that it would be efficient to reduce that cost where regulation is not necessary, such as where there are sufficient competitive constraints. </w:t>
      </w:r>
    </w:p>
    <w:p w:rsidR="00DF3313" w:rsidRDefault="00C92A24" w:rsidP="00DF3313">
      <w:r w:rsidRPr="00C92A24">
        <w:lastRenderedPageBreak/>
        <w:t xml:space="preserve">The ACCC is satisfied that it would be in the legitimate business interests </w:t>
      </w:r>
      <w:r w:rsidR="00933952">
        <w:t>of</w:t>
      </w:r>
      <w:r>
        <w:t xml:space="preserve"> </w:t>
      </w:r>
      <w:r w:rsidRPr="00C92A24">
        <w:t>GrainCorp to be granted an exemption in respect to its Portland facilit</w:t>
      </w:r>
      <w:r w:rsidR="00933952">
        <w:t>y</w:t>
      </w:r>
      <w:r w:rsidRPr="00C92A24">
        <w:t xml:space="preserve">, subject to demonstrating that such an exemption is necessary for </w:t>
      </w:r>
      <w:r>
        <w:t xml:space="preserve">it to compete. This assessment </w:t>
      </w:r>
      <w:r w:rsidRPr="00C92A24">
        <w:t xml:space="preserve">hinges on the degree of competitive constraint </w:t>
      </w:r>
      <w:r>
        <w:t xml:space="preserve">faced by </w:t>
      </w:r>
      <w:r w:rsidRPr="00C92A24">
        <w:t>Gra</w:t>
      </w:r>
      <w:r w:rsidR="00933952">
        <w:t>i</w:t>
      </w:r>
      <w:r w:rsidRPr="00C92A24">
        <w:t>nCorp’s Portland facility.</w:t>
      </w:r>
      <w:r>
        <w:t xml:space="preserve"> </w:t>
      </w:r>
      <w:r w:rsidR="00057453">
        <w:t>The degree of competitive constraint on GrainCorp’s Portland facility is discussed</w:t>
      </w:r>
      <w:r w:rsidR="00A7264A">
        <w:t xml:space="preserve"> below</w:t>
      </w:r>
      <w:r w:rsidR="00057453">
        <w:t xml:space="preserve"> in the ACCC’s consideration of subclause</w:t>
      </w:r>
      <w:r w:rsidR="00933952">
        <w:t>s</w:t>
      </w:r>
      <w:r w:rsidR="00057453">
        <w:t xml:space="preserve"> 5(3)(b) and (g).</w:t>
      </w:r>
    </w:p>
    <w:p w:rsidR="00C261AF" w:rsidRDefault="00013A1D" w:rsidP="00C261AF">
      <w:pPr>
        <w:pStyle w:val="Heading4"/>
        <w:numPr>
          <w:ilvl w:val="0"/>
          <w:numId w:val="0"/>
        </w:numPr>
        <w:tabs>
          <w:tab w:val="left" w:pos="0"/>
        </w:tabs>
      </w:pPr>
      <w:r w:rsidRPr="00A17677">
        <w:t xml:space="preserve"> </w:t>
      </w:r>
      <w:r w:rsidR="00C261AF" w:rsidRPr="00A17677">
        <w:t>(b)</w:t>
      </w:r>
      <w:r w:rsidR="00C261AF">
        <w:t xml:space="preserve"> </w:t>
      </w:r>
      <w:r w:rsidR="00C261AF" w:rsidRPr="00E10B60">
        <w:t>the public interest, including the public interest in having competition in markets</w:t>
      </w:r>
      <w:r w:rsidR="00C261AF">
        <w:t xml:space="preserve">; and (g) </w:t>
      </w:r>
      <w:r w:rsidR="00C261AF" w:rsidRPr="00BC1D85">
        <w:t>the promotion of competition in upstream and downstream markets</w:t>
      </w:r>
    </w:p>
    <w:p w:rsidR="00A85797" w:rsidRPr="00A85797" w:rsidRDefault="00A85797" w:rsidP="00A85797">
      <w:r w:rsidRPr="00A85797">
        <w:t>The ACCC considers that subclauses 5(3)(b) and (g) relate to the promotion of competition in markets, including the market for bulk wheat port terminal services as well as for upstream, downstream and related markets.</w:t>
      </w:r>
      <w:r>
        <w:t xml:space="preserve"> The ACCC also considers broader public interests such as economic development, investment</w:t>
      </w:r>
      <w:r w:rsidR="00163967">
        <w:t xml:space="preserve"> and the efficient allocation of resources</w:t>
      </w:r>
      <w:r w:rsidR="00D90162">
        <w:t xml:space="preserve"> are relevant to considering an subclause 5(3)(b) of the Code</w:t>
      </w:r>
      <w:r>
        <w:t>.</w:t>
      </w:r>
    </w:p>
    <w:p w:rsidR="003C27DF" w:rsidRDefault="003C27DF" w:rsidP="003C27DF">
      <w:pPr>
        <w:keepNext/>
        <w:rPr>
          <w:i/>
        </w:rPr>
      </w:pPr>
      <w:r w:rsidRPr="00E536AC">
        <w:rPr>
          <w:i/>
        </w:rPr>
        <w:t xml:space="preserve">Competition </w:t>
      </w:r>
      <w:r>
        <w:rPr>
          <w:i/>
        </w:rPr>
        <w:t>in</w:t>
      </w:r>
      <w:r w:rsidRPr="00E536AC">
        <w:rPr>
          <w:i/>
        </w:rPr>
        <w:t xml:space="preserve"> bulk wheat export operations</w:t>
      </w:r>
    </w:p>
    <w:p w:rsidR="00022C00" w:rsidRDefault="00022C00" w:rsidP="00022C00">
      <w:r>
        <w:t xml:space="preserve">The ACCC considers that GrainCorp’s Portland terminal is subject to a certain </w:t>
      </w:r>
      <w:r w:rsidR="00C25AFE">
        <w:t xml:space="preserve">degree </w:t>
      </w:r>
      <w:r>
        <w:t>of competition from other port terminals in Victoria</w:t>
      </w:r>
      <w:r w:rsidR="00CE77E5">
        <w:t xml:space="preserve"> and South Australia</w:t>
      </w:r>
      <w:r>
        <w:t xml:space="preserve">. However, it is unclear exactly how much </w:t>
      </w:r>
      <w:r w:rsidR="005C7695">
        <w:t xml:space="preserve">competition from </w:t>
      </w:r>
      <w:r w:rsidR="00C25AFE">
        <w:t>other ports constrain</w:t>
      </w:r>
      <w:r w:rsidR="005C7695">
        <w:t>s</w:t>
      </w:r>
      <w:r w:rsidR="00C25AFE">
        <w:t xml:space="preserve"> </w:t>
      </w:r>
      <w:r>
        <w:t xml:space="preserve">the Portland terminal. In contrast to the overlapping catchment areas of the Melbourne and Geelong ports, there is less evidence that Portland is in </w:t>
      </w:r>
      <w:r w:rsidR="005C7695">
        <w:t xml:space="preserve">direct </w:t>
      </w:r>
      <w:r>
        <w:t xml:space="preserve">competition with another port terminal. </w:t>
      </w:r>
    </w:p>
    <w:p w:rsidR="00930B08" w:rsidRDefault="00930B08" w:rsidP="00930B08">
      <w:r>
        <w:t>The ACCC’s preliminary view</w:t>
      </w:r>
      <w:r w:rsidR="00321C3D">
        <w:t>s</w:t>
      </w:r>
      <w:r>
        <w:t xml:space="preserve"> </w:t>
      </w:r>
      <w:r w:rsidR="00321C3D">
        <w:t xml:space="preserve">on the level of competitive constraint placed on the Portland terminals draws from </w:t>
      </w:r>
      <w:r>
        <w:t>its analysis of the port terminal services markets in chapter 2, and its consideration of upcountry and related markets in chapter 3</w:t>
      </w:r>
      <w:r w:rsidR="00321C3D">
        <w:t xml:space="preserve">. Key findings from these chapters </w:t>
      </w:r>
      <w:r>
        <w:t>indicate</w:t>
      </w:r>
      <w:r w:rsidR="00321C3D">
        <w:t xml:space="preserve"> that</w:t>
      </w:r>
      <w:r>
        <w:t>:</w:t>
      </w:r>
    </w:p>
    <w:p w:rsidR="00022C00" w:rsidRDefault="00022C00" w:rsidP="00022C00">
      <w:pPr>
        <w:pStyle w:val="ListParagraph"/>
        <w:numPr>
          <w:ilvl w:val="0"/>
          <w:numId w:val="15"/>
        </w:numPr>
        <w:contextualSpacing w:val="0"/>
      </w:pPr>
      <w:r>
        <w:t>GrainCorp’s Portland port terminal shares a number of similar characteristic</w:t>
      </w:r>
      <w:r w:rsidR="00933952">
        <w:t>s</w:t>
      </w:r>
      <w:r>
        <w:t xml:space="preserve"> with the other port terminals in Victoria. For instance, it has broadly similar ship loading capabilities </w:t>
      </w:r>
      <w:r w:rsidR="00933952">
        <w:t xml:space="preserve">to </w:t>
      </w:r>
      <w:r>
        <w:t>MPT, can store significant volumes of grain and can receive both rail and road deliveries. However, there are some key differences which make it both less and more attractive for exporters. On the one hand rail access is via standard gauge only, and is less efficient than rail to the other two Victorian ports. On the other hand, the Portland facility has the deepest berth and is the only port facility in Victoria that can fully load a Panamax vessel. Portland is therefore often used as a top-up terminal for exports from Geelong and Melbourne.</w:t>
      </w:r>
    </w:p>
    <w:p w:rsidR="00022C00" w:rsidRDefault="00022C00" w:rsidP="00022C00">
      <w:pPr>
        <w:pStyle w:val="ListParagraph"/>
        <w:numPr>
          <w:ilvl w:val="0"/>
          <w:numId w:val="15"/>
        </w:numPr>
        <w:contextualSpacing w:val="0"/>
      </w:pPr>
      <w:r>
        <w:t>Analysis of the catchment areas in chapter 3 suggests that GrainCorp’s Portland port terminal appears to largely service western Victoria. In general, from this part of Victoria, distances to port terminals other than Portland are longer by road and rail, meaning that freight costs to other terminals can be a substantial increase. There may be some exceptions to this. For example, for marketers closer to central Victoria there appears to be scope to move grain to either Portland or Geelong at a similar cost</w:t>
      </w:r>
      <w:r w:rsidR="003C02BD">
        <w:t>, although both of these terminals are operated by GrainCorp</w:t>
      </w:r>
      <w:r>
        <w:t xml:space="preserve">. There is also evidence of containerised grain moving from western Victoria to the Port of Melbourne. GrainCorp also submits that grain could also move from western Victoria to the Outer Harbor port in Adelaide, presumably via the Viterra system. While all these options might be viable for select marketers, they may not extend to a wide cohort of marketers as they depend on various factors like the specific location of operations and the willingness to enter into certain rail arrangements. The ACCC has not seen evidence that these options are a viable substitute for a significant number of exporters. </w:t>
      </w:r>
    </w:p>
    <w:p w:rsidR="00022C00" w:rsidRPr="004F6596" w:rsidRDefault="00022C00" w:rsidP="00022C00">
      <w:pPr>
        <w:pStyle w:val="ListParagraph"/>
        <w:numPr>
          <w:ilvl w:val="0"/>
          <w:numId w:val="15"/>
        </w:numPr>
        <w:contextualSpacing w:val="0"/>
      </w:pPr>
      <w:r>
        <w:lastRenderedPageBreak/>
        <w:t xml:space="preserve">GrainCorp’s Portland terminal is the second most utilised port in Victoria. Generally there appears to be spare capacity particularly in the non-peak times of the year, and similar to GrainCorp’s Geelong terminal, </w:t>
      </w:r>
      <w:r w:rsidR="00933952">
        <w:t>significant</w:t>
      </w:r>
      <w:r>
        <w:t xml:space="preserve"> demand for shipping slots during peak times of the year. As with GrainCorp’s Geelong terminal, there may be a concern that exporters may not be able to gain sufficient access to capacity during periods of peak demand. The difference in the case of the Portland terminal is the lack of a clear substitute port which could service a marketer from the same area that services Portland. </w:t>
      </w:r>
      <w:r w:rsidRPr="004F6596">
        <w:t>Th</w:t>
      </w:r>
      <w:r>
        <w:t>e likel</w:t>
      </w:r>
      <w:r w:rsidR="00D90162">
        <w:t>y</w:t>
      </w:r>
      <w:r>
        <w:t xml:space="preserve"> impact of this on exporters </w:t>
      </w:r>
      <w:r w:rsidRPr="004F6596">
        <w:t>is discussed further in the ACCC’s consideration of subclauses 5(3)(c) and (d).</w:t>
      </w:r>
    </w:p>
    <w:p w:rsidR="00022C00" w:rsidRDefault="00022C00" w:rsidP="00022C00">
      <w:pPr>
        <w:pStyle w:val="ListParagraph"/>
        <w:numPr>
          <w:ilvl w:val="0"/>
          <w:numId w:val="15"/>
        </w:numPr>
        <w:contextualSpacing w:val="0"/>
      </w:pPr>
      <w:r>
        <w:t>As noted in the above assessments, p</w:t>
      </w:r>
      <w:r w:rsidRPr="00FA4D2F">
        <w:t>lans to develop further bulk wheat port terminals in Victoria, in particular Bu</w:t>
      </w:r>
      <w:r>
        <w:t xml:space="preserve">nge’s proposed Geelong facility, may place a degree of constraint on existing ports through the threat of entry. In the case of GrainCorp’s Portland terminal, the ACCC considers the planned Bunge facility to place a lesser threat on GrainCorp’s Portland terminal compared to the other </w:t>
      </w:r>
      <w:r w:rsidR="00CD081B">
        <w:t xml:space="preserve">existing </w:t>
      </w:r>
      <w:r>
        <w:t xml:space="preserve">Victorian ports. Due to the proposed location of the Bunge facility </w:t>
      </w:r>
      <w:r w:rsidR="00CD081B">
        <w:t xml:space="preserve">at Geelong </w:t>
      </w:r>
      <w:r>
        <w:t xml:space="preserve">it may have less overlap </w:t>
      </w:r>
      <w:r w:rsidR="001F29D2">
        <w:t xml:space="preserve">with Portland </w:t>
      </w:r>
      <w:r>
        <w:t xml:space="preserve">in terms of catchment areas compared to its potential overlap with GrainCorp’s Geelong facility and Emerald’s MPT. </w:t>
      </w:r>
    </w:p>
    <w:p w:rsidR="00022C00" w:rsidRPr="00E536AC" w:rsidRDefault="00022C00" w:rsidP="00022C00">
      <w:pPr>
        <w:pStyle w:val="ListParagraph"/>
        <w:numPr>
          <w:ilvl w:val="0"/>
          <w:numId w:val="15"/>
        </w:numPr>
        <w:contextualSpacing w:val="0"/>
      </w:pPr>
      <w:r>
        <w:t>There is speculation that Quattro, backed by Noble, Cargill and Emerald, is planning to develop a new port terminal facility at the Port of Portland that would be separate from the existing GrainCorp terminal. Media commentary suggests that this development is in its early stages and there is no public information about its potential scale or timeframes for its possible development. While the concept of a developing port suggests the threat of entry, it is difficult to give significant weight to the prospect of a new terminal at Portland</w:t>
      </w:r>
      <w:r w:rsidR="00CD081B">
        <w:t xml:space="preserve"> in the absence of details about its capacity or expected construction date</w:t>
      </w:r>
      <w:r>
        <w:t>.</w:t>
      </w:r>
    </w:p>
    <w:p w:rsidR="003C27DF" w:rsidRPr="0040677F" w:rsidRDefault="003C27DF" w:rsidP="003C27DF">
      <w:pPr>
        <w:keepNext/>
        <w:rPr>
          <w:i/>
        </w:rPr>
      </w:pPr>
      <w:r>
        <w:rPr>
          <w:i/>
        </w:rPr>
        <w:t>Competition in u</w:t>
      </w:r>
      <w:r w:rsidRPr="0040677F">
        <w:rPr>
          <w:i/>
        </w:rPr>
        <w:t>pstream and downstream markets</w:t>
      </w:r>
    </w:p>
    <w:p w:rsidR="00C66A5F" w:rsidRDefault="00F566B8" w:rsidP="00F566B8">
      <w:r>
        <w:t>Similar to its assessment of GrainCorp’s Geelong facility, t</w:t>
      </w:r>
      <w:r w:rsidRPr="00FF5DD6">
        <w:t>he ACCC’s preliminary view is that the</w:t>
      </w:r>
      <w:r w:rsidR="00C66A5F">
        <w:t>re is</w:t>
      </w:r>
      <w:r w:rsidRPr="00FF5DD6">
        <w:t xml:space="preserve"> competition in </w:t>
      </w:r>
      <w:r w:rsidR="00C66A5F">
        <w:t>provision of upcountry storage and transport services</w:t>
      </w:r>
      <w:r w:rsidRPr="00FF5DD6">
        <w:t xml:space="preserve"> across Victoria and southern NSW</w:t>
      </w:r>
      <w:r w:rsidR="00C66A5F">
        <w:t xml:space="preserve">.  </w:t>
      </w:r>
    </w:p>
    <w:p w:rsidR="00F566B8" w:rsidRDefault="006D1B2D" w:rsidP="00C66A5F">
      <w:pPr>
        <w:keepNext/>
      </w:pPr>
      <w:r w:rsidRPr="006D1B2D">
        <w:t xml:space="preserve">Based on its analysis of upcountry and related markets in chapter 3, the ACCC considers that: </w:t>
      </w:r>
    </w:p>
    <w:p w:rsidR="00F566B8" w:rsidRPr="00F566B8" w:rsidRDefault="006D1B2D" w:rsidP="00F566B8">
      <w:pPr>
        <w:pStyle w:val="ListParagraph"/>
        <w:numPr>
          <w:ilvl w:val="0"/>
          <w:numId w:val="15"/>
        </w:numPr>
        <w:contextualSpacing w:val="0"/>
      </w:pPr>
      <w:r>
        <w:t xml:space="preserve">While </w:t>
      </w:r>
      <w:r w:rsidRPr="00060043">
        <w:t>GrainCorp has a stronger presence than other storage providers</w:t>
      </w:r>
      <w:r>
        <w:t xml:space="preserve"> across Victoria and southern NSW, its site numbers have reduced from historic levels and may reduce further as GrainCorp closes more of its Victorian sites under its Project Regeneration. In the current environment </w:t>
      </w:r>
      <w:r w:rsidR="00F566B8" w:rsidRPr="00F566B8">
        <w:t>GrainCorp</w:t>
      </w:r>
      <w:r w:rsidR="00B725F0">
        <w:t xml:space="preserve"> </w:t>
      </w:r>
      <w:r w:rsidR="00F566B8" w:rsidRPr="00F566B8">
        <w:t>face</w:t>
      </w:r>
      <w:r>
        <w:t>s</w:t>
      </w:r>
      <w:r w:rsidR="00F566B8" w:rsidRPr="00F566B8">
        <w:t xml:space="preserve"> </w:t>
      </w:r>
      <w:r w:rsidR="00B725F0">
        <w:t xml:space="preserve">competition </w:t>
      </w:r>
      <w:r w:rsidR="00F566B8" w:rsidRPr="00F566B8">
        <w:t xml:space="preserve">from </w:t>
      </w:r>
      <w:r w:rsidR="00B725F0">
        <w:t xml:space="preserve">a number of competing </w:t>
      </w:r>
      <w:r>
        <w:t xml:space="preserve">operators, some with multiple </w:t>
      </w:r>
      <w:r w:rsidR="00B725F0">
        <w:t>sites of a relatively large scale</w:t>
      </w:r>
      <w:r>
        <w:t xml:space="preserve"> and with their own integrated operations</w:t>
      </w:r>
      <w:r w:rsidR="00B725F0">
        <w:t xml:space="preserve">, </w:t>
      </w:r>
      <w:r>
        <w:t>including across the w</w:t>
      </w:r>
      <w:r w:rsidR="00B725F0">
        <w:t>estern districts of Victoria</w:t>
      </w:r>
      <w:r w:rsidR="00F566B8" w:rsidRPr="00F566B8">
        <w:t xml:space="preserve">. </w:t>
      </w:r>
      <w:r>
        <w:t>Emerald in particular has a number of storage and handling sites throughout western Victoria.</w:t>
      </w:r>
    </w:p>
    <w:p w:rsidR="00022C00" w:rsidRDefault="00022C00" w:rsidP="00022C00">
      <w:pPr>
        <w:pStyle w:val="ListParagraph"/>
        <w:numPr>
          <w:ilvl w:val="0"/>
          <w:numId w:val="15"/>
        </w:numPr>
        <w:contextualSpacing w:val="0"/>
      </w:pPr>
      <w:r>
        <w:t>T</w:t>
      </w:r>
      <w:r w:rsidRPr="0050662A">
        <w:t>he relatively shorter distances to port in Victoria</w:t>
      </w:r>
      <w:r>
        <w:t xml:space="preserve">, particularly from areas in </w:t>
      </w:r>
      <w:r w:rsidR="003C02BD">
        <w:t>w</w:t>
      </w:r>
      <w:r>
        <w:t xml:space="preserve">estern Victoria to GrainCorp’s Portland terminal, </w:t>
      </w:r>
      <w:r w:rsidRPr="0050662A">
        <w:t xml:space="preserve">promote road transport as a viable alternative to rail. </w:t>
      </w:r>
      <w:r>
        <w:t>The relative inefficiencies of the current rail network to the Portland terminal would likely further promote the use of road transport in this part of Victoria. Road receivals reportedly account for about 80 per cent of rece</w:t>
      </w:r>
      <w:r w:rsidR="00ED0E53">
        <w:t>i</w:t>
      </w:r>
      <w:r>
        <w:t>vals at the Portland terminal.</w:t>
      </w:r>
      <w:r>
        <w:rPr>
          <w:rStyle w:val="FootnoteReference"/>
        </w:rPr>
        <w:footnoteReference w:id="129"/>
      </w:r>
      <w:r>
        <w:t xml:space="preserve"> </w:t>
      </w:r>
      <w:r w:rsidRPr="0050662A">
        <w:t xml:space="preserve">The number and scale of options for storage and handling as well as </w:t>
      </w:r>
      <w:r>
        <w:lastRenderedPageBreak/>
        <w:t xml:space="preserve">providers of </w:t>
      </w:r>
      <w:r w:rsidRPr="0050662A">
        <w:t>transport</w:t>
      </w:r>
      <w:r>
        <w:t xml:space="preserve"> services in western Victoria </w:t>
      </w:r>
      <w:r w:rsidRPr="0050662A">
        <w:t>indicate</w:t>
      </w:r>
      <w:r>
        <w:t>s</w:t>
      </w:r>
      <w:r w:rsidRPr="0050662A">
        <w:t xml:space="preserve"> that GrainCorp’s upcountry networks face</w:t>
      </w:r>
      <w:r>
        <w:t xml:space="preserve"> sufficient </w:t>
      </w:r>
      <w:r w:rsidRPr="0050662A">
        <w:t xml:space="preserve">competition </w:t>
      </w:r>
      <w:r>
        <w:t>in this region</w:t>
      </w:r>
      <w:r w:rsidRPr="0050662A">
        <w:t xml:space="preserve">. Accordingly, the ACCC’s preliminary view is that GrainCorp is limited </w:t>
      </w:r>
      <w:r>
        <w:t>in its ability to exercise</w:t>
      </w:r>
      <w:r w:rsidRPr="0050662A">
        <w:t xml:space="preserve"> market power in storage and handling and transport services in </w:t>
      </w:r>
      <w:r>
        <w:t xml:space="preserve">western </w:t>
      </w:r>
      <w:r w:rsidRPr="0050662A">
        <w:t xml:space="preserve">Victoria. As such the ACCC considers that GrainCorp would not be in a position to leverage market power from upcountry </w:t>
      </w:r>
      <w:r>
        <w:t>n</w:t>
      </w:r>
      <w:r w:rsidRPr="0050662A">
        <w:t xml:space="preserve">etworks into the market for </w:t>
      </w:r>
      <w:r>
        <w:t xml:space="preserve">its Portland </w:t>
      </w:r>
      <w:r w:rsidRPr="0050662A">
        <w:t>terminal services.</w:t>
      </w:r>
    </w:p>
    <w:p w:rsidR="00F566B8" w:rsidRPr="00F566B8" w:rsidRDefault="004F253F" w:rsidP="00F566B8">
      <w:pPr>
        <w:pStyle w:val="ListParagraph"/>
        <w:numPr>
          <w:ilvl w:val="0"/>
          <w:numId w:val="15"/>
        </w:numPr>
        <w:contextualSpacing w:val="0"/>
      </w:pPr>
      <w:r>
        <w:t>C</w:t>
      </w:r>
      <w:r w:rsidR="00F566B8" w:rsidRPr="00F566B8">
        <w:t>ontainer</w:t>
      </w:r>
      <w:r>
        <w:t>ised</w:t>
      </w:r>
      <w:r w:rsidR="00F566B8" w:rsidRPr="00F566B8">
        <w:t xml:space="preserve"> </w:t>
      </w:r>
      <w:r>
        <w:t xml:space="preserve">grain </w:t>
      </w:r>
      <w:r w:rsidR="00F566B8" w:rsidRPr="00F566B8">
        <w:t>export</w:t>
      </w:r>
      <w:r>
        <w:t>s</w:t>
      </w:r>
      <w:r w:rsidR="00F566B8" w:rsidRPr="00F566B8">
        <w:t xml:space="preserve"> </w:t>
      </w:r>
      <w:r>
        <w:t xml:space="preserve">from </w:t>
      </w:r>
      <w:r w:rsidR="00F566B8" w:rsidRPr="00F566B8">
        <w:t xml:space="preserve">Victoria </w:t>
      </w:r>
      <w:r>
        <w:t>are</w:t>
      </w:r>
      <w:r w:rsidR="00F566B8" w:rsidRPr="00F566B8">
        <w:t xml:space="preserve"> significant, as shown by its growth and its consistent presence as a viable alternative export path for grain over the past </w:t>
      </w:r>
      <w:r>
        <w:t>ten</w:t>
      </w:r>
      <w:r w:rsidRPr="00F566B8">
        <w:t xml:space="preserve"> </w:t>
      </w:r>
      <w:r w:rsidR="00F566B8" w:rsidRPr="00F566B8">
        <w:t xml:space="preserve">years. </w:t>
      </w:r>
      <w:r w:rsidR="00785826">
        <w:t xml:space="preserve">The ACCC considers that </w:t>
      </w:r>
      <w:r w:rsidR="00F566B8" w:rsidRPr="00F566B8">
        <w:t>container</w:t>
      </w:r>
      <w:r>
        <w:t>ised</w:t>
      </w:r>
      <w:r w:rsidR="00F566B8" w:rsidRPr="00F566B8">
        <w:t xml:space="preserve"> export</w:t>
      </w:r>
      <w:r>
        <w:t>s</w:t>
      </w:r>
      <w:r w:rsidR="00F566B8" w:rsidRPr="00F566B8">
        <w:t xml:space="preserve"> provide </w:t>
      </w:r>
      <w:r w:rsidR="00894A17">
        <w:t xml:space="preserve">a level of constraint </w:t>
      </w:r>
      <w:r w:rsidR="00F566B8" w:rsidRPr="00F566B8">
        <w:t xml:space="preserve">on the bulk export programme at </w:t>
      </w:r>
      <w:r w:rsidR="00785826">
        <w:t>Portland. The ACCC understands that there are a number of container packing companies operating in western Victoria, which mostly export containers through the Port of Melbourne.</w:t>
      </w:r>
    </w:p>
    <w:p w:rsidR="005217BA" w:rsidRDefault="005C61B4" w:rsidP="00F566B8">
      <w:pPr>
        <w:pStyle w:val="ListParagraph"/>
        <w:numPr>
          <w:ilvl w:val="0"/>
          <w:numId w:val="15"/>
        </w:numPr>
        <w:contextualSpacing w:val="0"/>
      </w:pPr>
      <w:r>
        <w:t>There is strong and consistent demand for</w:t>
      </w:r>
      <w:r w:rsidR="00F566B8" w:rsidRPr="00F566B8">
        <w:t xml:space="preserve"> grain in Victoria to support the large dairy, stockfeed and malt industries in Victoria. Generally, domestic </w:t>
      </w:r>
      <w:r>
        <w:t>consumers are</w:t>
      </w:r>
      <w:r w:rsidRPr="00F566B8">
        <w:t xml:space="preserve"> </w:t>
      </w:r>
      <w:r w:rsidR="00F566B8" w:rsidRPr="00F566B8">
        <w:t>able to pay a higher price for wheat compared to bulk wheat export due to lower transport costs, making it an attractive option over exportation.</w:t>
      </w:r>
    </w:p>
    <w:p w:rsidR="00C92A24" w:rsidRDefault="00A97AD2" w:rsidP="00F2549B">
      <w:r>
        <w:t>However,</w:t>
      </w:r>
      <w:r w:rsidR="00700D3A">
        <w:t xml:space="preserve"> d</w:t>
      </w:r>
      <w:r w:rsidR="00C92A24" w:rsidRPr="00C92A24">
        <w:t xml:space="preserve">ue to the </w:t>
      </w:r>
      <w:r w:rsidR="00880865">
        <w:t xml:space="preserve">limited </w:t>
      </w:r>
      <w:r w:rsidR="00C92A24" w:rsidRPr="00C92A24">
        <w:t xml:space="preserve">competitive constraints noted above in relation to port terminal services at GrainCorp’s </w:t>
      </w:r>
      <w:r w:rsidR="00C92A24">
        <w:t>Portland</w:t>
      </w:r>
      <w:r w:rsidR="00C92A24" w:rsidRPr="00C92A24">
        <w:t xml:space="preserve"> facility, the ACCC considers that </w:t>
      </w:r>
      <w:r w:rsidR="00880865">
        <w:t xml:space="preserve">it is </w:t>
      </w:r>
      <w:r w:rsidR="000D1E5C">
        <w:t>possible</w:t>
      </w:r>
      <w:r w:rsidR="00880865">
        <w:t xml:space="preserve"> granting an </w:t>
      </w:r>
      <w:r w:rsidR="00C92A24" w:rsidRPr="00C92A24">
        <w:t xml:space="preserve">exemption </w:t>
      </w:r>
      <w:r w:rsidR="000D1E5C">
        <w:t>may allow GrainCorp to leverage its monopoly position at the Portland facility</w:t>
      </w:r>
      <w:r w:rsidR="00C92A24" w:rsidRPr="00C92A24">
        <w:t xml:space="preserve"> to the detr</w:t>
      </w:r>
      <w:r>
        <w:t>i</w:t>
      </w:r>
      <w:r w:rsidR="00C92A24" w:rsidRPr="00C92A24">
        <w:t xml:space="preserve">ment of </w:t>
      </w:r>
      <w:r w:rsidR="00700D3A">
        <w:t xml:space="preserve">some or all of </w:t>
      </w:r>
      <w:r w:rsidR="000D1E5C">
        <w:t xml:space="preserve">its </w:t>
      </w:r>
      <w:r w:rsidR="00C92A24" w:rsidRPr="00C92A24">
        <w:t xml:space="preserve">upcountry </w:t>
      </w:r>
      <w:r w:rsidR="00C66A5F">
        <w:t>storage provider competitors</w:t>
      </w:r>
      <w:r w:rsidR="00700D3A">
        <w:t>. Therefore</w:t>
      </w:r>
      <w:r w:rsidR="00824508">
        <w:t>,</w:t>
      </w:r>
      <w:r w:rsidR="00700D3A">
        <w:t xml:space="preserve"> while there is currently competition in </w:t>
      </w:r>
      <w:r w:rsidR="00C66A5F">
        <w:t>the provision of storage and handling services,</w:t>
      </w:r>
      <w:r w:rsidR="00700D3A">
        <w:t xml:space="preserve"> </w:t>
      </w:r>
      <w:r w:rsidR="00C66A5F">
        <w:t xml:space="preserve">in the absence of a competing port terminal facility this level of competition may not </w:t>
      </w:r>
      <w:r w:rsidR="00700D3A">
        <w:t>be promoted if GrainCorp were granted an exemption at its Portland facility</w:t>
      </w:r>
      <w:r w:rsidR="00C92A24" w:rsidRPr="00C92A24">
        <w:t>.</w:t>
      </w:r>
    </w:p>
    <w:p w:rsidR="00434874" w:rsidRPr="00F2549B" w:rsidRDefault="00434874" w:rsidP="00F2549B">
      <w:pPr>
        <w:rPr>
          <w:i/>
        </w:rPr>
      </w:pPr>
      <w:r>
        <w:rPr>
          <w:i/>
        </w:rPr>
        <w:t>Conclusion</w:t>
      </w:r>
    </w:p>
    <w:p w:rsidR="00022C00" w:rsidRDefault="00022C00" w:rsidP="00022C00">
      <w:r>
        <w:t xml:space="preserve">Overall, the ACCC’s preliminary view is that, while </w:t>
      </w:r>
      <w:r w:rsidR="005C7695">
        <w:t xml:space="preserve">there is a </w:t>
      </w:r>
      <w:r>
        <w:t xml:space="preserve">level of competition in upstream and related markets, it is unclear </w:t>
      </w:r>
      <w:r w:rsidR="005C7695">
        <w:t xml:space="preserve">that this places </w:t>
      </w:r>
      <w:r>
        <w:t xml:space="preserve">sufficient competitive constraint on GrainCorp’s port terminal services at Portland in the absence of a clear competing </w:t>
      </w:r>
      <w:r w:rsidR="005C7695">
        <w:t xml:space="preserve">port terminal </w:t>
      </w:r>
      <w:r>
        <w:t xml:space="preserve">facility at this time. </w:t>
      </w:r>
      <w:r w:rsidR="005C61B4">
        <w:t xml:space="preserve">In particular, the </w:t>
      </w:r>
      <w:r w:rsidR="005C61B4" w:rsidRPr="005C61B4">
        <w:t xml:space="preserve">differences in transportation costs between Portland and other ports </w:t>
      </w:r>
      <w:r w:rsidR="005C61B4">
        <w:t>suggest</w:t>
      </w:r>
      <w:r w:rsidR="005C61B4" w:rsidRPr="005C61B4">
        <w:t xml:space="preserve"> that other ports will not generally constrain the behaviour of </w:t>
      </w:r>
      <w:r w:rsidR="005C61B4">
        <w:t xml:space="preserve">GrainCorp in respect of its </w:t>
      </w:r>
      <w:r w:rsidR="005C61B4" w:rsidRPr="005C61B4">
        <w:t>Portland</w:t>
      </w:r>
      <w:r w:rsidR="005C61B4">
        <w:t xml:space="preserve"> facility</w:t>
      </w:r>
      <w:r w:rsidR="005C61B4" w:rsidRPr="005C61B4">
        <w:t>.</w:t>
      </w:r>
    </w:p>
    <w:p w:rsidR="005B6263" w:rsidRDefault="005B6263" w:rsidP="005B6263">
      <w:r>
        <w:t>In an environment where there is a lack of competition, GrainCorp may have an incentive to increase price</w:t>
      </w:r>
      <w:r w:rsidR="005C7695">
        <w:t>s</w:t>
      </w:r>
      <w:r w:rsidR="005C61B4">
        <w:t xml:space="preserve"> or decrease the quality of service</w:t>
      </w:r>
      <w:r w:rsidR="005C7695">
        <w:t xml:space="preserve"> to access seekers</w:t>
      </w:r>
      <w:r>
        <w:t>.</w:t>
      </w:r>
    </w:p>
    <w:p w:rsidR="005217BA" w:rsidRDefault="00AF6BEB" w:rsidP="005217BA">
      <w:r>
        <w:t xml:space="preserve">Specifically, having regard to subclause 5(3)(b), an exemption </w:t>
      </w:r>
      <w:r w:rsidR="00C51A36">
        <w:t xml:space="preserve">at </w:t>
      </w:r>
      <w:r>
        <w:t>GrainCrop’s Portland facility may not be appropriate if there is not sufficient competition in markets.</w:t>
      </w:r>
    </w:p>
    <w:p w:rsidR="00C261AF" w:rsidRDefault="005B6263" w:rsidP="00C261AF">
      <w:pPr>
        <w:pStyle w:val="Heading4"/>
        <w:numPr>
          <w:ilvl w:val="0"/>
          <w:numId w:val="0"/>
        </w:numPr>
        <w:tabs>
          <w:tab w:val="left" w:pos="426"/>
        </w:tabs>
      </w:pPr>
      <w:r>
        <w:t xml:space="preserve"> </w:t>
      </w:r>
      <w:r w:rsidR="00C261AF">
        <w:t xml:space="preserve">(c) </w:t>
      </w:r>
      <w:r w:rsidR="00C261AF" w:rsidRPr="00F03F65">
        <w:t>the interests of exporters who may require a</w:t>
      </w:r>
      <w:r w:rsidR="00C261AF">
        <w:t xml:space="preserve">ccess to port terminal services; and (d) </w:t>
      </w:r>
      <w:r w:rsidR="00C261AF" w:rsidRPr="00856A20">
        <w:t>the likelihood that exporters of bulk wheat will have fair and transparent access to port terminal services</w:t>
      </w:r>
    </w:p>
    <w:p w:rsidR="00B53F76" w:rsidRDefault="006F3714" w:rsidP="00B53F76">
      <w:r>
        <w:t>If the exemption were granted, t</w:t>
      </w:r>
      <w:r w:rsidR="00B53F76">
        <w:t xml:space="preserve">he interests of exporters requiring access to port terminal services will not be affected if they can still </w:t>
      </w:r>
      <w:r w:rsidR="00B53F76" w:rsidRPr="003A1139">
        <w:t>compete in the grain export market on their relative merits</w:t>
      </w:r>
      <w:r w:rsidR="00B53F76">
        <w:t xml:space="preserve">. </w:t>
      </w:r>
    </w:p>
    <w:p w:rsidR="006F3714" w:rsidRDefault="006F3714" w:rsidP="006F3714">
      <w:r w:rsidRPr="003E097A">
        <w:t xml:space="preserve">As a vertically integrated terminal operator and exporter, </w:t>
      </w:r>
      <w:r>
        <w:t>GrainCorp</w:t>
      </w:r>
      <w:r w:rsidRPr="003E097A">
        <w:t xml:space="preserve"> has an incentive to favour itself over other exporters at </w:t>
      </w:r>
      <w:r>
        <w:t>its Portland facility.</w:t>
      </w:r>
      <w:r w:rsidR="00153E48">
        <w:t xml:space="preserve"> The </w:t>
      </w:r>
      <w:r>
        <w:t xml:space="preserve">ACCC is considering the likelihood of this occurring, and exporters </w:t>
      </w:r>
      <w:r w:rsidR="005C7695">
        <w:t xml:space="preserve">being </w:t>
      </w:r>
      <w:r>
        <w:t xml:space="preserve">unable to negotiate on fair terms, if parts 3 to 6 of the Code did not apply </w:t>
      </w:r>
      <w:r w:rsidR="005C7695">
        <w:t xml:space="preserve">at </w:t>
      </w:r>
      <w:r>
        <w:t>the Portland facility</w:t>
      </w:r>
      <w:r w:rsidRPr="003E097A">
        <w:t>.</w:t>
      </w:r>
    </w:p>
    <w:p w:rsidR="000A5F9A" w:rsidRDefault="000A5F9A" w:rsidP="000A5F9A">
      <w:r>
        <w:lastRenderedPageBreak/>
        <w:t>The ACCC notes that public submissions from exporters do not oppose granting an exemption to GrainCorp’s Portland facility.</w:t>
      </w:r>
    </w:p>
    <w:p w:rsidR="00B53157" w:rsidRDefault="006F3714" w:rsidP="006F3714">
      <w:r>
        <w:t>The ACCC’s considers that competition provides a strong incentive for a firm to act fair</w:t>
      </w:r>
      <w:r w:rsidR="00081789">
        <w:t>ly</w:t>
      </w:r>
      <w:r>
        <w:t xml:space="preserve"> and reasonably</w:t>
      </w:r>
      <w:r w:rsidR="00963383">
        <w:t xml:space="preserve"> with </w:t>
      </w:r>
      <w:r w:rsidR="00081789">
        <w:t xml:space="preserve">its </w:t>
      </w:r>
      <w:r w:rsidR="00963383">
        <w:t>customers</w:t>
      </w:r>
      <w:r w:rsidR="00434874">
        <w:t xml:space="preserve"> and to provide fair and transparent access to services</w:t>
      </w:r>
      <w:r>
        <w:t>. In the absence of competition, incentive</w:t>
      </w:r>
      <w:r w:rsidR="00963383">
        <w:t>s</w:t>
      </w:r>
      <w:r>
        <w:t xml:space="preserve"> for a firm to not f</w:t>
      </w:r>
      <w:r w:rsidR="00963383">
        <w:t>avour its</w:t>
      </w:r>
      <w:r>
        <w:t xml:space="preserve"> own trading arm </w:t>
      </w:r>
      <w:r w:rsidR="00963383">
        <w:t xml:space="preserve">over </w:t>
      </w:r>
      <w:r>
        <w:t>third part</w:t>
      </w:r>
      <w:r w:rsidR="00963383">
        <w:t>y customers</w:t>
      </w:r>
      <w:r w:rsidR="00081789">
        <w:t xml:space="preserve"> are reduced</w:t>
      </w:r>
      <w:r>
        <w:t xml:space="preserve">. </w:t>
      </w:r>
    </w:p>
    <w:p w:rsidR="006F3714" w:rsidRDefault="002C036D" w:rsidP="002C036D">
      <w:pPr>
        <w:keepNext/>
      </w:pPr>
      <w:r>
        <w:t>T</w:t>
      </w:r>
      <w:r w:rsidR="006F3714">
        <w:t xml:space="preserve">he ACCC’s preliminary </w:t>
      </w:r>
      <w:r w:rsidR="00405200">
        <w:t xml:space="preserve">views on the incentives for GrainCorp to </w:t>
      </w:r>
      <w:r w:rsidR="00081789">
        <w:t xml:space="preserve">not to favour its own trading arm over </w:t>
      </w:r>
      <w:r w:rsidR="00405200">
        <w:t xml:space="preserve">third party exporters </w:t>
      </w:r>
      <w:r>
        <w:t xml:space="preserve">at its Portland terminal </w:t>
      </w:r>
      <w:r w:rsidR="00B53157">
        <w:t>draw on the analysis in chapter 2</w:t>
      </w:r>
      <w:r>
        <w:t>. Relevant findings from th</w:t>
      </w:r>
      <w:r w:rsidR="00676EA3">
        <w:t>is</w:t>
      </w:r>
      <w:r>
        <w:t xml:space="preserve"> chapter include</w:t>
      </w:r>
      <w:r w:rsidR="006F3714">
        <w:t xml:space="preserve">: </w:t>
      </w:r>
    </w:p>
    <w:p w:rsidR="00D13992" w:rsidRDefault="001C4B63" w:rsidP="00D13992">
      <w:pPr>
        <w:pStyle w:val="ListParagraph"/>
        <w:numPr>
          <w:ilvl w:val="0"/>
          <w:numId w:val="15"/>
        </w:numPr>
        <w:contextualSpacing w:val="0"/>
      </w:pPr>
      <w:r>
        <w:t>Over the last three year</w:t>
      </w:r>
      <w:r w:rsidR="005C7695">
        <w:t>s</w:t>
      </w:r>
      <w:r>
        <w:t xml:space="preserve"> GrainCorp’s trading arm has not been the largest user of the Portland terminal. Cargill has been the largest exporter with around 35 per cent of total exports. </w:t>
      </w:r>
      <w:r w:rsidR="00D13992">
        <w:t>Other exporters appear to also have been able to access significant capacity, including during the peak months.</w:t>
      </w:r>
      <w:r w:rsidR="00147C71">
        <w:t xml:space="preserve"> Additionally, t</w:t>
      </w:r>
      <w:r w:rsidR="00D13992">
        <w:t xml:space="preserve">he Portland terminal appears to have </w:t>
      </w:r>
      <w:r w:rsidR="00147C71">
        <w:t xml:space="preserve">been </w:t>
      </w:r>
      <w:r w:rsidR="00D13992">
        <w:t>underutilised</w:t>
      </w:r>
      <w:r w:rsidR="00884A61">
        <w:t>,</w:t>
      </w:r>
      <w:r w:rsidR="00D13992">
        <w:t xml:space="preserve"> especially during average and lower harvest years, and during non-peak times of the year. Given this</w:t>
      </w:r>
      <w:r w:rsidR="005C7695">
        <w:t>,</w:t>
      </w:r>
      <w:r w:rsidR="00D13992">
        <w:t xml:space="preserve"> GrainCorp would be</w:t>
      </w:r>
      <w:r w:rsidR="00147C71">
        <w:t xml:space="preserve"> likely to be</w:t>
      </w:r>
      <w:r w:rsidR="00D13992">
        <w:t xml:space="preserve"> incentivised to increase throughput at its Portland terminal during these times. </w:t>
      </w:r>
    </w:p>
    <w:p w:rsidR="00022C00" w:rsidRDefault="00022C00" w:rsidP="00022C00">
      <w:pPr>
        <w:pStyle w:val="ListParagraph"/>
        <w:numPr>
          <w:ilvl w:val="0"/>
          <w:numId w:val="15"/>
        </w:numPr>
        <w:contextualSpacing w:val="0"/>
      </w:pPr>
      <w:r>
        <w:t xml:space="preserve">During peak times, where there appear to be some capacity constraints at Portland, GrainCorp may have an incentive to favour itself. On the other hand, it may be inclined to facilitate third party access as it currently does. GrainCorp’s third party customer base </w:t>
      </w:r>
      <w:r w:rsidR="002B774D">
        <w:t xml:space="preserve">consists of a number of companies which together </w:t>
      </w:r>
      <w:r>
        <w:t xml:space="preserve">represent around </w:t>
      </w:r>
      <w:r w:rsidRPr="00F2549B">
        <w:t xml:space="preserve">80 per cent </w:t>
      </w:r>
      <w:r w:rsidRPr="007D7D22">
        <w:t>of total throughput,</w:t>
      </w:r>
      <w:r>
        <w:t xml:space="preserve"> both during peak and non-peak times. Based on this current reliance on third party customers to provide throughput, GrainCorp may be unlikely to choose to foreclose third party access and settle for significantly less throughput at its terminal, or to make up such a significant degree of throughput through its own grain network.</w:t>
      </w:r>
    </w:p>
    <w:p w:rsidR="006F3714" w:rsidRDefault="006F3714" w:rsidP="006F3714">
      <w:pPr>
        <w:pStyle w:val="ListParagraph"/>
        <w:numPr>
          <w:ilvl w:val="0"/>
          <w:numId w:val="15"/>
        </w:numPr>
        <w:contextualSpacing w:val="0"/>
      </w:pPr>
      <w:r>
        <w:t xml:space="preserve">GrainCorp’s largest customers (Glencore, Cargill and ADM) represent a significant proportion of throughput at the </w:t>
      </w:r>
      <w:r w:rsidR="007704B0">
        <w:t xml:space="preserve">Portland </w:t>
      </w:r>
      <w:r>
        <w:t>facility suggesting that</w:t>
      </w:r>
      <w:r w:rsidR="0044230C">
        <w:t xml:space="preserve">, should GrainCorp wish to maintain their respective throughput, </w:t>
      </w:r>
      <w:r>
        <w:t>the</w:t>
      </w:r>
      <w:r w:rsidR="0044230C">
        <w:t xml:space="preserve">se customers should </w:t>
      </w:r>
      <w:r>
        <w:t xml:space="preserve">have </w:t>
      </w:r>
      <w:r w:rsidR="0044230C">
        <w:t xml:space="preserve">the </w:t>
      </w:r>
      <w:r>
        <w:t xml:space="preserve">ability to negotiate with GrainCorp for access to </w:t>
      </w:r>
      <w:r w:rsidR="0044230C">
        <w:t xml:space="preserve">sufficient </w:t>
      </w:r>
      <w:r>
        <w:t>port capacity.</w:t>
      </w:r>
      <w:r w:rsidR="00CB3502" w:rsidRPr="00CB3502">
        <w:t xml:space="preserve"> </w:t>
      </w:r>
      <w:r w:rsidR="00CB3502">
        <w:t>Other exporters who have larger resources to potentially build their own port facility may also have better bargaining power.</w:t>
      </w:r>
    </w:p>
    <w:p w:rsidR="006F3714" w:rsidRDefault="006F3714" w:rsidP="006F3714">
      <w:pPr>
        <w:pStyle w:val="ListParagraph"/>
        <w:numPr>
          <w:ilvl w:val="0"/>
          <w:numId w:val="15"/>
        </w:numPr>
        <w:contextualSpacing w:val="0"/>
      </w:pPr>
      <w:r>
        <w:t xml:space="preserve">Smaller exporters would appear able to </w:t>
      </w:r>
      <w:r w:rsidR="00CB3502">
        <w:t xml:space="preserve">be able </w:t>
      </w:r>
      <w:r>
        <w:t xml:space="preserve">access </w:t>
      </w:r>
      <w:r w:rsidR="00CB3502">
        <w:t xml:space="preserve">spare </w:t>
      </w:r>
      <w:r>
        <w:t xml:space="preserve">capacity </w:t>
      </w:r>
      <w:r w:rsidR="00CB3502">
        <w:t xml:space="preserve">at least </w:t>
      </w:r>
      <w:r>
        <w:t xml:space="preserve">during non-peak times. </w:t>
      </w:r>
      <w:r w:rsidR="004D059A">
        <w:t xml:space="preserve">During peak times, it is possible that some </w:t>
      </w:r>
      <w:r>
        <w:t>smaller exports may</w:t>
      </w:r>
      <w:r w:rsidR="004D059A">
        <w:t xml:space="preserve"> </w:t>
      </w:r>
      <w:r>
        <w:t xml:space="preserve">face difficulties in accessing highly demanded peak shipping slots, especially in a large harvest year. </w:t>
      </w:r>
      <w:r w:rsidR="004A16A8">
        <w:t>If GrainCorp could increase grain through its networks to the Portland terminal, it would seem likely that these smaller exporters would be the most vulnerable in terms of gaining access to sufficient capacity</w:t>
      </w:r>
      <w:r>
        <w:t>.</w:t>
      </w:r>
    </w:p>
    <w:p w:rsidR="00022C00" w:rsidRDefault="00022C00" w:rsidP="00022C00">
      <w:pPr>
        <w:pStyle w:val="ListParagraph"/>
        <w:numPr>
          <w:ilvl w:val="0"/>
          <w:numId w:val="15"/>
        </w:numPr>
        <w:contextualSpacing w:val="0"/>
      </w:pPr>
      <w:r>
        <w:t xml:space="preserve">Given the need for GrainCorp to secure some throughput from other marketers, GrainCorp would not likely foreclose access to its facility. However, given </w:t>
      </w:r>
      <w:r w:rsidRPr="002E1C36">
        <w:t xml:space="preserve">the lack of a clear substitute port which could service a </w:t>
      </w:r>
      <w:r>
        <w:t xml:space="preserve">significant number of </w:t>
      </w:r>
      <w:r w:rsidRPr="002E1C36">
        <w:t>marketer</w:t>
      </w:r>
      <w:r>
        <w:t>s</w:t>
      </w:r>
      <w:r w:rsidRPr="002E1C36">
        <w:t xml:space="preserve"> from the same area that services Portland</w:t>
      </w:r>
      <w:r>
        <w:t xml:space="preserve">, GrainCorp may however have an incentive to alter the terms and conditions of access for third party exporters to maximise profits. </w:t>
      </w:r>
    </w:p>
    <w:p w:rsidR="006F3714" w:rsidRDefault="00022C00" w:rsidP="006F3714">
      <w:r>
        <w:t>Based on the factors outlined above, the</w:t>
      </w:r>
      <w:r w:rsidRPr="003A1139">
        <w:t xml:space="preserve"> ACCC</w:t>
      </w:r>
      <w:r>
        <w:t>’s</w:t>
      </w:r>
      <w:r w:rsidRPr="003A1139">
        <w:t xml:space="preserve"> </w:t>
      </w:r>
      <w:r>
        <w:t xml:space="preserve">preliminary view is that </w:t>
      </w:r>
      <w:r w:rsidRPr="003A1139">
        <w:t xml:space="preserve">granting the exemption </w:t>
      </w:r>
      <w:r>
        <w:t xml:space="preserve">may lead to some risk of </w:t>
      </w:r>
      <w:r w:rsidRPr="003A1139">
        <w:t xml:space="preserve">detriment to the interests of exporters requiring access to </w:t>
      </w:r>
      <w:r>
        <w:t xml:space="preserve">GrainCorp’s Portland port terminal. In particular, there may be risks that GrainCorp could alter the terms and conditions of access with some exporters not having an alternative </w:t>
      </w:r>
      <w:r>
        <w:lastRenderedPageBreak/>
        <w:t xml:space="preserve">pathway for export. However, the ACCC notes that there are </w:t>
      </w:r>
      <w:r w:rsidR="00434874">
        <w:t xml:space="preserve">some </w:t>
      </w:r>
      <w:r>
        <w:t>incentives on GrainCorp to keep obtaining throughput for its facility.</w:t>
      </w:r>
    </w:p>
    <w:p w:rsidR="00C261AF" w:rsidRDefault="00C261AF" w:rsidP="00C261AF">
      <w:pPr>
        <w:pStyle w:val="Heading4"/>
        <w:numPr>
          <w:ilvl w:val="0"/>
          <w:numId w:val="0"/>
        </w:numPr>
        <w:tabs>
          <w:tab w:val="left" w:pos="0"/>
        </w:tabs>
      </w:pPr>
      <w:r>
        <w:t xml:space="preserve">(e) </w:t>
      </w:r>
      <w:r w:rsidRPr="00A55B3E">
        <w:t xml:space="preserve">the promotion of the economically efficient operation and use </w:t>
      </w:r>
      <w:r>
        <w:t xml:space="preserve">of the port </w:t>
      </w:r>
      <w:r w:rsidRPr="00A55B3E">
        <w:t>terminal facility</w:t>
      </w:r>
      <w:r>
        <w:t xml:space="preserve">; (f) </w:t>
      </w:r>
      <w:r w:rsidRPr="00FF6631">
        <w:t>the promotion of efficient investment in port terminal facilities</w:t>
      </w:r>
    </w:p>
    <w:p w:rsidR="00D66B9F" w:rsidRDefault="00482B6A" w:rsidP="002E1C36">
      <w:r>
        <w:t>A</w:t>
      </w:r>
      <w:r w:rsidRPr="002E1C36">
        <w:t xml:space="preserve">s outlined under </w:t>
      </w:r>
      <w:r w:rsidR="00F83389">
        <w:t xml:space="preserve">the discussion of </w:t>
      </w:r>
      <w:r w:rsidRPr="002E1C36">
        <w:t>subclauses (b) and (g)</w:t>
      </w:r>
      <w:r>
        <w:t xml:space="preserve"> </w:t>
      </w:r>
      <w:r w:rsidR="00F83389">
        <w:t>above</w:t>
      </w:r>
      <w:r w:rsidR="00137EE9">
        <w:t>,</w:t>
      </w:r>
      <w:r w:rsidR="00F83389">
        <w:t xml:space="preserve"> </w:t>
      </w:r>
      <w:r>
        <w:t>t</w:t>
      </w:r>
      <w:r w:rsidR="00D66B9F" w:rsidRPr="002E1C36">
        <w:t xml:space="preserve">he ACCC’s preliminary view is that </w:t>
      </w:r>
      <w:r w:rsidR="002E1C36" w:rsidRPr="002E1C36">
        <w:t>it is unclear if sufficient competitive constraint is placed on GrainCorp’s port terminals services at Portland in the absence of a clear competing facility at this time</w:t>
      </w:r>
      <w:r w:rsidR="002E1C36" w:rsidRPr="00482B6A">
        <w:t>. As a result</w:t>
      </w:r>
      <w:r w:rsidR="00EC2884" w:rsidRPr="00482B6A">
        <w:t xml:space="preserve"> </w:t>
      </w:r>
      <w:r w:rsidRPr="00482B6A">
        <w:t>in an environment where there is a lack of competition in key services there</w:t>
      </w:r>
      <w:r>
        <w:t xml:space="preserve"> may be a lack of incentive to invest </w:t>
      </w:r>
      <w:r w:rsidR="00044CE1">
        <w:t xml:space="preserve">to an efficient </w:t>
      </w:r>
      <w:r>
        <w:t>level.</w:t>
      </w:r>
    </w:p>
    <w:p w:rsidR="00D66B9F" w:rsidRDefault="00D66B9F" w:rsidP="00D66B9F">
      <w:r>
        <w:t>As noted under subclause 5(3)(a), GrainCorp submits that granting an exemption to its Portland facility would assist GrainCorp to compete commercially in the bulk and container grain markets and go to reducing supply chain costs.</w:t>
      </w:r>
    </w:p>
    <w:p w:rsidR="00D66B9F" w:rsidRDefault="00C167B3" w:rsidP="00D66B9F">
      <w:r>
        <w:t>As outlined in other assessment</w:t>
      </w:r>
      <w:r w:rsidR="00530A32">
        <w:t>s</w:t>
      </w:r>
      <w:r>
        <w:t xml:space="preserve"> of Victorian port terminals, </w:t>
      </w:r>
      <w:r w:rsidR="00D66B9F">
        <w:t>container</w:t>
      </w:r>
      <w:r w:rsidR="00530A32">
        <w:t>ised</w:t>
      </w:r>
      <w:r w:rsidR="00D66B9F">
        <w:t xml:space="preserve"> </w:t>
      </w:r>
      <w:r w:rsidR="00530A32">
        <w:t xml:space="preserve">grain </w:t>
      </w:r>
      <w:r w:rsidR="00D66B9F">
        <w:t>export</w:t>
      </w:r>
      <w:r w:rsidR="00530A32">
        <w:t>s</w:t>
      </w:r>
      <w:r w:rsidR="00D66B9F">
        <w:t xml:space="preserve"> </w:t>
      </w:r>
      <w:r w:rsidR="00530A32">
        <w:t xml:space="preserve">shipped out of </w:t>
      </w:r>
      <w:r w:rsidR="00D66B9F">
        <w:t xml:space="preserve">Victoria is </w:t>
      </w:r>
      <w:r w:rsidR="00530A32">
        <w:t xml:space="preserve">also place a level of </w:t>
      </w:r>
      <w:r w:rsidR="00D66B9F">
        <w:t>constraint on GrainCorp’s Portland bulk export programme and may have the potential to distort the level of efficient investment in GrainCorp’s bulk wheat infrastructure, if larger quantities of wheat are drawn into container</w:t>
      </w:r>
      <w:r w:rsidR="00530A32">
        <w:t>s</w:t>
      </w:r>
      <w:r w:rsidR="00D66B9F">
        <w:t xml:space="preserve"> </w:t>
      </w:r>
      <w:r w:rsidR="00530A32">
        <w:t>for export</w:t>
      </w:r>
      <w:r w:rsidR="00D66B9F">
        <w:t>. If GrainCorp’s Portland facility was no longer subject to parts 3 to 6 of the Code, but remained subject to parts 1 and 2, it would place the Portland bulk export programme on a more level playing field with container</w:t>
      </w:r>
      <w:r w:rsidR="00530A32">
        <w:t>s</w:t>
      </w:r>
      <w:r w:rsidR="00D66B9F">
        <w:t xml:space="preserve">, as well as domestic </w:t>
      </w:r>
      <w:r w:rsidR="00530A32">
        <w:t>industries</w:t>
      </w:r>
      <w:r w:rsidR="00D66B9F">
        <w:t>, and may promote further efficient investment in bulk wheat facilities.</w:t>
      </w:r>
    </w:p>
    <w:p w:rsidR="00EC2884" w:rsidRDefault="00F33A6E" w:rsidP="00D66B9F">
      <w:r>
        <w:t>The ACCC considers</w:t>
      </w:r>
      <w:r w:rsidR="00FF757C">
        <w:t xml:space="preserve"> that,</w:t>
      </w:r>
      <w:r>
        <w:t xml:space="preserve"> </w:t>
      </w:r>
      <w:r w:rsidR="00FF757C">
        <w:t xml:space="preserve">overall, there may be some incentives to invest and operate an efficient Portland port terminal facility, but that in the absence of a clear competing facility, the level of investment may not </w:t>
      </w:r>
      <w:r w:rsidR="005017BA">
        <w:t xml:space="preserve">reach an efficient </w:t>
      </w:r>
      <w:r w:rsidR="00FF757C">
        <w:t>level</w:t>
      </w:r>
      <w:r w:rsidR="009C1B45">
        <w:t xml:space="preserve"> in the absence of regulation under parts 3 to 6 of the Code</w:t>
      </w:r>
      <w:r w:rsidR="00FF757C">
        <w:t>.</w:t>
      </w:r>
    </w:p>
    <w:p w:rsidR="005217BA" w:rsidRDefault="00C261AF" w:rsidP="00C261AF">
      <w:pPr>
        <w:pStyle w:val="Heading4"/>
        <w:numPr>
          <w:ilvl w:val="0"/>
          <w:numId w:val="0"/>
        </w:numPr>
        <w:tabs>
          <w:tab w:val="left" w:pos="0"/>
        </w:tabs>
      </w:pPr>
      <w:r>
        <w:t xml:space="preserve">(h) </w:t>
      </w:r>
      <w:r w:rsidR="005217BA">
        <w:t>whether the port terminal service provider is an exporter or an associated entity of an exporter</w:t>
      </w:r>
    </w:p>
    <w:p w:rsidR="002E1C36" w:rsidRDefault="002E1C36" w:rsidP="002E1C36">
      <w:r>
        <w:t>This matter refers to the extent of vertical integration and the ability and incentive for a port terminals service provider to favour its own trading arm.</w:t>
      </w:r>
      <w:r w:rsidR="00860C81">
        <w:t xml:space="preserve"> </w:t>
      </w:r>
      <w:r w:rsidR="00860C81" w:rsidRPr="00860C81">
        <w:t xml:space="preserve">The extent to which </w:t>
      </w:r>
      <w:r w:rsidR="00137EE9">
        <w:t xml:space="preserve">a </w:t>
      </w:r>
      <w:r w:rsidR="00860C81" w:rsidRPr="00860C81">
        <w:t xml:space="preserve">vertically integrated operator favours, or is likely to favour its own trading arm will influence the ACCC’s decision on whether it is necessary for the full </w:t>
      </w:r>
      <w:r w:rsidR="00137EE9">
        <w:t>regulation under</w:t>
      </w:r>
      <w:r w:rsidR="00860C81" w:rsidRPr="00860C81">
        <w:t xml:space="preserve"> the Code to apply or whether an exemption should be granted.</w:t>
      </w:r>
    </w:p>
    <w:p w:rsidR="002E1C36" w:rsidRDefault="002E1C36" w:rsidP="002E1C36">
      <w:r>
        <w:t xml:space="preserve">GrainCorp acknowledges that it is </w:t>
      </w:r>
      <w:r w:rsidRPr="00E819FB">
        <w:t xml:space="preserve">vertically integrated as a port </w:t>
      </w:r>
      <w:r>
        <w:t xml:space="preserve">terminal </w:t>
      </w:r>
      <w:r w:rsidRPr="00E819FB">
        <w:t xml:space="preserve">service provider </w:t>
      </w:r>
      <w:r>
        <w:t xml:space="preserve">at its Portland port terminals </w:t>
      </w:r>
      <w:r w:rsidRPr="00E819FB">
        <w:t xml:space="preserve">and an exporter of grain </w:t>
      </w:r>
      <w:r>
        <w:t>through those terminals.</w:t>
      </w:r>
      <w:r>
        <w:rPr>
          <w:rStyle w:val="FootnoteReference"/>
        </w:rPr>
        <w:footnoteReference w:id="130"/>
      </w:r>
    </w:p>
    <w:p w:rsidR="008C4195" w:rsidRDefault="00022C00" w:rsidP="002E1C36">
      <w:r>
        <w:t>The ACCC has taken the level of vertical integration into account when considering subclause 5(3)(c) and (d) matters. While GrainCorp’s vertical integration may create some incentive to favour its own trading arm, in the case of its Portland port terminal, where there is currently a significant reliance on other users of the facility for throughput, it would seem unlikely that GrainCorp would act in a way that would totally exclude access by wheat marketers who are of sufficient scale</w:t>
      </w:r>
      <w:r w:rsidR="00CD7287">
        <w:t>. However</w:t>
      </w:r>
      <w:r>
        <w:t xml:space="preserve">, </w:t>
      </w:r>
      <w:r w:rsidR="00CD7287">
        <w:t xml:space="preserve">in the absence of parts 3 to 6 of the Code applying to GrainCorp’s Portland terminal, GrainCorp </w:t>
      </w:r>
      <w:r w:rsidR="00632E1B">
        <w:t>could</w:t>
      </w:r>
      <w:r>
        <w:t xml:space="preserve"> </w:t>
      </w:r>
      <w:r w:rsidR="00632E1B">
        <w:t xml:space="preserve">more easily </w:t>
      </w:r>
      <w:r>
        <w:t xml:space="preserve">alter the terms and </w:t>
      </w:r>
      <w:r>
        <w:lastRenderedPageBreak/>
        <w:t>conditions of access</w:t>
      </w:r>
      <w:r w:rsidR="00CD7287">
        <w:t xml:space="preserve"> for </w:t>
      </w:r>
      <w:r w:rsidR="00137EE9">
        <w:t xml:space="preserve">some or all </w:t>
      </w:r>
      <w:r w:rsidR="00CD7287">
        <w:t>third party exporters, increase prices or decrease the quality of service</w:t>
      </w:r>
      <w:r>
        <w:t>.</w:t>
      </w:r>
      <w:r w:rsidR="00632E1B">
        <w:t xml:space="preserve"> </w:t>
      </w:r>
    </w:p>
    <w:p w:rsidR="005217BA" w:rsidRDefault="005217BA" w:rsidP="00C261AF">
      <w:pPr>
        <w:pStyle w:val="Heading4"/>
        <w:numPr>
          <w:ilvl w:val="0"/>
          <w:numId w:val="0"/>
        </w:numPr>
        <w:tabs>
          <w:tab w:val="left" w:pos="0"/>
        </w:tabs>
      </w:pPr>
      <w:r>
        <w:t>(</w:t>
      </w:r>
      <w:r w:rsidR="00F54598">
        <w:t>i</w:t>
      </w:r>
      <w:r>
        <w:t>) whether there is already an exempt service provider within the grain catchment area for the port concerned</w:t>
      </w:r>
    </w:p>
    <w:p w:rsidR="008304EB" w:rsidRDefault="008304EB" w:rsidP="008304EB">
      <w:r>
        <w:t>The ACCC discusses the relevant grain catchment area for GrainCorp’s Portland port terminal in chapter 3 as well as in its consideration of subclauses 5(3)(b) and (g). The ACCC considers that the catchment area for GrainCorp’s Portland facility overlap</w:t>
      </w:r>
      <w:r w:rsidR="00137EE9">
        <w:t>s</w:t>
      </w:r>
      <w:r w:rsidR="00B46BEA">
        <w:t xml:space="preserve"> only</w:t>
      </w:r>
      <w:r w:rsidR="00137EE9">
        <w:t xml:space="preserve"> to a limited degree</w:t>
      </w:r>
      <w:r>
        <w:t xml:space="preserve"> with other </w:t>
      </w:r>
      <w:r w:rsidR="00137EE9">
        <w:t xml:space="preserve">existing </w:t>
      </w:r>
      <w:r>
        <w:t xml:space="preserve">port terminals, </w:t>
      </w:r>
      <w:r w:rsidR="00B46BEA">
        <w:t>and</w:t>
      </w:r>
      <w:r>
        <w:t xml:space="preserve"> is </w:t>
      </w:r>
      <w:r w:rsidR="00223AB4">
        <w:t>to a significant extent</w:t>
      </w:r>
      <w:r>
        <w:t xml:space="preserve"> separate from other ports’ catchment areas.</w:t>
      </w:r>
    </w:p>
    <w:p w:rsidR="008304EB" w:rsidRDefault="00B46BEA" w:rsidP="008304EB">
      <w:r>
        <w:t xml:space="preserve">At this time </w:t>
      </w:r>
      <w:r w:rsidR="008304EB">
        <w:t xml:space="preserve">no bulk wheat terminal services provider in the relevant catchment </w:t>
      </w:r>
      <w:r>
        <w:t xml:space="preserve">(even broadly defined) </w:t>
      </w:r>
      <w:r w:rsidR="008304EB">
        <w:t xml:space="preserve">is exempt under the Code. </w:t>
      </w:r>
    </w:p>
    <w:p w:rsidR="008A369B" w:rsidRDefault="008304EB" w:rsidP="008304EB">
      <w:r>
        <w:t xml:space="preserve">The ACCC is in the process of assessing exemption applications for both Emerald’s MPT </w:t>
      </w:r>
      <w:r w:rsidR="008A369B">
        <w:t xml:space="preserve">and </w:t>
      </w:r>
      <w:r>
        <w:t xml:space="preserve">GrainCorp’s Geelong facility. Based on the ACCC’s analysis in chapter 3, both of these terminals’ catchment areas </w:t>
      </w:r>
      <w:r w:rsidR="00813C15">
        <w:t xml:space="preserve">have </w:t>
      </w:r>
      <w:r w:rsidR="008A369B">
        <w:t xml:space="preserve">some </w:t>
      </w:r>
      <w:r w:rsidR="00813C15">
        <w:t>limited</w:t>
      </w:r>
      <w:r>
        <w:t xml:space="preserve"> </w:t>
      </w:r>
      <w:r w:rsidR="00860C81">
        <w:t xml:space="preserve">overlap </w:t>
      </w:r>
      <w:r w:rsidR="008A369B">
        <w:t xml:space="preserve">with </w:t>
      </w:r>
      <w:r>
        <w:t>Portland</w:t>
      </w:r>
      <w:r w:rsidR="00813C15">
        <w:t xml:space="preserve">’s </w:t>
      </w:r>
      <w:r w:rsidR="008A369B">
        <w:t xml:space="preserve">catchment </w:t>
      </w:r>
      <w:r w:rsidR="00813C15">
        <w:t>area.</w:t>
      </w:r>
      <w:r>
        <w:t xml:space="preserve"> </w:t>
      </w:r>
    </w:p>
    <w:p w:rsidR="00B46BEA" w:rsidRPr="00F54598" w:rsidRDefault="008A369B" w:rsidP="008304EB">
      <w:r>
        <w:t>In its preliminary assessments, t</w:t>
      </w:r>
      <w:r w:rsidR="00813C15">
        <w:t xml:space="preserve">he ACCC </w:t>
      </w:r>
      <w:r w:rsidR="008304EB">
        <w:t>is proposing to grant an exemption to Emerald’s MPT</w:t>
      </w:r>
      <w:r w:rsidR="00813C15">
        <w:t xml:space="preserve"> and GrainCorp’s Geelong port terminal</w:t>
      </w:r>
      <w:r>
        <w:t xml:space="preserve"> and </w:t>
      </w:r>
      <w:r w:rsidR="008304EB">
        <w:t>is seeking industry views on its preliminary assessments.</w:t>
      </w:r>
      <w:r>
        <w:t xml:space="preserve"> </w:t>
      </w:r>
      <w:r w:rsidR="008304EB">
        <w:t xml:space="preserve">Should the ACCC make a final determination to exempt </w:t>
      </w:r>
      <w:r w:rsidR="00813C15">
        <w:t>these two port terminals</w:t>
      </w:r>
      <w:r w:rsidR="008304EB">
        <w:t xml:space="preserve">, </w:t>
      </w:r>
      <w:r w:rsidR="00B46BEA">
        <w:t xml:space="preserve">this would still be unlikely to provide support for an exemption of </w:t>
      </w:r>
      <w:r w:rsidR="008304EB">
        <w:t xml:space="preserve">GrainCorp’s </w:t>
      </w:r>
      <w:r>
        <w:t>Portland</w:t>
      </w:r>
      <w:r w:rsidR="008304EB">
        <w:t xml:space="preserve"> </w:t>
      </w:r>
      <w:r>
        <w:t>terminal</w:t>
      </w:r>
      <w:r w:rsidR="00B46BEA">
        <w:t xml:space="preserve"> as it is unclear that they fall within the same grain catchment area</w:t>
      </w:r>
      <w:r>
        <w:t>.</w:t>
      </w:r>
      <w:r w:rsidR="00B46BEA">
        <w:t xml:space="preserve"> </w:t>
      </w:r>
    </w:p>
    <w:p w:rsidR="00F54598" w:rsidRDefault="00F54598" w:rsidP="00F54598">
      <w:pPr>
        <w:pStyle w:val="Heading4"/>
        <w:numPr>
          <w:ilvl w:val="0"/>
          <w:numId w:val="0"/>
        </w:numPr>
        <w:tabs>
          <w:tab w:val="left" w:pos="0"/>
        </w:tabs>
        <w:spacing w:before="360"/>
      </w:pPr>
      <w:r>
        <w:t>(j) any other matters the ACCC considers relevant</w:t>
      </w:r>
    </w:p>
    <w:p w:rsidR="00F54598" w:rsidRDefault="00F54598" w:rsidP="00F54598">
      <w:r>
        <w:t>The ACCC does not consider that there are any other matters relevant to its preliminary assessment of GrainCorp’s Portland port terminal.</w:t>
      </w:r>
    </w:p>
    <w:p w:rsidR="005217BA" w:rsidRDefault="005217BA">
      <w:pPr>
        <w:spacing w:before="0" w:after="200" w:line="276" w:lineRule="auto"/>
        <w:rPr>
          <w:rFonts w:ascii="Lucida Fax" w:eastAsiaTheme="majorEastAsia" w:hAnsi="Lucida Fax" w:cstheme="majorBidi"/>
          <w:bCs/>
          <w:color w:val="51626F"/>
          <w:sz w:val="32"/>
          <w:szCs w:val="28"/>
        </w:rPr>
      </w:pPr>
      <w:r>
        <w:br w:type="page"/>
      </w:r>
    </w:p>
    <w:p w:rsidR="004828A6" w:rsidRPr="00310CE3" w:rsidRDefault="00D82098" w:rsidP="002E0669">
      <w:pPr>
        <w:pStyle w:val="Heading1"/>
      </w:pPr>
      <w:bookmarkStart w:id="81" w:name="_Toc416360500"/>
      <w:r>
        <w:lastRenderedPageBreak/>
        <w:t>ACCC</w:t>
      </w:r>
      <w:r w:rsidR="001D2BB3">
        <w:t>’s</w:t>
      </w:r>
      <w:r>
        <w:t xml:space="preserve"> </w:t>
      </w:r>
      <w:r w:rsidR="00B00587">
        <w:t xml:space="preserve">draft </w:t>
      </w:r>
      <w:r>
        <w:t>d</w:t>
      </w:r>
      <w:r w:rsidR="000E1CC4">
        <w:t>etermination</w:t>
      </w:r>
      <w:bookmarkEnd w:id="74"/>
      <w:bookmarkEnd w:id="75"/>
      <w:bookmarkEnd w:id="76"/>
      <w:bookmarkEnd w:id="77"/>
      <w:bookmarkEnd w:id="78"/>
      <w:r w:rsidR="00BA477D">
        <w:t>s</w:t>
      </w:r>
      <w:bookmarkEnd w:id="81"/>
    </w:p>
    <w:p w:rsidR="00B84325" w:rsidRPr="007D7D22" w:rsidRDefault="00093A21" w:rsidP="007D7D22">
      <w:r w:rsidRPr="007D7D22">
        <w:t>Given</w:t>
      </w:r>
      <w:r w:rsidR="006E5A40" w:rsidRPr="007D7D22">
        <w:t xml:space="preserve"> the above assessment</w:t>
      </w:r>
      <w:r w:rsidR="00B43C63" w:rsidRPr="007D7D22">
        <w:t>s</w:t>
      </w:r>
      <w:r w:rsidR="006E5A40" w:rsidRPr="007D7D22">
        <w:t xml:space="preserve"> of subclause 5(3) matters, the ACCC has </w:t>
      </w:r>
      <w:r w:rsidR="005217BA" w:rsidRPr="007D7D22">
        <w:t>made</w:t>
      </w:r>
      <w:r w:rsidR="00B00587" w:rsidRPr="007D7D22">
        <w:t xml:space="preserve"> </w:t>
      </w:r>
      <w:r w:rsidR="00B84325" w:rsidRPr="007D7D22">
        <w:t xml:space="preserve">the following </w:t>
      </w:r>
      <w:r w:rsidR="00B00587" w:rsidRPr="007D7D22">
        <w:t>draft determination</w:t>
      </w:r>
      <w:r w:rsidR="005217BA" w:rsidRPr="007D7D22">
        <w:t>s</w:t>
      </w:r>
      <w:r w:rsidR="00B84325" w:rsidRPr="007D7D22">
        <w:t>.</w:t>
      </w:r>
    </w:p>
    <w:p w:rsidR="00B84325" w:rsidRPr="007D7D22" w:rsidRDefault="00B84325" w:rsidP="007D7D22">
      <w:pPr>
        <w:rPr>
          <w:i/>
        </w:rPr>
      </w:pPr>
      <w:r w:rsidRPr="007D7D22">
        <w:rPr>
          <w:i/>
        </w:rPr>
        <w:t>Emerald’s Melbourne Port Terminal</w:t>
      </w:r>
    </w:p>
    <w:p w:rsidR="00B84325" w:rsidRPr="003B07B5" w:rsidRDefault="00066D9C" w:rsidP="007D7D22">
      <w:r w:rsidRPr="007D7D22">
        <w:t xml:space="preserve">The ACCC’s draft determination is </w:t>
      </w:r>
      <w:r w:rsidR="00B84325" w:rsidRPr="007D7D22">
        <w:t xml:space="preserve">that </w:t>
      </w:r>
      <w:r w:rsidRPr="007D7D22">
        <w:t xml:space="preserve">Emerald is an </w:t>
      </w:r>
      <w:r w:rsidR="00B84325" w:rsidRPr="007D7D22">
        <w:t xml:space="preserve">exempt service provider of port terminal services provided by means of </w:t>
      </w:r>
      <w:r w:rsidRPr="007D7D22">
        <w:t xml:space="preserve">its </w:t>
      </w:r>
      <w:r w:rsidR="007C129D">
        <w:t>MPT</w:t>
      </w:r>
      <w:r w:rsidRPr="007D7D22">
        <w:t xml:space="preserve"> facility</w:t>
      </w:r>
      <w:r w:rsidR="00B84325" w:rsidRPr="007D7D22">
        <w:t>.</w:t>
      </w:r>
    </w:p>
    <w:p w:rsidR="00B84325" w:rsidRPr="007D7D22" w:rsidRDefault="00B84325" w:rsidP="007D7D22">
      <w:pPr>
        <w:rPr>
          <w:i/>
        </w:rPr>
      </w:pPr>
      <w:r w:rsidRPr="007D7D22">
        <w:rPr>
          <w:i/>
        </w:rPr>
        <w:t>GrainCorp’s Geelong port terminal</w:t>
      </w:r>
    </w:p>
    <w:p w:rsidR="00066D9C" w:rsidRPr="003B07B5" w:rsidRDefault="00066D9C" w:rsidP="007D7D22">
      <w:r w:rsidRPr="007D7D22">
        <w:t>The ACCC’s draft determination is that GrainCorp is an exempt service provider of port terminal services provided by means of its Geelong port terminal facility.</w:t>
      </w:r>
    </w:p>
    <w:p w:rsidR="00B84325" w:rsidRPr="003B07B5" w:rsidRDefault="00B84325" w:rsidP="007D7D22">
      <w:pPr>
        <w:rPr>
          <w:i/>
        </w:rPr>
      </w:pPr>
      <w:r w:rsidRPr="003B07B5">
        <w:rPr>
          <w:i/>
        </w:rPr>
        <w:t>GrainCorp’s Portland port terminal</w:t>
      </w:r>
    </w:p>
    <w:p w:rsidR="00066D9C" w:rsidRPr="003B07B5" w:rsidRDefault="00066D9C" w:rsidP="007D7D22">
      <w:r w:rsidRPr="003B07B5">
        <w:t xml:space="preserve">The ACCC’s draft determination is that GrainCorp is not an exempt service provider of port terminal services provided by means of its </w:t>
      </w:r>
      <w:r w:rsidR="003B07B5">
        <w:t>Portland port terminal</w:t>
      </w:r>
      <w:r w:rsidRPr="003B07B5">
        <w:t xml:space="preserve"> facility.</w:t>
      </w:r>
    </w:p>
    <w:p w:rsidR="00066D9C" w:rsidRDefault="00066D9C" w:rsidP="007D7D22">
      <w:pPr>
        <w:rPr>
          <w:highlight w:val="yellow"/>
        </w:rPr>
      </w:pPr>
      <w:r>
        <w:t>The</w:t>
      </w:r>
      <w:r w:rsidRPr="00066D9C">
        <w:t xml:space="preserve"> ACCC may, in the future, consider whether </w:t>
      </w:r>
      <w:r>
        <w:t>other port terminal service providers operating in Victoria s</w:t>
      </w:r>
      <w:r w:rsidRPr="00066D9C">
        <w:t xml:space="preserve">hould </w:t>
      </w:r>
      <w:r>
        <w:t>be granted an exemption</w:t>
      </w:r>
      <w:r w:rsidRPr="00066D9C">
        <w:t xml:space="preserve">. </w:t>
      </w:r>
      <w:r>
        <w:t xml:space="preserve">For example, the ACCC may consider an exemption for Bunge’s proposed Geelong port terminal facility in the event that it becomes operational. The ACCC may also decide to re-examine its determination not to exempt GrainCorp at its Portland port terminal facility if </w:t>
      </w:r>
      <w:r w:rsidR="003B07B5">
        <w:t xml:space="preserve">relevant </w:t>
      </w:r>
      <w:r>
        <w:t>circumstances change</w:t>
      </w:r>
      <w:r w:rsidR="003B07B5">
        <w:t xml:space="preserve"> (for example, if a competing port terminal facility were developed at Portland)</w:t>
      </w:r>
      <w:r>
        <w:t xml:space="preserve">. </w:t>
      </w:r>
      <w:r w:rsidR="001A7E53">
        <w:t>The ACCC also has the power under the Code to revoke an exemption once granted.</w:t>
      </w:r>
      <w:r>
        <w:t xml:space="preserve"> </w:t>
      </w:r>
    </w:p>
    <w:p w:rsidR="00B84325" w:rsidRDefault="00B84325">
      <w:pPr>
        <w:pStyle w:val="Numberedlist"/>
        <w:numPr>
          <w:ilvl w:val="0"/>
          <w:numId w:val="0"/>
        </w:numPr>
      </w:pPr>
    </w:p>
    <w:sectPr w:rsidR="00B84325" w:rsidSect="00702C3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1338" w:rsidRDefault="00241338" w:rsidP="0084416C">
      <w:pPr>
        <w:spacing w:before="0"/>
      </w:pPr>
      <w:r>
        <w:separator/>
      </w:r>
    </w:p>
  </w:endnote>
  <w:endnote w:type="continuationSeparator" w:id="0">
    <w:p w:rsidR="00241338" w:rsidRDefault="00241338" w:rsidP="0084416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Fax">
    <w:panose1 w:val="0206060205050502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EAC" w:rsidRDefault="008F4E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617585"/>
      <w:docPartObj>
        <w:docPartGallery w:val="Page Numbers (Bottom of Page)"/>
        <w:docPartUnique/>
      </w:docPartObj>
    </w:sdtPr>
    <w:sdtEndPr>
      <w:rPr>
        <w:noProof/>
      </w:rPr>
    </w:sdtEndPr>
    <w:sdtContent>
      <w:p w:rsidR="00241338" w:rsidRDefault="00241338" w:rsidP="00A77DDA">
        <w:pPr>
          <w:pStyle w:val="Footer"/>
          <w:jc w:val="center"/>
        </w:pPr>
        <w:r>
          <w:fldChar w:fldCharType="begin"/>
        </w:r>
        <w:r>
          <w:instrText xml:space="preserve"> PAGE   \* MERGEFORMAT </w:instrText>
        </w:r>
        <w:r>
          <w:fldChar w:fldCharType="separate"/>
        </w:r>
        <w:r w:rsidR="008F4EAC">
          <w:rPr>
            <w:noProof/>
          </w:rPr>
          <w:t>3</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EAC" w:rsidRDefault="008F4E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1338" w:rsidRDefault="00241338" w:rsidP="0084416C">
      <w:pPr>
        <w:spacing w:before="0"/>
      </w:pPr>
      <w:r>
        <w:separator/>
      </w:r>
    </w:p>
  </w:footnote>
  <w:footnote w:type="continuationSeparator" w:id="0">
    <w:p w:rsidR="00241338" w:rsidRDefault="00241338" w:rsidP="0084416C">
      <w:pPr>
        <w:spacing w:before="0"/>
      </w:pPr>
      <w:r>
        <w:continuationSeparator/>
      </w:r>
    </w:p>
  </w:footnote>
  <w:footnote w:id="1">
    <w:p w:rsidR="00241338" w:rsidRDefault="00241338" w:rsidP="008339F4">
      <w:pPr>
        <w:pStyle w:val="FootnoteText"/>
      </w:pPr>
      <w:r>
        <w:rPr>
          <w:rStyle w:val="FootnoteReference"/>
        </w:rPr>
        <w:footnoteRef/>
      </w:r>
      <w:r>
        <w:t xml:space="preserve"> </w:t>
      </w:r>
      <w:r w:rsidRPr="00F8458F">
        <w:t xml:space="preserve">Clause </w:t>
      </w:r>
      <w:r>
        <w:t>1(</w:t>
      </w:r>
      <w:r w:rsidRPr="00F8458F">
        <w:t>2</w:t>
      </w:r>
      <w:r>
        <w:t>)</w:t>
      </w:r>
      <w:r w:rsidRPr="00F8458F">
        <w:t xml:space="preserve"> of the Code</w:t>
      </w:r>
    </w:p>
  </w:footnote>
  <w:footnote w:id="2">
    <w:p w:rsidR="00241338" w:rsidRDefault="00241338" w:rsidP="008339F4">
      <w:pPr>
        <w:pStyle w:val="FootnoteText"/>
      </w:pPr>
      <w:r>
        <w:rPr>
          <w:rStyle w:val="FootnoteReference"/>
        </w:rPr>
        <w:footnoteRef/>
      </w:r>
      <w:r>
        <w:t xml:space="preserve"> </w:t>
      </w:r>
      <w:r w:rsidRPr="00F8458F">
        <w:t xml:space="preserve">ACCC, </w:t>
      </w:r>
      <w:r w:rsidRPr="0057743D">
        <w:rPr>
          <w:i/>
        </w:rPr>
        <w:t>Determination: Exemption in respect of GrainCorp’s Carrington (Newcastle) Port Terminal Facility</w:t>
      </w:r>
      <w:r w:rsidRPr="00F8458F">
        <w:t>, 1 October 2014</w:t>
      </w:r>
    </w:p>
  </w:footnote>
  <w:footnote w:id="3">
    <w:p w:rsidR="00241338" w:rsidRDefault="00241338" w:rsidP="008E3DC7">
      <w:pPr>
        <w:pStyle w:val="FootnoteText"/>
        <w:spacing w:after="0"/>
      </w:pPr>
      <w:r>
        <w:rPr>
          <w:rStyle w:val="FootnoteReference"/>
        </w:rPr>
        <w:footnoteRef/>
      </w:r>
      <w:r>
        <w:t xml:space="preserve"> </w:t>
      </w:r>
      <w:r w:rsidRPr="00F8458F">
        <w:t xml:space="preserve">ACCC, </w:t>
      </w:r>
      <w:r w:rsidRPr="0057743D">
        <w:rPr>
          <w:i/>
        </w:rPr>
        <w:t>Decision to accept: GrainCorp Operations Limited’s Application to Vary the 2011 Port Terminal Services Access Undertaking</w:t>
      </w:r>
      <w:r w:rsidRPr="00F8458F">
        <w:t>, 18 June 2014</w:t>
      </w:r>
    </w:p>
  </w:footnote>
  <w:footnote w:id="4">
    <w:p w:rsidR="00241338" w:rsidRDefault="00241338" w:rsidP="008E3DC7">
      <w:pPr>
        <w:pStyle w:val="FootnoteText"/>
        <w:spacing w:after="0"/>
      </w:pPr>
      <w:r>
        <w:rPr>
          <w:rStyle w:val="FootnoteReference"/>
        </w:rPr>
        <w:footnoteRef/>
      </w:r>
      <w:r>
        <w:t xml:space="preserve"> </w:t>
      </w:r>
      <w:r w:rsidRPr="00F8458F">
        <w:t xml:space="preserve">GrainCorp’s bulk wheat port terminal facilities located Port Kembla, Brisbane, Gladstone and Mackay are also currently subject to </w:t>
      </w:r>
      <w:r>
        <w:t xml:space="preserve">Parts 1 to 6 of </w:t>
      </w:r>
      <w:r w:rsidRPr="00F8458F">
        <w:t xml:space="preserve">the Code. GrainCorp’s Carrington </w:t>
      </w:r>
      <w:r>
        <w:t xml:space="preserve">(Newcastle) </w:t>
      </w:r>
      <w:r w:rsidRPr="00F8458F">
        <w:t>terminal has been exempted and is subject only to Parts 1 and 2 of the Code.</w:t>
      </w:r>
    </w:p>
  </w:footnote>
  <w:footnote w:id="5">
    <w:p w:rsidR="00241338" w:rsidRDefault="00241338" w:rsidP="008339F4">
      <w:pPr>
        <w:pStyle w:val="FootnoteText"/>
      </w:pPr>
      <w:r>
        <w:rPr>
          <w:rStyle w:val="FootnoteReference"/>
        </w:rPr>
        <w:footnoteRef/>
      </w:r>
      <w:r>
        <w:t xml:space="preserve"> </w:t>
      </w:r>
      <w:r w:rsidRPr="00A86490">
        <w:t>As GrainCorp had an access undertaking regarding its Geelong and Portland facilities in place immediately before the Code commenced, the transitional arrangements outlined in clause 4(6) of the Code do not apply these facilities.</w:t>
      </w:r>
      <w:r>
        <w:t xml:space="preserve"> </w:t>
      </w:r>
      <w:r w:rsidRPr="00F8458F">
        <w:t xml:space="preserve">Clause 4(6) of the Code specifies that the Code does not apply until 1 October 2015 to those operators who were providing services before the Code commenced </w:t>
      </w:r>
      <w:r>
        <w:t xml:space="preserve"> there was no undertaking in force in relation to those services provided by means of that facility. </w:t>
      </w:r>
    </w:p>
  </w:footnote>
  <w:footnote w:id="6">
    <w:p w:rsidR="00241338" w:rsidRDefault="00241338" w:rsidP="008E3DC7">
      <w:pPr>
        <w:pStyle w:val="FootnoteText"/>
        <w:spacing w:after="0"/>
      </w:pPr>
      <w:r>
        <w:rPr>
          <w:rStyle w:val="FootnoteReference"/>
        </w:rPr>
        <w:footnoteRef/>
      </w:r>
      <w:r>
        <w:t xml:space="preserve"> </w:t>
      </w:r>
      <w:r w:rsidRPr="00F8458F">
        <w:t>GrainCorp, Submission in support, p. 3</w:t>
      </w:r>
    </w:p>
  </w:footnote>
  <w:footnote w:id="7">
    <w:p w:rsidR="00241338" w:rsidRDefault="00241338" w:rsidP="008339F4">
      <w:pPr>
        <w:pStyle w:val="FootnoteText"/>
      </w:pPr>
      <w:r>
        <w:rPr>
          <w:rStyle w:val="FootnoteReference"/>
        </w:rPr>
        <w:footnoteRef/>
      </w:r>
      <w:r>
        <w:t xml:space="preserve"> T</w:t>
      </w:r>
      <w:r w:rsidRPr="000947F6">
        <w:t>he transitional arrangements under clause 4(6) of the Code do not apply to Emerald</w:t>
      </w:r>
      <w:r>
        <w:t xml:space="preserve"> in respect of port terminal services provided at its </w:t>
      </w:r>
      <w:r w:rsidRPr="000947F6">
        <w:t>MPT</w:t>
      </w:r>
      <w:r>
        <w:t xml:space="preserve"> facility as there was an undertaking in force in relation to these services immediately before 30 September 2014,</w:t>
      </w:r>
    </w:p>
  </w:footnote>
  <w:footnote w:id="8">
    <w:p w:rsidR="00241338" w:rsidRDefault="00241338" w:rsidP="008339F4">
      <w:pPr>
        <w:pStyle w:val="FootnoteText"/>
      </w:pPr>
      <w:r>
        <w:rPr>
          <w:rStyle w:val="FootnoteReference"/>
        </w:rPr>
        <w:footnoteRef/>
      </w:r>
      <w:r>
        <w:t xml:space="preserve"> </w:t>
      </w:r>
      <w:r w:rsidRPr="00F8458F">
        <w:t>Emerald Grain, Submission in support, p. 3</w:t>
      </w:r>
    </w:p>
  </w:footnote>
  <w:footnote w:id="9">
    <w:p w:rsidR="00241338" w:rsidRDefault="00241338" w:rsidP="00761EE7">
      <w:pPr>
        <w:pStyle w:val="FootnoteText"/>
        <w:spacing w:after="0"/>
      </w:pPr>
      <w:r>
        <w:rPr>
          <w:rStyle w:val="FootnoteReference"/>
        </w:rPr>
        <w:footnoteRef/>
      </w:r>
      <w:r>
        <w:t xml:space="preserve"> Bunge ‘New Grain Export Terminal for Geelong’, accessed at </w:t>
      </w:r>
      <w:hyperlink r:id="rId1" w:history="1">
        <w:r w:rsidRPr="001E4F9D">
          <w:rPr>
            <w:rStyle w:val="Hyperlink"/>
            <w:sz w:val="20"/>
          </w:rPr>
          <w:t>http://www.bunge.com.au/news/39-new-grain-export-terminal-for-geelong</w:t>
        </w:r>
      </w:hyperlink>
      <w:r>
        <w:t xml:space="preserve"> on 3 March 2015. </w:t>
      </w:r>
    </w:p>
  </w:footnote>
  <w:footnote w:id="10">
    <w:p w:rsidR="00241338" w:rsidRDefault="00241338" w:rsidP="00761EE7">
      <w:pPr>
        <w:pStyle w:val="FootnoteText"/>
        <w:spacing w:after="0"/>
      </w:pPr>
      <w:r>
        <w:rPr>
          <w:rStyle w:val="FootnoteReference"/>
        </w:rPr>
        <w:footnoteRef/>
      </w:r>
      <w:r>
        <w:t xml:space="preserve"> Bill Meldrum, ‘Port keen to expand: Inquiry into developing further grains facilities’, </w:t>
      </w:r>
      <w:r w:rsidRPr="00DA05A9">
        <w:rPr>
          <w:i/>
        </w:rPr>
        <w:t>Portland Observer</w:t>
      </w:r>
      <w:r>
        <w:t xml:space="preserve">, 11 April 2014, accessed at </w:t>
      </w:r>
      <w:hyperlink r:id="rId2" w:history="1">
        <w:r w:rsidRPr="00E96F23">
          <w:rPr>
            <w:rStyle w:val="Hyperlink"/>
            <w:sz w:val="20"/>
          </w:rPr>
          <w:t>http://www.parliament.vic.gov.au/images/stories/committees/rrc/IEGS/Media/20140411.Portland_Observer.Port_keen_to_expand.pdf</w:t>
        </w:r>
      </w:hyperlink>
      <w:r>
        <w:t xml:space="preserve"> on 3 March 2015. </w:t>
      </w:r>
    </w:p>
  </w:footnote>
  <w:footnote w:id="11">
    <w:p w:rsidR="00241338" w:rsidRDefault="00241338" w:rsidP="00761EE7">
      <w:pPr>
        <w:pStyle w:val="FootnoteText"/>
        <w:spacing w:after="0"/>
      </w:pPr>
      <w:r>
        <w:rPr>
          <w:rStyle w:val="FootnoteReference"/>
        </w:rPr>
        <w:footnoteRef/>
      </w:r>
      <w:r>
        <w:t xml:space="preserve"> GrainCorp, Submission in support, p. 13. </w:t>
      </w:r>
    </w:p>
  </w:footnote>
  <w:footnote w:id="12">
    <w:p w:rsidR="00241338" w:rsidRDefault="00241338" w:rsidP="00761EE7">
      <w:pPr>
        <w:pStyle w:val="FootnoteText"/>
        <w:spacing w:after="0"/>
      </w:pPr>
      <w:r>
        <w:rPr>
          <w:rStyle w:val="FootnoteReference"/>
        </w:rPr>
        <w:footnoteRef/>
      </w:r>
      <w:r>
        <w:t xml:space="preserve"> Excluding Portland given the limited available information about proposed capacity. </w:t>
      </w:r>
    </w:p>
  </w:footnote>
  <w:footnote w:id="13">
    <w:p w:rsidR="00241338" w:rsidRDefault="00241338" w:rsidP="00A46D1F">
      <w:pPr>
        <w:pStyle w:val="FootnoteText"/>
      </w:pPr>
      <w:r>
        <w:rPr>
          <w:rStyle w:val="FootnoteReference"/>
        </w:rPr>
        <w:footnoteRef/>
      </w:r>
      <w:r>
        <w:t xml:space="preserve"> GrainCorp, submission pp. 10-11. </w:t>
      </w:r>
    </w:p>
  </w:footnote>
  <w:footnote w:id="14">
    <w:p w:rsidR="00241338" w:rsidRDefault="00241338" w:rsidP="0014025D">
      <w:pPr>
        <w:pStyle w:val="FootnoteText"/>
        <w:spacing w:after="0"/>
      </w:pPr>
      <w:r>
        <w:rPr>
          <w:rStyle w:val="FootnoteReference"/>
        </w:rPr>
        <w:footnoteRef/>
      </w:r>
      <w:r>
        <w:t xml:space="preserve"> Emerald, Submission in support.</w:t>
      </w:r>
    </w:p>
  </w:footnote>
  <w:footnote w:id="15">
    <w:p w:rsidR="00241338" w:rsidRDefault="00241338" w:rsidP="0014025D">
      <w:pPr>
        <w:pStyle w:val="FootnoteText"/>
        <w:spacing w:after="0"/>
      </w:pPr>
      <w:r>
        <w:rPr>
          <w:rStyle w:val="FootnoteReference"/>
        </w:rPr>
        <w:footnoteRef/>
      </w:r>
      <w:r>
        <w:t xml:space="preserve"> VFF, Submission, p. 4. </w:t>
      </w:r>
    </w:p>
  </w:footnote>
  <w:footnote w:id="16">
    <w:p w:rsidR="00241338" w:rsidRDefault="00241338" w:rsidP="0014025D">
      <w:pPr>
        <w:pStyle w:val="FootnoteText"/>
        <w:spacing w:after="0"/>
      </w:pPr>
      <w:r>
        <w:rPr>
          <w:rStyle w:val="FootnoteReference"/>
        </w:rPr>
        <w:footnoteRef/>
      </w:r>
      <w:r>
        <w:t xml:space="preserve"> GrainCorp, Submission in support. </w:t>
      </w:r>
    </w:p>
  </w:footnote>
  <w:footnote w:id="17">
    <w:p w:rsidR="00241338" w:rsidRDefault="00241338" w:rsidP="0014025D">
      <w:pPr>
        <w:pStyle w:val="FootnoteText"/>
        <w:spacing w:after="0"/>
      </w:pPr>
      <w:r>
        <w:rPr>
          <w:rStyle w:val="FootnoteReference"/>
        </w:rPr>
        <w:footnoteRef/>
      </w:r>
      <w:r>
        <w:t xml:space="preserve"> GrainCorp available capacity published 3 Feb 2015 </w:t>
      </w:r>
      <w:hyperlink r:id="rId3" w:history="1">
        <w:r w:rsidRPr="00E96F23">
          <w:rPr>
            <w:rStyle w:val="Hyperlink"/>
            <w:sz w:val="20"/>
          </w:rPr>
          <w:t>http://www.graincorp.com.au/storage-and-logistics/ports-and-shipping/shipping</w:t>
        </w:r>
      </w:hyperlink>
      <w:r>
        <w:t xml:space="preserve"> </w:t>
      </w:r>
    </w:p>
  </w:footnote>
  <w:footnote w:id="18">
    <w:p w:rsidR="00241338" w:rsidRDefault="00241338" w:rsidP="0014025D">
      <w:pPr>
        <w:pStyle w:val="FootnoteText"/>
        <w:spacing w:after="0"/>
      </w:pPr>
      <w:r>
        <w:rPr>
          <w:rStyle w:val="FootnoteReference"/>
        </w:rPr>
        <w:footnoteRef/>
      </w:r>
      <w:r>
        <w:t xml:space="preserve"> Emerald, Submission in support, p. 7.  </w:t>
      </w:r>
    </w:p>
  </w:footnote>
  <w:footnote w:id="19">
    <w:p w:rsidR="00241338" w:rsidRDefault="00241338" w:rsidP="0014025D">
      <w:pPr>
        <w:pStyle w:val="FootnoteText"/>
        <w:spacing w:after="0"/>
      </w:pPr>
      <w:r>
        <w:rPr>
          <w:rStyle w:val="FootnoteReference"/>
        </w:rPr>
        <w:footnoteRef/>
      </w:r>
      <w:r>
        <w:t xml:space="preserve"> GrainCorp, p. 14.</w:t>
      </w:r>
    </w:p>
  </w:footnote>
  <w:footnote w:id="20">
    <w:p w:rsidR="00241338" w:rsidRDefault="00241338" w:rsidP="0014025D">
      <w:pPr>
        <w:pStyle w:val="FootnoteText"/>
        <w:spacing w:after="0"/>
      </w:pPr>
      <w:r>
        <w:rPr>
          <w:rStyle w:val="FootnoteReference"/>
        </w:rPr>
        <w:footnoteRef/>
      </w:r>
      <w:r>
        <w:t xml:space="preserve"> GrainCorp, Submission in support, pp. 7, 13. </w:t>
      </w:r>
    </w:p>
  </w:footnote>
  <w:footnote w:id="21">
    <w:p w:rsidR="00241338" w:rsidRDefault="00241338" w:rsidP="0014025D">
      <w:pPr>
        <w:pStyle w:val="FootnoteText"/>
        <w:spacing w:after="0"/>
      </w:pPr>
      <w:r>
        <w:rPr>
          <w:rStyle w:val="FootnoteReference"/>
        </w:rPr>
        <w:footnoteRef/>
      </w:r>
      <w:r>
        <w:t xml:space="preserve">  Emerald, Submission in support, p. 9.</w:t>
      </w:r>
    </w:p>
  </w:footnote>
  <w:footnote w:id="22">
    <w:p w:rsidR="00241338" w:rsidRDefault="00241338" w:rsidP="0014025D">
      <w:pPr>
        <w:pStyle w:val="FootnoteText"/>
        <w:tabs>
          <w:tab w:val="right" w:pos="9026"/>
        </w:tabs>
        <w:spacing w:after="0"/>
      </w:pPr>
      <w:r>
        <w:rPr>
          <w:rStyle w:val="FootnoteReference"/>
        </w:rPr>
        <w:footnoteRef/>
      </w:r>
      <w:r>
        <w:t xml:space="preserve"> ACCC, Final Decision on Viterra undertaking 2011, p. 49</w:t>
      </w:r>
      <w:r>
        <w:tab/>
      </w:r>
    </w:p>
  </w:footnote>
  <w:footnote w:id="23">
    <w:p w:rsidR="00241338" w:rsidRDefault="00241338" w:rsidP="0014025D">
      <w:pPr>
        <w:pStyle w:val="FootnoteText"/>
        <w:spacing w:after="0"/>
      </w:pPr>
      <w:r>
        <w:rPr>
          <w:rStyle w:val="FootnoteReference"/>
        </w:rPr>
        <w:footnoteRef/>
      </w:r>
      <w:r>
        <w:t xml:space="preserve"> ACCC, Final decision on Viterra undertaking 2011, p. 49</w:t>
      </w:r>
    </w:p>
  </w:footnote>
  <w:footnote w:id="24">
    <w:p w:rsidR="00241338" w:rsidRDefault="00241338" w:rsidP="0014025D">
      <w:pPr>
        <w:pStyle w:val="FootnoteText"/>
        <w:spacing w:after="0"/>
      </w:pPr>
      <w:r>
        <w:rPr>
          <w:rStyle w:val="FootnoteReference"/>
        </w:rPr>
        <w:footnoteRef/>
      </w:r>
      <w:r>
        <w:t xml:space="preserve"> </w:t>
      </w:r>
      <w:hyperlink r:id="rId4" w:history="1">
        <w:r w:rsidRPr="008F09C0">
          <w:rPr>
            <w:rStyle w:val="Hyperlink"/>
            <w:sz w:val="20"/>
          </w:rPr>
          <w:t>https://www.accc.gov.au/media-release/accc-allows-graincorp-to-introduce-long-term-port-access-agreements</w:t>
        </w:r>
      </w:hyperlink>
      <w:r>
        <w:t xml:space="preserve"> </w:t>
      </w:r>
    </w:p>
  </w:footnote>
  <w:footnote w:id="25">
    <w:p w:rsidR="00241338" w:rsidRDefault="00241338" w:rsidP="0014025D">
      <w:pPr>
        <w:pStyle w:val="FootnoteText"/>
        <w:spacing w:after="0"/>
      </w:pPr>
      <w:r>
        <w:rPr>
          <w:rStyle w:val="FootnoteReference"/>
        </w:rPr>
        <w:footnoteRef/>
      </w:r>
      <w:r>
        <w:t xml:space="preserve"> </w:t>
      </w:r>
      <w:proofErr w:type="gramStart"/>
      <w:r>
        <w:t xml:space="preserve">ACCC, </w:t>
      </w:r>
      <w:r w:rsidRPr="007C637F">
        <w:rPr>
          <w:i/>
        </w:rPr>
        <w:t>GrainCorp Operations Lt Port Terminal Services Access Undertaking Decision to accept</w:t>
      </w:r>
      <w:r>
        <w:t>, 22 June 2011, p. 25.</w:t>
      </w:r>
      <w:proofErr w:type="gramEnd"/>
      <w:r>
        <w:t xml:space="preserve"> </w:t>
      </w:r>
    </w:p>
  </w:footnote>
  <w:footnote w:id="26">
    <w:p w:rsidR="00241338" w:rsidRDefault="00241338" w:rsidP="0014025D">
      <w:pPr>
        <w:pStyle w:val="FootnoteText"/>
        <w:spacing w:after="0"/>
      </w:pPr>
      <w:r>
        <w:rPr>
          <w:rStyle w:val="FootnoteReference"/>
        </w:rPr>
        <w:footnoteRef/>
      </w:r>
      <w:r>
        <w:t xml:space="preserve"> </w:t>
      </w:r>
      <w:proofErr w:type="gramStart"/>
      <w:r>
        <w:t>GrainCorp, Submission in support, p. 15; Emerald, Submission in support, p. 9.</w:t>
      </w:r>
      <w:proofErr w:type="gramEnd"/>
      <w:r>
        <w:t xml:space="preserve"> </w:t>
      </w:r>
    </w:p>
  </w:footnote>
  <w:footnote w:id="27">
    <w:p w:rsidR="00241338" w:rsidRDefault="00241338" w:rsidP="0014025D">
      <w:pPr>
        <w:pStyle w:val="FootnoteText"/>
        <w:spacing w:after="0"/>
      </w:pPr>
      <w:r>
        <w:rPr>
          <w:rStyle w:val="FootnoteReference"/>
        </w:rPr>
        <w:footnoteRef/>
      </w:r>
      <w:r>
        <w:t xml:space="preserve"> </w:t>
      </w:r>
      <w:proofErr w:type="gramStart"/>
      <w:r>
        <w:t>GrainCorp submission p. 16.</w:t>
      </w:r>
      <w:proofErr w:type="gramEnd"/>
    </w:p>
  </w:footnote>
  <w:footnote w:id="28">
    <w:p w:rsidR="00241338" w:rsidRDefault="00241338" w:rsidP="0014025D">
      <w:pPr>
        <w:pStyle w:val="FootnoteText"/>
        <w:spacing w:after="0"/>
      </w:pPr>
      <w:r>
        <w:rPr>
          <w:rStyle w:val="FootnoteReference"/>
        </w:rPr>
        <w:footnoteRef/>
      </w:r>
      <w:r>
        <w:t xml:space="preserve"> </w:t>
      </w:r>
      <w:proofErr w:type="gramStart"/>
      <w:r>
        <w:t>GrainGrowers pp. 2, 3.</w:t>
      </w:r>
      <w:proofErr w:type="gramEnd"/>
      <w:r>
        <w:t xml:space="preserve"> </w:t>
      </w:r>
    </w:p>
  </w:footnote>
  <w:footnote w:id="29">
    <w:p w:rsidR="00241338" w:rsidRDefault="00241338" w:rsidP="0014025D">
      <w:pPr>
        <w:pStyle w:val="FootnoteText"/>
        <w:spacing w:after="0"/>
      </w:pPr>
      <w:r>
        <w:rPr>
          <w:rStyle w:val="FootnoteReference"/>
        </w:rPr>
        <w:footnoteRef/>
      </w:r>
      <w:r>
        <w:t xml:space="preserve"> GIAV, submission, pp. 3, 4; Glencore/Viterra submission </w:t>
      </w:r>
    </w:p>
  </w:footnote>
  <w:footnote w:id="30">
    <w:p w:rsidR="00241338" w:rsidRDefault="00241338" w:rsidP="0014025D">
      <w:pPr>
        <w:pStyle w:val="FootnoteText"/>
        <w:spacing w:after="0"/>
      </w:pPr>
      <w:r>
        <w:rPr>
          <w:rStyle w:val="FootnoteReference"/>
        </w:rPr>
        <w:footnoteRef/>
      </w:r>
      <w:r>
        <w:t xml:space="preserve"> GrainCorp, Submission in support, p. 13. </w:t>
      </w:r>
    </w:p>
  </w:footnote>
  <w:footnote w:id="31">
    <w:p w:rsidR="00241338" w:rsidRDefault="00241338" w:rsidP="0014025D">
      <w:pPr>
        <w:pStyle w:val="FootnoteText"/>
        <w:spacing w:after="0"/>
      </w:pPr>
      <w:r>
        <w:rPr>
          <w:rStyle w:val="FootnoteReference"/>
        </w:rPr>
        <w:footnoteRef/>
      </w:r>
      <w:r>
        <w:t xml:space="preserve"> CBH, submission, 30 January 2015, p. 2; </w:t>
      </w:r>
      <w:proofErr w:type="spellStart"/>
      <w:r>
        <w:t>Glencore</w:t>
      </w:r>
      <w:proofErr w:type="spellEnd"/>
      <w:r>
        <w:t>/</w:t>
      </w:r>
      <w:proofErr w:type="spellStart"/>
      <w:r>
        <w:t>Viterra</w:t>
      </w:r>
      <w:proofErr w:type="gramStart"/>
      <w:r>
        <w:t>,submission</w:t>
      </w:r>
      <w:proofErr w:type="spellEnd"/>
      <w:proofErr w:type="gramEnd"/>
      <w:r>
        <w:t xml:space="preserve">. </w:t>
      </w:r>
    </w:p>
  </w:footnote>
  <w:footnote w:id="32">
    <w:p w:rsidR="00241338" w:rsidRDefault="00241338" w:rsidP="00F2549B">
      <w:pPr>
        <w:pStyle w:val="FootnoteText"/>
        <w:spacing w:after="0"/>
      </w:pPr>
      <w:r>
        <w:rPr>
          <w:rStyle w:val="FootnoteReference"/>
        </w:rPr>
        <w:footnoteRef/>
      </w:r>
      <w:r>
        <w:t xml:space="preserve"> </w:t>
      </w:r>
      <w:r w:rsidRPr="00DF73A1">
        <w:t xml:space="preserve">Part 2 of the Code requires all port terminal service providers </w:t>
      </w:r>
      <w:r>
        <w:t xml:space="preserve">deal with exporters in good faith and </w:t>
      </w:r>
      <w:r w:rsidRPr="00DF73A1">
        <w:t>publish a port loading statement and policies and procedures for managing demand for their services, and make current standard terms and reference prices for each port terminal facility publically available on their website.</w:t>
      </w:r>
    </w:p>
  </w:footnote>
  <w:footnote w:id="33">
    <w:p w:rsidR="00241338" w:rsidRDefault="00241338" w:rsidP="00F2549B">
      <w:pPr>
        <w:pStyle w:val="Footnotes"/>
        <w:spacing w:before="0" w:after="0"/>
      </w:pPr>
      <w:r>
        <w:rPr>
          <w:rStyle w:val="FootnoteReference"/>
        </w:rPr>
        <w:footnoteRef/>
      </w:r>
      <w:r>
        <w:t xml:space="preserve"> </w:t>
      </w:r>
      <w:hyperlink r:id="rId5" w:history="1">
        <w:r w:rsidRPr="008F09C0">
          <w:rPr>
            <w:rStyle w:val="Hyperlink"/>
            <w:sz w:val="20"/>
          </w:rPr>
          <w:t>https://www.accc.gov.au/media-release/accc-allows-graincorp-to-introduce-long-term-port-access-agreements</w:t>
        </w:r>
      </w:hyperlink>
      <w:r>
        <w:t xml:space="preserve">; </w:t>
      </w:r>
      <w:r w:rsidRPr="00A62FBA">
        <w:rPr>
          <w:sz w:val="20"/>
          <w:szCs w:val="20"/>
        </w:rPr>
        <w:t>GrainCorp Long Term Agreement Capacity Allocations 1 October 2013 – 30 September 2016,</w:t>
      </w:r>
      <w:r>
        <w:rPr>
          <w:sz w:val="20"/>
          <w:szCs w:val="20"/>
        </w:rPr>
        <w:t xml:space="preserve"> </w:t>
      </w:r>
      <w:hyperlink r:id="rId6" w:history="1">
        <w:r w:rsidRPr="00A62FBA">
          <w:rPr>
            <w:rStyle w:val="Hyperlink"/>
            <w:sz w:val="20"/>
            <w:szCs w:val="20"/>
          </w:rPr>
          <w:t>http://www.graincorp.com.au/storage-and-logistics/ports-and-shipping/</w:t>
        </w:r>
      </w:hyperlink>
      <w:r w:rsidRPr="00A62FBA">
        <w:rPr>
          <w:sz w:val="20"/>
          <w:szCs w:val="20"/>
        </w:rPr>
        <w:t xml:space="preserve"> (viewed 17/03/2014).</w:t>
      </w:r>
    </w:p>
  </w:footnote>
  <w:footnote w:id="34">
    <w:p w:rsidR="00241338" w:rsidRDefault="00241338" w:rsidP="0014025D">
      <w:pPr>
        <w:pStyle w:val="FootnoteText"/>
        <w:spacing w:after="0"/>
      </w:pPr>
      <w:r>
        <w:rPr>
          <w:rStyle w:val="FootnoteReference"/>
        </w:rPr>
        <w:footnoteRef/>
      </w:r>
      <w:r>
        <w:t xml:space="preserve"> </w:t>
      </w:r>
      <w:proofErr w:type="gramStart"/>
      <w:r>
        <w:t>Emerald, Submission in support, p. 16.</w:t>
      </w:r>
      <w:proofErr w:type="gramEnd"/>
      <w:r>
        <w:t xml:space="preserve"> </w:t>
      </w:r>
    </w:p>
  </w:footnote>
  <w:footnote w:id="35">
    <w:p w:rsidR="00241338" w:rsidRDefault="00241338" w:rsidP="0014025D">
      <w:pPr>
        <w:pStyle w:val="FootnoteText"/>
        <w:spacing w:after="0"/>
      </w:pPr>
      <w:r>
        <w:rPr>
          <w:rStyle w:val="FootnoteReference"/>
        </w:rPr>
        <w:footnoteRef/>
      </w:r>
      <w:r>
        <w:t xml:space="preserve"> Ibid, p. 17</w:t>
      </w:r>
    </w:p>
  </w:footnote>
  <w:footnote w:id="36">
    <w:p w:rsidR="00241338" w:rsidRDefault="00241338" w:rsidP="0014025D">
      <w:pPr>
        <w:pStyle w:val="FootnoteText"/>
        <w:spacing w:after="0"/>
      </w:pPr>
      <w:r>
        <w:rPr>
          <w:rStyle w:val="FootnoteReference"/>
        </w:rPr>
        <w:footnoteRef/>
      </w:r>
      <w:r>
        <w:t xml:space="preserve"> GrainCorp Submission in support, p. 4 </w:t>
      </w:r>
    </w:p>
  </w:footnote>
  <w:footnote w:id="37">
    <w:p w:rsidR="00241338" w:rsidRDefault="00241338" w:rsidP="0014025D">
      <w:pPr>
        <w:pStyle w:val="FootnoteText"/>
        <w:spacing w:after="0"/>
      </w:pPr>
      <w:r>
        <w:rPr>
          <w:rStyle w:val="FootnoteReference"/>
        </w:rPr>
        <w:footnoteRef/>
      </w:r>
      <w:r>
        <w:t xml:space="preserve"> ibid, p. 5 </w:t>
      </w:r>
    </w:p>
  </w:footnote>
  <w:footnote w:id="38">
    <w:p w:rsidR="00241338" w:rsidRDefault="00241338" w:rsidP="0014025D">
      <w:pPr>
        <w:pStyle w:val="FootnoteText"/>
        <w:spacing w:after="0"/>
      </w:pPr>
      <w:r>
        <w:rPr>
          <w:rStyle w:val="FootnoteReference"/>
        </w:rPr>
        <w:footnoteRef/>
      </w:r>
      <w:r>
        <w:t xml:space="preserve"> VFF, </w:t>
      </w:r>
      <w:r w:rsidRPr="003C3393">
        <w:t>Submission on the ACCC’s Issues Paper</w:t>
      </w:r>
      <w:r>
        <w:t>,</w:t>
      </w:r>
      <w:r w:rsidRPr="003C3393">
        <w:t xml:space="preserve"> </w:t>
      </w:r>
      <w:r>
        <w:t xml:space="preserve">p. 2 </w:t>
      </w:r>
    </w:p>
  </w:footnote>
  <w:footnote w:id="39">
    <w:p w:rsidR="00241338" w:rsidRDefault="00241338" w:rsidP="0014025D">
      <w:pPr>
        <w:pStyle w:val="FootnoteText"/>
        <w:spacing w:after="0"/>
      </w:pPr>
      <w:r>
        <w:rPr>
          <w:rStyle w:val="FootnoteReference"/>
        </w:rPr>
        <w:footnoteRef/>
      </w:r>
      <w:r>
        <w:t xml:space="preserve"> AGEA, Submission on the ACCC’s Issues Paper, p. 1</w:t>
      </w:r>
    </w:p>
  </w:footnote>
  <w:footnote w:id="40">
    <w:p w:rsidR="00241338" w:rsidRDefault="00241338" w:rsidP="005A0F8E">
      <w:pPr>
        <w:pStyle w:val="FootnoteText"/>
        <w:spacing w:after="0"/>
      </w:pPr>
      <w:r>
        <w:rPr>
          <w:rStyle w:val="FootnoteReference"/>
        </w:rPr>
        <w:footnoteRef/>
      </w:r>
      <w:r>
        <w:t xml:space="preserve"> </w:t>
      </w:r>
      <w:r w:rsidRPr="00B47A56">
        <w:t xml:space="preserve">Emerald Grain, </w:t>
      </w:r>
      <w:hyperlink r:id="rId7" w:history="1">
        <w:r w:rsidRPr="00F33B58">
          <w:rPr>
            <w:rStyle w:val="Hyperlink"/>
            <w:sz w:val="20"/>
          </w:rPr>
          <w:t>http://emeraldgrain.com/home/about/</w:t>
        </w:r>
      </w:hyperlink>
    </w:p>
  </w:footnote>
  <w:footnote w:id="41">
    <w:p w:rsidR="00241338" w:rsidRDefault="00241338" w:rsidP="00B47A56">
      <w:pPr>
        <w:pStyle w:val="FootnoteText"/>
        <w:spacing w:after="0"/>
      </w:pPr>
      <w:r>
        <w:rPr>
          <w:rStyle w:val="FootnoteReference"/>
        </w:rPr>
        <w:footnoteRef/>
      </w:r>
      <w:r>
        <w:t xml:space="preserve"> </w:t>
      </w:r>
      <w:r w:rsidRPr="00B47A56">
        <w:t xml:space="preserve">Emerald Grain, Submission in support, p. </w:t>
      </w:r>
      <w:r>
        <w:t>5</w:t>
      </w:r>
    </w:p>
  </w:footnote>
  <w:footnote w:id="42">
    <w:p w:rsidR="00241338" w:rsidRDefault="00241338" w:rsidP="00B47A56">
      <w:pPr>
        <w:pStyle w:val="FootnoteText"/>
        <w:spacing w:after="0"/>
      </w:pPr>
      <w:r>
        <w:rPr>
          <w:rStyle w:val="FootnoteReference"/>
        </w:rPr>
        <w:footnoteRef/>
      </w:r>
      <w:r>
        <w:t xml:space="preserve"> </w:t>
      </w:r>
      <w:r w:rsidRPr="00B47A56">
        <w:t xml:space="preserve">ibid, p. </w:t>
      </w:r>
      <w:r>
        <w:t>6</w:t>
      </w:r>
    </w:p>
  </w:footnote>
  <w:footnote w:id="43">
    <w:p w:rsidR="00241338" w:rsidRDefault="00241338" w:rsidP="00DD2E5C">
      <w:pPr>
        <w:pStyle w:val="FootnoteText"/>
        <w:spacing w:after="0"/>
      </w:pPr>
      <w:r>
        <w:rPr>
          <w:rStyle w:val="FootnoteReference"/>
        </w:rPr>
        <w:footnoteRef/>
      </w:r>
      <w:r>
        <w:t xml:space="preserve"> GrainCorp, Submission in support, p. 6</w:t>
      </w:r>
    </w:p>
  </w:footnote>
  <w:footnote w:id="44">
    <w:p w:rsidR="00241338" w:rsidRDefault="00241338" w:rsidP="00F23F96">
      <w:pPr>
        <w:pStyle w:val="FootnoteText"/>
        <w:spacing w:after="0"/>
      </w:pPr>
      <w:r>
        <w:rPr>
          <w:rStyle w:val="FootnoteReference"/>
        </w:rPr>
        <w:footnoteRef/>
      </w:r>
      <w:r>
        <w:t xml:space="preserve"> ABARES, Agricultural commodity statistics 2014, December 2014, p. 25</w:t>
      </w:r>
    </w:p>
  </w:footnote>
  <w:footnote w:id="45">
    <w:p w:rsidR="00241338" w:rsidRDefault="00241338" w:rsidP="00211DC2">
      <w:pPr>
        <w:pStyle w:val="FootnoteText"/>
        <w:spacing w:after="0"/>
      </w:pPr>
      <w:r>
        <w:rPr>
          <w:rStyle w:val="FootnoteReference"/>
        </w:rPr>
        <w:footnoteRef/>
      </w:r>
      <w:r>
        <w:t xml:space="preserve"> Victorian Department of Environment and Primary Industries, </w:t>
      </w:r>
      <w:hyperlink r:id="rId8" w:history="1">
        <w:r w:rsidRPr="00CE1B8D">
          <w:rPr>
            <w:rStyle w:val="Hyperlink"/>
            <w:sz w:val="20"/>
          </w:rPr>
          <w:t>http://www.depi.vic.gov.au/agriculture-and-food/grains-and-other-crops</w:t>
        </w:r>
      </w:hyperlink>
      <w:r>
        <w:t xml:space="preserve"> </w:t>
      </w:r>
    </w:p>
  </w:footnote>
  <w:footnote w:id="46">
    <w:p w:rsidR="00241338" w:rsidRDefault="00241338" w:rsidP="00A05E90">
      <w:pPr>
        <w:pStyle w:val="FootnoteText"/>
        <w:spacing w:after="0"/>
      </w:pPr>
      <w:r>
        <w:rPr>
          <w:rStyle w:val="FootnoteReference"/>
        </w:rPr>
        <w:footnoteRef/>
      </w:r>
      <w:r>
        <w:t xml:space="preserve"> Productivity Commission, </w:t>
      </w:r>
      <w:r w:rsidRPr="00A05E90">
        <w:t xml:space="preserve">Wheat Export Marketing Arrangements, 1 July 2010, p. </w:t>
      </w:r>
      <w:r>
        <w:t>31</w:t>
      </w:r>
    </w:p>
  </w:footnote>
  <w:footnote w:id="47">
    <w:p w:rsidR="00241338" w:rsidRDefault="00241338" w:rsidP="00F025C2">
      <w:pPr>
        <w:pStyle w:val="FootnoteText"/>
        <w:spacing w:after="0"/>
      </w:pPr>
      <w:r>
        <w:rPr>
          <w:rStyle w:val="FootnoteReference"/>
        </w:rPr>
        <w:footnoteRef/>
      </w:r>
      <w:r>
        <w:t xml:space="preserve"> Emerald Grain, Submission in support, p. 6, 12</w:t>
      </w:r>
    </w:p>
  </w:footnote>
  <w:footnote w:id="48">
    <w:p w:rsidR="00241338" w:rsidRDefault="00241338" w:rsidP="00F025C2">
      <w:pPr>
        <w:pStyle w:val="FootnoteText"/>
        <w:spacing w:after="0"/>
      </w:pPr>
      <w:r>
        <w:rPr>
          <w:rStyle w:val="FootnoteReference"/>
        </w:rPr>
        <w:footnoteRef/>
      </w:r>
      <w:r>
        <w:t xml:space="preserve"> GrainCorp, submission in support, p. 18</w:t>
      </w:r>
    </w:p>
  </w:footnote>
  <w:footnote w:id="49">
    <w:p w:rsidR="00241338" w:rsidRDefault="00241338" w:rsidP="00F025C2">
      <w:pPr>
        <w:pStyle w:val="FootnoteText"/>
        <w:spacing w:after="0"/>
      </w:pPr>
      <w:r>
        <w:rPr>
          <w:rStyle w:val="FootnoteReference"/>
        </w:rPr>
        <w:footnoteRef/>
      </w:r>
      <w:r>
        <w:t xml:space="preserve"> GrainGrowers, Submission on the ACCC’s Issues Paper, p. 5</w:t>
      </w:r>
    </w:p>
  </w:footnote>
  <w:footnote w:id="50">
    <w:p w:rsidR="00241338" w:rsidRDefault="00241338" w:rsidP="00F025C2">
      <w:pPr>
        <w:pStyle w:val="FootnoteText"/>
        <w:spacing w:after="0"/>
      </w:pPr>
      <w:r>
        <w:rPr>
          <w:rStyle w:val="FootnoteReference"/>
        </w:rPr>
        <w:footnoteRef/>
      </w:r>
      <w:r>
        <w:t xml:space="preserve"> GIAV, Submission on the ACCC’s Issues Paper, p. 2</w:t>
      </w:r>
    </w:p>
  </w:footnote>
  <w:footnote w:id="51">
    <w:p w:rsidR="00241338" w:rsidRDefault="00241338" w:rsidP="00F025C2">
      <w:pPr>
        <w:pStyle w:val="FootnoteText"/>
        <w:spacing w:after="0"/>
      </w:pPr>
      <w:r>
        <w:rPr>
          <w:rStyle w:val="FootnoteReference"/>
        </w:rPr>
        <w:footnoteRef/>
      </w:r>
      <w:r>
        <w:t xml:space="preserve"> VFF, Submission on the ACCC’s Issues Paper, p. 5</w:t>
      </w:r>
    </w:p>
  </w:footnote>
  <w:footnote w:id="52">
    <w:p w:rsidR="00241338" w:rsidRDefault="00241338" w:rsidP="00F025C2">
      <w:pPr>
        <w:pStyle w:val="FootnoteText"/>
        <w:spacing w:after="0"/>
      </w:pPr>
      <w:r>
        <w:rPr>
          <w:rStyle w:val="FootnoteReference"/>
        </w:rPr>
        <w:footnoteRef/>
      </w:r>
      <w:r>
        <w:t xml:space="preserve"> Emerald Grain, Supplementary submission, p. 2</w:t>
      </w:r>
    </w:p>
  </w:footnote>
  <w:footnote w:id="53">
    <w:p w:rsidR="00241338" w:rsidRDefault="00241338" w:rsidP="00C301B5">
      <w:pPr>
        <w:pStyle w:val="FootnoteText"/>
        <w:spacing w:after="0"/>
      </w:pPr>
      <w:r>
        <w:rPr>
          <w:rStyle w:val="FootnoteReference"/>
        </w:rPr>
        <w:footnoteRef/>
      </w:r>
      <w:r>
        <w:t xml:space="preserve"> GrainCorp, Submission in support, p. 19</w:t>
      </w:r>
    </w:p>
  </w:footnote>
  <w:footnote w:id="54">
    <w:p w:rsidR="00241338" w:rsidRDefault="00241338" w:rsidP="004210B1">
      <w:pPr>
        <w:pStyle w:val="FootnoteText"/>
        <w:spacing w:after="0"/>
      </w:pPr>
      <w:r>
        <w:rPr>
          <w:rStyle w:val="FootnoteReference"/>
        </w:rPr>
        <w:footnoteRef/>
      </w:r>
      <w:r>
        <w:t xml:space="preserve"> GrainCorp, Submission in support, p. 19</w:t>
      </w:r>
    </w:p>
  </w:footnote>
  <w:footnote w:id="55">
    <w:p w:rsidR="00241338" w:rsidRDefault="00241338" w:rsidP="00C77EE7">
      <w:pPr>
        <w:pStyle w:val="FootnoteText"/>
        <w:spacing w:after="0"/>
      </w:pPr>
      <w:r>
        <w:rPr>
          <w:rStyle w:val="FootnoteReference"/>
        </w:rPr>
        <w:footnoteRef/>
      </w:r>
      <w:r>
        <w:t xml:space="preserve"> Emerald Grain, </w:t>
      </w:r>
      <w:hyperlink r:id="rId9" w:history="1">
        <w:r w:rsidRPr="004553EC">
          <w:rPr>
            <w:rStyle w:val="Hyperlink"/>
            <w:sz w:val="20"/>
          </w:rPr>
          <w:t>http://emeraldgrain.com/home/grower-services/store-and-move-grain/our-network/</w:t>
        </w:r>
      </w:hyperlink>
      <w:r>
        <w:t xml:space="preserve"> </w:t>
      </w:r>
    </w:p>
  </w:footnote>
  <w:footnote w:id="56">
    <w:p w:rsidR="00241338" w:rsidRDefault="00241338" w:rsidP="009A7C10">
      <w:pPr>
        <w:pStyle w:val="FootnoteText"/>
        <w:spacing w:after="0"/>
      </w:pPr>
      <w:r>
        <w:rPr>
          <w:rStyle w:val="FootnoteReference"/>
        </w:rPr>
        <w:footnoteRef/>
      </w:r>
      <w:r>
        <w:t xml:space="preserve"> Emerald Grain, Submission in support, p. 6</w:t>
      </w:r>
    </w:p>
  </w:footnote>
  <w:footnote w:id="57">
    <w:p w:rsidR="00241338" w:rsidRDefault="00241338" w:rsidP="00C301B5">
      <w:pPr>
        <w:pStyle w:val="FootnoteText"/>
        <w:spacing w:after="0"/>
      </w:pPr>
      <w:r>
        <w:rPr>
          <w:rStyle w:val="FootnoteReference"/>
        </w:rPr>
        <w:footnoteRef/>
      </w:r>
      <w:r>
        <w:t xml:space="preserve"> Riordan Grains, </w:t>
      </w:r>
      <w:hyperlink r:id="rId10" w:history="1">
        <w:r w:rsidRPr="002972F1">
          <w:rPr>
            <w:rStyle w:val="Hyperlink"/>
            <w:sz w:val="20"/>
          </w:rPr>
          <w:t>http://riordangrains.com.au/grain-storage/</w:t>
        </w:r>
      </w:hyperlink>
      <w:r>
        <w:t xml:space="preserve"> </w:t>
      </w:r>
    </w:p>
  </w:footnote>
  <w:footnote w:id="58">
    <w:p w:rsidR="00241338" w:rsidRDefault="00241338" w:rsidP="00C301B5">
      <w:pPr>
        <w:pStyle w:val="FootnoteText"/>
        <w:spacing w:after="0"/>
      </w:pPr>
      <w:r>
        <w:rPr>
          <w:rStyle w:val="FootnoteReference"/>
        </w:rPr>
        <w:footnoteRef/>
      </w:r>
      <w:r>
        <w:t xml:space="preserve"> Wilken, </w:t>
      </w:r>
      <w:hyperlink r:id="rId11" w:history="1">
        <w:r w:rsidRPr="002972F1">
          <w:rPr>
            <w:rStyle w:val="Hyperlink"/>
            <w:sz w:val="20"/>
          </w:rPr>
          <w:t>http://www.wilkens.com.au/index.php/storage</w:t>
        </w:r>
      </w:hyperlink>
      <w:r>
        <w:t xml:space="preserve"> </w:t>
      </w:r>
    </w:p>
  </w:footnote>
  <w:footnote w:id="59">
    <w:p w:rsidR="00241338" w:rsidRDefault="00241338" w:rsidP="00C301B5">
      <w:pPr>
        <w:pStyle w:val="FootnoteText"/>
        <w:spacing w:after="0"/>
      </w:pPr>
      <w:r>
        <w:rPr>
          <w:rStyle w:val="FootnoteReference"/>
        </w:rPr>
        <w:footnoteRef/>
      </w:r>
      <w:r>
        <w:t xml:space="preserve"> Broadbent Grain, </w:t>
      </w:r>
      <w:hyperlink r:id="rId12" w:history="1">
        <w:r w:rsidRPr="004553EC">
          <w:rPr>
            <w:rStyle w:val="Hyperlink"/>
            <w:sz w:val="20"/>
          </w:rPr>
          <w:t>http://broadbentgrain.com.au/</w:t>
        </w:r>
      </w:hyperlink>
      <w:r>
        <w:t xml:space="preserve"> </w:t>
      </w:r>
    </w:p>
  </w:footnote>
  <w:footnote w:id="60">
    <w:p w:rsidR="00241338" w:rsidRDefault="00241338" w:rsidP="00C301B5">
      <w:pPr>
        <w:pStyle w:val="FootnoteText"/>
        <w:spacing w:after="0"/>
      </w:pPr>
      <w:r>
        <w:rPr>
          <w:rStyle w:val="FootnoteReference"/>
        </w:rPr>
        <w:footnoteRef/>
      </w:r>
      <w:r>
        <w:t xml:space="preserve"> Moulamein Grain Co-operative, </w:t>
      </w:r>
      <w:hyperlink r:id="rId13" w:history="1">
        <w:r w:rsidRPr="004553EC">
          <w:rPr>
            <w:rStyle w:val="Hyperlink"/>
            <w:sz w:val="20"/>
          </w:rPr>
          <w:t>http://www.moulameingrain.com.au/index.php/about-moulamein</w:t>
        </w:r>
      </w:hyperlink>
      <w:r>
        <w:t xml:space="preserve"> </w:t>
      </w:r>
    </w:p>
  </w:footnote>
  <w:footnote w:id="61">
    <w:p w:rsidR="00241338" w:rsidRDefault="00241338" w:rsidP="00C301B5">
      <w:pPr>
        <w:pStyle w:val="FootnoteText"/>
        <w:spacing w:after="0"/>
      </w:pPr>
      <w:r>
        <w:rPr>
          <w:rStyle w:val="FootnoteReference"/>
        </w:rPr>
        <w:footnoteRef/>
      </w:r>
      <w:r>
        <w:t xml:space="preserve"> </w:t>
      </w:r>
      <w:r w:rsidRPr="004D6614">
        <w:t>Moore Bulk Storage</w:t>
      </w:r>
      <w:r>
        <w:t xml:space="preserve">, </w:t>
      </w:r>
      <w:hyperlink r:id="rId14" w:history="1">
        <w:r w:rsidRPr="004553EC">
          <w:rPr>
            <w:rStyle w:val="Hyperlink"/>
            <w:sz w:val="20"/>
          </w:rPr>
          <w:t>http://www.moorestorage.com.au/index.htm</w:t>
        </w:r>
      </w:hyperlink>
      <w:r>
        <w:t xml:space="preserve"> </w:t>
      </w:r>
    </w:p>
  </w:footnote>
  <w:footnote w:id="62">
    <w:p w:rsidR="00241338" w:rsidRDefault="00241338" w:rsidP="00C301B5">
      <w:pPr>
        <w:pStyle w:val="FootnoteText"/>
        <w:spacing w:after="0"/>
      </w:pPr>
      <w:r>
        <w:rPr>
          <w:rStyle w:val="FootnoteReference"/>
        </w:rPr>
        <w:footnoteRef/>
      </w:r>
      <w:r>
        <w:t xml:space="preserve"> Kelly Grains, </w:t>
      </w:r>
      <w:hyperlink r:id="rId15" w:history="1">
        <w:r w:rsidRPr="004553EC">
          <w:rPr>
            <w:rStyle w:val="Hyperlink"/>
            <w:sz w:val="20"/>
          </w:rPr>
          <w:t>http://www.kellygrains.com.au/storage</w:t>
        </w:r>
      </w:hyperlink>
      <w:r>
        <w:t xml:space="preserve"> </w:t>
      </w:r>
    </w:p>
  </w:footnote>
  <w:footnote w:id="63">
    <w:p w:rsidR="00241338" w:rsidRDefault="00241338" w:rsidP="00A845A5">
      <w:pPr>
        <w:pStyle w:val="FootnoteText"/>
        <w:spacing w:after="0"/>
      </w:pPr>
      <w:r>
        <w:rPr>
          <w:rStyle w:val="FootnoteReference"/>
        </w:rPr>
        <w:footnoteRef/>
      </w:r>
      <w:r>
        <w:t xml:space="preserve"> Pearsons Group, </w:t>
      </w:r>
      <w:hyperlink r:id="rId16" w:history="1">
        <w:r w:rsidRPr="00CE1B8D">
          <w:rPr>
            <w:rStyle w:val="Hyperlink"/>
            <w:sz w:val="20"/>
          </w:rPr>
          <w:t>http://pearsonsgroup.com.au/storage.php</w:t>
        </w:r>
      </w:hyperlink>
      <w:r>
        <w:t xml:space="preserve"> </w:t>
      </w:r>
    </w:p>
  </w:footnote>
  <w:footnote w:id="64">
    <w:p w:rsidR="00241338" w:rsidRDefault="00241338" w:rsidP="005F0D2B">
      <w:pPr>
        <w:pStyle w:val="FootnoteText"/>
        <w:spacing w:after="0"/>
      </w:pPr>
      <w:r>
        <w:rPr>
          <w:rStyle w:val="FootnoteReference"/>
        </w:rPr>
        <w:footnoteRef/>
      </w:r>
      <w:r>
        <w:t xml:space="preserve"> GrainCorp, Submission in support, p.19</w:t>
      </w:r>
    </w:p>
  </w:footnote>
  <w:footnote w:id="65">
    <w:p w:rsidR="00241338" w:rsidRDefault="00241338" w:rsidP="00C301B5">
      <w:pPr>
        <w:pStyle w:val="FootnoteText"/>
        <w:spacing w:after="0"/>
      </w:pPr>
      <w:r>
        <w:rPr>
          <w:rStyle w:val="FootnoteReference"/>
        </w:rPr>
        <w:footnoteRef/>
      </w:r>
      <w:r>
        <w:t xml:space="preserve"> </w:t>
      </w:r>
      <w:r w:rsidRPr="009E305D">
        <w:t>AEGIC, The cost of Australia’s bulk grain export supply chains: An inform</w:t>
      </w:r>
      <w:r>
        <w:t>ation paper, January 2014,p. 6</w:t>
      </w:r>
    </w:p>
  </w:footnote>
  <w:footnote w:id="66">
    <w:p w:rsidR="00241338" w:rsidRDefault="00241338" w:rsidP="00EF7EC9">
      <w:pPr>
        <w:pStyle w:val="FootnoteText"/>
        <w:spacing w:after="0"/>
      </w:pPr>
      <w:r>
        <w:rPr>
          <w:rStyle w:val="FootnoteReference"/>
        </w:rPr>
        <w:footnoteRef/>
      </w:r>
      <w:r>
        <w:t xml:space="preserve"> Productivity Commission, </w:t>
      </w:r>
      <w:r w:rsidRPr="00EF7EC9">
        <w:t>Wheat Export Marketing Arrangements, 1 July 2010, p. 68.</w:t>
      </w:r>
    </w:p>
  </w:footnote>
  <w:footnote w:id="67">
    <w:p w:rsidR="00241338" w:rsidRDefault="00241338" w:rsidP="00C301B5">
      <w:pPr>
        <w:pStyle w:val="FootnoteText"/>
        <w:spacing w:after="0"/>
      </w:pPr>
      <w:r>
        <w:rPr>
          <w:rStyle w:val="FootnoteReference"/>
        </w:rPr>
        <w:footnoteRef/>
      </w:r>
      <w:r>
        <w:t xml:space="preserve"> GrainCorp, Submission in support, p. 20</w:t>
      </w:r>
      <w:r>
        <w:br/>
      </w:r>
      <w:r w:rsidRPr="009E305D">
        <w:t>AEGIC, The cost of Australia’s bulk grain export supply chains: An inform</w:t>
      </w:r>
      <w:r>
        <w:t>ation paper, January 2014, p. 11</w:t>
      </w:r>
    </w:p>
  </w:footnote>
  <w:footnote w:id="68">
    <w:p w:rsidR="00241338" w:rsidRDefault="00241338" w:rsidP="00C301B5">
      <w:pPr>
        <w:pStyle w:val="FootnoteText"/>
        <w:spacing w:after="0"/>
      </w:pPr>
      <w:r>
        <w:rPr>
          <w:rStyle w:val="FootnoteReference"/>
        </w:rPr>
        <w:footnoteRef/>
      </w:r>
      <w:r>
        <w:t xml:space="preserve"> GrainCorp, Project Regeneration Site list</w:t>
      </w:r>
    </w:p>
  </w:footnote>
  <w:footnote w:id="69">
    <w:p w:rsidR="00241338" w:rsidRDefault="00241338" w:rsidP="007004F8">
      <w:pPr>
        <w:pStyle w:val="FootnoteText"/>
        <w:spacing w:after="0"/>
      </w:pPr>
      <w:r>
        <w:rPr>
          <w:rStyle w:val="FootnoteReference"/>
        </w:rPr>
        <w:footnoteRef/>
      </w:r>
      <w:r>
        <w:t xml:space="preserve"> AEGIC, The cost of Australia’s bulk grain export supply chains: A postscript, </w:t>
      </w:r>
      <w:r w:rsidRPr="00D223AD">
        <w:t>Version 2014.1</w:t>
      </w:r>
      <w:r>
        <w:t>, p. 8</w:t>
      </w:r>
    </w:p>
  </w:footnote>
  <w:footnote w:id="70">
    <w:p w:rsidR="00241338" w:rsidRDefault="00241338" w:rsidP="00195E62">
      <w:pPr>
        <w:pStyle w:val="FootnoteText"/>
        <w:spacing w:after="0"/>
      </w:pPr>
      <w:r>
        <w:rPr>
          <w:rStyle w:val="FootnoteReference"/>
        </w:rPr>
        <w:footnoteRef/>
      </w:r>
      <w:r>
        <w:t xml:space="preserve"> Moore Bulk Storage, </w:t>
      </w:r>
      <w:r w:rsidRPr="00195E62">
        <w:t>http://www.moorestorage.com.au/index.htm</w:t>
      </w:r>
    </w:p>
  </w:footnote>
  <w:footnote w:id="71">
    <w:p w:rsidR="00241338" w:rsidRDefault="00241338" w:rsidP="003E1B0A">
      <w:pPr>
        <w:pStyle w:val="FootnoteText"/>
        <w:spacing w:after="0"/>
      </w:pPr>
      <w:r>
        <w:rPr>
          <w:rStyle w:val="FootnoteReference"/>
        </w:rPr>
        <w:footnoteRef/>
      </w:r>
      <w:r>
        <w:t xml:space="preserve"> AEGIC, The cost of Australia’s bulk grain export supply chains: A postscript, </w:t>
      </w:r>
      <w:r w:rsidRPr="00D223AD">
        <w:t>Version 2014.1</w:t>
      </w:r>
      <w:r>
        <w:t>, p. 17</w:t>
      </w:r>
    </w:p>
  </w:footnote>
  <w:footnote w:id="72">
    <w:p w:rsidR="00241338" w:rsidRDefault="00241338" w:rsidP="0044010A">
      <w:pPr>
        <w:pStyle w:val="FootnoteText"/>
        <w:spacing w:after="0"/>
      </w:pPr>
      <w:r>
        <w:rPr>
          <w:rStyle w:val="FootnoteReference"/>
        </w:rPr>
        <w:footnoteRef/>
      </w:r>
      <w:r>
        <w:t xml:space="preserve"> AEGIC, The cost of Australia’s bulk grain export supply chains: A postscript, </w:t>
      </w:r>
      <w:r w:rsidRPr="00D223AD">
        <w:t>Version 2014.1</w:t>
      </w:r>
      <w:r>
        <w:t>, p. 17</w:t>
      </w:r>
    </w:p>
  </w:footnote>
  <w:footnote w:id="73">
    <w:p w:rsidR="00241338" w:rsidRDefault="00241338" w:rsidP="00C5269B">
      <w:pPr>
        <w:pStyle w:val="FootnoteText"/>
        <w:spacing w:after="0"/>
      </w:pPr>
      <w:r>
        <w:rPr>
          <w:rStyle w:val="FootnoteReference"/>
        </w:rPr>
        <w:footnoteRef/>
      </w:r>
      <w:r>
        <w:t xml:space="preserve"> GrainCorp, Submission in support, pp. 8, 9.</w:t>
      </w:r>
    </w:p>
  </w:footnote>
  <w:footnote w:id="74">
    <w:p w:rsidR="00241338" w:rsidRDefault="00241338" w:rsidP="00E16D5F">
      <w:pPr>
        <w:pStyle w:val="FootnoteText"/>
        <w:spacing w:after="0"/>
      </w:pPr>
      <w:r>
        <w:rPr>
          <w:rStyle w:val="FootnoteReference"/>
        </w:rPr>
        <w:footnoteRef/>
      </w:r>
      <w:r>
        <w:t xml:space="preserve"> GrainCorp, Submission in support, p. 7</w:t>
      </w:r>
    </w:p>
  </w:footnote>
  <w:footnote w:id="75">
    <w:p w:rsidR="00241338" w:rsidRDefault="00241338" w:rsidP="00C66500">
      <w:pPr>
        <w:pStyle w:val="FootnoteText"/>
        <w:spacing w:after="0"/>
      </w:pPr>
      <w:r>
        <w:rPr>
          <w:rStyle w:val="FootnoteReference"/>
        </w:rPr>
        <w:footnoteRef/>
      </w:r>
      <w:r>
        <w:t xml:space="preserve"> Emerald Grain, Submission in support, p. 14</w:t>
      </w:r>
    </w:p>
  </w:footnote>
  <w:footnote w:id="76">
    <w:p w:rsidR="00241338" w:rsidRDefault="00241338" w:rsidP="00E16D5F">
      <w:pPr>
        <w:pStyle w:val="FootnoteText"/>
        <w:spacing w:after="0"/>
      </w:pPr>
      <w:r>
        <w:rPr>
          <w:rStyle w:val="FootnoteReference"/>
        </w:rPr>
        <w:footnoteRef/>
      </w:r>
      <w:r>
        <w:t xml:space="preserve"> GrainCorp, Submission in support, p. 9</w:t>
      </w:r>
    </w:p>
  </w:footnote>
  <w:footnote w:id="77">
    <w:p w:rsidR="00241338" w:rsidRDefault="00241338" w:rsidP="0091399C">
      <w:pPr>
        <w:pStyle w:val="FootnoteText"/>
        <w:spacing w:after="0"/>
      </w:pPr>
      <w:r>
        <w:rPr>
          <w:rStyle w:val="FootnoteReference"/>
        </w:rPr>
        <w:footnoteRef/>
      </w:r>
      <w:r>
        <w:t xml:space="preserve"> Bunge, </w:t>
      </w:r>
      <w:r w:rsidRPr="0091399C">
        <w:t>http://www.bunge.com.au/news/39-new-grain-export-terminal-for-geelong</w:t>
      </w:r>
    </w:p>
  </w:footnote>
  <w:footnote w:id="78">
    <w:p w:rsidR="00241338" w:rsidRDefault="00241338" w:rsidP="00E51D40">
      <w:pPr>
        <w:pStyle w:val="FootnoteText"/>
        <w:spacing w:after="0"/>
      </w:pPr>
      <w:r>
        <w:rPr>
          <w:rStyle w:val="FootnoteReference"/>
        </w:rPr>
        <w:footnoteRef/>
      </w:r>
      <w:r>
        <w:t xml:space="preserve"> </w:t>
      </w:r>
      <w:r w:rsidRPr="00B47A56">
        <w:t xml:space="preserve">Emerald Grain, Submission in support, p. </w:t>
      </w:r>
      <w:r>
        <w:t>5</w:t>
      </w:r>
    </w:p>
  </w:footnote>
  <w:footnote w:id="79">
    <w:p w:rsidR="00241338" w:rsidRDefault="00241338" w:rsidP="00F83F8F">
      <w:pPr>
        <w:pStyle w:val="FootnoteText"/>
      </w:pPr>
      <w:r>
        <w:rPr>
          <w:rStyle w:val="FootnoteReference"/>
        </w:rPr>
        <w:footnoteRef/>
      </w:r>
      <w:r>
        <w:t xml:space="preserve"> ibid, p. 6</w:t>
      </w:r>
    </w:p>
  </w:footnote>
  <w:footnote w:id="80">
    <w:p w:rsidR="00241338" w:rsidRDefault="00241338" w:rsidP="00677464">
      <w:pPr>
        <w:pStyle w:val="FootnoteText"/>
        <w:spacing w:after="0"/>
      </w:pPr>
      <w:r>
        <w:rPr>
          <w:rStyle w:val="FootnoteReference"/>
        </w:rPr>
        <w:footnoteRef/>
      </w:r>
      <w:r>
        <w:t xml:space="preserve"> GrainCorp, </w:t>
      </w:r>
      <w:r w:rsidRPr="00DB3B5D">
        <w:t xml:space="preserve">Submission in </w:t>
      </w:r>
      <w:r>
        <w:t>support, p. 6</w:t>
      </w:r>
    </w:p>
  </w:footnote>
  <w:footnote w:id="81">
    <w:p w:rsidR="00241338" w:rsidRDefault="00241338" w:rsidP="00C301B5">
      <w:pPr>
        <w:pStyle w:val="FootnoteText"/>
        <w:spacing w:after="0"/>
      </w:pPr>
      <w:r>
        <w:rPr>
          <w:rStyle w:val="FootnoteReference"/>
        </w:rPr>
        <w:footnoteRef/>
      </w:r>
      <w:r>
        <w:t xml:space="preserve"> ibid, p. 6</w:t>
      </w:r>
    </w:p>
  </w:footnote>
  <w:footnote w:id="82">
    <w:p w:rsidR="00241338" w:rsidRDefault="00241338" w:rsidP="00677464">
      <w:pPr>
        <w:pStyle w:val="FootnoteText"/>
        <w:spacing w:after="0"/>
      </w:pPr>
      <w:r>
        <w:rPr>
          <w:rStyle w:val="FootnoteReference"/>
        </w:rPr>
        <w:footnoteRef/>
      </w:r>
      <w:r>
        <w:t xml:space="preserve"> GrainGrowers, Submission on the ACCC’s Issues Paper, p. 3  </w:t>
      </w:r>
    </w:p>
  </w:footnote>
  <w:footnote w:id="83">
    <w:p w:rsidR="00241338" w:rsidRDefault="00241338" w:rsidP="00A533CD">
      <w:pPr>
        <w:pStyle w:val="FootnoteText"/>
        <w:spacing w:after="0"/>
      </w:pPr>
      <w:r>
        <w:rPr>
          <w:rStyle w:val="FootnoteReference"/>
        </w:rPr>
        <w:footnoteRef/>
      </w:r>
      <w:r>
        <w:t xml:space="preserve"> VFF, Submission on the ACCC’s Issues Paper, p. 3</w:t>
      </w:r>
    </w:p>
  </w:footnote>
  <w:footnote w:id="84">
    <w:p w:rsidR="00241338" w:rsidRDefault="00241338">
      <w:pPr>
        <w:pStyle w:val="FootnoteText"/>
      </w:pPr>
      <w:r>
        <w:rPr>
          <w:rStyle w:val="FootnoteReference"/>
        </w:rPr>
        <w:footnoteRef/>
      </w:r>
      <w:r>
        <w:t xml:space="preserve"> Emerald Grain, Supplementary submission, p. 1</w:t>
      </w:r>
    </w:p>
  </w:footnote>
  <w:footnote w:id="85">
    <w:p w:rsidR="00241338" w:rsidRDefault="00241338" w:rsidP="00AF2ABD">
      <w:pPr>
        <w:pStyle w:val="FootnoteText"/>
        <w:spacing w:after="0"/>
      </w:pPr>
      <w:r>
        <w:rPr>
          <w:rStyle w:val="FootnoteReference"/>
        </w:rPr>
        <w:footnoteRef/>
      </w:r>
      <w:r>
        <w:t xml:space="preserve"> GrainCorp, Supplementary submission, pp. 1, 2</w:t>
      </w:r>
    </w:p>
  </w:footnote>
  <w:footnote w:id="86">
    <w:p w:rsidR="00241338" w:rsidRDefault="00241338" w:rsidP="00D37AF6">
      <w:pPr>
        <w:pStyle w:val="FootnoteText"/>
        <w:spacing w:after="0"/>
      </w:pPr>
      <w:r>
        <w:rPr>
          <w:rStyle w:val="FootnoteReference"/>
        </w:rPr>
        <w:footnoteRef/>
      </w:r>
      <w:r>
        <w:t xml:space="preserve"> </w:t>
      </w:r>
      <w:r w:rsidRPr="00D37AF6">
        <w:t>GTA was formed in 1991 to formalise commodity trading standards, develop and publish the trade rules and standardise grain contracts across the Australian grain industry.  GTA's role today is to ensure the efficient facilitation of commercial activities across the grain supply chain.</w:t>
      </w:r>
    </w:p>
  </w:footnote>
  <w:footnote w:id="87">
    <w:p w:rsidR="00241338" w:rsidRDefault="00241338" w:rsidP="00763965">
      <w:pPr>
        <w:pStyle w:val="FootnoteText"/>
        <w:spacing w:after="0"/>
      </w:pPr>
      <w:r>
        <w:rPr>
          <w:rStyle w:val="FootnoteReference"/>
        </w:rPr>
        <w:footnoteRef/>
      </w:r>
      <w:r>
        <w:t xml:space="preserve"> GTA, Explanatory memorandum: GTA Location Differentials 2014/2015 Season, p. 1</w:t>
      </w:r>
    </w:p>
  </w:footnote>
  <w:footnote w:id="88">
    <w:p w:rsidR="00241338" w:rsidRDefault="00241338" w:rsidP="00DB3B5D">
      <w:pPr>
        <w:pStyle w:val="FootnoteText"/>
        <w:spacing w:after="0"/>
      </w:pPr>
      <w:r>
        <w:rPr>
          <w:rStyle w:val="FootnoteReference"/>
        </w:rPr>
        <w:footnoteRef/>
      </w:r>
      <w:r>
        <w:t xml:space="preserve"> ibid, p. 1</w:t>
      </w:r>
    </w:p>
  </w:footnote>
  <w:footnote w:id="89">
    <w:p w:rsidR="00241338" w:rsidRDefault="00241338" w:rsidP="00F20E3E">
      <w:pPr>
        <w:pStyle w:val="FootnoteText"/>
        <w:spacing w:after="0"/>
      </w:pPr>
      <w:r>
        <w:rPr>
          <w:rStyle w:val="FootnoteReference"/>
        </w:rPr>
        <w:footnoteRef/>
      </w:r>
      <w:r>
        <w:t xml:space="preserve"> GrainCorp, 2014/15 </w:t>
      </w:r>
      <w:r w:rsidRPr="00F20E3E">
        <w:t>G</w:t>
      </w:r>
      <w:r>
        <w:t>rower Warehousing Agreement, p. 19</w:t>
      </w:r>
    </w:p>
  </w:footnote>
  <w:footnote w:id="90">
    <w:p w:rsidR="00241338" w:rsidRDefault="00241338" w:rsidP="00DB3B5D">
      <w:pPr>
        <w:pStyle w:val="FootnoteText"/>
        <w:spacing w:after="0"/>
      </w:pPr>
      <w:r>
        <w:rPr>
          <w:rStyle w:val="FootnoteReference"/>
        </w:rPr>
        <w:footnoteRef/>
      </w:r>
      <w:r>
        <w:t xml:space="preserve"> </w:t>
      </w:r>
      <w:r w:rsidRPr="00DB3B5D">
        <w:t>AEGIC, The cost of Australia’s bulk grain export supply chains: An information paper, January 2014, p. 19</w:t>
      </w:r>
    </w:p>
  </w:footnote>
  <w:footnote w:id="91">
    <w:p w:rsidR="00241338" w:rsidRDefault="00241338" w:rsidP="00BF3C24">
      <w:pPr>
        <w:pStyle w:val="FootnoteText"/>
        <w:spacing w:after="0"/>
      </w:pPr>
      <w:r>
        <w:rPr>
          <w:rStyle w:val="FootnoteReference"/>
        </w:rPr>
        <w:footnoteRef/>
      </w:r>
      <w:r>
        <w:t xml:space="preserve"> GTA, </w:t>
      </w:r>
      <w:hyperlink r:id="rId17" w:history="1">
        <w:r w:rsidRPr="002972F1">
          <w:rPr>
            <w:rStyle w:val="Hyperlink"/>
            <w:sz w:val="20"/>
          </w:rPr>
          <w:t>http://www.graintrade.org.au/location_differential_tables</w:t>
        </w:r>
      </w:hyperlink>
      <w:r>
        <w:t xml:space="preserve"> </w:t>
      </w:r>
    </w:p>
  </w:footnote>
  <w:footnote w:id="92">
    <w:p w:rsidR="00241338" w:rsidRDefault="00241338" w:rsidP="003A6AE9">
      <w:pPr>
        <w:pStyle w:val="FootnoteText"/>
        <w:spacing w:after="0"/>
      </w:pPr>
      <w:r>
        <w:rPr>
          <w:rStyle w:val="FootnoteReference"/>
        </w:rPr>
        <w:footnoteRef/>
      </w:r>
      <w:r>
        <w:t xml:space="preserve"> ibid, p. 20</w:t>
      </w:r>
    </w:p>
  </w:footnote>
  <w:footnote w:id="93">
    <w:p w:rsidR="00241338" w:rsidRDefault="00241338" w:rsidP="003A6AE9">
      <w:pPr>
        <w:pStyle w:val="FootnoteText"/>
        <w:spacing w:after="0"/>
      </w:pPr>
      <w:r>
        <w:rPr>
          <w:rStyle w:val="FootnoteReference"/>
        </w:rPr>
        <w:footnoteRef/>
      </w:r>
      <w:r>
        <w:t xml:space="preserve"> GrainCorp, Supplementary submission, pp. 1, 2</w:t>
      </w:r>
    </w:p>
  </w:footnote>
  <w:footnote w:id="94">
    <w:p w:rsidR="00241338" w:rsidRDefault="00241338" w:rsidP="00522816">
      <w:pPr>
        <w:pStyle w:val="FootnoteText"/>
        <w:spacing w:after="0"/>
      </w:pPr>
      <w:r>
        <w:rPr>
          <w:rStyle w:val="FootnoteReference"/>
        </w:rPr>
        <w:footnoteRef/>
      </w:r>
      <w:r>
        <w:t xml:space="preserve"> Emerald, Submission in support, p. 3</w:t>
      </w:r>
    </w:p>
  </w:footnote>
  <w:footnote w:id="95">
    <w:p w:rsidR="00241338" w:rsidRDefault="00241338" w:rsidP="00A87DC6">
      <w:pPr>
        <w:pStyle w:val="FootnoteText"/>
        <w:spacing w:after="0"/>
      </w:pPr>
      <w:r>
        <w:rPr>
          <w:rStyle w:val="FootnoteReference"/>
        </w:rPr>
        <w:footnoteRef/>
      </w:r>
      <w:r>
        <w:t xml:space="preserve"> </w:t>
      </w:r>
      <w:hyperlink r:id="rId18" w:history="1">
        <w:r w:rsidRPr="00DF068B">
          <w:rPr>
            <w:rStyle w:val="Hyperlink"/>
            <w:sz w:val="20"/>
          </w:rPr>
          <w:t>http://www.wimmeragrain.com.au/aboutus.html</w:t>
        </w:r>
      </w:hyperlink>
      <w:r>
        <w:t xml:space="preserve"> </w:t>
      </w:r>
    </w:p>
  </w:footnote>
  <w:footnote w:id="96">
    <w:p w:rsidR="00241338" w:rsidRDefault="00241338" w:rsidP="000C03DA">
      <w:pPr>
        <w:pStyle w:val="FootnoteText"/>
        <w:spacing w:after="0"/>
      </w:pPr>
      <w:r>
        <w:rPr>
          <w:rStyle w:val="FootnoteReference"/>
        </w:rPr>
        <w:footnoteRef/>
      </w:r>
      <w:r>
        <w:t xml:space="preserve"> GrainCorp, Supplementary submission, p. 2</w:t>
      </w:r>
    </w:p>
  </w:footnote>
  <w:footnote w:id="97">
    <w:p w:rsidR="00241338" w:rsidRDefault="00241338" w:rsidP="00646652">
      <w:pPr>
        <w:pStyle w:val="FootnoteText"/>
        <w:spacing w:after="0"/>
      </w:pPr>
      <w:r>
        <w:rPr>
          <w:rStyle w:val="FootnoteReference"/>
        </w:rPr>
        <w:footnoteRef/>
      </w:r>
      <w:r>
        <w:t xml:space="preserve"> Victorian Department of Economic Development, Jobs, Transport &amp; Resources, Victoria’s Containerised Grain Industry, p. 2</w:t>
      </w:r>
    </w:p>
  </w:footnote>
  <w:footnote w:id="98">
    <w:p w:rsidR="00241338" w:rsidRDefault="00241338" w:rsidP="00641858">
      <w:pPr>
        <w:pStyle w:val="FootnoteText"/>
        <w:spacing w:after="0"/>
      </w:pPr>
      <w:r>
        <w:rPr>
          <w:rStyle w:val="FootnoteReference"/>
        </w:rPr>
        <w:footnoteRef/>
      </w:r>
      <w:r>
        <w:t xml:space="preserve"> ibid, p. 2</w:t>
      </w:r>
    </w:p>
  </w:footnote>
  <w:footnote w:id="99">
    <w:p w:rsidR="00241338" w:rsidRDefault="00241338" w:rsidP="00213F0D">
      <w:pPr>
        <w:pStyle w:val="FootnoteText"/>
        <w:spacing w:after="0"/>
      </w:pPr>
      <w:r>
        <w:rPr>
          <w:rStyle w:val="FootnoteReference"/>
        </w:rPr>
        <w:footnoteRef/>
      </w:r>
      <w:r>
        <w:t xml:space="preserve"> Emerald Grain, Submission in support, p. 15</w:t>
      </w:r>
    </w:p>
  </w:footnote>
  <w:footnote w:id="100">
    <w:p w:rsidR="00241338" w:rsidRDefault="00241338" w:rsidP="00303B2C">
      <w:pPr>
        <w:pStyle w:val="FootnoteText"/>
        <w:spacing w:after="0"/>
      </w:pPr>
      <w:r>
        <w:rPr>
          <w:rStyle w:val="FootnoteReference"/>
        </w:rPr>
        <w:footnoteRef/>
      </w:r>
      <w:r>
        <w:t xml:space="preserve"> </w:t>
      </w:r>
      <w:r w:rsidRPr="00213F0D">
        <w:t>Victorian Department of Economic Development, Jobs, Transport &amp; Resources, Victoria’s Co</w:t>
      </w:r>
      <w:r>
        <w:t>ntainerised Grain Industry, p. 2</w:t>
      </w:r>
    </w:p>
  </w:footnote>
  <w:footnote w:id="101">
    <w:p w:rsidR="00241338" w:rsidRDefault="00241338" w:rsidP="00713A95">
      <w:pPr>
        <w:pStyle w:val="FootnoteText"/>
        <w:spacing w:after="0"/>
      </w:pPr>
      <w:r>
        <w:rPr>
          <w:rStyle w:val="FootnoteReference"/>
        </w:rPr>
        <w:footnoteRef/>
      </w:r>
      <w:r>
        <w:t xml:space="preserve"> ibid, p. 4</w:t>
      </w:r>
    </w:p>
  </w:footnote>
  <w:footnote w:id="102">
    <w:p w:rsidR="00241338" w:rsidRDefault="00241338" w:rsidP="00641858">
      <w:pPr>
        <w:pStyle w:val="FootnoteText"/>
        <w:spacing w:after="0"/>
      </w:pPr>
      <w:r>
        <w:rPr>
          <w:rStyle w:val="FootnoteReference"/>
        </w:rPr>
        <w:footnoteRef/>
      </w:r>
      <w:r>
        <w:t xml:space="preserve"> ibid, p. 2</w:t>
      </w:r>
    </w:p>
  </w:footnote>
  <w:footnote w:id="103">
    <w:p w:rsidR="00241338" w:rsidRDefault="00241338" w:rsidP="008E19B3">
      <w:pPr>
        <w:pStyle w:val="FootnoteText"/>
        <w:spacing w:after="0"/>
      </w:pPr>
      <w:r>
        <w:rPr>
          <w:rStyle w:val="FootnoteReference"/>
        </w:rPr>
        <w:footnoteRef/>
      </w:r>
      <w:r>
        <w:t xml:space="preserve"> GrainCorp, Supplementary submission, p. 3</w:t>
      </w:r>
    </w:p>
  </w:footnote>
  <w:footnote w:id="104">
    <w:p w:rsidR="00241338" w:rsidRDefault="00241338" w:rsidP="00646652">
      <w:pPr>
        <w:pStyle w:val="FootnoteText"/>
        <w:spacing w:after="0"/>
      </w:pPr>
      <w:r>
        <w:rPr>
          <w:rStyle w:val="FootnoteReference"/>
        </w:rPr>
        <w:footnoteRef/>
      </w:r>
      <w:r>
        <w:t xml:space="preserve"> </w:t>
      </w:r>
      <w:r w:rsidRPr="00213F0D">
        <w:t>Victorian Department of Economic Development, Jobs, Transport &amp; Resources, Victoria’s Co</w:t>
      </w:r>
      <w:r>
        <w:t>ntainerised Grain Industry, p. 2;</w:t>
      </w:r>
      <w:r w:rsidRPr="00A44FC9">
        <w:t xml:space="preserve"> </w:t>
      </w:r>
      <w:r>
        <w:t xml:space="preserve">The Wimmera Mail-Times, </w:t>
      </w:r>
      <w:r w:rsidRPr="002D7F7C">
        <w:t>http://www.mailtimes.com.au/story/2013484/wimmera-intermodal-freight-terminal-up-and-running/</w:t>
      </w:r>
    </w:p>
  </w:footnote>
  <w:footnote w:id="105">
    <w:p w:rsidR="00241338" w:rsidRDefault="00241338" w:rsidP="00646652">
      <w:pPr>
        <w:pStyle w:val="FootnoteText"/>
        <w:spacing w:after="0"/>
      </w:pPr>
      <w:r>
        <w:rPr>
          <w:rStyle w:val="FootnoteReference"/>
        </w:rPr>
        <w:footnoteRef/>
      </w:r>
      <w:r>
        <w:t xml:space="preserve"> Viterra, </w:t>
      </w:r>
      <w:hyperlink r:id="rId19" w:history="1">
        <w:r w:rsidRPr="004553EC">
          <w:rPr>
            <w:rStyle w:val="Hyperlink"/>
            <w:sz w:val="20"/>
          </w:rPr>
          <w:t>http://www.viterra.com.au/packing-and-processing</w:t>
        </w:r>
      </w:hyperlink>
      <w:r>
        <w:t xml:space="preserve"> </w:t>
      </w:r>
    </w:p>
  </w:footnote>
  <w:footnote w:id="106">
    <w:p w:rsidR="00241338" w:rsidRDefault="00241338" w:rsidP="00F52E0E">
      <w:pPr>
        <w:pStyle w:val="FootnoteText"/>
        <w:spacing w:after="0"/>
      </w:pPr>
      <w:r>
        <w:rPr>
          <w:rStyle w:val="FootnoteReference"/>
        </w:rPr>
        <w:footnoteRef/>
      </w:r>
      <w:r>
        <w:t xml:space="preserve"> Riordan Grains, </w:t>
      </w:r>
      <w:hyperlink r:id="rId20" w:history="1">
        <w:r w:rsidRPr="004553EC">
          <w:rPr>
            <w:rStyle w:val="Hyperlink"/>
            <w:sz w:val="20"/>
          </w:rPr>
          <w:t>http://riordangrains.com.au/grain-storage/</w:t>
        </w:r>
      </w:hyperlink>
      <w:r>
        <w:t xml:space="preserve"> </w:t>
      </w:r>
    </w:p>
  </w:footnote>
  <w:footnote w:id="107">
    <w:p w:rsidR="00241338" w:rsidRDefault="00241338" w:rsidP="00742661">
      <w:pPr>
        <w:pStyle w:val="FootnoteText"/>
        <w:spacing w:after="0"/>
      </w:pPr>
      <w:r>
        <w:rPr>
          <w:rStyle w:val="FootnoteReference"/>
        </w:rPr>
        <w:footnoteRef/>
      </w:r>
      <w:r>
        <w:t xml:space="preserve"> Agripak, </w:t>
      </w:r>
      <w:hyperlink r:id="rId21" w:history="1">
        <w:r w:rsidRPr="004553EC">
          <w:rPr>
            <w:rStyle w:val="Hyperlink"/>
            <w:sz w:val="20"/>
          </w:rPr>
          <w:t>http://www.agripak.com.au/services</w:t>
        </w:r>
      </w:hyperlink>
      <w:r>
        <w:t xml:space="preserve"> </w:t>
      </w:r>
    </w:p>
  </w:footnote>
  <w:footnote w:id="108">
    <w:p w:rsidR="00241338" w:rsidRDefault="00241338" w:rsidP="00CF6107">
      <w:pPr>
        <w:pStyle w:val="FootnoteText"/>
        <w:spacing w:after="0"/>
      </w:pPr>
      <w:r>
        <w:rPr>
          <w:rStyle w:val="FootnoteReference"/>
        </w:rPr>
        <w:footnoteRef/>
      </w:r>
      <w:r>
        <w:t xml:space="preserve"> </w:t>
      </w:r>
      <w:proofErr w:type="spellStart"/>
      <w:r>
        <w:t>Mahoneys</w:t>
      </w:r>
      <w:proofErr w:type="spellEnd"/>
      <w:r>
        <w:t xml:space="preserve"> Transport, </w:t>
      </w:r>
      <w:hyperlink r:id="rId22" w:history="1">
        <w:r w:rsidRPr="004553EC">
          <w:rPr>
            <w:rStyle w:val="Hyperlink"/>
            <w:sz w:val="20"/>
          </w:rPr>
          <w:t>http://www.mahonystransport.com.au/services.php?id=8</w:t>
        </w:r>
      </w:hyperlink>
    </w:p>
  </w:footnote>
  <w:footnote w:id="109">
    <w:p w:rsidR="00241338" w:rsidRDefault="00241338" w:rsidP="004F6DB6">
      <w:pPr>
        <w:pStyle w:val="FootnoteText"/>
        <w:spacing w:after="0"/>
      </w:pPr>
      <w:r>
        <w:rPr>
          <w:rStyle w:val="FootnoteReference"/>
        </w:rPr>
        <w:footnoteRef/>
      </w:r>
      <w:r>
        <w:t xml:space="preserve"> Emerald Grain, Submission in support, p. 15</w:t>
      </w:r>
    </w:p>
  </w:footnote>
  <w:footnote w:id="110">
    <w:p w:rsidR="00241338" w:rsidRDefault="00241338" w:rsidP="00CF6107">
      <w:pPr>
        <w:pStyle w:val="FootnoteText"/>
        <w:spacing w:after="0"/>
      </w:pPr>
      <w:r>
        <w:rPr>
          <w:rStyle w:val="FootnoteReference"/>
        </w:rPr>
        <w:footnoteRef/>
      </w:r>
      <w:r>
        <w:t xml:space="preserve"> </w:t>
      </w:r>
      <w:r>
        <w:rPr>
          <w:rFonts w:hint="eastAsia"/>
        </w:rPr>
        <w:t xml:space="preserve">AEGIC, </w:t>
      </w:r>
      <w:r w:rsidRPr="0044010A">
        <w:t>The cost of Australia’s bulk grain export supply chains: An inform</w:t>
      </w:r>
      <w:r>
        <w:t xml:space="preserve">ation paper, January 2014, p. </w:t>
      </w:r>
      <w:r>
        <w:rPr>
          <w:rFonts w:hint="eastAsia"/>
        </w:rPr>
        <w:t>9</w:t>
      </w:r>
    </w:p>
  </w:footnote>
  <w:footnote w:id="111">
    <w:p w:rsidR="00241338" w:rsidRDefault="00241338" w:rsidP="00CF6107">
      <w:pPr>
        <w:pStyle w:val="FootnoteText"/>
        <w:spacing w:after="0"/>
      </w:pPr>
      <w:r>
        <w:rPr>
          <w:rStyle w:val="FootnoteReference"/>
        </w:rPr>
        <w:footnoteRef/>
      </w:r>
      <w:r>
        <w:t xml:space="preserve"> </w:t>
      </w:r>
      <w:r w:rsidRPr="008568B7">
        <w:t>Victorian Department of Economic Development, Jobs, Transport &amp; Resources</w:t>
      </w:r>
      <w:r>
        <w:rPr>
          <w:rFonts w:hint="eastAsia"/>
        </w:rPr>
        <w:t xml:space="preserve">, Grain Industry Profile, </w:t>
      </w:r>
      <w:r>
        <w:t>December</w:t>
      </w:r>
      <w:r>
        <w:rPr>
          <w:rFonts w:hint="eastAsia"/>
        </w:rPr>
        <w:t xml:space="preserve"> 2014, p. 4</w:t>
      </w:r>
    </w:p>
  </w:footnote>
  <w:footnote w:id="112">
    <w:p w:rsidR="00241338" w:rsidRPr="00002196" w:rsidRDefault="00241338" w:rsidP="00CF6107">
      <w:pPr>
        <w:pStyle w:val="FootnoteText"/>
        <w:spacing w:after="0"/>
      </w:pPr>
      <w:r>
        <w:rPr>
          <w:rStyle w:val="FootnoteReference"/>
        </w:rPr>
        <w:footnoteRef/>
      </w:r>
      <w:r>
        <w:t xml:space="preserve"> </w:t>
      </w:r>
      <w:r w:rsidRPr="007B7B40">
        <w:t>Victorian Department of Primary Industries</w:t>
      </w:r>
      <w:r w:rsidRPr="007B7B40">
        <w:rPr>
          <w:rFonts w:hint="eastAsia"/>
        </w:rPr>
        <w:t xml:space="preserve">, </w:t>
      </w:r>
      <w:hyperlink r:id="rId23" w:history="1">
        <w:r w:rsidRPr="007B7B40">
          <w:rPr>
            <w:rStyle w:val="Hyperlink"/>
            <w:sz w:val="20"/>
          </w:rPr>
          <w:t>http://www.depi.vic.gov.au/agriculture-and-food/dairy</w:t>
        </w:r>
      </w:hyperlink>
      <w:r w:rsidRPr="007B7B40">
        <w:rPr>
          <w:rFonts w:hint="eastAsia"/>
        </w:rPr>
        <w:t xml:space="preserve"> </w:t>
      </w:r>
    </w:p>
  </w:footnote>
  <w:footnote w:id="113">
    <w:p w:rsidR="00241338" w:rsidRPr="00110C71" w:rsidRDefault="00241338" w:rsidP="00CF6107">
      <w:pPr>
        <w:pStyle w:val="FootnoteText"/>
        <w:spacing w:after="0"/>
      </w:pPr>
      <w:r>
        <w:rPr>
          <w:rStyle w:val="FootnoteReference"/>
        </w:rPr>
        <w:footnoteRef/>
      </w:r>
      <w:r>
        <w:t xml:space="preserve"> </w:t>
      </w:r>
      <w:r w:rsidRPr="008568B7">
        <w:t>Victorian Department of Economic Development, Jobs, Transport &amp; Resources</w:t>
      </w:r>
      <w:r>
        <w:rPr>
          <w:rFonts w:hint="eastAsia"/>
        </w:rPr>
        <w:t xml:space="preserve">, Grain Industry Profile, </w:t>
      </w:r>
      <w:r>
        <w:t>December</w:t>
      </w:r>
      <w:r>
        <w:rPr>
          <w:rFonts w:hint="eastAsia"/>
        </w:rPr>
        <w:t xml:space="preserve"> 2014, p. 4</w:t>
      </w:r>
    </w:p>
  </w:footnote>
  <w:footnote w:id="114">
    <w:p w:rsidR="00241338" w:rsidRDefault="00241338" w:rsidP="00CF6107">
      <w:pPr>
        <w:pStyle w:val="FootnoteText"/>
        <w:spacing w:after="0"/>
      </w:pPr>
      <w:r>
        <w:rPr>
          <w:rStyle w:val="FootnoteReference"/>
        </w:rPr>
        <w:footnoteRef/>
      </w:r>
      <w:r>
        <w:t xml:space="preserve"> </w:t>
      </w:r>
      <w:r>
        <w:rPr>
          <w:rFonts w:hint="eastAsia"/>
        </w:rPr>
        <w:t>GrainCorp, Submission in support, p. 15</w:t>
      </w:r>
    </w:p>
  </w:footnote>
  <w:footnote w:id="115">
    <w:p w:rsidR="00241338" w:rsidRDefault="00241338" w:rsidP="00CF6107">
      <w:pPr>
        <w:pStyle w:val="FootnoteText"/>
        <w:spacing w:after="0"/>
      </w:pPr>
      <w:r>
        <w:rPr>
          <w:rStyle w:val="FootnoteReference"/>
        </w:rPr>
        <w:footnoteRef/>
      </w:r>
      <w:r>
        <w:t xml:space="preserve"> </w:t>
      </w:r>
      <w:r>
        <w:rPr>
          <w:rFonts w:hint="eastAsia"/>
        </w:rPr>
        <w:t>GrainCorp, Submission in support, p. 4</w:t>
      </w:r>
    </w:p>
  </w:footnote>
  <w:footnote w:id="116">
    <w:p w:rsidR="00241338" w:rsidRDefault="00241338" w:rsidP="00CF6107">
      <w:pPr>
        <w:pStyle w:val="FootnoteText"/>
        <w:spacing w:after="0"/>
      </w:pPr>
      <w:r>
        <w:rPr>
          <w:rStyle w:val="FootnoteReference"/>
        </w:rPr>
        <w:footnoteRef/>
      </w:r>
      <w:r>
        <w:t xml:space="preserve"> </w:t>
      </w:r>
      <w:r>
        <w:rPr>
          <w:rFonts w:hint="eastAsia"/>
        </w:rPr>
        <w:t>Emerald Grain, Submission in support, p. 14</w:t>
      </w:r>
    </w:p>
  </w:footnote>
  <w:footnote w:id="117">
    <w:p w:rsidR="00241338" w:rsidRDefault="00241338" w:rsidP="00CF6107">
      <w:pPr>
        <w:pStyle w:val="FootnoteText"/>
        <w:spacing w:after="0"/>
      </w:pPr>
      <w:r>
        <w:rPr>
          <w:rStyle w:val="FootnoteReference"/>
        </w:rPr>
        <w:footnoteRef/>
      </w:r>
      <w:r>
        <w:t xml:space="preserve"> </w:t>
      </w:r>
      <w:r>
        <w:rPr>
          <w:rFonts w:hint="eastAsia"/>
        </w:rPr>
        <w:t xml:space="preserve">GrainCorp, Submission in </w:t>
      </w:r>
      <w:r>
        <w:t>support</w:t>
      </w:r>
      <w:r>
        <w:rPr>
          <w:rFonts w:hint="eastAsia"/>
        </w:rPr>
        <w:t>, pp. 5, 9</w:t>
      </w:r>
    </w:p>
  </w:footnote>
  <w:footnote w:id="118">
    <w:p w:rsidR="00241338" w:rsidRDefault="00241338" w:rsidP="007E08CF">
      <w:pPr>
        <w:pStyle w:val="FootnoteText"/>
        <w:spacing w:after="0"/>
      </w:pPr>
      <w:r>
        <w:rPr>
          <w:rStyle w:val="FootnoteReference"/>
        </w:rPr>
        <w:footnoteRef/>
      </w:r>
      <w:r>
        <w:t xml:space="preserve"> Emerald Grain, Submission in support, pp. 3, 16</w:t>
      </w:r>
    </w:p>
  </w:footnote>
  <w:footnote w:id="119">
    <w:p w:rsidR="00241338" w:rsidRDefault="00241338" w:rsidP="00646672">
      <w:pPr>
        <w:pStyle w:val="FootnoteText"/>
        <w:spacing w:after="0"/>
      </w:pPr>
      <w:r>
        <w:rPr>
          <w:rStyle w:val="FootnoteReference"/>
        </w:rPr>
        <w:footnoteRef/>
      </w:r>
      <w:r>
        <w:t xml:space="preserve"> ibid, p. 16</w:t>
      </w:r>
    </w:p>
  </w:footnote>
  <w:footnote w:id="120">
    <w:p w:rsidR="00241338" w:rsidRDefault="00241338" w:rsidP="00381CBB">
      <w:pPr>
        <w:pStyle w:val="FootnoteText"/>
        <w:spacing w:after="0"/>
      </w:pPr>
      <w:r>
        <w:rPr>
          <w:rStyle w:val="FootnoteReference"/>
        </w:rPr>
        <w:footnoteRef/>
      </w:r>
      <w:r>
        <w:t xml:space="preserve"> Emerald Grain, Supplementary submission, p. 2</w:t>
      </w:r>
    </w:p>
  </w:footnote>
  <w:footnote w:id="121">
    <w:p w:rsidR="00241338" w:rsidRDefault="00241338" w:rsidP="00AF3899">
      <w:pPr>
        <w:pStyle w:val="FootnoteText"/>
        <w:spacing w:after="0"/>
      </w:pPr>
      <w:r>
        <w:rPr>
          <w:rStyle w:val="FootnoteReference"/>
        </w:rPr>
        <w:footnoteRef/>
      </w:r>
      <w:r>
        <w:t xml:space="preserve"> ACCC media release, </w:t>
      </w:r>
      <w:r w:rsidRPr="00AF3899">
        <w:t>ACCC allows GrainCorp to introduce long-term port access agreements</w:t>
      </w:r>
    </w:p>
  </w:footnote>
  <w:footnote w:id="122">
    <w:p w:rsidR="00241338" w:rsidRDefault="00241338" w:rsidP="001F4702">
      <w:pPr>
        <w:autoSpaceDE w:val="0"/>
        <w:autoSpaceDN w:val="0"/>
        <w:adjustRightInd w:val="0"/>
        <w:spacing w:before="0" w:after="0"/>
        <w:rPr>
          <w:rFonts w:cs="Arial"/>
          <w:sz w:val="20"/>
          <w:szCs w:val="20"/>
        </w:rPr>
      </w:pPr>
      <w:r>
        <w:rPr>
          <w:rStyle w:val="FootnoteReference"/>
        </w:rPr>
        <w:footnoteRef/>
      </w:r>
      <w:r>
        <w:t xml:space="preserve"> </w:t>
      </w:r>
      <w:r>
        <w:rPr>
          <w:rFonts w:cs="Arial"/>
          <w:sz w:val="20"/>
          <w:szCs w:val="20"/>
        </w:rPr>
        <w:t>ACCC, Australian Bulk Alliance Pty Ltd - Port Terminal Services Access Undertaking:</w:t>
      </w:r>
    </w:p>
    <w:p w:rsidR="00241338" w:rsidRDefault="00241338" w:rsidP="001F4702">
      <w:pPr>
        <w:pStyle w:val="FootnoteText"/>
        <w:spacing w:after="0"/>
      </w:pPr>
      <w:r>
        <w:rPr>
          <w:rFonts w:cs="Arial"/>
        </w:rPr>
        <w:t>Decision to accept, 28 September 2011, p. 29</w:t>
      </w:r>
    </w:p>
  </w:footnote>
  <w:footnote w:id="123">
    <w:p w:rsidR="00241338" w:rsidRDefault="00241338">
      <w:pPr>
        <w:pStyle w:val="FootnoteText"/>
      </w:pPr>
      <w:r>
        <w:rPr>
          <w:rStyle w:val="FootnoteReference"/>
        </w:rPr>
        <w:footnoteRef/>
      </w:r>
      <w:r>
        <w:t xml:space="preserve"> Emerald Grain, Submission in support, p. 19</w:t>
      </w:r>
    </w:p>
  </w:footnote>
  <w:footnote w:id="124">
    <w:p w:rsidR="00241338" w:rsidRDefault="00241338" w:rsidP="00743894">
      <w:pPr>
        <w:pStyle w:val="FootnoteText"/>
        <w:spacing w:after="0"/>
      </w:pPr>
      <w:r>
        <w:rPr>
          <w:rStyle w:val="FootnoteReference"/>
        </w:rPr>
        <w:footnoteRef/>
      </w:r>
      <w:r>
        <w:t xml:space="preserve"> GrainCorp, Submission in support, p. 4</w:t>
      </w:r>
    </w:p>
  </w:footnote>
  <w:footnote w:id="125">
    <w:p w:rsidR="00241338" w:rsidRDefault="00241338" w:rsidP="00635850">
      <w:pPr>
        <w:pStyle w:val="FootnoteText"/>
        <w:spacing w:after="0"/>
      </w:pPr>
      <w:r>
        <w:rPr>
          <w:rStyle w:val="FootnoteReference"/>
        </w:rPr>
        <w:footnoteRef/>
      </w:r>
      <w:r>
        <w:t xml:space="preserve"> ACCC, </w:t>
      </w:r>
      <w:hyperlink r:id="rId24" w:history="1">
        <w:r w:rsidRPr="00054874">
          <w:rPr>
            <w:rStyle w:val="Hyperlink"/>
            <w:sz w:val="20"/>
          </w:rPr>
          <w:t>https://www.accc.gov.au/media-release/accc-allows-graincorp-to-introduce-long-term-port-access-agreements</w:t>
        </w:r>
      </w:hyperlink>
      <w:r>
        <w:t xml:space="preserve"> </w:t>
      </w:r>
    </w:p>
  </w:footnote>
  <w:footnote w:id="126">
    <w:p w:rsidR="00241338" w:rsidRDefault="00241338" w:rsidP="008E552B">
      <w:pPr>
        <w:pStyle w:val="FootnoteText"/>
        <w:spacing w:after="0"/>
      </w:pPr>
      <w:r>
        <w:rPr>
          <w:rStyle w:val="FootnoteReference"/>
        </w:rPr>
        <w:footnoteRef/>
      </w:r>
      <w:r>
        <w:t xml:space="preserve"> ACCC, Australian Bulk Alliance Pty Ltd - Port Terminal Services Access Undertaking: Decision to accept, 28 September 2011, p. 29</w:t>
      </w:r>
    </w:p>
  </w:footnote>
  <w:footnote w:id="127">
    <w:p w:rsidR="00241338" w:rsidRDefault="00241338">
      <w:pPr>
        <w:pStyle w:val="FootnoteText"/>
      </w:pPr>
      <w:r>
        <w:rPr>
          <w:rStyle w:val="FootnoteReference"/>
        </w:rPr>
        <w:footnoteRef/>
      </w:r>
      <w:r>
        <w:t xml:space="preserve"> GrainCorp, Submission in support, p. 3</w:t>
      </w:r>
    </w:p>
  </w:footnote>
  <w:footnote w:id="128">
    <w:p w:rsidR="00241338" w:rsidRDefault="00241338" w:rsidP="00022C00">
      <w:pPr>
        <w:pStyle w:val="FootnoteText"/>
        <w:spacing w:after="0"/>
      </w:pPr>
      <w:r>
        <w:rPr>
          <w:rStyle w:val="FootnoteReference"/>
        </w:rPr>
        <w:footnoteRef/>
      </w:r>
      <w:r>
        <w:t xml:space="preserve"> ACCC, </w:t>
      </w:r>
      <w:hyperlink r:id="rId25" w:history="1">
        <w:r w:rsidRPr="00054874">
          <w:rPr>
            <w:rStyle w:val="Hyperlink"/>
            <w:sz w:val="20"/>
          </w:rPr>
          <w:t>https://www.accc.gov.au/media-release/accc-allows-graincorp-to-introduce-long-term-port-access-agreements</w:t>
        </w:r>
      </w:hyperlink>
      <w:r>
        <w:t xml:space="preserve"> </w:t>
      </w:r>
    </w:p>
  </w:footnote>
  <w:footnote w:id="129">
    <w:p w:rsidR="00241338" w:rsidRDefault="00241338" w:rsidP="00022C00">
      <w:pPr>
        <w:pStyle w:val="FootnoteText"/>
        <w:spacing w:after="0"/>
      </w:pPr>
      <w:r>
        <w:rPr>
          <w:rStyle w:val="FootnoteReference"/>
        </w:rPr>
        <w:footnoteRef/>
      </w:r>
      <w:r>
        <w:t xml:space="preserve"> GrainCorp, Submission in support, p. 9</w:t>
      </w:r>
    </w:p>
  </w:footnote>
  <w:footnote w:id="130">
    <w:p w:rsidR="00241338" w:rsidRDefault="00241338" w:rsidP="002E1C36">
      <w:pPr>
        <w:pStyle w:val="FootnoteText"/>
      </w:pPr>
      <w:r>
        <w:rPr>
          <w:rStyle w:val="FootnoteReference"/>
        </w:rPr>
        <w:footnoteRef/>
      </w:r>
      <w:r>
        <w:t xml:space="preserve"> GrainCorp, Submission in support, p. 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EAC" w:rsidRDefault="008F4EA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EAC" w:rsidRDefault="008F4EA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EAC" w:rsidRDefault="008F4E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9C88B246"/>
    <w:lvl w:ilvl="0">
      <w:start w:val="1"/>
      <w:numFmt w:val="decimal"/>
      <w:pStyle w:val="ListNumber2"/>
      <w:lvlText w:val="%1."/>
      <w:lvlJc w:val="left"/>
      <w:pPr>
        <w:tabs>
          <w:tab w:val="num" w:pos="643"/>
        </w:tabs>
        <w:ind w:left="643" w:hanging="360"/>
      </w:pPr>
    </w:lvl>
  </w:abstractNum>
  <w:abstractNum w:abstractNumId="1">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8"/>
    <w:multiLevelType w:val="singleLevel"/>
    <w:tmpl w:val="E58EFAB2"/>
    <w:lvl w:ilvl="0">
      <w:start w:val="1"/>
      <w:numFmt w:val="decimal"/>
      <w:pStyle w:val="ListNumber"/>
      <w:lvlText w:val="%1."/>
      <w:lvlJc w:val="left"/>
      <w:pPr>
        <w:tabs>
          <w:tab w:val="num" w:pos="644"/>
        </w:tabs>
        <w:ind w:left="644" w:hanging="360"/>
      </w:pPr>
    </w:lvl>
  </w:abstractNum>
  <w:abstractNum w:abstractNumId="3">
    <w:nsid w:val="FFFFFF89"/>
    <w:multiLevelType w:val="singleLevel"/>
    <w:tmpl w:val="B238C328"/>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5553978"/>
    <w:multiLevelType w:val="hybridMultilevel"/>
    <w:tmpl w:val="7EF62CA2"/>
    <w:lvl w:ilvl="0" w:tplc="4D1209C8">
      <w:start w:val="1"/>
      <w:numFmt w:val="lowerLetter"/>
      <w:lvlText w:val="(%1)"/>
      <w:lvlJc w:val="left"/>
      <w:pPr>
        <w:ind w:left="1080" w:hanging="720"/>
      </w:pPr>
      <w:rPr>
        <w:rFonts w:hint="default"/>
      </w:rPr>
    </w:lvl>
    <w:lvl w:ilvl="1" w:tplc="9FD67F4A">
      <w:start w:val="10"/>
      <w:numFmt w:val="bullet"/>
      <w:lvlText w:val="•"/>
      <w:lvlJc w:val="left"/>
      <w:pPr>
        <w:ind w:left="1800" w:hanging="720"/>
      </w:pPr>
      <w:rPr>
        <w:rFonts w:ascii="Arial" w:eastAsiaTheme="minorHAnsi"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6B325DE"/>
    <w:multiLevelType w:val="hybridMultilevel"/>
    <w:tmpl w:val="F9F02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C013FD1"/>
    <w:multiLevelType w:val="hybridMultilevel"/>
    <w:tmpl w:val="5ACE2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DE82A01"/>
    <w:multiLevelType w:val="hybridMultilevel"/>
    <w:tmpl w:val="783C091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F8F1999"/>
    <w:multiLevelType w:val="hybridMultilevel"/>
    <w:tmpl w:val="56904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0FC3577"/>
    <w:multiLevelType w:val="multilevel"/>
    <w:tmpl w:val="1CB255B8"/>
    <w:lvl w:ilvl="0">
      <w:start w:val="1"/>
      <w:numFmt w:val="decimal"/>
      <w:lvlText w:val="%1."/>
      <w:lvlJc w:val="left"/>
      <w:pPr>
        <w:ind w:left="360" w:hanging="360"/>
      </w:pPr>
    </w:lvl>
    <w:lvl w:ilvl="1">
      <w:start w:val="1"/>
      <w:numFmt w:val="decimal"/>
      <w:pStyle w:val="Headingnumbered1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26D0BD4"/>
    <w:multiLevelType w:val="hybridMultilevel"/>
    <w:tmpl w:val="D234D0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940604C"/>
    <w:multiLevelType w:val="hybridMultilevel"/>
    <w:tmpl w:val="D6947CC8"/>
    <w:lvl w:ilvl="0" w:tplc="A81EF1C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A9B610D"/>
    <w:multiLevelType w:val="hybridMultilevel"/>
    <w:tmpl w:val="DC8A5E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07320AC"/>
    <w:multiLevelType w:val="hybridMultilevel"/>
    <w:tmpl w:val="8CE0F13C"/>
    <w:lvl w:ilvl="0" w:tplc="1DB05738">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08248B9"/>
    <w:multiLevelType w:val="hybridMultilevel"/>
    <w:tmpl w:val="DE38C636"/>
    <w:lvl w:ilvl="0" w:tplc="1C008626">
      <w:start w:val="10"/>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5624E49"/>
    <w:multiLevelType w:val="hybridMultilevel"/>
    <w:tmpl w:val="3E8E6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7AC28D0"/>
    <w:multiLevelType w:val="hybridMultilevel"/>
    <w:tmpl w:val="47B07E8E"/>
    <w:lvl w:ilvl="0" w:tplc="0C090001">
      <w:start w:val="1"/>
      <w:numFmt w:val="bullet"/>
      <w:lvlText w:val=""/>
      <w:lvlJc w:val="left"/>
      <w:pPr>
        <w:ind w:left="1296" w:hanging="360"/>
      </w:pPr>
      <w:rPr>
        <w:rFonts w:ascii="Symbol" w:hAnsi="Symbol" w:hint="default"/>
      </w:rPr>
    </w:lvl>
    <w:lvl w:ilvl="1" w:tplc="0C090003" w:tentative="1">
      <w:start w:val="1"/>
      <w:numFmt w:val="bullet"/>
      <w:lvlText w:val="o"/>
      <w:lvlJc w:val="left"/>
      <w:pPr>
        <w:ind w:left="2016" w:hanging="360"/>
      </w:pPr>
      <w:rPr>
        <w:rFonts w:ascii="Courier New" w:hAnsi="Courier New" w:cs="Courier New" w:hint="default"/>
      </w:rPr>
    </w:lvl>
    <w:lvl w:ilvl="2" w:tplc="0C090005" w:tentative="1">
      <w:start w:val="1"/>
      <w:numFmt w:val="bullet"/>
      <w:lvlText w:val=""/>
      <w:lvlJc w:val="left"/>
      <w:pPr>
        <w:ind w:left="2736" w:hanging="360"/>
      </w:pPr>
      <w:rPr>
        <w:rFonts w:ascii="Wingdings" w:hAnsi="Wingdings" w:hint="default"/>
      </w:rPr>
    </w:lvl>
    <w:lvl w:ilvl="3" w:tplc="0C090001" w:tentative="1">
      <w:start w:val="1"/>
      <w:numFmt w:val="bullet"/>
      <w:lvlText w:val=""/>
      <w:lvlJc w:val="left"/>
      <w:pPr>
        <w:ind w:left="3456" w:hanging="360"/>
      </w:pPr>
      <w:rPr>
        <w:rFonts w:ascii="Symbol" w:hAnsi="Symbol" w:hint="default"/>
      </w:rPr>
    </w:lvl>
    <w:lvl w:ilvl="4" w:tplc="0C090003" w:tentative="1">
      <w:start w:val="1"/>
      <w:numFmt w:val="bullet"/>
      <w:lvlText w:val="o"/>
      <w:lvlJc w:val="left"/>
      <w:pPr>
        <w:ind w:left="4176" w:hanging="360"/>
      </w:pPr>
      <w:rPr>
        <w:rFonts w:ascii="Courier New" w:hAnsi="Courier New" w:cs="Courier New" w:hint="default"/>
      </w:rPr>
    </w:lvl>
    <w:lvl w:ilvl="5" w:tplc="0C090005" w:tentative="1">
      <w:start w:val="1"/>
      <w:numFmt w:val="bullet"/>
      <w:lvlText w:val=""/>
      <w:lvlJc w:val="left"/>
      <w:pPr>
        <w:ind w:left="4896" w:hanging="360"/>
      </w:pPr>
      <w:rPr>
        <w:rFonts w:ascii="Wingdings" w:hAnsi="Wingdings" w:hint="default"/>
      </w:rPr>
    </w:lvl>
    <w:lvl w:ilvl="6" w:tplc="0C090001" w:tentative="1">
      <w:start w:val="1"/>
      <w:numFmt w:val="bullet"/>
      <w:lvlText w:val=""/>
      <w:lvlJc w:val="left"/>
      <w:pPr>
        <w:ind w:left="5616" w:hanging="360"/>
      </w:pPr>
      <w:rPr>
        <w:rFonts w:ascii="Symbol" w:hAnsi="Symbol" w:hint="default"/>
      </w:rPr>
    </w:lvl>
    <w:lvl w:ilvl="7" w:tplc="0C090003" w:tentative="1">
      <w:start w:val="1"/>
      <w:numFmt w:val="bullet"/>
      <w:lvlText w:val="o"/>
      <w:lvlJc w:val="left"/>
      <w:pPr>
        <w:ind w:left="6336" w:hanging="360"/>
      </w:pPr>
      <w:rPr>
        <w:rFonts w:ascii="Courier New" w:hAnsi="Courier New" w:cs="Courier New" w:hint="default"/>
      </w:rPr>
    </w:lvl>
    <w:lvl w:ilvl="8" w:tplc="0C090005" w:tentative="1">
      <w:start w:val="1"/>
      <w:numFmt w:val="bullet"/>
      <w:lvlText w:val=""/>
      <w:lvlJc w:val="left"/>
      <w:pPr>
        <w:ind w:left="7056" w:hanging="360"/>
      </w:pPr>
      <w:rPr>
        <w:rFonts w:ascii="Wingdings" w:hAnsi="Wingdings" w:hint="default"/>
      </w:rPr>
    </w:lvl>
  </w:abstractNum>
  <w:abstractNum w:abstractNumId="17">
    <w:nsid w:val="27B333CB"/>
    <w:multiLevelType w:val="hybridMultilevel"/>
    <w:tmpl w:val="ED488EB8"/>
    <w:lvl w:ilvl="0" w:tplc="CEDAFADE">
      <w:start w:val="1"/>
      <w:numFmt w:val="bullet"/>
      <w:pStyle w:val="Listbullet1"/>
      <w:lvlText w:val=""/>
      <w:lvlJc w:val="left"/>
      <w:pPr>
        <w:ind w:left="1004" w:hanging="360"/>
      </w:pPr>
      <w:rPr>
        <w:rFonts w:ascii="Symbol" w:hAnsi="Symbol" w:hint="default"/>
        <w:color w:val="auto"/>
        <w:sz w:val="20"/>
      </w:rPr>
    </w:lvl>
    <w:lvl w:ilvl="1" w:tplc="FCA61482">
      <w:start w:val="1"/>
      <w:numFmt w:val="bullet"/>
      <w:lvlText w:val="o"/>
      <w:lvlJc w:val="left"/>
      <w:pPr>
        <w:ind w:left="2084" w:hanging="360"/>
      </w:pPr>
      <w:rPr>
        <w:rFonts w:ascii="Courier New" w:hAnsi="Courier New" w:cs="Courier New" w:hint="default"/>
      </w:rPr>
    </w:lvl>
    <w:lvl w:ilvl="2" w:tplc="97F86E82" w:tentative="1">
      <w:start w:val="1"/>
      <w:numFmt w:val="bullet"/>
      <w:lvlText w:val=""/>
      <w:lvlJc w:val="left"/>
      <w:pPr>
        <w:ind w:left="2804" w:hanging="360"/>
      </w:pPr>
      <w:rPr>
        <w:rFonts w:ascii="Wingdings" w:hAnsi="Wingdings" w:hint="default"/>
      </w:rPr>
    </w:lvl>
    <w:lvl w:ilvl="3" w:tplc="0C8CD990" w:tentative="1">
      <w:start w:val="1"/>
      <w:numFmt w:val="bullet"/>
      <w:lvlText w:val=""/>
      <w:lvlJc w:val="left"/>
      <w:pPr>
        <w:ind w:left="3524" w:hanging="360"/>
      </w:pPr>
      <w:rPr>
        <w:rFonts w:ascii="Symbol" w:hAnsi="Symbol" w:hint="default"/>
      </w:rPr>
    </w:lvl>
    <w:lvl w:ilvl="4" w:tplc="13F86290" w:tentative="1">
      <w:start w:val="1"/>
      <w:numFmt w:val="bullet"/>
      <w:lvlText w:val="o"/>
      <w:lvlJc w:val="left"/>
      <w:pPr>
        <w:ind w:left="4244" w:hanging="360"/>
      </w:pPr>
      <w:rPr>
        <w:rFonts w:ascii="Courier New" w:hAnsi="Courier New" w:cs="Courier New" w:hint="default"/>
      </w:rPr>
    </w:lvl>
    <w:lvl w:ilvl="5" w:tplc="C428A5CE" w:tentative="1">
      <w:start w:val="1"/>
      <w:numFmt w:val="bullet"/>
      <w:lvlText w:val=""/>
      <w:lvlJc w:val="left"/>
      <w:pPr>
        <w:ind w:left="4964" w:hanging="360"/>
      </w:pPr>
      <w:rPr>
        <w:rFonts w:ascii="Wingdings" w:hAnsi="Wingdings" w:hint="default"/>
      </w:rPr>
    </w:lvl>
    <w:lvl w:ilvl="6" w:tplc="68D4171C" w:tentative="1">
      <w:start w:val="1"/>
      <w:numFmt w:val="bullet"/>
      <w:lvlText w:val=""/>
      <w:lvlJc w:val="left"/>
      <w:pPr>
        <w:ind w:left="5684" w:hanging="360"/>
      </w:pPr>
      <w:rPr>
        <w:rFonts w:ascii="Symbol" w:hAnsi="Symbol" w:hint="default"/>
      </w:rPr>
    </w:lvl>
    <w:lvl w:ilvl="7" w:tplc="0C209AF8" w:tentative="1">
      <w:start w:val="1"/>
      <w:numFmt w:val="bullet"/>
      <w:lvlText w:val="o"/>
      <w:lvlJc w:val="left"/>
      <w:pPr>
        <w:ind w:left="6404" w:hanging="360"/>
      </w:pPr>
      <w:rPr>
        <w:rFonts w:ascii="Courier New" w:hAnsi="Courier New" w:cs="Courier New" w:hint="default"/>
      </w:rPr>
    </w:lvl>
    <w:lvl w:ilvl="8" w:tplc="9B5ECC4E" w:tentative="1">
      <w:start w:val="1"/>
      <w:numFmt w:val="bullet"/>
      <w:lvlText w:val=""/>
      <w:lvlJc w:val="left"/>
      <w:pPr>
        <w:ind w:left="7124" w:hanging="360"/>
      </w:pPr>
      <w:rPr>
        <w:rFonts w:ascii="Wingdings" w:hAnsi="Wingdings" w:hint="default"/>
      </w:rPr>
    </w:lvl>
  </w:abstractNum>
  <w:abstractNum w:abstractNumId="18">
    <w:nsid w:val="429046A0"/>
    <w:multiLevelType w:val="multilevel"/>
    <w:tmpl w:val="9A30B4A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Headingnumbered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4065F76"/>
    <w:multiLevelType w:val="hybridMultilevel"/>
    <w:tmpl w:val="0882B714"/>
    <w:lvl w:ilvl="0" w:tplc="8FF0783E">
      <w:start w:val="1"/>
      <w:numFmt w:val="lowerLetter"/>
      <w:pStyle w:val="Numberedlist2"/>
      <w:lvlText w:val="%1)"/>
      <w:lvlJc w:val="left"/>
      <w:pPr>
        <w:ind w:left="1003" w:hanging="360"/>
      </w:pPr>
    </w:lvl>
    <w:lvl w:ilvl="1" w:tplc="0C090019" w:tentative="1">
      <w:start w:val="1"/>
      <w:numFmt w:val="lowerLetter"/>
      <w:lvlText w:val="%2."/>
      <w:lvlJc w:val="left"/>
      <w:pPr>
        <w:ind w:left="1723" w:hanging="360"/>
      </w:pPr>
    </w:lvl>
    <w:lvl w:ilvl="2" w:tplc="0C09001B" w:tentative="1">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20">
    <w:nsid w:val="473A3F72"/>
    <w:multiLevelType w:val="hybridMultilevel"/>
    <w:tmpl w:val="5CFC9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7596D7F"/>
    <w:multiLevelType w:val="hybridMultilevel"/>
    <w:tmpl w:val="FBE66D1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47C93935"/>
    <w:multiLevelType w:val="hybridMultilevel"/>
    <w:tmpl w:val="6DC45270"/>
    <w:lvl w:ilvl="0" w:tplc="63A4E4E2">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255ED1"/>
    <w:multiLevelType w:val="hybridMultilevel"/>
    <w:tmpl w:val="1780C876"/>
    <w:lvl w:ilvl="0" w:tplc="B6D6B6C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E142ADB"/>
    <w:multiLevelType w:val="hybridMultilevel"/>
    <w:tmpl w:val="8D1CE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42674D0"/>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nsid w:val="63B73FB7"/>
    <w:multiLevelType w:val="hybridMultilevel"/>
    <w:tmpl w:val="359CF1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4821906"/>
    <w:multiLevelType w:val="hybridMultilevel"/>
    <w:tmpl w:val="0D0E40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68640240"/>
    <w:multiLevelType w:val="hybridMultilevel"/>
    <w:tmpl w:val="E04E9190"/>
    <w:lvl w:ilvl="0" w:tplc="0C090001">
      <w:start w:val="1"/>
      <w:numFmt w:val="bullet"/>
      <w:lvlText w:val=""/>
      <w:lvlJc w:val="left"/>
      <w:pPr>
        <w:ind w:left="1296" w:hanging="360"/>
      </w:pPr>
      <w:rPr>
        <w:rFonts w:ascii="Symbol" w:hAnsi="Symbol" w:hint="default"/>
      </w:rPr>
    </w:lvl>
    <w:lvl w:ilvl="1" w:tplc="0C090003" w:tentative="1">
      <w:start w:val="1"/>
      <w:numFmt w:val="bullet"/>
      <w:lvlText w:val="o"/>
      <w:lvlJc w:val="left"/>
      <w:pPr>
        <w:ind w:left="2016" w:hanging="360"/>
      </w:pPr>
      <w:rPr>
        <w:rFonts w:ascii="Courier New" w:hAnsi="Courier New" w:cs="Courier New" w:hint="default"/>
      </w:rPr>
    </w:lvl>
    <w:lvl w:ilvl="2" w:tplc="0C090005" w:tentative="1">
      <w:start w:val="1"/>
      <w:numFmt w:val="bullet"/>
      <w:lvlText w:val=""/>
      <w:lvlJc w:val="left"/>
      <w:pPr>
        <w:ind w:left="2736" w:hanging="360"/>
      </w:pPr>
      <w:rPr>
        <w:rFonts w:ascii="Wingdings" w:hAnsi="Wingdings" w:hint="default"/>
      </w:rPr>
    </w:lvl>
    <w:lvl w:ilvl="3" w:tplc="0C090001" w:tentative="1">
      <w:start w:val="1"/>
      <w:numFmt w:val="bullet"/>
      <w:lvlText w:val=""/>
      <w:lvlJc w:val="left"/>
      <w:pPr>
        <w:ind w:left="3456" w:hanging="360"/>
      </w:pPr>
      <w:rPr>
        <w:rFonts w:ascii="Symbol" w:hAnsi="Symbol" w:hint="default"/>
      </w:rPr>
    </w:lvl>
    <w:lvl w:ilvl="4" w:tplc="0C090003" w:tentative="1">
      <w:start w:val="1"/>
      <w:numFmt w:val="bullet"/>
      <w:lvlText w:val="o"/>
      <w:lvlJc w:val="left"/>
      <w:pPr>
        <w:ind w:left="4176" w:hanging="360"/>
      </w:pPr>
      <w:rPr>
        <w:rFonts w:ascii="Courier New" w:hAnsi="Courier New" w:cs="Courier New" w:hint="default"/>
      </w:rPr>
    </w:lvl>
    <w:lvl w:ilvl="5" w:tplc="0C090005" w:tentative="1">
      <w:start w:val="1"/>
      <w:numFmt w:val="bullet"/>
      <w:lvlText w:val=""/>
      <w:lvlJc w:val="left"/>
      <w:pPr>
        <w:ind w:left="4896" w:hanging="360"/>
      </w:pPr>
      <w:rPr>
        <w:rFonts w:ascii="Wingdings" w:hAnsi="Wingdings" w:hint="default"/>
      </w:rPr>
    </w:lvl>
    <w:lvl w:ilvl="6" w:tplc="0C090001" w:tentative="1">
      <w:start w:val="1"/>
      <w:numFmt w:val="bullet"/>
      <w:lvlText w:val=""/>
      <w:lvlJc w:val="left"/>
      <w:pPr>
        <w:ind w:left="5616" w:hanging="360"/>
      </w:pPr>
      <w:rPr>
        <w:rFonts w:ascii="Symbol" w:hAnsi="Symbol" w:hint="default"/>
      </w:rPr>
    </w:lvl>
    <w:lvl w:ilvl="7" w:tplc="0C090003" w:tentative="1">
      <w:start w:val="1"/>
      <w:numFmt w:val="bullet"/>
      <w:lvlText w:val="o"/>
      <w:lvlJc w:val="left"/>
      <w:pPr>
        <w:ind w:left="6336" w:hanging="360"/>
      </w:pPr>
      <w:rPr>
        <w:rFonts w:ascii="Courier New" w:hAnsi="Courier New" w:cs="Courier New" w:hint="default"/>
      </w:rPr>
    </w:lvl>
    <w:lvl w:ilvl="8" w:tplc="0C090005" w:tentative="1">
      <w:start w:val="1"/>
      <w:numFmt w:val="bullet"/>
      <w:lvlText w:val=""/>
      <w:lvlJc w:val="left"/>
      <w:pPr>
        <w:ind w:left="7056" w:hanging="360"/>
      </w:pPr>
      <w:rPr>
        <w:rFonts w:ascii="Wingdings" w:hAnsi="Wingdings" w:hint="default"/>
      </w:rPr>
    </w:lvl>
  </w:abstractNum>
  <w:abstractNum w:abstractNumId="29">
    <w:nsid w:val="6C5D05A4"/>
    <w:multiLevelType w:val="hybridMultilevel"/>
    <w:tmpl w:val="0512BB9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0">
    <w:nsid w:val="6F317214"/>
    <w:multiLevelType w:val="hybridMultilevel"/>
    <w:tmpl w:val="563A6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9015B49"/>
    <w:multiLevelType w:val="hybridMultilevel"/>
    <w:tmpl w:val="A628E47E"/>
    <w:lvl w:ilvl="0" w:tplc="97343386">
      <w:start w:val="1"/>
      <w:numFmt w:val="decimal"/>
      <w:pStyle w:val="Headingnumbered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ECC25C7"/>
    <w:multiLevelType w:val="hybridMultilevel"/>
    <w:tmpl w:val="EE1C6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3"/>
  </w:num>
  <w:num w:numId="4">
    <w:abstractNumId w:val="1"/>
  </w:num>
  <w:num w:numId="5">
    <w:abstractNumId w:val="2"/>
  </w:num>
  <w:num w:numId="6">
    <w:abstractNumId w:val="0"/>
  </w:num>
  <w:num w:numId="7">
    <w:abstractNumId w:val="19"/>
  </w:num>
  <w:num w:numId="8">
    <w:abstractNumId w:val="17"/>
  </w:num>
  <w:num w:numId="9">
    <w:abstractNumId w:val="4"/>
  </w:num>
  <w:num w:numId="10">
    <w:abstractNumId w:val="29"/>
  </w:num>
  <w:num w:numId="11">
    <w:abstractNumId w:val="26"/>
  </w:num>
  <w:num w:numId="12">
    <w:abstractNumId w:val="31"/>
  </w:num>
  <w:num w:numId="13">
    <w:abstractNumId w:val="25"/>
  </w:num>
  <w:num w:numId="14">
    <w:abstractNumId w:val="28"/>
  </w:num>
  <w:num w:numId="15">
    <w:abstractNumId w:val="10"/>
  </w:num>
  <w:num w:numId="16">
    <w:abstractNumId w:val="16"/>
  </w:num>
  <w:num w:numId="17">
    <w:abstractNumId w:val="21"/>
  </w:num>
  <w:num w:numId="18">
    <w:abstractNumId w:val="6"/>
  </w:num>
  <w:num w:numId="19">
    <w:abstractNumId w:val="30"/>
  </w:num>
  <w:num w:numId="20">
    <w:abstractNumId w:val="8"/>
  </w:num>
  <w:num w:numId="21">
    <w:abstractNumId w:val="24"/>
  </w:num>
  <w:num w:numId="22">
    <w:abstractNumId w:val="15"/>
  </w:num>
  <w:num w:numId="23">
    <w:abstractNumId w:val="25"/>
  </w:num>
  <w:num w:numId="24">
    <w:abstractNumId w:val="25"/>
  </w:num>
  <w:num w:numId="25">
    <w:abstractNumId w:val="25"/>
  </w:num>
  <w:num w:numId="26">
    <w:abstractNumId w:val="25"/>
  </w:num>
  <w:num w:numId="27">
    <w:abstractNumId w:val="25"/>
  </w:num>
  <w:num w:numId="28">
    <w:abstractNumId w:val="11"/>
  </w:num>
  <w:num w:numId="29">
    <w:abstractNumId w:val="5"/>
  </w:num>
  <w:num w:numId="30">
    <w:abstractNumId w:val="32"/>
  </w:num>
  <w:num w:numId="31">
    <w:abstractNumId w:val="23"/>
  </w:num>
  <w:num w:numId="32">
    <w:abstractNumId w:val="27"/>
  </w:num>
  <w:num w:numId="33">
    <w:abstractNumId w:val="14"/>
  </w:num>
  <w:num w:numId="34">
    <w:abstractNumId w:val="7"/>
  </w:num>
  <w:num w:numId="35">
    <w:abstractNumId w:val="12"/>
  </w:num>
  <w:num w:numId="36">
    <w:abstractNumId w:val="22"/>
  </w:num>
  <w:num w:numId="37">
    <w:abstractNumId w:val="13"/>
  </w:num>
  <w:num w:numId="38">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proofState w:spelling="clean" w:grammar="clean"/>
  <w:stylePaneFormatFilter w:val="9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hdrShapeDefaults>
    <o:shapedefaults v:ext="edit" spidmax="134145"/>
  </w:hdrShapeDefaults>
  <w:footnotePr>
    <w:footnote w:id="-1"/>
    <w:footnote w:id="0"/>
  </w:footnotePr>
  <w:endnotePr>
    <w:endnote w:id="-1"/>
    <w:endnote w:id="0"/>
  </w:endnotePr>
  <w:compat>
    <w:compatSetting w:name="compatibilityMode" w:uri="http://schemas.microsoft.com/office/word" w:val="12"/>
  </w:compat>
  <w:docVars>
    <w:docVar w:name="currentname" w:val="\\cdchnas-evs02\home$\wdono\ACCC Draft Determinations - Victorian wheat ports exemption assessments - 10 April 2015.DOCX"/>
  </w:docVars>
  <w:rsids>
    <w:rsidRoot w:val="004828A6"/>
    <w:rsid w:val="0000000D"/>
    <w:rsid w:val="00001238"/>
    <w:rsid w:val="0000176A"/>
    <w:rsid w:val="00001CB7"/>
    <w:rsid w:val="00001DE3"/>
    <w:rsid w:val="00003F8E"/>
    <w:rsid w:val="000059C4"/>
    <w:rsid w:val="000059D2"/>
    <w:rsid w:val="00006EAD"/>
    <w:rsid w:val="000100D2"/>
    <w:rsid w:val="000106A3"/>
    <w:rsid w:val="00011CD5"/>
    <w:rsid w:val="00012DF4"/>
    <w:rsid w:val="0001361F"/>
    <w:rsid w:val="00013A1D"/>
    <w:rsid w:val="00013F40"/>
    <w:rsid w:val="00014715"/>
    <w:rsid w:val="00015BFD"/>
    <w:rsid w:val="000205B8"/>
    <w:rsid w:val="000206DC"/>
    <w:rsid w:val="00021202"/>
    <w:rsid w:val="00021FB1"/>
    <w:rsid w:val="000220B7"/>
    <w:rsid w:val="00022548"/>
    <w:rsid w:val="00022992"/>
    <w:rsid w:val="00022C00"/>
    <w:rsid w:val="00022DF1"/>
    <w:rsid w:val="00023083"/>
    <w:rsid w:val="00023288"/>
    <w:rsid w:val="00023B7E"/>
    <w:rsid w:val="00024481"/>
    <w:rsid w:val="0002522E"/>
    <w:rsid w:val="0002640F"/>
    <w:rsid w:val="0002653A"/>
    <w:rsid w:val="000273C7"/>
    <w:rsid w:val="000309B0"/>
    <w:rsid w:val="00030B1B"/>
    <w:rsid w:val="00030CBA"/>
    <w:rsid w:val="0003145D"/>
    <w:rsid w:val="00032BAE"/>
    <w:rsid w:val="00032DBB"/>
    <w:rsid w:val="00034E25"/>
    <w:rsid w:val="00034E6E"/>
    <w:rsid w:val="00035DA8"/>
    <w:rsid w:val="00037D95"/>
    <w:rsid w:val="00037E47"/>
    <w:rsid w:val="00040686"/>
    <w:rsid w:val="00041D39"/>
    <w:rsid w:val="00044475"/>
    <w:rsid w:val="00044CE1"/>
    <w:rsid w:val="0004519A"/>
    <w:rsid w:val="00045EE0"/>
    <w:rsid w:val="000467E0"/>
    <w:rsid w:val="00046BAA"/>
    <w:rsid w:val="00047524"/>
    <w:rsid w:val="0004796C"/>
    <w:rsid w:val="00047B9D"/>
    <w:rsid w:val="00051419"/>
    <w:rsid w:val="00051F9C"/>
    <w:rsid w:val="000520F9"/>
    <w:rsid w:val="00052B54"/>
    <w:rsid w:val="00054999"/>
    <w:rsid w:val="00055A99"/>
    <w:rsid w:val="00055FE8"/>
    <w:rsid w:val="00056836"/>
    <w:rsid w:val="000573B9"/>
    <w:rsid w:val="00057453"/>
    <w:rsid w:val="00057464"/>
    <w:rsid w:val="00060043"/>
    <w:rsid w:val="00060114"/>
    <w:rsid w:val="00060864"/>
    <w:rsid w:val="00061164"/>
    <w:rsid w:val="00061229"/>
    <w:rsid w:val="0006267C"/>
    <w:rsid w:val="00062DAA"/>
    <w:rsid w:val="000632BB"/>
    <w:rsid w:val="0006461C"/>
    <w:rsid w:val="00064DC8"/>
    <w:rsid w:val="00065475"/>
    <w:rsid w:val="000661DD"/>
    <w:rsid w:val="00066D9C"/>
    <w:rsid w:val="00067011"/>
    <w:rsid w:val="000677A1"/>
    <w:rsid w:val="00067B43"/>
    <w:rsid w:val="00070302"/>
    <w:rsid w:val="00071212"/>
    <w:rsid w:val="00071817"/>
    <w:rsid w:val="0007238F"/>
    <w:rsid w:val="0007252C"/>
    <w:rsid w:val="0007388D"/>
    <w:rsid w:val="00073F81"/>
    <w:rsid w:val="000753B8"/>
    <w:rsid w:val="00076451"/>
    <w:rsid w:val="00076826"/>
    <w:rsid w:val="00076CF9"/>
    <w:rsid w:val="00076F2A"/>
    <w:rsid w:val="000772F3"/>
    <w:rsid w:val="00077D4F"/>
    <w:rsid w:val="00077F2B"/>
    <w:rsid w:val="000812D7"/>
    <w:rsid w:val="00081789"/>
    <w:rsid w:val="000817BF"/>
    <w:rsid w:val="00081A90"/>
    <w:rsid w:val="000822BB"/>
    <w:rsid w:val="00082357"/>
    <w:rsid w:val="00082457"/>
    <w:rsid w:val="00082879"/>
    <w:rsid w:val="00083164"/>
    <w:rsid w:val="00083523"/>
    <w:rsid w:val="00083719"/>
    <w:rsid w:val="00084640"/>
    <w:rsid w:val="0008474C"/>
    <w:rsid w:val="0008475D"/>
    <w:rsid w:val="00084E2D"/>
    <w:rsid w:val="00085D30"/>
    <w:rsid w:val="000860F6"/>
    <w:rsid w:val="000869D7"/>
    <w:rsid w:val="0009118D"/>
    <w:rsid w:val="00091B2A"/>
    <w:rsid w:val="00092719"/>
    <w:rsid w:val="00093891"/>
    <w:rsid w:val="00093A21"/>
    <w:rsid w:val="00094B09"/>
    <w:rsid w:val="00094B0B"/>
    <w:rsid w:val="00095776"/>
    <w:rsid w:val="000A1869"/>
    <w:rsid w:val="000A20FE"/>
    <w:rsid w:val="000A2329"/>
    <w:rsid w:val="000A23A0"/>
    <w:rsid w:val="000A3938"/>
    <w:rsid w:val="000A447E"/>
    <w:rsid w:val="000A4D62"/>
    <w:rsid w:val="000A5E57"/>
    <w:rsid w:val="000A5F9A"/>
    <w:rsid w:val="000A6AB6"/>
    <w:rsid w:val="000A6CE1"/>
    <w:rsid w:val="000B03E7"/>
    <w:rsid w:val="000B1804"/>
    <w:rsid w:val="000B298C"/>
    <w:rsid w:val="000B483B"/>
    <w:rsid w:val="000B5120"/>
    <w:rsid w:val="000B52D6"/>
    <w:rsid w:val="000B5565"/>
    <w:rsid w:val="000B5F5C"/>
    <w:rsid w:val="000B69B9"/>
    <w:rsid w:val="000B7FCF"/>
    <w:rsid w:val="000C03DA"/>
    <w:rsid w:val="000C0500"/>
    <w:rsid w:val="000C0FE1"/>
    <w:rsid w:val="000C100D"/>
    <w:rsid w:val="000C368B"/>
    <w:rsid w:val="000C542A"/>
    <w:rsid w:val="000C6319"/>
    <w:rsid w:val="000C6DC3"/>
    <w:rsid w:val="000C6FF9"/>
    <w:rsid w:val="000C7BC5"/>
    <w:rsid w:val="000D0655"/>
    <w:rsid w:val="000D0B27"/>
    <w:rsid w:val="000D1106"/>
    <w:rsid w:val="000D1C40"/>
    <w:rsid w:val="000D1E5C"/>
    <w:rsid w:val="000D2A98"/>
    <w:rsid w:val="000D395B"/>
    <w:rsid w:val="000D3BC0"/>
    <w:rsid w:val="000D3D88"/>
    <w:rsid w:val="000D4140"/>
    <w:rsid w:val="000D462E"/>
    <w:rsid w:val="000D4A3A"/>
    <w:rsid w:val="000D4A85"/>
    <w:rsid w:val="000D5222"/>
    <w:rsid w:val="000D556D"/>
    <w:rsid w:val="000D576B"/>
    <w:rsid w:val="000D68F3"/>
    <w:rsid w:val="000D75AA"/>
    <w:rsid w:val="000D7903"/>
    <w:rsid w:val="000E00A9"/>
    <w:rsid w:val="000E0124"/>
    <w:rsid w:val="000E1819"/>
    <w:rsid w:val="000E1CC4"/>
    <w:rsid w:val="000E2403"/>
    <w:rsid w:val="000E2EBE"/>
    <w:rsid w:val="000E48E2"/>
    <w:rsid w:val="000E5A6B"/>
    <w:rsid w:val="000E5E46"/>
    <w:rsid w:val="000E652B"/>
    <w:rsid w:val="000E6C72"/>
    <w:rsid w:val="000F1115"/>
    <w:rsid w:val="000F11D6"/>
    <w:rsid w:val="000F1C6E"/>
    <w:rsid w:val="000F20E4"/>
    <w:rsid w:val="000F2710"/>
    <w:rsid w:val="000F302B"/>
    <w:rsid w:val="000F36EF"/>
    <w:rsid w:val="000F479F"/>
    <w:rsid w:val="000F5F0F"/>
    <w:rsid w:val="001016DC"/>
    <w:rsid w:val="001018C0"/>
    <w:rsid w:val="00103658"/>
    <w:rsid w:val="00103758"/>
    <w:rsid w:val="0010385F"/>
    <w:rsid w:val="00103BE8"/>
    <w:rsid w:val="00104BDC"/>
    <w:rsid w:val="0010500F"/>
    <w:rsid w:val="0010503F"/>
    <w:rsid w:val="001050AE"/>
    <w:rsid w:val="001051AE"/>
    <w:rsid w:val="00105851"/>
    <w:rsid w:val="00107EA8"/>
    <w:rsid w:val="0011068F"/>
    <w:rsid w:val="00110E1D"/>
    <w:rsid w:val="00110F65"/>
    <w:rsid w:val="001129A0"/>
    <w:rsid w:val="001144C4"/>
    <w:rsid w:val="00114B9D"/>
    <w:rsid w:val="00115A03"/>
    <w:rsid w:val="00115D3A"/>
    <w:rsid w:val="0011643E"/>
    <w:rsid w:val="001172A0"/>
    <w:rsid w:val="00120019"/>
    <w:rsid w:val="00120102"/>
    <w:rsid w:val="001208A3"/>
    <w:rsid w:val="00120EAD"/>
    <w:rsid w:val="00121E72"/>
    <w:rsid w:val="00123158"/>
    <w:rsid w:val="00124365"/>
    <w:rsid w:val="00124609"/>
    <w:rsid w:val="001260D7"/>
    <w:rsid w:val="001269D1"/>
    <w:rsid w:val="00126A12"/>
    <w:rsid w:val="001270A9"/>
    <w:rsid w:val="0012748C"/>
    <w:rsid w:val="00127CFB"/>
    <w:rsid w:val="001301CC"/>
    <w:rsid w:val="001309B6"/>
    <w:rsid w:val="00130FE2"/>
    <w:rsid w:val="00131705"/>
    <w:rsid w:val="00131882"/>
    <w:rsid w:val="001320C9"/>
    <w:rsid w:val="001321F8"/>
    <w:rsid w:val="00133E2F"/>
    <w:rsid w:val="00134212"/>
    <w:rsid w:val="00135EBB"/>
    <w:rsid w:val="00136E0A"/>
    <w:rsid w:val="0013753F"/>
    <w:rsid w:val="00137EE9"/>
    <w:rsid w:val="0014025D"/>
    <w:rsid w:val="00140EC4"/>
    <w:rsid w:val="00141ADE"/>
    <w:rsid w:val="00141D36"/>
    <w:rsid w:val="00143312"/>
    <w:rsid w:val="00144F71"/>
    <w:rsid w:val="00147550"/>
    <w:rsid w:val="00147C71"/>
    <w:rsid w:val="001503A8"/>
    <w:rsid w:val="00150C51"/>
    <w:rsid w:val="00150DF5"/>
    <w:rsid w:val="00150E1E"/>
    <w:rsid w:val="00151441"/>
    <w:rsid w:val="0015175E"/>
    <w:rsid w:val="00151AD5"/>
    <w:rsid w:val="00152334"/>
    <w:rsid w:val="00153E48"/>
    <w:rsid w:val="00154456"/>
    <w:rsid w:val="001567DF"/>
    <w:rsid w:val="0015715C"/>
    <w:rsid w:val="001573E4"/>
    <w:rsid w:val="00157A6A"/>
    <w:rsid w:val="00157BBE"/>
    <w:rsid w:val="001608F3"/>
    <w:rsid w:val="00160F4F"/>
    <w:rsid w:val="0016113C"/>
    <w:rsid w:val="00161AE8"/>
    <w:rsid w:val="0016265A"/>
    <w:rsid w:val="001629AF"/>
    <w:rsid w:val="00163967"/>
    <w:rsid w:val="00164274"/>
    <w:rsid w:val="00165361"/>
    <w:rsid w:val="0016553E"/>
    <w:rsid w:val="001659DC"/>
    <w:rsid w:val="00166A4B"/>
    <w:rsid w:val="00167444"/>
    <w:rsid w:val="00167630"/>
    <w:rsid w:val="00167923"/>
    <w:rsid w:val="00170AF7"/>
    <w:rsid w:val="00170CDD"/>
    <w:rsid w:val="001711DF"/>
    <w:rsid w:val="00173226"/>
    <w:rsid w:val="00173D4E"/>
    <w:rsid w:val="00180AD9"/>
    <w:rsid w:val="00181DA9"/>
    <w:rsid w:val="00182148"/>
    <w:rsid w:val="001823BE"/>
    <w:rsid w:val="00182AB5"/>
    <w:rsid w:val="00183707"/>
    <w:rsid w:val="00183806"/>
    <w:rsid w:val="001840C3"/>
    <w:rsid w:val="00185060"/>
    <w:rsid w:val="001855AD"/>
    <w:rsid w:val="001866D4"/>
    <w:rsid w:val="00186B24"/>
    <w:rsid w:val="001902B3"/>
    <w:rsid w:val="00190668"/>
    <w:rsid w:val="00190EC0"/>
    <w:rsid w:val="0019128A"/>
    <w:rsid w:val="00191568"/>
    <w:rsid w:val="001933B6"/>
    <w:rsid w:val="001939D8"/>
    <w:rsid w:val="001942BE"/>
    <w:rsid w:val="00194977"/>
    <w:rsid w:val="001949BE"/>
    <w:rsid w:val="00194E2A"/>
    <w:rsid w:val="00195979"/>
    <w:rsid w:val="00195B63"/>
    <w:rsid w:val="00195E62"/>
    <w:rsid w:val="00197814"/>
    <w:rsid w:val="001979ED"/>
    <w:rsid w:val="001A0209"/>
    <w:rsid w:val="001A0C9C"/>
    <w:rsid w:val="001A1165"/>
    <w:rsid w:val="001A1643"/>
    <w:rsid w:val="001A2010"/>
    <w:rsid w:val="001A2039"/>
    <w:rsid w:val="001A2B68"/>
    <w:rsid w:val="001A2CBB"/>
    <w:rsid w:val="001A343A"/>
    <w:rsid w:val="001A4499"/>
    <w:rsid w:val="001A44F2"/>
    <w:rsid w:val="001A4642"/>
    <w:rsid w:val="001A4CA2"/>
    <w:rsid w:val="001A5512"/>
    <w:rsid w:val="001A6FD2"/>
    <w:rsid w:val="001A7023"/>
    <w:rsid w:val="001A7E53"/>
    <w:rsid w:val="001B0111"/>
    <w:rsid w:val="001B1007"/>
    <w:rsid w:val="001B2C67"/>
    <w:rsid w:val="001B433F"/>
    <w:rsid w:val="001B512D"/>
    <w:rsid w:val="001B598B"/>
    <w:rsid w:val="001B6907"/>
    <w:rsid w:val="001B7013"/>
    <w:rsid w:val="001B7152"/>
    <w:rsid w:val="001B74FD"/>
    <w:rsid w:val="001B7F2B"/>
    <w:rsid w:val="001C06A8"/>
    <w:rsid w:val="001C08E1"/>
    <w:rsid w:val="001C257E"/>
    <w:rsid w:val="001C36EA"/>
    <w:rsid w:val="001C3921"/>
    <w:rsid w:val="001C4B63"/>
    <w:rsid w:val="001C4F91"/>
    <w:rsid w:val="001C5103"/>
    <w:rsid w:val="001D017A"/>
    <w:rsid w:val="001D046C"/>
    <w:rsid w:val="001D0D4D"/>
    <w:rsid w:val="001D0D71"/>
    <w:rsid w:val="001D130F"/>
    <w:rsid w:val="001D19D1"/>
    <w:rsid w:val="001D2921"/>
    <w:rsid w:val="001D2BB3"/>
    <w:rsid w:val="001D2CD0"/>
    <w:rsid w:val="001D302C"/>
    <w:rsid w:val="001D35FB"/>
    <w:rsid w:val="001D35FC"/>
    <w:rsid w:val="001D36F0"/>
    <w:rsid w:val="001D404D"/>
    <w:rsid w:val="001D423B"/>
    <w:rsid w:val="001D45AA"/>
    <w:rsid w:val="001D4C67"/>
    <w:rsid w:val="001E04C4"/>
    <w:rsid w:val="001E161C"/>
    <w:rsid w:val="001E1735"/>
    <w:rsid w:val="001E2238"/>
    <w:rsid w:val="001E37BF"/>
    <w:rsid w:val="001E462A"/>
    <w:rsid w:val="001E4CF4"/>
    <w:rsid w:val="001E51FB"/>
    <w:rsid w:val="001E7C91"/>
    <w:rsid w:val="001E7FD3"/>
    <w:rsid w:val="001F080E"/>
    <w:rsid w:val="001F08FA"/>
    <w:rsid w:val="001F1534"/>
    <w:rsid w:val="001F29D2"/>
    <w:rsid w:val="001F4702"/>
    <w:rsid w:val="001F5E1A"/>
    <w:rsid w:val="001F626F"/>
    <w:rsid w:val="001F6D98"/>
    <w:rsid w:val="001F7BC9"/>
    <w:rsid w:val="00200CD6"/>
    <w:rsid w:val="00201342"/>
    <w:rsid w:val="00205777"/>
    <w:rsid w:val="00206BE0"/>
    <w:rsid w:val="00207E82"/>
    <w:rsid w:val="00210799"/>
    <w:rsid w:val="00210EC2"/>
    <w:rsid w:val="00210F29"/>
    <w:rsid w:val="0021185F"/>
    <w:rsid w:val="00211DC2"/>
    <w:rsid w:val="002121AC"/>
    <w:rsid w:val="002126F9"/>
    <w:rsid w:val="00212C0D"/>
    <w:rsid w:val="002136F2"/>
    <w:rsid w:val="00213F0D"/>
    <w:rsid w:val="002141DB"/>
    <w:rsid w:val="002149AD"/>
    <w:rsid w:val="00216A8F"/>
    <w:rsid w:val="00216BDE"/>
    <w:rsid w:val="002203FC"/>
    <w:rsid w:val="0022065B"/>
    <w:rsid w:val="00220AAD"/>
    <w:rsid w:val="00222625"/>
    <w:rsid w:val="00223AB4"/>
    <w:rsid w:val="00223AB8"/>
    <w:rsid w:val="002248D7"/>
    <w:rsid w:val="002253CD"/>
    <w:rsid w:val="0022606A"/>
    <w:rsid w:val="0022630B"/>
    <w:rsid w:val="00226D97"/>
    <w:rsid w:val="0022761D"/>
    <w:rsid w:val="0023008F"/>
    <w:rsid w:val="00230786"/>
    <w:rsid w:val="00231736"/>
    <w:rsid w:val="002323F6"/>
    <w:rsid w:val="00232FB4"/>
    <w:rsid w:val="00233177"/>
    <w:rsid w:val="00235C4E"/>
    <w:rsid w:val="0023713F"/>
    <w:rsid w:val="00241338"/>
    <w:rsid w:val="0024273B"/>
    <w:rsid w:val="00242CA8"/>
    <w:rsid w:val="00244126"/>
    <w:rsid w:val="00244493"/>
    <w:rsid w:val="002457A4"/>
    <w:rsid w:val="00247CC6"/>
    <w:rsid w:val="00250C4A"/>
    <w:rsid w:val="00251378"/>
    <w:rsid w:val="00251745"/>
    <w:rsid w:val="0025194A"/>
    <w:rsid w:val="00251E7E"/>
    <w:rsid w:val="0025217D"/>
    <w:rsid w:val="00253F64"/>
    <w:rsid w:val="0025422F"/>
    <w:rsid w:val="00254368"/>
    <w:rsid w:val="00254E59"/>
    <w:rsid w:val="00255DCA"/>
    <w:rsid w:val="00255FB4"/>
    <w:rsid w:val="0025645C"/>
    <w:rsid w:val="0026044B"/>
    <w:rsid w:val="002604E5"/>
    <w:rsid w:val="00260F5A"/>
    <w:rsid w:val="002614DB"/>
    <w:rsid w:val="00262D40"/>
    <w:rsid w:val="00263380"/>
    <w:rsid w:val="00263746"/>
    <w:rsid w:val="00265AC3"/>
    <w:rsid w:val="002675AE"/>
    <w:rsid w:val="002675D8"/>
    <w:rsid w:val="002677A4"/>
    <w:rsid w:val="00270834"/>
    <w:rsid w:val="00271349"/>
    <w:rsid w:val="00272AE9"/>
    <w:rsid w:val="00273B20"/>
    <w:rsid w:val="00273EE0"/>
    <w:rsid w:val="002740CA"/>
    <w:rsid w:val="002743DC"/>
    <w:rsid w:val="00274CF2"/>
    <w:rsid w:val="00275533"/>
    <w:rsid w:val="0027588C"/>
    <w:rsid w:val="00275ADF"/>
    <w:rsid w:val="0027750B"/>
    <w:rsid w:val="0027778B"/>
    <w:rsid w:val="0028139D"/>
    <w:rsid w:val="00281D8B"/>
    <w:rsid w:val="00282399"/>
    <w:rsid w:val="0028373B"/>
    <w:rsid w:val="002844EF"/>
    <w:rsid w:val="00284AAB"/>
    <w:rsid w:val="0028552D"/>
    <w:rsid w:val="00285644"/>
    <w:rsid w:val="002859EB"/>
    <w:rsid w:val="002861BD"/>
    <w:rsid w:val="00286874"/>
    <w:rsid w:val="002907F5"/>
    <w:rsid w:val="00291F2E"/>
    <w:rsid w:val="00292123"/>
    <w:rsid w:val="0029230A"/>
    <w:rsid w:val="002923EC"/>
    <w:rsid w:val="00292889"/>
    <w:rsid w:val="00292B8B"/>
    <w:rsid w:val="00292F8D"/>
    <w:rsid w:val="00292FC5"/>
    <w:rsid w:val="002966A3"/>
    <w:rsid w:val="002969D3"/>
    <w:rsid w:val="002970DD"/>
    <w:rsid w:val="002A1CB2"/>
    <w:rsid w:val="002A3D8A"/>
    <w:rsid w:val="002A711E"/>
    <w:rsid w:val="002A7298"/>
    <w:rsid w:val="002A73D1"/>
    <w:rsid w:val="002A7DEF"/>
    <w:rsid w:val="002B04B8"/>
    <w:rsid w:val="002B17E8"/>
    <w:rsid w:val="002B1BCA"/>
    <w:rsid w:val="002B2EFF"/>
    <w:rsid w:val="002B41B4"/>
    <w:rsid w:val="002B4B5C"/>
    <w:rsid w:val="002B5718"/>
    <w:rsid w:val="002B706E"/>
    <w:rsid w:val="002B774D"/>
    <w:rsid w:val="002C036D"/>
    <w:rsid w:val="002C1391"/>
    <w:rsid w:val="002C1F38"/>
    <w:rsid w:val="002C2395"/>
    <w:rsid w:val="002C24B1"/>
    <w:rsid w:val="002C2D44"/>
    <w:rsid w:val="002C39FA"/>
    <w:rsid w:val="002C3B7F"/>
    <w:rsid w:val="002C3CF9"/>
    <w:rsid w:val="002C4475"/>
    <w:rsid w:val="002C6257"/>
    <w:rsid w:val="002C66AF"/>
    <w:rsid w:val="002C74E6"/>
    <w:rsid w:val="002D01FC"/>
    <w:rsid w:val="002D041D"/>
    <w:rsid w:val="002D1456"/>
    <w:rsid w:val="002D2239"/>
    <w:rsid w:val="002D2ABA"/>
    <w:rsid w:val="002D36B3"/>
    <w:rsid w:val="002D36F5"/>
    <w:rsid w:val="002D376E"/>
    <w:rsid w:val="002D3F1C"/>
    <w:rsid w:val="002D50F1"/>
    <w:rsid w:val="002D5119"/>
    <w:rsid w:val="002D6098"/>
    <w:rsid w:val="002D65C9"/>
    <w:rsid w:val="002D73DB"/>
    <w:rsid w:val="002D7AD6"/>
    <w:rsid w:val="002D7BD5"/>
    <w:rsid w:val="002D7F7C"/>
    <w:rsid w:val="002E0669"/>
    <w:rsid w:val="002E0F21"/>
    <w:rsid w:val="002E1518"/>
    <w:rsid w:val="002E199A"/>
    <w:rsid w:val="002E1C36"/>
    <w:rsid w:val="002E262F"/>
    <w:rsid w:val="002E2981"/>
    <w:rsid w:val="002E3E86"/>
    <w:rsid w:val="002E5110"/>
    <w:rsid w:val="002E5AC6"/>
    <w:rsid w:val="002E6359"/>
    <w:rsid w:val="002E66BC"/>
    <w:rsid w:val="002E6F4C"/>
    <w:rsid w:val="002E7486"/>
    <w:rsid w:val="002E7980"/>
    <w:rsid w:val="002E79DA"/>
    <w:rsid w:val="002E7B6A"/>
    <w:rsid w:val="002E7B6B"/>
    <w:rsid w:val="002E7DA9"/>
    <w:rsid w:val="002F0570"/>
    <w:rsid w:val="002F0DB3"/>
    <w:rsid w:val="002F14A1"/>
    <w:rsid w:val="002F212E"/>
    <w:rsid w:val="002F32AF"/>
    <w:rsid w:val="002F3545"/>
    <w:rsid w:val="002F3612"/>
    <w:rsid w:val="002F3729"/>
    <w:rsid w:val="002F4419"/>
    <w:rsid w:val="002F606E"/>
    <w:rsid w:val="0030199F"/>
    <w:rsid w:val="00301AF7"/>
    <w:rsid w:val="0030214F"/>
    <w:rsid w:val="0030246E"/>
    <w:rsid w:val="0030348D"/>
    <w:rsid w:val="003035FA"/>
    <w:rsid w:val="00303B2C"/>
    <w:rsid w:val="00304A31"/>
    <w:rsid w:val="0030533F"/>
    <w:rsid w:val="003061F6"/>
    <w:rsid w:val="00306C76"/>
    <w:rsid w:val="00307F6D"/>
    <w:rsid w:val="0031016C"/>
    <w:rsid w:val="003109D1"/>
    <w:rsid w:val="00310CE3"/>
    <w:rsid w:val="00311738"/>
    <w:rsid w:val="00311F48"/>
    <w:rsid w:val="00312388"/>
    <w:rsid w:val="00313C7F"/>
    <w:rsid w:val="0031435C"/>
    <w:rsid w:val="00314C77"/>
    <w:rsid w:val="003150EC"/>
    <w:rsid w:val="00315326"/>
    <w:rsid w:val="00316016"/>
    <w:rsid w:val="00316181"/>
    <w:rsid w:val="00317053"/>
    <w:rsid w:val="00317980"/>
    <w:rsid w:val="00317DCA"/>
    <w:rsid w:val="00321611"/>
    <w:rsid w:val="00321C3D"/>
    <w:rsid w:val="00322416"/>
    <w:rsid w:val="00322C6C"/>
    <w:rsid w:val="00323D94"/>
    <w:rsid w:val="003241B8"/>
    <w:rsid w:val="003256C2"/>
    <w:rsid w:val="00325FD1"/>
    <w:rsid w:val="0032751E"/>
    <w:rsid w:val="003305E3"/>
    <w:rsid w:val="00330D5E"/>
    <w:rsid w:val="00330E9A"/>
    <w:rsid w:val="00331BB8"/>
    <w:rsid w:val="003334D3"/>
    <w:rsid w:val="0033663C"/>
    <w:rsid w:val="0033735E"/>
    <w:rsid w:val="00337D73"/>
    <w:rsid w:val="00341223"/>
    <w:rsid w:val="00341784"/>
    <w:rsid w:val="003417EC"/>
    <w:rsid w:val="003425FB"/>
    <w:rsid w:val="00344517"/>
    <w:rsid w:val="00345360"/>
    <w:rsid w:val="003464B2"/>
    <w:rsid w:val="00346FB9"/>
    <w:rsid w:val="0034737A"/>
    <w:rsid w:val="003478A0"/>
    <w:rsid w:val="00347B50"/>
    <w:rsid w:val="00347D7F"/>
    <w:rsid w:val="003511EF"/>
    <w:rsid w:val="003518B3"/>
    <w:rsid w:val="00355342"/>
    <w:rsid w:val="00355661"/>
    <w:rsid w:val="0035671A"/>
    <w:rsid w:val="00360377"/>
    <w:rsid w:val="003605E0"/>
    <w:rsid w:val="0036214F"/>
    <w:rsid w:val="003624BB"/>
    <w:rsid w:val="00362FEC"/>
    <w:rsid w:val="00363316"/>
    <w:rsid w:val="003677E0"/>
    <w:rsid w:val="0037010C"/>
    <w:rsid w:val="003701BF"/>
    <w:rsid w:val="00370409"/>
    <w:rsid w:val="0037081F"/>
    <w:rsid w:val="003712AC"/>
    <w:rsid w:val="00372979"/>
    <w:rsid w:val="003747B7"/>
    <w:rsid w:val="00375A10"/>
    <w:rsid w:val="003763FD"/>
    <w:rsid w:val="0037716B"/>
    <w:rsid w:val="00377183"/>
    <w:rsid w:val="0037745E"/>
    <w:rsid w:val="003806FE"/>
    <w:rsid w:val="00381CBB"/>
    <w:rsid w:val="00382351"/>
    <w:rsid w:val="00382851"/>
    <w:rsid w:val="0038296A"/>
    <w:rsid w:val="00383CAB"/>
    <w:rsid w:val="00383D25"/>
    <w:rsid w:val="00383F3A"/>
    <w:rsid w:val="003849C2"/>
    <w:rsid w:val="00384B4F"/>
    <w:rsid w:val="00385406"/>
    <w:rsid w:val="0038571B"/>
    <w:rsid w:val="00386829"/>
    <w:rsid w:val="00386DB1"/>
    <w:rsid w:val="003872AF"/>
    <w:rsid w:val="00387361"/>
    <w:rsid w:val="0038737D"/>
    <w:rsid w:val="0039161B"/>
    <w:rsid w:val="00391C1D"/>
    <w:rsid w:val="0039321E"/>
    <w:rsid w:val="00393E3C"/>
    <w:rsid w:val="00394546"/>
    <w:rsid w:val="00394B3B"/>
    <w:rsid w:val="0039587D"/>
    <w:rsid w:val="00395CB8"/>
    <w:rsid w:val="00395E03"/>
    <w:rsid w:val="003963F3"/>
    <w:rsid w:val="00396B30"/>
    <w:rsid w:val="00396ECB"/>
    <w:rsid w:val="00397BFF"/>
    <w:rsid w:val="003A0B65"/>
    <w:rsid w:val="003A1139"/>
    <w:rsid w:val="003A3853"/>
    <w:rsid w:val="003A39A2"/>
    <w:rsid w:val="003A6A37"/>
    <w:rsid w:val="003A6AE9"/>
    <w:rsid w:val="003A731F"/>
    <w:rsid w:val="003B029C"/>
    <w:rsid w:val="003B0762"/>
    <w:rsid w:val="003B07B5"/>
    <w:rsid w:val="003B0C21"/>
    <w:rsid w:val="003B13FE"/>
    <w:rsid w:val="003B1EA7"/>
    <w:rsid w:val="003B2235"/>
    <w:rsid w:val="003B24C3"/>
    <w:rsid w:val="003B2CF5"/>
    <w:rsid w:val="003B2EC4"/>
    <w:rsid w:val="003B2FF3"/>
    <w:rsid w:val="003B3348"/>
    <w:rsid w:val="003B35D9"/>
    <w:rsid w:val="003B369C"/>
    <w:rsid w:val="003B3BC3"/>
    <w:rsid w:val="003B458E"/>
    <w:rsid w:val="003B46D8"/>
    <w:rsid w:val="003B7C99"/>
    <w:rsid w:val="003C02BD"/>
    <w:rsid w:val="003C27D9"/>
    <w:rsid w:val="003C27DF"/>
    <w:rsid w:val="003C30CE"/>
    <w:rsid w:val="003C335D"/>
    <w:rsid w:val="003C3393"/>
    <w:rsid w:val="003C33BF"/>
    <w:rsid w:val="003C675C"/>
    <w:rsid w:val="003D00CB"/>
    <w:rsid w:val="003D0358"/>
    <w:rsid w:val="003D1AD1"/>
    <w:rsid w:val="003D2497"/>
    <w:rsid w:val="003D4491"/>
    <w:rsid w:val="003D48A7"/>
    <w:rsid w:val="003D5AA1"/>
    <w:rsid w:val="003D7016"/>
    <w:rsid w:val="003D75E7"/>
    <w:rsid w:val="003E08DE"/>
    <w:rsid w:val="003E097A"/>
    <w:rsid w:val="003E1074"/>
    <w:rsid w:val="003E1106"/>
    <w:rsid w:val="003E1314"/>
    <w:rsid w:val="003E1B0A"/>
    <w:rsid w:val="003E2C60"/>
    <w:rsid w:val="003E3083"/>
    <w:rsid w:val="003E4C02"/>
    <w:rsid w:val="003E63A4"/>
    <w:rsid w:val="003E66A0"/>
    <w:rsid w:val="003E679D"/>
    <w:rsid w:val="003E694C"/>
    <w:rsid w:val="003E69EF"/>
    <w:rsid w:val="003E700F"/>
    <w:rsid w:val="003E7F41"/>
    <w:rsid w:val="003F001E"/>
    <w:rsid w:val="003F023E"/>
    <w:rsid w:val="003F0CA1"/>
    <w:rsid w:val="003F12C9"/>
    <w:rsid w:val="003F2011"/>
    <w:rsid w:val="003F237A"/>
    <w:rsid w:val="003F34AF"/>
    <w:rsid w:val="003F43EB"/>
    <w:rsid w:val="003F4979"/>
    <w:rsid w:val="003F4DE4"/>
    <w:rsid w:val="003F5882"/>
    <w:rsid w:val="003F650B"/>
    <w:rsid w:val="003F6AB6"/>
    <w:rsid w:val="003F6DB6"/>
    <w:rsid w:val="003F6DDB"/>
    <w:rsid w:val="003F78C5"/>
    <w:rsid w:val="00400319"/>
    <w:rsid w:val="004008C3"/>
    <w:rsid w:val="00401CD1"/>
    <w:rsid w:val="00402061"/>
    <w:rsid w:val="0040321F"/>
    <w:rsid w:val="00403509"/>
    <w:rsid w:val="004037DB"/>
    <w:rsid w:val="00403F47"/>
    <w:rsid w:val="00405200"/>
    <w:rsid w:val="004054C1"/>
    <w:rsid w:val="00406131"/>
    <w:rsid w:val="00406439"/>
    <w:rsid w:val="0040677F"/>
    <w:rsid w:val="00407A24"/>
    <w:rsid w:val="00407D0D"/>
    <w:rsid w:val="00407F3F"/>
    <w:rsid w:val="00410188"/>
    <w:rsid w:val="004105E1"/>
    <w:rsid w:val="00410819"/>
    <w:rsid w:val="0041150E"/>
    <w:rsid w:val="00413039"/>
    <w:rsid w:val="00413C8B"/>
    <w:rsid w:val="00414740"/>
    <w:rsid w:val="00415157"/>
    <w:rsid w:val="00415762"/>
    <w:rsid w:val="004157D7"/>
    <w:rsid w:val="00415A57"/>
    <w:rsid w:val="0041611B"/>
    <w:rsid w:val="00416BAB"/>
    <w:rsid w:val="00416D85"/>
    <w:rsid w:val="00416E15"/>
    <w:rsid w:val="004201BD"/>
    <w:rsid w:val="00420714"/>
    <w:rsid w:val="004210B1"/>
    <w:rsid w:val="0042172E"/>
    <w:rsid w:val="00421871"/>
    <w:rsid w:val="00421C53"/>
    <w:rsid w:val="00422721"/>
    <w:rsid w:val="0042290B"/>
    <w:rsid w:val="00422C35"/>
    <w:rsid w:val="004232DF"/>
    <w:rsid w:val="004243B8"/>
    <w:rsid w:val="00424616"/>
    <w:rsid w:val="00425232"/>
    <w:rsid w:val="004257F1"/>
    <w:rsid w:val="00426152"/>
    <w:rsid w:val="004262D3"/>
    <w:rsid w:val="00426D24"/>
    <w:rsid w:val="0042732B"/>
    <w:rsid w:val="0043133E"/>
    <w:rsid w:val="004318E3"/>
    <w:rsid w:val="00431A24"/>
    <w:rsid w:val="004324C8"/>
    <w:rsid w:val="00433A3F"/>
    <w:rsid w:val="00434765"/>
    <w:rsid w:val="00434874"/>
    <w:rsid w:val="00434EBC"/>
    <w:rsid w:val="00434F6D"/>
    <w:rsid w:val="00435159"/>
    <w:rsid w:val="00435910"/>
    <w:rsid w:val="00435B3F"/>
    <w:rsid w:val="00436347"/>
    <w:rsid w:val="00437381"/>
    <w:rsid w:val="00437482"/>
    <w:rsid w:val="0044010A"/>
    <w:rsid w:val="0044066E"/>
    <w:rsid w:val="004408D7"/>
    <w:rsid w:val="00440F36"/>
    <w:rsid w:val="0044117E"/>
    <w:rsid w:val="00441C2A"/>
    <w:rsid w:val="00441E40"/>
    <w:rsid w:val="00441F31"/>
    <w:rsid w:val="0044230C"/>
    <w:rsid w:val="00442FE7"/>
    <w:rsid w:val="004442BC"/>
    <w:rsid w:val="00444611"/>
    <w:rsid w:val="004449E8"/>
    <w:rsid w:val="00445547"/>
    <w:rsid w:val="00445BE0"/>
    <w:rsid w:val="00445D79"/>
    <w:rsid w:val="0044642F"/>
    <w:rsid w:val="004465CE"/>
    <w:rsid w:val="0044755F"/>
    <w:rsid w:val="004477FD"/>
    <w:rsid w:val="0045001F"/>
    <w:rsid w:val="004501CD"/>
    <w:rsid w:val="00450442"/>
    <w:rsid w:val="0045342D"/>
    <w:rsid w:val="00454875"/>
    <w:rsid w:val="00454A89"/>
    <w:rsid w:val="00454EB6"/>
    <w:rsid w:val="0045518F"/>
    <w:rsid w:val="004558FC"/>
    <w:rsid w:val="004562F2"/>
    <w:rsid w:val="00460177"/>
    <w:rsid w:val="0046101A"/>
    <w:rsid w:val="004615C9"/>
    <w:rsid w:val="00462411"/>
    <w:rsid w:val="00462925"/>
    <w:rsid w:val="00462A14"/>
    <w:rsid w:val="00464AE0"/>
    <w:rsid w:val="00465F7D"/>
    <w:rsid w:val="00466876"/>
    <w:rsid w:val="00466C72"/>
    <w:rsid w:val="0046711B"/>
    <w:rsid w:val="00472190"/>
    <w:rsid w:val="00472A51"/>
    <w:rsid w:val="004740E7"/>
    <w:rsid w:val="004749DE"/>
    <w:rsid w:val="00476000"/>
    <w:rsid w:val="004808D9"/>
    <w:rsid w:val="00480987"/>
    <w:rsid w:val="0048105D"/>
    <w:rsid w:val="00481495"/>
    <w:rsid w:val="00481A47"/>
    <w:rsid w:val="00481B63"/>
    <w:rsid w:val="004828A6"/>
    <w:rsid w:val="00482B6A"/>
    <w:rsid w:val="00483B13"/>
    <w:rsid w:val="00483D76"/>
    <w:rsid w:val="00485057"/>
    <w:rsid w:val="00485CDB"/>
    <w:rsid w:val="004902D3"/>
    <w:rsid w:val="00490715"/>
    <w:rsid w:val="004916DD"/>
    <w:rsid w:val="0049179F"/>
    <w:rsid w:val="00495477"/>
    <w:rsid w:val="00496201"/>
    <w:rsid w:val="004965F2"/>
    <w:rsid w:val="0049720A"/>
    <w:rsid w:val="0049735B"/>
    <w:rsid w:val="004A0E30"/>
    <w:rsid w:val="004A1665"/>
    <w:rsid w:val="004A16A8"/>
    <w:rsid w:val="004A1813"/>
    <w:rsid w:val="004A260C"/>
    <w:rsid w:val="004A2EE7"/>
    <w:rsid w:val="004A35E9"/>
    <w:rsid w:val="004A37E8"/>
    <w:rsid w:val="004A39A3"/>
    <w:rsid w:val="004A3FC1"/>
    <w:rsid w:val="004A4029"/>
    <w:rsid w:val="004A469D"/>
    <w:rsid w:val="004A4804"/>
    <w:rsid w:val="004A545F"/>
    <w:rsid w:val="004A5878"/>
    <w:rsid w:val="004A6F4C"/>
    <w:rsid w:val="004B0882"/>
    <w:rsid w:val="004B1121"/>
    <w:rsid w:val="004B1B10"/>
    <w:rsid w:val="004B42A4"/>
    <w:rsid w:val="004B5A16"/>
    <w:rsid w:val="004B5D8B"/>
    <w:rsid w:val="004C0B77"/>
    <w:rsid w:val="004C1062"/>
    <w:rsid w:val="004C1BF7"/>
    <w:rsid w:val="004C4085"/>
    <w:rsid w:val="004C4739"/>
    <w:rsid w:val="004C5761"/>
    <w:rsid w:val="004C58C4"/>
    <w:rsid w:val="004C694A"/>
    <w:rsid w:val="004C6ACF"/>
    <w:rsid w:val="004C712D"/>
    <w:rsid w:val="004C7412"/>
    <w:rsid w:val="004C77C6"/>
    <w:rsid w:val="004D059A"/>
    <w:rsid w:val="004D0DCB"/>
    <w:rsid w:val="004D1855"/>
    <w:rsid w:val="004D1A2F"/>
    <w:rsid w:val="004D2500"/>
    <w:rsid w:val="004D26C0"/>
    <w:rsid w:val="004D4C08"/>
    <w:rsid w:val="004D54ED"/>
    <w:rsid w:val="004D6614"/>
    <w:rsid w:val="004D701F"/>
    <w:rsid w:val="004E0683"/>
    <w:rsid w:val="004E1F56"/>
    <w:rsid w:val="004E1F5B"/>
    <w:rsid w:val="004E2670"/>
    <w:rsid w:val="004E2B15"/>
    <w:rsid w:val="004E2C90"/>
    <w:rsid w:val="004E3092"/>
    <w:rsid w:val="004E3405"/>
    <w:rsid w:val="004E4A75"/>
    <w:rsid w:val="004E4D97"/>
    <w:rsid w:val="004E5858"/>
    <w:rsid w:val="004E6C2A"/>
    <w:rsid w:val="004F08A2"/>
    <w:rsid w:val="004F0ABF"/>
    <w:rsid w:val="004F13AD"/>
    <w:rsid w:val="004F1E68"/>
    <w:rsid w:val="004F227D"/>
    <w:rsid w:val="004F253F"/>
    <w:rsid w:val="004F279A"/>
    <w:rsid w:val="004F2D49"/>
    <w:rsid w:val="004F3098"/>
    <w:rsid w:val="004F3969"/>
    <w:rsid w:val="004F6596"/>
    <w:rsid w:val="004F6B2D"/>
    <w:rsid w:val="004F6DB6"/>
    <w:rsid w:val="00500138"/>
    <w:rsid w:val="005017BA"/>
    <w:rsid w:val="005018AD"/>
    <w:rsid w:val="005020ED"/>
    <w:rsid w:val="005024A6"/>
    <w:rsid w:val="00502D20"/>
    <w:rsid w:val="00503E35"/>
    <w:rsid w:val="005042A4"/>
    <w:rsid w:val="005049FA"/>
    <w:rsid w:val="00505277"/>
    <w:rsid w:val="00505A29"/>
    <w:rsid w:val="00506181"/>
    <w:rsid w:val="005063C4"/>
    <w:rsid w:val="0050662A"/>
    <w:rsid w:val="0050740A"/>
    <w:rsid w:val="00510BA9"/>
    <w:rsid w:val="00511AD9"/>
    <w:rsid w:val="0051285F"/>
    <w:rsid w:val="00512F93"/>
    <w:rsid w:val="005134BE"/>
    <w:rsid w:val="00513C55"/>
    <w:rsid w:val="005142C0"/>
    <w:rsid w:val="00514454"/>
    <w:rsid w:val="00514A72"/>
    <w:rsid w:val="00515642"/>
    <w:rsid w:val="0051597E"/>
    <w:rsid w:val="005164C5"/>
    <w:rsid w:val="0051793C"/>
    <w:rsid w:val="00517B29"/>
    <w:rsid w:val="005200CC"/>
    <w:rsid w:val="0052022D"/>
    <w:rsid w:val="00520750"/>
    <w:rsid w:val="00520D17"/>
    <w:rsid w:val="00520DAD"/>
    <w:rsid w:val="00521597"/>
    <w:rsid w:val="005217BA"/>
    <w:rsid w:val="00522326"/>
    <w:rsid w:val="00522816"/>
    <w:rsid w:val="0052284C"/>
    <w:rsid w:val="00522968"/>
    <w:rsid w:val="005236E1"/>
    <w:rsid w:val="0052403C"/>
    <w:rsid w:val="0052446F"/>
    <w:rsid w:val="00524DFD"/>
    <w:rsid w:val="00525664"/>
    <w:rsid w:val="00525FCC"/>
    <w:rsid w:val="005260F0"/>
    <w:rsid w:val="005264CE"/>
    <w:rsid w:val="005276B4"/>
    <w:rsid w:val="00527829"/>
    <w:rsid w:val="00530138"/>
    <w:rsid w:val="0053033C"/>
    <w:rsid w:val="00530A32"/>
    <w:rsid w:val="00531230"/>
    <w:rsid w:val="00532022"/>
    <w:rsid w:val="00532467"/>
    <w:rsid w:val="00533746"/>
    <w:rsid w:val="00533B27"/>
    <w:rsid w:val="0053603A"/>
    <w:rsid w:val="005368AF"/>
    <w:rsid w:val="0053703A"/>
    <w:rsid w:val="00537EE0"/>
    <w:rsid w:val="00540ABC"/>
    <w:rsid w:val="00540C05"/>
    <w:rsid w:val="005411EA"/>
    <w:rsid w:val="0054136D"/>
    <w:rsid w:val="00541893"/>
    <w:rsid w:val="0054226B"/>
    <w:rsid w:val="00543E88"/>
    <w:rsid w:val="005441AD"/>
    <w:rsid w:val="0054426F"/>
    <w:rsid w:val="00544DA2"/>
    <w:rsid w:val="00546962"/>
    <w:rsid w:val="00546DDB"/>
    <w:rsid w:val="0054710B"/>
    <w:rsid w:val="00551271"/>
    <w:rsid w:val="00551B18"/>
    <w:rsid w:val="005522B7"/>
    <w:rsid w:val="00552C01"/>
    <w:rsid w:val="0055334D"/>
    <w:rsid w:val="00554503"/>
    <w:rsid w:val="0055518C"/>
    <w:rsid w:val="00555730"/>
    <w:rsid w:val="00556E51"/>
    <w:rsid w:val="00557F08"/>
    <w:rsid w:val="00560801"/>
    <w:rsid w:val="00560AB4"/>
    <w:rsid w:val="005613C0"/>
    <w:rsid w:val="00561B2C"/>
    <w:rsid w:val="00561D56"/>
    <w:rsid w:val="00561DBA"/>
    <w:rsid w:val="00562951"/>
    <w:rsid w:val="005637CD"/>
    <w:rsid w:val="00563D33"/>
    <w:rsid w:val="00563D9F"/>
    <w:rsid w:val="00564A1C"/>
    <w:rsid w:val="00564A4D"/>
    <w:rsid w:val="00565285"/>
    <w:rsid w:val="00565357"/>
    <w:rsid w:val="005654A9"/>
    <w:rsid w:val="005665A3"/>
    <w:rsid w:val="00567242"/>
    <w:rsid w:val="00567501"/>
    <w:rsid w:val="00570081"/>
    <w:rsid w:val="005712B0"/>
    <w:rsid w:val="005713CA"/>
    <w:rsid w:val="00571E1A"/>
    <w:rsid w:val="005724D2"/>
    <w:rsid w:val="00572D14"/>
    <w:rsid w:val="00575068"/>
    <w:rsid w:val="005764D3"/>
    <w:rsid w:val="00576B60"/>
    <w:rsid w:val="0057743D"/>
    <w:rsid w:val="005778C6"/>
    <w:rsid w:val="00580AE9"/>
    <w:rsid w:val="005814D3"/>
    <w:rsid w:val="00582F07"/>
    <w:rsid w:val="00584087"/>
    <w:rsid w:val="005857B3"/>
    <w:rsid w:val="00585B20"/>
    <w:rsid w:val="00585C8A"/>
    <w:rsid w:val="005874D1"/>
    <w:rsid w:val="00587C4E"/>
    <w:rsid w:val="0059131E"/>
    <w:rsid w:val="005915FC"/>
    <w:rsid w:val="0059170A"/>
    <w:rsid w:val="005920DC"/>
    <w:rsid w:val="005935DB"/>
    <w:rsid w:val="005948CB"/>
    <w:rsid w:val="00594925"/>
    <w:rsid w:val="005949F4"/>
    <w:rsid w:val="00596B7E"/>
    <w:rsid w:val="00597383"/>
    <w:rsid w:val="00597F0B"/>
    <w:rsid w:val="005A08AD"/>
    <w:rsid w:val="005A0F8E"/>
    <w:rsid w:val="005A11FB"/>
    <w:rsid w:val="005A1934"/>
    <w:rsid w:val="005A2D16"/>
    <w:rsid w:val="005A4F59"/>
    <w:rsid w:val="005A5F82"/>
    <w:rsid w:val="005A6957"/>
    <w:rsid w:val="005A6CE4"/>
    <w:rsid w:val="005B169F"/>
    <w:rsid w:val="005B2029"/>
    <w:rsid w:val="005B2827"/>
    <w:rsid w:val="005B2DF5"/>
    <w:rsid w:val="005B3094"/>
    <w:rsid w:val="005B3AC9"/>
    <w:rsid w:val="005B4E6F"/>
    <w:rsid w:val="005B5AFE"/>
    <w:rsid w:val="005B6263"/>
    <w:rsid w:val="005C09C0"/>
    <w:rsid w:val="005C1422"/>
    <w:rsid w:val="005C1501"/>
    <w:rsid w:val="005C15EF"/>
    <w:rsid w:val="005C1DFE"/>
    <w:rsid w:val="005C24A6"/>
    <w:rsid w:val="005C3970"/>
    <w:rsid w:val="005C43EB"/>
    <w:rsid w:val="005C4CEC"/>
    <w:rsid w:val="005C590E"/>
    <w:rsid w:val="005C61B4"/>
    <w:rsid w:val="005C6367"/>
    <w:rsid w:val="005C6BCA"/>
    <w:rsid w:val="005C7695"/>
    <w:rsid w:val="005C7914"/>
    <w:rsid w:val="005D0881"/>
    <w:rsid w:val="005D1BE7"/>
    <w:rsid w:val="005D35D6"/>
    <w:rsid w:val="005D37D1"/>
    <w:rsid w:val="005D4367"/>
    <w:rsid w:val="005D5657"/>
    <w:rsid w:val="005D5957"/>
    <w:rsid w:val="005D5F4F"/>
    <w:rsid w:val="005D6085"/>
    <w:rsid w:val="005D6584"/>
    <w:rsid w:val="005D70E8"/>
    <w:rsid w:val="005D7A8E"/>
    <w:rsid w:val="005D7E90"/>
    <w:rsid w:val="005E0725"/>
    <w:rsid w:val="005E0C34"/>
    <w:rsid w:val="005E186C"/>
    <w:rsid w:val="005E349F"/>
    <w:rsid w:val="005E3ED8"/>
    <w:rsid w:val="005E4132"/>
    <w:rsid w:val="005E432D"/>
    <w:rsid w:val="005E4784"/>
    <w:rsid w:val="005E4833"/>
    <w:rsid w:val="005E4A36"/>
    <w:rsid w:val="005E4F42"/>
    <w:rsid w:val="005E534E"/>
    <w:rsid w:val="005E6647"/>
    <w:rsid w:val="005E71C5"/>
    <w:rsid w:val="005E7937"/>
    <w:rsid w:val="005F0318"/>
    <w:rsid w:val="005F055F"/>
    <w:rsid w:val="005F0C89"/>
    <w:rsid w:val="005F0D2B"/>
    <w:rsid w:val="005F1481"/>
    <w:rsid w:val="005F1B6E"/>
    <w:rsid w:val="005F2972"/>
    <w:rsid w:val="005F426C"/>
    <w:rsid w:val="005F492D"/>
    <w:rsid w:val="005F56C3"/>
    <w:rsid w:val="005F7D19"/>
    <w:rsid w:val="00600AB9"/>
    <w:rsid w:val="00600CD3"/>
    <w:rsid w:val="00600EED"/>
    <w:rsid w:val="006012E1"/>
    <w:rsid w:val="00601363"/>
    <w:rsid w:val="00601393"/>
    <w:rsid w:val="00602781"/>
    <w:rsid w:val="00603A66"/>
    <w:rsid w:val="006048F8"/>
    <w:rsid w:val="00604BD8"/>
    <w:rsid w:val="00605893"/>
    <w:rsid w:val="00606C9A"/>
    <w:rsid w:val="00606CE6"/>
    <w:rsid w:val="00607049"/>
    <w:rsid w:val="0060708F"/>
    <w:rsid w:val="006077ED"/>
    <w:rsid w:val="0060796C"/>
    <w:rsid w:val="006101D8"/>
    <w:rsid w:val="00610B19"/>
    <w:rsid w:val="00611ED3"/>
    <w:rsid w:val="006127BF"/>
    <w:rsid w:val="00612939"/>
    <w:rsid w:val="00612BC0"/>
    <w:rsid w:val="0061350B"/>
    <w:rsid w:val="00613AAF"/>
    <w:rsid w:val="00613BB2"/>
    <w:rsid w:val="00613BD4"/>
    <w:rsid w:val="0061437D"/>
    <w:rsid w:val="006144F7"/>
    <w:rsid w:val="006150F7"/>
    <w:rsid w:val="00615B58"/>
    <w:rsid w:val="0061661E"/>
    <w:rsid w:val="006175F8"/>
    <w:rsid w:val="00617C14"/>
    <w:rsid w:val="006216B8"/>
    <w:rsid w:val="006224D9"/>
    <w:rsid w:val="00624006"/>
    <w:rsid w:val="006242D7"/>
    <w:rsid w:val="006245DB"/>
    <w:rsid w:val="0062600E"/>
    <w:rsid w:val="006260F4"/>
    <w:rsid w:val="00626F4E"/>
    <w:rsid w:val="006272C0"/>
    <w:rsid w:val="00627D13"/>
    <w:rsid w:val="00627E7D"/>
    <w:rsid w:val="006300ED"/>
    <w:rsid w:val="0063122E"/>
    <w:rsid w:val="00632298"/>
    <w:rsid w:val="00632A33"/>
    <w:rsid w:val="00632D6D"/>
    <w:rsid w:val="00632E1B"/>
    <w:rsid w:val="00634F25"/>
    <w:rsid w:val="00635850"/>
    <w:rsid w:val="00635FA6"/>
    <w:rsid w:val="0063604C"/>
    <w:rsid w:val="00636B29"/>
    <w:rsid w:val="006372D3"/>
    <w:rsid w:val="0063742E"/>
    <w:rsid w:val="00637D94"/>
    <w:rsid w:val="0064058F"/>
    <w:rsid w:val="0064153E"/>
    <w:rsid w:val="00641858"/>
    <w:rsid w:val="00641EB9"/>
    <w:rsid w:val="0064217C"/>
    <w:rsid w:val="00643051"/>
    <w:rsid w:val="00643C16"/>
    <w:rsid w:val="00645125"/>
    <w:rsid w:val="00645AFE"/>
    <w:rsid w:val="00646652"/>
    <w:rsid w:val="00646672"/>
    <w:rsid w:val="006471B8"/>
    <w:rsid w:val="006475F2"/>
    <w:rsid w:val="00647A93"/>
    <w:rsid w:val="0065010B"/>
    <w:rsid w:val="006506C4"/>
    <w:rsid w:val="00652015"/>
    <w:rsid w:val="006539CD"/>
    <w:rsid w:val="00654710"/>
    <w:rsid w:val="00654C99"/>
    <w:rsid w:val="00654CAB"/>
    <w:rsid w:val="00655079"/>
    <w:rsid w:val="0065619F"/>
    <w:rsid w:val="006566FC"/>
    <w:rsid w:val="006579CD"/>
    <w:rsid w:val="00660232"/>
    <w:rsid w:val="0066085F"/>
    <w:rsid w:val="00660E9C"/>
    <w:rsid w:val="006618F2"/>
    <w:rsid w:val="00661A68"/>
    <w:rsid w:val="00661CC0"/>
    <w:rsid w:val="0066239E"/>
    <w:rsid w:val="006639DA"/>
    <w:rsid w:val="00663D5A"/>
    <w:rsid w:val="006641F1"/>
    <w:rsid w:val="0066464B"/>
    <w:rsid w:val="00664697"/>
    <w:rsid w:val="00665269"/>
    <w:rsid w:val="006654FA"/>
    <w:rsid w:val="006667DC"/>
    <w:rsid w:val="00666835"/>
    <w:rsid w:val="0066710A"/>
    <w:rsid w:val="00667B02"/>
    <w:rsid w:val="00670408"/>
    <w:rsid w:val="00670588"/>
    <w:rsid w:val="00671238"/>
    <w:rsid w:val="00673077"/>
    <w:rsid w:val="0067313D"/>
    <w:rsid w:val="006733C0"/>
    <w:rsid w:val="00673EF0"/>
    <w:rsid w:val="00675BD5"/>
    <w:rsid w:val="00675DAF"/>
    <w:rsid w:val="00676EA3"/>
    <w:rsid w:val="00677464"/>
    <w:rsid w:val="00677A50"/>
    <w:rsid w:val="006805E4"/>
    <w:rsid w:val="00681034"/>
    <w:rsid w:val="00682913"/>
    <w:rsid w:val="00682EF5"/>
    <w:rsid w:val="00683816"/>
    <w:rsid w:val="00683B7E"/>
    <w:rsid w:val="00683C91"/>
    <w:rsid w:val="00684FFC"/>
    <w:rsid w:val="00685D0A"/>
    <w:rsid w:val="0068621B"/>
    <w:rsid w:val="00686335"/>
    <w:rsid w:val="00686FF1"/>
    <w:rsid w:val="0069024E"/>
    <w:rsid w:val="00690C3A"/>
    <w:rsid w:val="00690FF1"/>
    <w:rsid w:val="00691BC1"/>
    <w:rsid w:val="006926BA"/>
    <w:rsid w:val="00692C77"/>
    <w:rsid w:val="00692C97"/>
    <w:rsid w:val="00692D60"/>
    <w:rsid w:val="006930F0"/>
    <w:rsid w:val="00693583"/>
    <w:rsid w:val="006935EE"/>
    <w:rsid w:val="00694D6B"/>
    <w:rsid w:val="00694DC8"/>
    <w:rsid w:val="00694F3D"/>
    <w:rsid w:val="006952C5"/>
    <w:rsid w:val="00697310"/>
    <w:rsid w:val="006A00BE"/>
    <w:rsid w:val="006A0CA5"/>
    <w:rsid w:val="006A1A0D"/>
    <w:rsid w:val="006A206C"/>
    <w:rsid w:val="006A22E5"/>
    <w:rsid w:val="006A24F6"/>
    <w:rsid w:val="006A32F9"/>
    <w:rsid w:val="006A426E"/>
    <w:rsid w:val="006A4891"/>
    <w:rsid w:val="006A4C9F"/>
    <w:rsid w:val="006A55D5"/>
    <w:rsid w:val="006A634F"/>
    <w:rsid w:val="006A71F3"/>
    <w:rsid w:val="006A7805"/>
    <w:rsid w:val="006B02B7"/>
    <w:rsid w:val="006B0EBC"/>
    <w:rsid w:val="006B13D8"/>
    <w:rsid w:val="006B1459"/>
    <w:rsid w:val="006B1814"/>
    <w:rsid w:val="006B2C2A"/>
    <w:rsid w:val="006B2DE1"/>
    <w:rsid w:val="006B4C69"/>
    <w:rsid w:val="006B643A"/>
    <w:rsid w:val="006B6470"/>
    <w:rsid w:val="006B7068"/>
    <w:rsid w:val="006B7A57"/>
    <w:rsid w:val="006B7BC8"/>
    <w:rsid w:val="006C1ABD"/>
    <w:rsid w:val="006C2B06"/>
    <w:rsid w:val="006C3400"/>
    <w:rsid w:val="006C40A8"/>
    <w:rsid w:val="006C556F"/>
    <w:rsid w:val="006C5C2A"/>
    <w:rsid w:val="006C5C9A"/>
    <w:rsid w:val="006C7BB7"/>
    <w:rsid w:val="006C7F8D"/>
    <w:rsid w:val="006D1246"/>
    <w:rsid w:val="006D1B2D"/>
    <w:rsid w:val="006D2CDB"/>
    <w:rsid w:val="006D2F6F"/>
    <w:rsid w:val="006D367E"/>
    <w:rsid w:val="006D6624"/>
    <w:rsid w:val="006D6BE2"/>
    <w:rsid w:val="006E0667"/>
    <w:rsid w:val="006E0CF6"/>
    <w:rsid w:val="006E0E08"/>
    <w:rsid w:val="006E0F1B"/>
    <w:rsid w:val="006E2D24"/>
    <w:rsid w:val="006E3259"/>
    <w:rsid w:val="006E52AC"/>
    <w:rsid w:val="006E5628"/>
    <w:rsid w:val="006E5A40"/>
    <w:rsid w:val="006E5A65"/>
    <w:rsid w:val="006E6016"/>
    <w:rsid w:val="006E6038"/>
    <w:rsid w:val="006E6C32"/>
    <w:rsid w:val="006E71A6"/>
    <w:rsid w:val="006E7EA4"/>
    <w:rsid w:val="006F0924"/>
    <w:rsid w:val="006F13D0"/>
    <w:rsid w:val="006F15AE"/>
    <w:rsid w:val="006F1BD4"/>
    <w:rsid w:val="006F3505"/>
    <w:rsid w:val="006F3714"/>
    <w:rsid w:val="006F37D3"/>
    <w:rsid w:val="006F39E7"/>
    <w:rsid w:val="006F42DD"/>
    <w:rsid w:val="006F4303"/>
    <w:rsid w:val="006F4CD5"/>
    <w:rsid w:val="006F5B95"/>
    <w:rsid w:val="006F5DFA"/>
    <w:rsid w:val="006F6525"/>
    <w:rsid w:val="007004F8"/>
    <w:rsid w:val="00700D3A"/>
    <w:rsid w:val="007019E2"/>
    <w:rsid w:val="00702C37"/>
    <w:rsid w:val="00702CB6"/>
    <w:rsid w:val="00703F62"/>
    <w:rsid w:val="007067B5"/>
    <w:rsid w:val="00706BB4"/>
    <w:rsid w:val="0070707F"/>
    <w:rsid w:val="007076CF"/>
    <w:rsid w:val="00707ABE"/>
    <w:rsid w:val="00707F23"/>
    <w:rsid w:val="00710B4D"/>
    <w:rsid w:val="007120EE"/>
    <w:rsid w:val="00712483"/>
    <w:rsid w:val="00712AF0"/>
    <w:rsid w:val="00712F2F"/>
    <w:rsid w:val="007136A9"/>
    <w:rsid w:val="00713A95"/>
    <w:rsid w:val="00714B06"/>
    <w:rsid w:val="00720E50"/>
    <w:rsid w:val="00720F1A"/>
    <w:rsid w:val="00721356"/>
    <w:rsid w:val="007218C7"/>
    <w:rsid w:val="0072257F"/>
    <w:rsid w:val="00724467"/>
    <w:rsid w:val="00724D18"/>
    <w:rsid w:val="007252B8"/>
    <w:rsid w:val="00726E1E"/>
    <w:rsid w:val="00727B0C"/>
    <w:rsid w:val="0073002B"/>
    <w:rsid w:val="007303C3"/>
    <w:rsid w:val="00733DB5"/>
    <w:rsid w:val="007344E2"/>
    <w:rsid w:val="007347D8"/>
    <w:rsid w:val="007347E6"/>
    <w:rsid w:val="00734BD2"/>
    <w:rsid w:val="007354D1"/>
    <w:rsid w:val="0074041D"/>
    <w:rsid w:val="00740C3A"/>
    <w:rsid w:val="00742661"/>
    <w:rsid w:val="00743894"/>
    <w:rsid w:val="00743C1C"/>
    <w:rsid w:val="007441FB"/>
    <w:rsid w:val="0074554D"/>
    <w:rsid w:val="00745ECB"/>
    <w:rsid w:val="0074622C"/>
    <w:rsid w:val="007465CB"/>
    <w:rsid w:val="00746A25"/>
    <w:rsid w:val="007501FB"/>
    <w:rsid w:val="00750844"/>
    <w:rsid w:val="00750AC6"/>
    <w:rsid w:val="00750BC5"/>
    <w:rsid w:val="00751578"/>
    <w:rsid w:val="00751585"/>
    <w:rsid w:val="00751CDE"/>
    <w:rsid w:val="0075253B"/>
    <w:rsid w:val="00753D43"/>
    <w:rsid w:val="00753D56"/>
    <w:rsid w:val="00753E25"/>
    <w:rsid w:val="0075425E"/>
    <w:rsid w:val="007542C4"/>
    <w:rsid w:val="007547EE"/>
    <w:rsid w:val="0075544C"/>
    <w:rsid w:val="00756188"/>
    <w:rsid w:val="00756611"/>
    <w:rsid w:val="00760649"/>
    <w:rsid w:val="00761EE7"/>
    <w:rsid w:val="00762B13"/>
    <w:rsid w:val="00763104"/>
    <w:rsid w:val="00763965"/>
    <w:rsid w:val="00763CB9"/>
    <w:rsid w:val="00763E5D"/>
    <w:rsid w:val="0076447D"/>
    <w:rsid w:val="00764A9A"/>
    <w:rsid w:val="00765CD8"/>
    <w:rsid w:val="007672C6"/>
    <w:rsid w:val="00767A2F"/>
    <w:rsid w:val="00767E8F"/>
    <w:rsid w:val="007702C0"/>
    <w:rsid w:val="007704B0"/>
    <w:rsid w:val="00771F66"/>
    <w:rsid w:val="00772197"/>
    <w:rsid w:val="00772603"/>
    <w:rsid w:val="007728A0"/>
    <w:rsid w:val="00772912"/>
    <w:rsid w:val="007744B7"/>
    <w:rsid w:val="007755D8"/>
    <w:rsid w:val="00776296"/>
    <w:rsid w:val="0077771E"/>
    <w:rsid w:val="00777E19"/>
    <w:rsid w:val="00777EE6"/>
    <w:rsid w:val="007803BC"/>
    <w:rsid w:val="007808E0"/>
    <w:rsid w:val="0078136C"/>
    <w:rsid w:val="007816FC"/>
    <w:rsid w:val="00782792"/>
    <w:rsid w:val="00782F9A"/>
    <w:rsid w:val="00783D69"/>
    <w:rsid w:val="00783EB4"/>
    <w:rsid w:val="00784698"/>
    <w:rsid w:val="00785047"/>
    <w:rsid w:val="00785826"/>
    <w:rsid w:val="007858A5"/>
    <w:rsid w:val="00785C2D"/>
    <w:rsid w:val="00785D57"/>
    <w:rsid w:val="00787330"/>
    <w:rsid w:val="007879BD"/>
    <w:rsid w:val="00787D6C"/>
    <w:rsid w:val="00787E74"/>
    <w:rsid w:val="00790F81"/>
    <w:rsid w:val="0079117A"/>
    <w:rsid w:val="00791211"/>
    <w:rsid w:val="0079148A"/>
    <w:rsid w:val="00792036"/>
    <w:rsid w:val="007922C7"/>
    <w:rsid w:val="007928B2"/>
    <w:rsid w:val="00792FF1"/>
    <w:rsid w:val="00793120"/>
    <w:rsid w:val="0079322B"/>
    <w:rsid w:val="007933C2"/>
    <w:rsid w:val="00793552"/>
    <w:rsid w:val="00794063"/>
    <w:rsid w:val="007940C6"/>
    <w:rsid w:val="007942B0"/>
    <w:rsid w:val="00794421"/>
    <w:rsid w:val="00794F98"/>
    <w:rsid w:val="007978EE"/>
    <w:rsid w:val="007A3280"/>
    <w:rsid w:val="007A487A"/>
    <w:rsid w:val="007A4EAA"/>
    <w:rsid w:val="007A547C"/>
    <w:rsid w:val="007A6965"/>
    <w:rsid w:val="007A6DCA"/>
    <w:rsid w:val="007B00A1"/>
    <w:rsid w:val="007B13B3"/>
    <w:rsid w:val="007B2035"/>
    <w:rsid w:val="007B257F"/>
    <w:rsid w:val="007B2E0C"/>
    <w:rsid w:val="007B2EAF"/>
    <w:rsid w:val="007B2FF7"/>
    <w:rsid w:val="007B3318"/>
    <w:rsid w:val="007B3524"/>
    <w:rsid w:val="007B3C95"/>
    <w:rsid w:val="007B4372"/>
    <w:rsid w:val="007B4567"/>
    <w:rsid w:val="007B4E84"/>
    <w:rsid w:val="007B723B"/>
    <w:rsid w:val="007B7B40"/>
    <w:rsid w:val="007C0484"/>
    <w:rsid w:val="007C129D"/>
    <w:rsid w:val="007C1C53"/>
    <w:rsid w:val="007C3930"/>
    <w:rsid w:val="007C41DB"/>
    <w:rsid w:val="007C4CB6"/>
    <w:rsid w:val="007C4CE5"/>
    <w:rsid w:val="007C56CE"/>
    <w:rsid w:val="007C5977"/>
    <w:rsid w:val="007C6EE7"/>
    <w:rsid w:val="007D02C3"/>
    <w:rsid w:val="007D0C55"/>
    <w:rsid w:val="007D0FCD"/>
    <w:rsid w:val="007D1534"/>
    <w:rsid w:val="007D1866"/>
    <w:rsid w:val="007D323F"/>
    <w:rsid w:val="007D3579"/>
    <w:rsid w:val="007D4265"/>
    <w:rsid w:val="007D43B5"/>
    <w:rsid w:val="007D4439"/>
    <w:rsid w:val="007D48B3"/>
    <w:rsid w:val="007D4C4C"/>
    <w:rsid w:val="007D53B0"/>
    <w:rsid w:val="007D5924"/>
    <w:rsid w:val="007D69F9"/>
    <w:rsid w:val="007D7299"/>
    <w:rsid w:val="007D7A35"/>
    <w:rsid w:val="007D7B39"/>
    <w:rsid w:val="007D7D22"/>
    <w:rsid w:val="007D7F62"/>
    <w:rsid w:val="007E08CF"/>
    <w:rsid w:val="007E1A53"/>
    <w:rsid w:val="007E3D12"/>
    <w:rsid w:val="007E44F9"/>
    <w:rsid w:val="007E5088"/>
    <w:rsid w:val="007E5572"/>
    <w:rsid w:val="007E646D"/>
    <w:rsid w:val="007E678B"/>
    <w:rsid w:val="007E67D3"/>
    <w:rsid w:val="007F04F1"/>
    <w:rsid w:val="007F062D"/>
    <w:rsid w:val="007F0693"/>
    <w:rsid w:val="007F08FE"/>
    <w:rsid w:val="007F2DD2"/>
    <w:rsid w:val="007F3101"/>
    <w:rsid w:val="007F3360"/>
    <w:rsid w:val="007F3927"/>
    <w:rsid w:val="007F43B6"/>
    <w:rsid w:val="007F50B6"/>
    <w:rsid w:val="007F5C24"/>
    <w:rsid w:val="00800977"/>
    <w:rsid w:val="00801742"/>
    <w:rsid w:val="0080177C"/>
    <w:rsid w:val="008035D0"/>
    <w:rsid w:val="00804C19"/>
    <w:rsid w:val="0080539A"/>
    <w:rsid w:val="00805C57"/>
    <w:rsid w:val="00805E41"/>
    <w:rsid w:val="008062B8"/>
    <w:rsid w:val="00806926"/>
    <w:rsid w:val="00807516"/>
    <w:rsid w:val="008103AD"/>
    <w:rsid w:val="00811553"/>
    <w:rsid w:val="00811B6C"/>
    <w:rsid w:val="00811EAF"/>
    <w:rsid w:val="008123E1"/>
    <w:rsid w:val="0081240C"/>
    <w:rsid w:val="008136BF"/>
    <w:rsid w:val="00813C15"/>
    <w:rsid w:val="00814390"/>
    <w:rsid w:val="00815669"/>
    <w:rsid w:val="0082162B"/>
    <w:rsid w:val="00821D49"/>
    <w:rsid w:val="0082354D"/>
    <w:rsid w:val="008235F0"/>
    <w:rsid w:val="0082365E"/>
    <w:rsid w:val="00823BCD"/>
    <w:rsid w:val="00824508"/>
    <w:rsid w:val="00825322"/>
    <w:rsid w:val="008257E5"/>
    <w:rsid w:val="00825A04"/>
    <w:rsid w:val="008263A6"/>
    <w:rsid w:val="00826812"/>
    <w:rsid w:val="008268AA"/>
    <w:rsid w:val="0082697C"/>
    <w:rsid w:val="008301FC"/>
    <w:rsid w:val="008304EB"/>
    <w:rsid w:val="00830587"/>
    <w:rsid w:val="0083093B"/>
    <w:rsid w:val="00831071"/>
    <w:rsid w:val="00833420"/>
    <w:rsid w:val="008339F4"/>
    <w:rsid w:val="00833A1F"/>
    <w:rsid w:val="00834921"/>
    <w:rsid w:val="00834D7A"/>
    <w:rsid w:val="008350E3"/>
    <w:rsid w:val="00835133"/>
    <w:rsid w:val="00836A97"/>
    <w:rsid w:val="00840321"/>
    <w:rsid w:val="00840ACC"/>
    <w:rsid w:val="00840F44"/>
    <w:rsid w:val="008410B4"/>
    <w:rsid w:val="008418F8"/>
    <w:rsid w:val="008424E3"/>
    <w:rsid w:val="00842ADE"/>
    <w:rsid w:val="00842C59"/>
    <w:rsid w:val="008431A2"/>
    <w:rsid w:val="008438A2"/>
    <w:rsid w:val="00843FC7"/>
    <w:rsid w:val="0084416C"/>
    <w:rsid w:val="0084714E"/>
    <w:rsid w:val="00847C6D"/>
    <w:rsid w:val="00851209"/>
    <w:rsid w:val="0085191F"/>
    <w:rsid w:val="008522FC"/>
    <w:rsid w:val="00854416"/>
    <w:rsid w:val="008555E1"/>
    <w:rsid w:val="008568B7"/>
    <w:rsid w:val="00856A20"/>
    <w:rsid w:val="00857420"/>
    <w:rsid w:val="00857F6F"/>
    <w:rsid w:val="008602AC"/>
    <w:rsid w:val="00860391"/>
    <w:rsid w:val="00860A82"/>
    <w:rsid w:val="00860C81"/>
    <w:rsid w:val="00863570"/>
    <w:rsid w:val="008649DD"/>
    <w:rsid w:val="00866AAE"/>
    <w:rsid w:val="00866E72"/>
    <w:rsid w:val="00867168"/>
    <w:rsid w:val="00867E2D"/>
    <w:rsid w:val="008700BD"/>
    <w:rsid w:val="0087086E"/>
    <w:rsid w:val="008739CD"/>
    <w:rsid w:val="00874B6B"/>
    <w:rsid w:val="00875102"/>
    <w:rsid w:val="008754A7"/>
    <w:rsid w:val="008757FC"/>
    <w:rsid w:val="00877DB6"/>
    <w:rsid w:val="00877FD8"/>
    <w:rsid w:val="00880865"/>
    <w:rsid w:val="0088088F"/>
    <w:rsid w:val="008809ED"/>
    <w:rsid w:val="00880C3D"/>
    <w:rsid w:val="008811FA"/>
    <w:rsid w:val="00881EF9"/>
    <w:rsid w:val="00882126"/>
    <w:rsid w:val="00882A0F"/>
    <w:rsid w:val="00882ACB"/>
    <w:rsid w:val="00883925"/>
    <w:rsid w:val="00884A61"/>
    <w:rsid w:val="00884AAE"/>
    <w:rsid w:val="0088559A"/>
    <w:rsid w:val="008863A1"/>
    <w:rsid w:val="00886E40"/>
    <w:rsid w:val="0088786A"/>
    <w:rsid w:val="0089019D"/>
    <w:rsid w:val="008908B8"/>
    <w:rsid w:val="00890F2E"/>
    <w:rsid w:val="00891B2A"/>
    <w:rsid w:val="00893254"/>
    <w:rsid w:val="00894197"/>
    <w:rsid w:val="0089459F"/>
    <w:rsid w:val="008945B5"/>
    <w:rsid w:val="00894A17"/>
    <w:rsid w:val="008953DB"/>
    <w:rsid w:val="008A0387"/>
    <w:rsid w:val="008A0E54"/>
    <w:rsid w:val="008A1251"/>
    <w:rsid w:val="008A15C0"/>
    <w:rsid w:val="008A1F03"/>
    <w:rsid w:val="008A22CC"/>
    <w:rsid w:val="008A369B"/>
    <w:rsid w:val="008A3935"/>
    <w:rsid w:val="008A4DA3"/>
    <w:rsid w:val="008A5D39"/>
    <w:rsid w:val="008A5DC9"/>
    <w:rsid w:val="008B0BF4"/>
    <w:rsid w:val="008B36F8"/>
    <w:rsid w:val="008B4338"/>
    <w:rsid w:val="008B4775"/>
    <w:rsid w:val="008B496B"/>
    <w:rsid w:val="008B4C8D"/>
    <w:rsid w:val="008B4E8A"/>
    <w:rsid w:val="008B5558"/>
    <w:rsid w:val="008B665D"/>
    <w:rsid w:val="008B680F"/>
    <w:rsid w:val="008B68DD"/>
    <w:rsid w:val="008B6F9D"/>
    <w:rsid w:val="008B6FD5"/>
    <w:rsid w:val="008B7587"/>
    <w:rsid w:val="008C0322"/>
    <w:rsid w:val="008C0449"/>
    <w:rsid w:val="008C095F"/>
    <w:rsid w:val="008C24C4"/>
    <w:rsid w:val="008C2C6B"/>
    <w:rsid w:val="008C2ED4"/>
    <w:rsid w:val="008C3012"/>
    <w:rsid w:val="008C34AF"/>
    <w:rsid w:val="008C4195"/>
    <w:rsid w:val="008C53F5"/>
    <w:rsid w:val="008C5AC3"/>
    <w:rsid w:val="008C6836"/>
    <w:rsid w:val="008C68AA"/>
    <w:rsid w:val="008C76A7"/>
    <w:rsid w:val="008C7A8A"/>
    <w:rsid w:val="008C7DC3"/>
    <w:rsid w:val="008D02EA"/>
    <w:rsid w:val="008D092B"/>
    <w:rsid w:val="008D15C1"/>
    <w:rsid w:val="008D1AE4"/>
    <w:rsid w:val="008D1B10"/>
    <w:rsid w:val="008D1F01"/>
    <w:rsid w:val="008D40DB"/>
    <w:rsid w:val="008D4B5B"/>
    <w:rsid w:val="008D5229"/>
    <w:rsid w:val="008D7688"/>
    <w:rsid w:val="008D7E66"/>
    <w:rsid w:val="008E09D2"/>
    <w:rsid w:val="008E0D39"/>
    <w:rsid w:val="008E187B"/>
    <w:rsid w:val="008E19A0"/>
    <w:rsid w:val="008E19B3"/>
    <w:rsid w:val="008E30A9"/>
    <w:rsid w:val="008E3DC7"/>
    <w:rsid w:val="008E45BB"/>
    <w:rsid w:val="008E547D"/>
    <w:rsid w:val="008E552B"/>
    <w:rsid w:val="008E7031"/>
    <w:rsid w:val="008F027C"/>
    <w:rsid w:val="008F0979"/>
    <w:rsid w:val="008F0DCC"/>
    <w:rsid w:val="008F1A43"/>
    <w:rsid w:val="008F1BE1"/>
    <w:rsid w:val="008F31D5"/>
    <w:rsid w:val="008F3659"/>
    <w:rsid w:val="008F455C"/>
    <w:rsid w:val="008F4DAF"/>
    <w:rsid w:val="008F4EAC"/>
    <w:rsid w:val="008F4F18"/>
    <w:rsid w:val="008F680D"/>
    <w:rsid w:val="008F6F6A"/>
    <w:rsid w:val="008F7053"/>
    <w:rsid w:val="008F7666"/>
    <w:rsid w:val="008F79F6"/>
    <w:rsid w:val="008F7BE3"/>
    <w:rsid w:val="00901071"/>
    <w:rsid w:val="00901524"/>
    <w:rsid w:val="00901E51"/>
    <w:rsid w:val="00902497"/>
    <w:rsid w:val="0090249D"/>
    <w:rsid w:val="00903293"/>
    <w:rsid w:val="00903CE1"/>
    <w:rsid w:val="009043B5"/>
    <w:rsid w:val="00904B2A"/>
    <w:rsid w:val="00904F8A"/>
    <w:rsid w:val="009050DF"/>
    <w:rsid w:val="0090551F"/>
    <w:rsid w:val="0090671A"/>
    <w:rsid w:val="00906B6B"/>
    <w:rsid w:val="00906FC7"/>
    <w:rsid w:val="00907555"/>
    <w:rsid w:val="00910112"/>
    <w:rsid w:val="009106EE"/>
    <w:rsid w:val="009117F4"/>
    <w:rsid w:val="00911D4C"/>
    <w:rsid w:val="00912B81"/>
    <w:rsid w:val="009134D6"/>
    <w:rsid w:val="0091399C"/>
    <w:rsid w:val="00914844"/>
    <w:rsid w:val="00915218"/>
    <w:rsid w:val="00916284"/>
    <w:rsid w:val="00916471"/>
    <w:rsid w:val="009202BF"/>
    <w:rsid w:val="0092056D"/>
    <w:rsid w:val="009207CB"/>
    <w:rsid w:val="00921575"/>
    <w:rsid w:val="00921C51"/>
    <w:rsid w:val="00922611"/>
    <w:rsid w:val="00922D6B"/>
    <w:rsid w:val="00923099"/>
    <w:rsid w:val="00924BF0"/>
    <w:rsid w:val="009252D8"/>
    <w:rsid w:val="00927468"/>
    <w:rsid w:val="00927D76"/>
    <w:rsid w:val="00927ED5"/>
    <w:rsid w:val="00930B08"/>
    <w:rsid w:val="00931103"/>
    <w:rsid w:val="00931705"/>
    <w:rsid w:val="009327C8"/>
    <w:rsid w:val="00933952"/>
    <w:rsid w:val="00933F42"/>
    <w:rsid w:val="00934DF6"/>
    <w:rsid w:val="009352B5"/>
    <w:rsid w:val="009363E3"/>
    <w:rsid w:val="00936791"/>
    <w:rsid w:val="00936F76"/>
    <w:rsid w:val="00937925"/>
    <w:rsid w:val="00937A9F"/>
    <w:rsid w:val="00940013"/>
    <w:rsid w:val="0094004E"/>
    <w:rsid w:val="00940138"/>
    <w:rsid w:val="00940542"/>
    <w:rsid w:val="00940D04"/>
    <w:rsid w:val="00940D37"/>
    <w:rsid w:val="00942633"/>
    <w:rsid w:val="00942B19"/>
    <w:rsid w:val="00942F63"/>
    <w:rsid w:val="009433CE"/>
    <w:rsid w:val="00943F15"/>
    <w:rsid w:val="0094433B"/>
    <w:rsid w:val="0094451C"/>
    <w:rsid w:val="00945008"/>
    <w:rsid w:val="00945421"/>
    <w:rsid w:val="00946506"/>
    <w:rsid w:val="00946CF3"/>
    <w:rsid w:val="0094795A"/>
    <w:rsid w:val="00947A52"/>
    <w:rsid w:val="009507A9"/>
    <w:rsid w:val="00950D35"/>
    <w:rsid w:val="0095217E"/>
    <w:rsid w:val="00953D5C"/>
    <w:rsid w:val="00955074"/>
    <w:rsid w:val="00955332"/>
    <w:rsid w:val="009562CA"/>
    <w:rsid w:val="00956A16"/>
    <w:rsid w:val="00956B2B"/>
    <w:rsid w:val="00961AE3"/>
    <w:rsid w:val="0096212C"/>
    <w:rsid w:val="00963351"/>
    <w:rsid w:val="00963383"/>
    <w:rsid w:val="00963824"/>
    <w:rsid w:val="00963C5D"/>
    <w:rsid w:val="009644C9"/>
    <w:rsid w:val="00964E6A"/>
    <w:rsid w:val="00966F5F"/>
    <w:rsid w:val="00967D91"/>
    <w:rsid w:val="00970263"/>
    <w:rsid w:val="00971126"/>
    <w:rsid w:val="00971B66"/>
    <w:rsid w:val="00972170"/>
    <w:rsid w:val="0097481B"/>
    <w:rsid w:val="00974821"/>
    <w:rsid w:val="00975224"/>
    <w:rsid w:val="0097784A"/>
    <w:rsid w:val="00977863"/>
    <w:rsid w:val="00977D39"/>
    <w:rsid w:val="00980048"/>
    <w:rsid w:val="009800EA"/>
    <w:rsid w:val="00980435"/>
    <w:rsid w:val="009807FF"/>
    <w:rsid w:val="00980AE6"/>
    <w:rsid w:val="00980B77"/>
    <w:rsid w:val="0098188F"/>
    <w:rsid w:val="0098221E"/>
    <w:rsid w:val="00982B1D"/>
    <w:rsid w:val="00982C1C"/>
    <w:rsid w:val="00982F83"/>
    <w:rsid w:val="009836FA"/>
    <w:rsid w:val="00983A26"/>
    <w:rsid w:val="0098493A"/>
    <w:rsid w:val="009851A5"/>
    <w:rsid w:val="00986324"/>
    <w:rsid w:val="009875E5"/>
    <w:rsid w:val="00987C33"/>
    <w:rsid w:val="00987CE7"/>
    <w:rsid w:val="00990270"/>
    <w:rsid w:val="00990648"/>
    <w:rsid w:val="00990E69"/>
    <w:rsid w:val="00991DF9"/>
    <w:rsid w:val="0099240C"/>
    <w:rsid w:val="00992C4B"/>
    <w:rsid w:val="00992F11"/>
    <w:rsid w:val="00992F75"/>
    <w:rsid w:val="0099311B"/>
    <w:rsid w:val="00993B5E"/>
    <w:rsid w:val="009944D1"/>
    <w:rsid w:val="00994926"/>
    <w:rsid w:val="009962E0"/>
    <w:rsid w:val="00996710"/>
    <w:rsid w:val="00996B3E"/>
    <w:rsid w:val="00996E68"/>
    <w:rsid w:val="009A03D6"/>
    <w:rsid w:val="009A0581"/>
    <w:rsid w:val="009A076E"/>
    <w:rsid w:val="009A0802"/>
    <w:rsid w:val="009A2608"/>
    <w:rsid w:val="009A3FDF"/>
    <w:rsid w:val="009A406A"/>
    <w:rsid w:val="009A4BE9"/>
    <w:rsid w:val="009A55D4"/>
    <w:rsid w:val="009A5F29"/>
    <w:rsid w:val="009A6D79"/>
    <w:rsid w:val="009A7227"/>
    <w:rsid w:val="009A7384"/>
    <w:rsid w:val="009A77D7"/>
    <w:rsid w:val="009A7ADA"/>
    <w:rsid w:val="009A7BB8"/>
    <w:rsid w:val="009A7C10"/>
    <w:rsid w:val="009B0138"/>
    <w:rsid w:val="009B0205"/>
    <w:rsid w:val="009B0B3C"/>
    <w:rsid w:val="009B2B36"/>
    <w:rsid w:val="009B3410"/>
    <w:rsid w:val="009B37C3"/>
    <w:rsid w:val="009B423B"/>
    <w:rsid w:val="009B51A4"/>
    <w:rsid w:val="009B5797"/>
    <w:rsid w:val="009B6F1C"/>
    <w:rsid w:val="009B6F97"/>
    <w:rsid w:val="009B7DBB"/>
    <w:rsid w:val="009C0F0C"/>
    <w:rsid w:val="009C1300"/>
    <w:rsid w:val="009C1B32"/>
    <w:rsid w:val="009C1B45"/>
    <w:rsid w:val="009C2816"/>
    <w:rsid w:val="009C2E90"/>
    <w:rsid w:val="009C41C6"/>
    <w:rsid w:val="009C43F7"/>
    <w:rsid w:val="009C4460"/>
    <w:rsid w:val="009C45FE"/>
    <w:rsid w:val="009C4636"/>
    <w:rsid w:val="009C46CD"/>
    <w:rsid w:val="009C5372"/>
    <w:rsid w:val="009C5AB1"/>
    <w:rsid w:val="009C5ACD"/>
    <w:rsid w:val="009C632A"/>
    <w:rsid w:val="009C6731"/>
    <w:rsid w:val="009C67E7"/>
    <w:rsid w:val="009C689B"/>
    <w:rsid w:val="009C6A26"/>
    <w:rsid w:val="009C6C1E"/>
    <w:rsid w:val="009C7641"/>
    <w:rsid w:val="009C7880"/>
    <w:rsid w:val="009C7D81"/>
    <w:rsid w:val="009D14AE"/>
    <w:rsid w:val="009D219E"/>
    <w:rsid w:val="009D3C33"/>
    <w:rsid w:val="009D3E41"/>
    <w:rsid w:val="009D46AC"/>
    <w:rsid w:val="009D47F8"/>
    <w:rsid w:val="009D542E"/>
    <w:rsid w:val="009D70A0"/>
    <w:rsid w:val="009E01BE"/>
    <w:rsid w:val="009E06D4"/>
    <w:rsid w:val="009E077C"/>
    <w:rsid w:val="009E0E98"/>
    <w:rsid w:val="009E1C05"/>
    <w:rsid w:val="009E1FE7"/>
    <w:rsid w:val="009E2068"/>
    <w:rsid w:val="009E2606"/>
    <w:rsid w:val="009E305D"/>
    <w:rsid w:val="009E3470"/>
    <w:rsid w:val="009E4059"/>
    <w:rsid w:val="009E5092"/>
    <w:rsid w:val="009E66F3"/>
    <w:rsid w:val="009E7564"/>
    <w:rsid w:val="009E76E8"/>
    <w:rsid w:val="009F03D5"/>
    <w:rsid w:val="009F0DF0"/>
    <w:rsid w:val="009F2121"/>
    <w:rsid w:val="009F2E79"/>
    <w:rsid w:val="009F391F"/>
    <w:rsid w:val="009F4CF3"/>
    <w:rsid w:val="009F4D33"/>
    <w:rsid w:val="009F53DA"/>
    <w:rsid w:val="009F5CD2"/>
    <w:rsid w:val="009F6361"/>
    <w:rsid w:val="00A0013C"/>
    <w:rsid w:val="00A019F1"/>
    <w:rsid w:val="00A01A0D"/>
    <w:rsid w:val="00A027D2"/>
    <w:rsid w:val="00A02E9D"/>
    <w:rsid w:val="00A03B0C"/>
    <w:rsid w:val="00A047C7"/>
    <w:rsid w:val="00A0555B"/>
    <w:rsid w:val="00A05914"/>
    <w:rsid w:val="00A05C43"/>
    <w:rsid w:val="00A05E90"/>
    <w:rsid w:val="00A06ED8"/>
    <w:rsid w:val="00A075AD"/>
    <w:rsid w:val="00A077A9"/>
    <w:rsid w:val="00A10AD8"/>
    <w:rsid w:val="00A10C6F"/>
    <w:rsid w:val="00A10D75"/>
    <w:rsid w:val="00A12F58"/>
    <w:rsid w:val="00A13A56"/>
    <w:rsid w:val="00A15DA5"/>
    <w:rsid w:val="00A166A7"/>
    <w:rsid w:val="00A16836"/>
    <w:rsid w:val="00A16B79"/>
    <w:rsid w:val="00A16EC4"/>
    <w:rsid w:val="00A16F5C"/>
    <w:rsid w:val="00A17677"/>
    <w:rsid w:val="00A20319"/>
    <w:rsid w:val="00A20367"/>
    <w:rsid w:val="00A20C5A"/>
    <w:rsid w:val="00A20CA6"/>
    <w:rsid w:val="00A20CE3"/>
    <w:rsid w:val="00A21389"/>
    <w:rsid w:val="00A219C1"/>
    <w:rsid w:val="00A23AEA"/>
    <w:rsid w:val="00A23E10"/>
    <w:rsid w:val="00A24F14"/>
    <w:rsid w:val="00A25A87"/>
    <w:rsid w:val="00A25D43"/>
    <w:rsid w:val="00A2626B"/>
    <w:rsid w:val="00A26DFD"/>
    <w:rsid w:val="00A26FD5"/>
    <w:rsid w:val="00A271BB"/>
    <w:rsid w:val="00A3021A"/>
    <w:rsid w:val="00A30399"/>
    <w:rsid w:val="00A33FB0"/>
    <w:rsid w:val="00A34B3B"/>
    <w:rsid w:val="00A34D9B"/>
    <w:rsid w:val="00A36982"/>
    <w:rsid w:val="00A36B6D"/>
    <w:rsid w:val="00A3753F"/>
    <w:rsid w:val="00A40F1C"/>
    <w:rsid w:val="00A40F75"/>
    <w:rsid w:val="00A411B3"/>
    <w:rsid w:val="00A42283"/>
    <w:rsid w:val="00A445A2"/>
    <w:rsid w:val="00A44A11"/>
    <w:rsid w:val="00A44FC9"/>
    <w:rsid w:val="00A45150"/>
    <w:rsid w:val="00A46D1F"/>
    <w:rsid w:val="00A508C1"/>
    <w:rsid w:val="00A51695"/>
    <w:rsid w:val="00A516F6"/>
    <w:rsid w:val="00A518FF"/>
    <w:rsid w:val="00A51C8E"/>
    <w:rsid w:val="00A523DE"/>
    <w:rsid w:val="00A533CD"/>
    <w:rsid w:val="00A540D4"/>
    <w:rsid w:val="00A554E0"/>
    <w:rsid w:val="00A55839"/>
    <w:rsid w:val="00A55B3E"/>
    <w:rsid w:val="00A57480"/>
    <w:rsid w:val="00A60A26"/>
    <w:rsid w:val="00A60FC3"/>
    <w:rsid w:val="00A61CE2"/>
    <w:rsid w:val="00A62FBA"/>
    <w:rsid w:val="00A649BB"/>
    <w:rsid w:val="00A65007"/>
    <w:rsid w:val="00A65856"/>
    <w:rsid w:val="00A66BC9"/>
    <w:rsid w:val="00A66E4C"/>
    <w:rsid w:val="00A66F35"/>
    <w:rsid w:val="00A67826"/>
    <w:rsid w:val="00A70040"/>
    <w:rsid w:val="00A701E2"/>
    <w:rsid w:val="00A70D7C"/>
    <w:rsid w:val="00A710B7"/>
    <w:rsid w:val="00A710F5"/>
    <w:rsid w:val="00A7264A"/>
    <w:rsid w:val="00A7308C"/>
    <w:rsid w:val="00A73F9D"/>
    <w:rsid w:val="00A73FE8"/>
    <w:rsid w:val="00A751D2"/>
    <w:rsid w:val="00A7573F"/>
    <w:rsid w:val="00A77070"/>
    <w:rsid w:val="00A77943"/>
    <w:rsid w:val="00A77DDA"/>
    <w:rsid w:val="00A83EB2"/>
    <w:rsid w:val="00A83EF3"/>
    <w:rsid w:val="00A845A5"/>
    <w:rsid w:val="00A8559D"/>
    <w:rsid w:val="00A85797"/>
    <w:rsid w:val="00A86115"/>
    <w:rsid w:val="00A86AC5"/>
    <w:rsid w:val="00A86CBB"/>
    <w:rsid w:val="00A86DFC"/>
    <w:rsid w:val="00A8733B"/>
    <w:rsid w:val="00A87950"/>
    <w:rsid w:val="00A87DC6"/>
    <w:rsid w:val="00A910C3"/>
    <w:rsid w:val="00A9160A"/>
    <w:rsid w:val="00A91ACB"/>
    <w:rsid w:val="00A91E27"/>
    <w:rsid w:val="00A91E69"/>
    <w:rsid w:val="00A93189"/>
    <w:rsid w:val="00A95697"/>
    <w:rsid w:val="00A9762D"/>
    <w:rsid w:val="00A97A6B"/>
    <w:rsid w:val="00A97AD2"/>
    <w:rsid w:val="00A97B6F"/>
    <w:rsid w:val="00AA121A"/>
    <w:rsid w:val="00AA1839"/>
    <w:rsid w:val="00AA2454"/>
    <w:rsid w:val="00AA36AF"/>
    <w:rsid w:val="00AA3921"/>
    <w:rsid w:val="00AA3DD2"/>
    <w:rsid w:val="00AA464D"/>
    <w:rsid w:val="00AA545B"/>
    <w:rsid w:val="00AA61E8"/>
    <w:rsid w:val="00AA7AAD"/>
    <w:rsid w:val="00AB0527"/>
    <w:rsid w:val="00AB093B"/>
    <w:rsid w:val="00AB1C3C"/>
    <w:rsid w:val="00AB2105"/>
    <w:rsid w:val="00AB2687"/>
    <w:rsid w:val="00AB3863"/>
    <w:rsid w:val="00AB4302"/>
    <w:rsid w:val="00AB4546"/>
    <w:rsid w:val="00AB4D8B"/>
    <w:rsid w:val="00AB4FF3"/>
    <w:rsid w:val="00AB5656"/>
    <w:rsid w:val="00AB5870"/>
    <w:rsid w:val="00AB6E09"/>
    <w:rsid w:val="00AB7F13"/>
    <w:rsid w:val="00AC00EF"/>
    <w:rsid w:val="00AC0106"/>
    <w:rsid w:val="00AC01E4"/>
    <w:rsid w:val="00AC0CF1"/>
    <w:rsid w:val="00AC141F"/>
    <w:rsid w:val="00AC17D6"/>
    <w:rsid w:val="00AC1C86"/>
    <w:rsid w:val="00AC22A2"/>
    <w:rsid w:val="00AC2F58"/>
    <w:rsid w:val="00AC32A4"/>
    <w:rsid w:val="00AC3415"/>
    <w:rsid w:val="00AC3795"/>
    <w:rsid w:val="00AC37A0"/>
    <w:rsid w:val="00AC3C86"/>
    <w:rsid w:val="00AC4700"/>
    <w:rsid w:val="00AC4E82"/>
    <w:rsid w:val="00AC5EAA"/>
    <w:rsid w:val="00AC6581"/>
    <w:rsid w:val="00AC72AF"/>
    <w:rsid w:val="00AC77C1"/>
    <w:rsid w:val="00AC7EF7"/>
    <w:rsid w:val="00AD03F0"/>
    <w:rsid w:val="00AD177C"/>
    <w:rsid w:val="00AD4730"/>
    <w:rsid w:val="00AD653B"/>
    <w:rsid w:val="00AD6DC2"/>
    <w:rsid w:val="00AD7538"/>
    <w:rsid w:val="00AD7E3F"/>
    <w:rsid w:val="00AD7E87"/>
    <w:rsid w:val="00AE0889"/>
    <w:rsid w:val="00AE0D95"/>
    <w:rsid w:val="00AE1245"/>
    <w:rsid w:val="00AE17A5"/>
    <w:rsid w:val="00AE2086"/>
    <w:rsid w:val="00AE2C52"/>
    <w:rsid w:val="00AE3E90"/>
    <w:rsid w:val="00AE5468"/>
    <w:rsid w:val="00AE5D3C"/>
    <w:rsid w:val="00AE5EA6"/>
    <w:rsid w:val="00AE62F3"/>
    <w:rsid w:val="00AE68C2"/>
    <w:rsid w:val="00AE6A44"/>
    <w:rsid w:val="00AF0736"/>
    <w:rsid w:val="00AF12A1"/>
    <w:rsid w:val="00AF23AC"/>
    <w:rsid w:val="00AF2A24"/>
    <w:rsid w:val="00AF2ABD"/>
    <w:rsid w:val="00AF2DED"/>
    <w:rsid w:val="00AF2E4A"/>
    <w:rsid w:val="00AF3899"/>
    <w:rsid w:val="00AF4E77"/>
    <w:rsid w:val="00AF53FC"/>
    <w:rsid w:val="00AF65D7"/>
    <w:rsid w:val="00AF6927"/>
    <w:rsid w:val="00AF6BEB"/>
    <w:rsid w:val="00AF7EA1"/>
    <w:rsid w:val="00B00587"/>
    <w:rsid w:val="00B02284"/>
    <w:rsid w:val="00B02C9F"/>
    <w:rsid w:val="00B03D07"/>
    <w:rsid w:val="00B058C5"/>
    <w:rsid w:val="00B05C1F"/>
    <w:rsid w:val="00B06D17"/>
    <w:rsid w:val="00B074A6"/>
    <w:rsid w:val="00B07656"/>
    <w:rsid w:val="00B11187"/>
    <w:rsid w:val="00B11638"/>
    <w:rsid w:val="00B11650"/>
    <w:rsid w:val="00B1175A"/>
    <w:rsid w:val="00B123C7"/>
    <w:rsid w:val="00B135CA"/>
    <w:rsid w:val="00B13A9D"/>
    <w:rsid w:val="00B13B99"/>
    <w:rsid w:val="00B14062"/>
    <w:rsid w:val="00B140B7"/>
    <w:rsid w:val="00B15B93"/>
    <w:rsid w:val="00B1635A"/>
    <w:rsid w:val="00B20907"/>
    <w:rsid w:val="00B2171C"/>
    <w:rsid w:val="00B2363F"/>
    <w:rsid w:val="00B24363"/>
    <w:rsid w:val="00B24766"/>
    <w:rsid w:val="00B24F2B"/>
    <w:rsid w:val="00B2510A"/>
    <w:rsid w:val="00B25752"/>
    <w:rsid w:val="00B2605E"/>
    <w:rsid w:val="00B314C0"/>
    <w:rsid w:val="00B31CB0"/>
    <w:rsid w:val="00B31D3E"/>
    <w:rsid w:val="00B332FA"/>
    <w:rsid w:val="00B3383D"/>
    <w:rsid w:val="00B350C3"/>
    <w:rsid w:val="00B352F6"/>
    <w:rsid w:val="00B35DB3"/>
    <w:rsid w:val="00B36472"/>
    <w:rsid w:val="00B36873"/>
    <w:rsid w:val="00B36B40"/>
    <w:rsid w:val="00B370D1"/>
    <w:rsid w:val="00B372CE"/>
    <w:rsid w:val="00B40E71"/>
    <w:rsid w:val="00B41DC3"/>
    <w:rsid w:val="00B424EC"/>
    <w:rsid w:val="00B43AE7"/>
    <w:rsid w:val="00B43B52"/>
    <w:rsid w:val="00B43C63"/>
    <w:rsid w:val="00B44F70"/>
    <w:rsid w:val="00B4574E"/>
    <w:rsid w:val="00B46BEA"/>
    <w:rsid w:val="00B47221"/>
    <w:rsid w:val="00B47A56"/>
    <w:rsid w:val="00B47A99"/>
    <w:rsid w:val="00B47BB8"/>
    <w:rsid w:val="00B47DC2"/>
    <w:rsid w:val="00B5116D"/>
    <w:rsid w:val="00B51D62"/>
    <w:rsid w:val="00B5211E"/>
    <w:rsid w:val="00B52A02"/>
    <w:rsid w:val="00B52E73"/>
    <w:rsid w:val="00B53157"/>
    <w:rsid w:val="00B53F76"/>
    <w:rsid w:val="00B5416B"/>
    <w:rsid w:val="00B543DB"/>
    <w:rsid w:val="00B54E04"/>
    <w:rsid w:val="00B55CF5"/>
    <w:rsid w:val="00B56020"/>
    <w:rsid w:val="00B5616C"/>
    <w:rsid w:val="00B572FA"/>
    <w:rsid w:val="00B57315"/>
    <w:rsid w:val="00B5777B"/>
    <w:rsid w:val="00B60D95"/>
    <w:rsid w:val="00B60F7C"/>
    <w:rsid w:val="00B61914"/>
    <w:rsid w:val="00B61A24"/>
    <w:rsid w:val="00B61CCD"/>
    <w:rsid w:val="00B6254A"/>
    <w:rsid w:val="00B6256C"/>
    <w:rsid w:val="00B62F74"/>
    <w:rsid w:val="00B63311"/>
    <w:rsid w:val="00B63A74"/>
    <w:rsid w:val="00B6425F"/>
    <w:rsid w:val="00B66E9C"/>
    <w:rsid w:val="00B70BF2"/>
    <w:rsid w:val="00B71351"/>
    <w:rsid w:val="00B72108"/>
    <w:rsid w:val="00B725F0"/>
    <w:rsid w:val="00B726DA"/>
    <w:rsid w:val="00B727DA"/>
    <w:rsid w:val="00B73C8A"/>
    <w:rsid w:val="00B74858"/>
    <w:rsid w:val="00B754A4"/>
    <w:rsid w:val="00B7559A"/>
    <w:rsid w:val="00B75E5A"/>
    <w:rsid w:val="00B761E5"/>
    <w:rsid w:val="00B768D2"/>
    <w:rsid w:val="00B76D94"/>
    <w:rsid w:val="00B77B94"/>
    <w:rsid w:val="00B80229"/>
    <w:rsid w:val="00B80F7E"/>
    <w:rsid w:val="00B815CD"/>
    <w:rsid w:val="00B82789"/>
    <w:rsid w:val="00B83725"/>
    <w:rsid w:val="00B83AAF"/>
    <w:rsid w:val="00B84325"/>
    <w:rsid w:val="00B848C3"/>
    <w:rsid w:val="00B84CED"/>
    <w:rsid w:val="00B858C7"/>
    <w:rsid w:val="00B8704E"/>
    <w:rsid w:val="00B87284"/>
    <w:rsid w:val="00B87C59"/>
    <w:rsid w:val="00B87D50"/>
    <w:rsid w:val="00B900D4"/>
    <w:rsid w:val="00B9017E"/>
    <w:rsid w:val="00B903FC"/>
    <w:rsid w:val="00B917BE"/>
    <w:rsid w:val="00B92112"/>
    <w:rsid w:val="00B93601"/>
    <w:rsid w:val="00B9549B"/>
    <w:rsid w:val="00B95DEB"/>
    <w:rsid w:val="00B964F5"/>
    <w:rsid w:val="00B974DA"/>
    <w:rsid w:val="00B9790C"/>
    <w:rsid w:val="00B97A94"/>
    <w:rsid w:val="00BA0072"/>
    <w:rsid w:val="00BA185A"/>
    <w:rsid w:val="00BA2AAA"/>
    <w:rsid w:val="00BA2C2C"/>
    <w:rsid w:val="00BA370E"/>
    <w:rsid w:val="00BA38FD"/>
    <w:rsid w:val="00BA3BFE"/>
    <w:rsid w:val="00BA3E49"/>
    <w:rsid w:val="00BA4272"/>
    <w:rsid w:val="00BA477D"/>
    <w:rsid w:val="00BA585A"/>
    <w:rsid w:val="00BA7919"/>
    <w:rsid w:val="00BA7FF8"/>
    <w:rsid w:val="00BB0E1D"/>
    <w:rsid w:val="00BB0E26"/>
    <w:rsid w:val="00BB19BE"/>
    <w:rsid w:val="00BB2C94"/>
    <w:rsid w:val="00BB3C19"/>
    <w:rsid w:val="00BB4CDA"/>
    <w:rsid w:val="00BB58E5"/>
    <w:rsid w:val="00BB6B6C"/>
    <w:rsid w:val="00BB741B"/>
    <w:rsid w:val="00BC000F"/>
    <w:rsid w:val="00BC0577"/>
    <w:rsid w:val="00BC08BB"/>
    <w:rsid w:val="00BC148B"/>
    <w:rsid w:val="00BC18F1"/>
    <w:rsid w:val="00BC1D85"/>
    <w:rsid w:val="00BC2525"/>
    <w:rsid w:val="00BC2D21"/>
    <w:rsid w:val="00BC30C6"/>
    <w:rsid w:val="00BC3114"/>
    <w:rsid w:val="00BC311E"/>
    <w:rsid w:val="00BC325E"/>
    <w:rsid w:val="00BC4DED"/>
    <w:rsid w:val="00BC5732"/>
    <w:rsid w:val="00BC577B"/>
    <w:rsid w:val="00BC5793"/>
    <w:rsid w:val="00BC62AA"/>
    <w:rsid w:val="00BC7990"/>
    <w:rsid w:val="00BD01F5"/>
    <w:rsid w:val="00BD1010"/>
    <w:rsid w:val="00BD110E"/>
    <w:rsid w:val="00BD1A82"/>
    <w:rsid w:val="00BD2862"/>
    <w:rsid w:val="00BD2ECE"/>
    <w:rsid w:val="00BD3446"/>
    <w:rsid w:val="00BD4150"/>
    <w:rsid w:val="00BD47CD"/>
    <w:rsid w:val="00BD53A2"/>
    <w:rsid w:val="00BD5B1C"/>
    <w:rsid w:val="00BD5C04"/>
    <w:rsid w:val="00BD6EAE"/>
    <w:rsid w:val="00BE0619"/>
    <w:rsid w:val="00BE1421"/>
    <w:rsid w:val="00BE18B9"/>
    <w:rsid w:val="00BE1F1B"/>
    <w:rsid w:val="00BE4615"/>
    <w:rsid w:val="00BE49B9"/>
    <w:rsid w:val="00BE4F0E"/>
    <w:rsid w:val="00BE5AC4"/>
    <w:rsid w:val="00BE6DF8"/>
    <w:rsid w:val="00BE76ED"/>
    <w:rsid w:val="00BE7FB3"/>
    <w:rsid w:val="00BF0543"/>
    <w:rsid w:val="00BF1E89"/>
    <w:rsid w:val="00BF3C24"/>
    <w:rsid w:val="00BF409B"/>
    <w:rsid w:val="00BF45A5"/>
    <w:rsid w:val="00BF4857"/>
    <w:rsid w:val="00BF5F35"/>
    <w:rsid w:val="00C00B59"/>
    <w:rsid w:val="00C0102B"/>
    <w:rsid w:val="00C013EC"/>
    <w:rsid w:val="00C03019"/>
    <w:rsid w:val="00C03332"/>
    <w:rsid w:val="00C04CBF"/>
    <w:rsid w:val="00C05187"/>
    <w:rsid w:val="00C0588E"/>
    <w:rsid w:val="00C05F37"/>
    <w:rsid w:val="00C06B11"/>
    <w:rsid w:val="00C10850"/>
    <w:rsid w:val="00C10A04"/>
    <w:rsid w:val="00C113E8"/>
    <w:rsid w:val="00C11DFF"/>
    <w:rsid w:val="00C124C9"/>
    <w:rsid w:val="00C12D1A"/>
    <w:rsid w:val="00C13366"/>
    <w:rsid w:val="00C14D54"/>
    <w:rsid w:val="00C14F1B"/>
    <w:rsid w:val="00C15AAC"/>
    <w:rsid w:val="00C1656C"/>
    <w:rsid w:val="00C16773"/>
    <w:rsid w:val="00C167B3"/>
    <w:rsid w:val="00C16DB1"/>
    <w:rsid w:val="00C174C3"/>
    <w:rsid w:val="00C206F9"/>
    <w:rsid w:val="00C22075"/>
    <w:rsid w:val="00C22781"/>
    <w:rsid w:val="00C2278D"/>
    <w:rsid w:val="00C230A3"/>
    <w:rsid w:val="00C235C0"/>
    <w:rsid w:val="00C23C89"/>
    <w:rsid w:val="00C255F0"/>
    <w:rsid w:val="00C25809"/>
    <w:rsid w:val="00C25AFE"/>
    <w:rsid w:val="00C25F4E"/>
    <w:rsid w:val="00C261AF"/>
    <w:rsid w:val="00C2654B"/>
    <w:rsid w:val="00C2774A"/>
    <w:rsid w:val="00C301B5"/>
    <w:rsid w:val="00C307F5"/>
    <w:rsid w:val="00C312DF"/>
    <w:rsid w:val="00C314FE"/>
    <w:rsid w:val="00C31E29"/>
    <w:rsid w:val="00C3280A"/>
    <w:rsid w:val="00C33670"/>
    <w:rsid w:val="00C33E28"/>
    <w:rsid w:val="00C3543F"/>
    <w:rsid w:val="00C35DA7"/>
    <w:rsid w:val="00C3648D"/>
    <w:rsid w:val="00C364D7"/>
    <w:rsid w:val="00C3651D"/>
    <w:rsid w:val="00C3653E"/>
    <w:rsid w:val="00C41300"/>
    <w:rsid w:val="00C41EAE"/>
    <w:rsid w:val="00C423FD"/>
    <w:rsid w:val="00C43415"/>
    <w:rsid w:val="00C456FF"/>
    <w:rsid w:val="00C457D6"/>
    <w:rsid w:val="00C457D9"/>
    <w:rsid w:val="00C459C7"/>
    <w:rsid w:val="00C45A5F"/>
    <w:rsid w:val="00C45B6C"/>
    <w:rsid w:val="00C47C8A"/>
    <w:rsid w:val="00C501CA"/>
    <w:rsid w:val="00C5066C"/>
    <w:rsid w:val="00C50C48"/>
    <w:rsid w:val="00C51079"/>
    <w:rsid w:val="00C516D8"/>
    <w:rsid w:val="00C51A36"/>
    <w:rsid w:val="00C5269B"/>
    <w:rsid w:val="00C52DCA"/>
    <w:rsid w:val="00C536A5"/>
    <w:rsid w:val="00C538A9"/>
    <w:rsid w:val="00C54200"/>
    <w:rsid w:val="00C543ED"/>
    <w:rsid w:val="00C55500"/>
    <w:rsid w:val="00C558E9"/>
    <w:rsid w:val="00C5629F"/>
    <w:rsid w:val="00C56499"/>
    <w:rsid w:val="00C56930"/>
    <w:rsid w:val="00C56B6F"/>
    <w:rsid w:val="00C570F9"/>
    <w:rsid w:val="00C60C85"/>
    <w:rsid w:val="00C6169D"/>
    <w:rsid w:val="00C61702"/>
    <w:rsid w:val="00C620CE"/>
    <w:rsid w:val="00C6218F"/>
    <w:rsid w:val="00C628C6"/>
    <w:rsid w:val="00C62C51"/>
    <w:rsid w:val="00C6360E"/>
    <w:rsid w:val="00C657B2"/>
    <w:rsid w:val="00C66500"/>
    <w:rsid w:val="00C66791"/>
    <w:rsid w:val="00C66A5F"/>
    <w:rsid w:val="00C66C69"/>
    <w:rsid w:val="00C67457"/>
    <w:rsid w:val="00C70110"/>
    <w:rsid w:val="00C71B1F"/>
    <w:rsid w:val="00C7549F"/>
    <w:rsid w:val="00C755DC"/>
    <w:rsid w:val="00C76804"/>
    <w:rsid w:val="00C77661"/>
    <w:rsid w:val="00C779CA"/>
    <w:rsid w:val="00C77EDC"/>
    <w:rsid w:val="00C77EE7"/>
    <w:rsid w:val="00C8012D"/>
    <w:rsid w:val="00C8072D"/>
    <w:rsid w:val="00C8243C"/>
    <w:rsid w:val="00C82716"/>
    <w:rsid w:val="00C83059"/>
    <w:rsid w:val="00C83866"/>
    <w:rsid w:val="00C839F1"/>
    <w:rsid w:val="00C84CBD"/>
    <w:rsid w:val="00C854F3"/>
    <w:rsid w:val="00C8656D"/>
    <w:rsid w:val="00C86679"/>
    <w:rsid w:val="00C874FD"/>
    <w:rsid w:val="00C87905"/>
    <w:rsid w:val="00C87CD8"/>
    <w:rsid w:val="00C9083B"/>
    <w:rsid w:val="00C91687"/>
    <w:rsid w:val="00C91B06"/>
    <w:rsid w:val="00C91FD8"/>
    <w:rsid w:val="00C92797"/>
    <w:rsid w:val="00C92A24"/>
    <w:rsid w:val="00C92A33"/>
    <w:rsid w:val="00C939AA"/>
    <w:rsid w:val="00C939F9"/>
    <w:rsid w:val="00C963A6"/>
    <w:rsid w:val="00C965C4"/>
    <w:rsid w:val="00C9664A"/>
    <w:rsid w:val="00C96EB4"/>
    <w:rsid w:val="00C9740F"/>
    <w:rsid w:val="00CA02A2"/>
    <w:rsid w:val="00CA0460"/>
    <w:rsid w:val="00CA1D87"/>
    <w:rsid w:val="00CA2174"/>
    <w:rsid w:val="00CA33C2"/>
    <w:rsid w:val="00CA35BE"/>
    <w:rsid w:val="00CA3A19"/>
    <w:rsid w:val="00CA5947"/>
    <w:rsid w:val="00CA5E4D"/>
    <w:rsid w:val="00CA69FA"/>
    <w:rsid w:val="00CA71EF"/>
    <w:rsid w:val="00CB018F"/>
    <w:rsid w:val="00CB16A7"/>
    <w:rsid w:val="00CB23CE"/>
    <w:rsid w:val="00CB3502"/>
    <w:rsid w:val="00CB3549"/>
    <w:rsid w:val="00CB4D42"/>
    <w:rsid w:val="00CB5533"/>
    <w:rsid w:val="00CB637A"/>
    <w:rsid w:val="00CB66EF"/>
    <w:rsid w:val="00CB7060"/>
    <w:rsid w:val="00CB72DE"/>
    <w:rsid w:val="00CB7E98"/>
    <w:rsid w:val="00CC1497"/>
    <w:rsid w:val="00CC1D5B"/>
    <w:rsid w:val="00CC3A0C"/>
    <w:rsid w:val="00CC4085"/>
    <w:rsid w:val="00CC419A"/>
    <w:rsid w:val="00CC535B"/>
    <w:rsid w:val="00CC5F81"/>
    <w:rsid w:val="00CC6533"/>
    <w:rsid w:val="00CC6DDB"/>
    <w:rsid w:val="00CC7658"/>
    <w:rsid w:val="00CC77A8"/>
    <w:rsid w:val="00CC7C28"/>
    <w:rsid w:val="00CD081B"/>
    <w:rsid w:val="00CD0B1A"/>
    <w:rsid w:val="00CD0E5A"/>
    <w:rsid w:val="00CD165D"/>
    <w:rsid w:val="00CD1938"/>
    <w:rsid w:val="00CD1A2E"/>
    <w:rsid w:val="00CD1CDD"/>
    <w:rsid w:val="00CD21FB"/>
    <w:rsid w:val="00CD2B7B"/>
    <w:rsid w:val="00CD3587"/>
    <w:rsid w:val="00CD3920"/>
    <w:rsid w:val="00CD3B45"/>
    <w:rsid w:val="00CD4216"/>
    <w:rsid w:val="00CD427F"/>
    <w:rsid w:val="00CD442C"/>
    <w:rsid w:val="00CD48B9"/>
    <w:rsid w:val="00CD55A3"/>
    <w:rsid w:val="00CD5D40"/>
    <w:rsid w:val="00CD64B9"/>
    <w:rsid w:val="00CD6641"/>
    <w:rsid w:val="00CD7287"/>
    <w:rsid w:val="00CD7627"/>
    <w:rsid w:val="00CE107C"/>
    <w:rsid w:val="00CE2803"/>
    <w:rsid w:val="00CE3611"/>
    <w:rsid w:val="00CE3F4E"/>
    <w:rsid w:val="00CE4C4B"/>
    <w:rsid w:val="00CE4F05"/>
    <w:rsid w:val="00CE57D3"/>
    <w:rsid w:val="00CE75EB"/>
    <w:rsid w:val="00CE77E5"/>
    <w:rsid w:val="00CF005D"/>
    <w:rsid w:val="00CF01BE"/>
    <w:rsid w:val="00CF1202"/>
    <w:rsid w:val="00CF12F0"/>
    <w:rsid w:val="00CF1DE1"/>
    <w:rsid w:val="00CF24C1"/>
    <w:rsid w:val="00CF3DCE"/>
    <w:rsid w:val="00CF3F65"/>
    <w:rsid w:val="00CF42FE"/>
    <w:rsid w:val="00CF4AF6"/>
    <w:rsid w:val="00CF4D40"/>
    <w:rsid w:val="00CF533A"/>
    <w:rsid w:val="00CF5ECC"/>
    <w:rsid w:val="00CF5FF5"/>
    <w:rsid w:val="00CF6107"/>
    <w:rsid w:val="00CF6EB4"/>
    <w:rsid w:val="00CF739F"/>
    <w:rsid w:val="00CF77EE"/>
    <w:rsid w:val="00CF7BFA"/>
    <w:rsid w:val="00CF7D40"/>
    <w:rsid w:val="00D00004"/>
    <w:rsid w:val="00D01412"/>
    <w:rsid w:val="00D02126"/>
    <w:rsid w:val="00D035C1"/>
    <w:rsid w:val="00D03A07"/>
    <w:rsid w:val="00D04138"/>
    <w:rsid w:val="00D0469B"/>
    <w:rsid w:val="00D049CC"/>
    <w:rsid w:val="00D0522E"/>
    <w:rsid w:val="00D05866"/>
    <w:rsid w:val="00D07C9D"/>
    <w:rsid w:val="00D10C1C"/>
    <w:rsid w:val="00D120F6"/>
    <w:rsid w:val="00D121FA"/>
    <w:rsid w:val="00D12FD7"/>
    <w:rsid w:val="00D13678"/>
    <w:rsid w:val="00D13992"/>
    <w:rsid w:val="00D155CC"/>
    <w:rsid w:val="00D1563E"/>
    <w:rsid w:val="00D16147"/>
    <w:rsid w:val="00D206BC"/>
    <w:rsid w:val="00D2160C"/>
    <w:rsid w:val="00D223AD"/>
    <w:rsid w:val="00D22579"/>
    <w:rsid w:val="00D2302F"/>
    <w:rsid w:val="00D24F41"/>
    <w:rsid w:val="00D255C3"/>
    <w:rsid w:val="00D2610E"/>
    <w:rsid w:val="00D26750"/>
    <w:rsid w:val="00D26756"/>
    <w:rsid w:val="00D26997"/>
    <w:rsid w:val="00D271A8"/>
    <w:rsid w:val="00D277EC"/>
    <w:rsid w:val="00D27C93"/>
    <w:rsid w:val="00D27E83"/>
    <w:rsid w:val="00D3044F"/>
    <w:rsid w:val="00D32309"/>
    <w:rsid w:val="00D32893"/>
    <w:rsid w:val="00D32ED8"/>
    <w:rsid w:val="00D3460C"/>
    <w:rsid w:val="00D37AF6"/>
    <w:rsid w:val="00D400E7"/>
    <w:rsid w:val="00D40236"/>
    <w:rsid w:val="00D41BE2"/>
    <w:rsid w:val="00D42D5B"/>
    <w:rsid w:val="00D42D97"/>
    <w:rsid w:val="00D43508"/>
    <w:rsid w:val="00D44848"/>
    <w:rsid w:val="00D449F6"/>
    <w:rsid w:val="00D45501"/>
    <w:rsid w:val="00D45507"/>
    <w:rsid w:val="00D461EF"/>
    <w:rsid w:val="00D46527"/>
    <w:rsid w:val="00D465AA"/>
    <w:rsid w:val="00D466ED"/>
    <w:rsid w:val="00D46D67"/>
    <w:rsid w:val="00D46E9E"/>
    <w:rsid w:val="00D47776"/>
    <w:rsid w:val="00D47B40"/>
    <w:rsid w:val="00D50182"/>
    <w:rsid w:val="00D501CD"/>
    <w:rsid w:val="00D502FC"/>
    <w:rsid w:val="00D50A3B"/>
    <w:rsid w:val="00D50D1F"/>
    <w:rsid w:val="00D51F7F"/>
    <w:rsid w:val="00D528DD"/>
    <w:rsid w:val="00D52A64"/>
    <w:rsid w:val="00D5321A"/>
    <w:rsid w:val="00D54249"/>
    <w:rsid w:val="00D55B17"/>
    <w:rsid w:val="00D56610"/>
    <w:rsid w:val="00D568FE"/>
    <w:rsid w:val="00D575EB"/>
    <w:rsid w:val="00D5781B"/>
    <w:rsid w:val="00D6048D"/>
    <w:rsid w:val="00D6094D"/>
    <w:rsid w:val="00D61A54"/>
    <w:rsid w:val="00D62DA5"/>
    <w:rsid w:val="00D6360B"/>
    <w:rsid w:val="00D63669"/>
    <w:rsid w:val="00D63CFF"/>
    <w:rsid w:val="00D63E21"/>
    <w:rsid w:val="00D64C0B"/>
    <w:rsid w:val="00D65025"/>
    <w:rsid w:val="00D653EE"/>
    <w:rsid w:val="00D65BEE"/>
    <w:rsid w:val="00D66B9F"/>
    <w:rsid w:val="00D66C65"/>
    <w:rsid w:val="00D71FE4"/>
    <w:rsid w:val="00D72B90"/>
    <w:rsid w:val="00D72FC1"/>
    <w:rsid w:val="00D7400A"/>
    <w:rsid w:val="00D75B2F"/>
    <w:rsid w:val="00D767AD"/>
    <w:rsid w:val="00D77222"/>
    <w:rsid w:val="00D80276"/>
    <w:rsid w:val="00D80380"/>
    <w:rsid w:val="00D8073D"/>
    <w:rsid w:val="00D8176A"/>
    <w:rsid w:val="00D81A43"/>
    <w:rsid w:val="00D81B43"/>
    <w:rsid w:val="00D82098"/>
    <w:rsid w:val="00D82346"/>
    <w:rsid w:val="00D83EDD"/>
    <w:rsid w:val="00D84172"/>
    <w:rsid w:val="00D85A1A"/>
    <w:rsid w:val="00D87053"/>
    <w:rsid w:val="00D8773F"/>
    <w:rsid w:val="00D87DAA"/>
    <w:rsid w:val="00D90162"/>
    <w:rsid w:val="00D9063C"/>
    <w:rsid w:val="00D919EE"/>
    <w:rsid w:val="00D924A0"/>
    <w:rsid w:val="00D941C1"/>
    <w:rsid w:val="00D94579"/>
    <w:rsid w:val="00D946C9"/>
    <w:rsid w:val="00D9559B"/>
    <w:rsid w:val="00D96428"/>
    <w:rsid w:val="00D97022"/>
    <w:rsid w:val="00D97945"/>
    <w:rsid w:val="00DA04E9"/>
    <w:rsid w:val="00DA292F"/>
    <w:rsid w:val="00DA4868"/>
    <w:rsid w:val="00DA4CA7"/>
    <w:rsid w:val="00DA5DEA"/>
    <w:rsid w:val="00DA6AD9"/>
    <w:rsid w:val="00DA6E73"/>
    <w:rsid w:val="00DA6F32"/>
    <w:rsid w:val="00DA7703"/>
    <w:rsid w:val="00DB03AA"/>
    <w:rsid w:val="00DB0465"/>
    <w:rsid w:val="00DB0B9B"/>
    <w:rsid w:val="00DB0F93"/>
    <w:rsid w:val="00DB1AE5"/>
    <w:rsid w:val="00DB1DCD"/>
    <w:rsid w:val="00DB297B"/>
    <w:rsid w:val="00DB2EF4"/>
    <w:rsid w:val="00DB314B"/>
    <w:rsid w:val="00DB35C4"/>
    <w:rsid w:val="00DB3A87"/>
    <w:rsid w:val="00DB3B5D"/>
    <w:rsid w:val="00DB3D6E"/>
    <w:rsid w:val="00DB422F"/>
    <w:rsid w:val="00DB580E"/>
    <w:rsid w:val="00DB722F"/>
    <w:rsid w:val="00DC0092"/>
    <w:rsid w:val="00DC1476"/>
    <w:rsid w:val="00DC2101"/>
    <w:rsid w:val="00DC291B"/>
    <w:rsid w:val="00DC2D8D"/>
    <w:rsid w:val="00DC32D8"/>
    <w:rsid w:val="00DC3D01"/>
    <w:rsid w:val="00DC47CB"/>
    <w:rsid w:val="00DC53F6"/>
    <w:rsid w:val="00DC5EEC"/>
    <w:rsid w:val="00DC6BD5"/>
    <w:rsid w:val="00DD0623"/>
    <w:rsid w:val="00DD1498"/>
    <w:rsid w:val="00DD18F1"/>
    <w:rsid w:val="00DD1BD5"/>
    <w:rsid w:val="00DD23CF"/>
    <w:rsid w:val="00DD29C2"/>
    <w:rsid w:val="00DD2E5C"/>
    <w:rsid w:val="00DD3A19"/>
    <w:rsid w:val="00DD4E26"/>
    <w:rsid w:val="00DD6CA8"/>
    <w:rsid w:val="00DE0222"/>
    <w:rsid w:val="00DE100D"/>
    <w:rsid w:val="00DE1E84"/>
    <w:rsid w:val="00DE212D"/>
    <w:rsid w:val="00DE2F30"/>
    <w:rsid w:val="00DE39C7"/>
    <w:rsid w:val="00DE510C"/>
    <w:rsid w:val="00DE5217"/>
    <w:rsid w:val="00DE52FD"/>
    <w:rsid w:val="00DE5335"/>
    <w:rsid w:val="00DE647E"/>
    <w:rsid w:val="00DE673F"/>
    <w:rsid w:val="00DE72D4"/>
    <w:rsid w:val="00DE79FF"/>
    <w:rsid w:val="00DF01EC"/>
    <w:rsid w:val="00DF0315"/>
    <w:rsid w:val="00DF0E17"/>
    <w:rsid w:val="00DF17BB"/>
    <w:rsid w:val="00DF1E20"/>
    <w:rsid w:val="00DF3313"/>
    <w:rsid w:val="00DF33FF"/>
    <w:rsid w:val="00DF3AC3"/>
    <w:rsid w:val="00DF3B39"/>
    <w:rsid w:val="00DF3D39"/>
    <w:rsid w:val="00DF47BD"/>
    <w:rsid w:val="00DF4908"/>
    <w:rsid w:val="00DF4947"/>
    <w:rsid w:val="00DF495A"/>
    <w:rsid w:val="00DF497D"/>
    <w:rsid w:val="00DF4DDC"/>
    <w:rsid w:val="00DF5CF5"/>
    <w:rsid w:val="00DF6166"/>
    <w:rsid w:val="00DF63C9"/>
    <w:rsid w:val="00DF7003"/>
    <w:rsid w:val="00DF73A1"/>
    <w:rsid w:val="00DF7B93"/>
    <w:rsid w:val="00E015B7"/>
    <w:rsid w:val="00E0176B"/>
    <w:rsid w:val="00E02A37"/>
    <w:rsid w:val="00E03AA4"/>
    <w:rsid w:val="00E03CFD"/>
    <w:rsid w:val="00E044BB"/>
    <w:rsid w:val="00E0496D"/>
    <w:rsid w:val="00E06129"/>
    <w:rsid w:val="00E077B8"/>
    <w:rsid w:val="00E07CCF"/>
    <w:rsid w:val="00E101BA"/>
    <w:rsid w:val="00E10B60"/>
    <w:rsid w:val="00E12C34"/>
    <w:rsid w:val="00E12DC0"/>
    <w:rsid w:val="00E13471"/>
    <w:rsid w:val="00E14FBC"/>
    <w:rsid w:val="00E153C5"/>
    <w:rsid w:val="00E16D5F"/>
    <w:rsid w:val="00E16E19"/>
    <w:rsid w:val="00E17475"/>
    <w:rsid w:val="00E17A0F"/>
    <w:rsid w:val="00E21454"/>
    <w:rsid w:val="00E21C89"/>
    <w:rsid w:val="00E221E8"/>
    <w:rsid w:val="00E2271F"/>
    <w:rsid w:val="00E24166"/>
    <w:rsid w:val="00E24B22"/>
    <w:rsid w:val="00E24F12"/>
    <w:rsid w:val="00E25701"/>
    <w:rsid w:val="00E25B8C"/>
    <w:rsid w:val="00E25C17"/>
    <w:rsid w:val="00E278B9"/>
    <w:rsid w:val="00E30104"/>
    <w:rsid w:val="00E30291"/>
    <w:rsid w:val="00E322F7"/>
    <w:rsid w:val="00E336B4"/>
    <w:rsid w:val="00E35248"/>
    <w:rsid w:val="00E35BC1"/>
    <w:rsid w:val="00E35CE5"/>
    <w:rsid w:val="00E35F06"/>
    <w:rsid w:val="00E361ED"/>
    <w:rsid w:val="00E36B7C"/>
    <w:rsid w:val="00E36E97"/>
    <w:rsid w:val="00E37F80"/>
    <w:rsid w:val="00E37FBB"/>
    <w:rsid w:val="00E40AE2"/>
    <w:rsid w:val="00E422BF"/>
    <w:rsid w:val="00E43BDE"/>
    <w:rsid w:val="00E440AD"/>
    <w:rsid w:val="00E448F6"/>
    <w:rsid w:val="00E4501B"/>
    <w:rsid w:val="00E47601"/>
    <w:rsid w:val="00E50C95"/>
    <w:rsid w:val="00E50ED5"/>
    <w:rsid w:val="00E519F1"/>
    <w:rsid w:val="00E51D40"/>
    <w:rsid w:val="00E520B6"/>
    <w:rsid w:val="00E5216E"/>
    <w:rsid w:val="00E5235F"/>
    <w:rsid w:val="00E536AC"/>
    <w:rsid w:val="00E54D19"/>
    <w:rsid w:val="00E559D0"/>
    <w:rsid w:val="00E5601F"/>
    <w:rsid w:val="00E56447"/>
    <w:rsid w:val="00E56934"/>
    <w:rsid w:val="00E57448"/>
    <w:rsid w:val="00E578A9"/>
    <w:rsid w:val="00E57F7C"/>
    <w:rsid w:val="00E57FC0"/>
    <w:rsid w:val="00E6002A"/>
    <w:rsid w:val="00E60C34"/>
    <w:rsid w:val="00E60CD9"/>
    <w:rsid w:val="00E60DF2"/>
    <w:rsid w:val="00E6149D"/>
    <w:rsid w:val="00E61868"/>
    <w:rsid w:val="00E61F96"/>
    <w:rsid w:val="00E624AB"/>
    <w:rsid w:val="00E62D7F"/>
    <w:rsid w:val="00E63466"/>
    <w:rsid w:val="00E64D0C"/>
    <w:rsid w:val="00E65AE8"/>
    <w:rsid w:val="00E66F3B"/>
    <w:rsid w:val="00E67067"/>
    <w:rsid w:val="00E67E48"/>
    <w:rsid w:val="00E711DC"/>
    <w:rsid w:val="00E717C5"/>
    <w:rsid w:val="00E71ABC"/>
    <w:rsid w:val="00E720B2"/>
    <w:rsid w:val="00E7303F"/>
    <w:rsid w:val="00E73CA6"/>
    <w:rsid w:val="00E73F23"/>
    <w:rsid w:val="00E744A1"/>
    <w:rsid w:val="00E74CAF"/>
    <w:rsid w:val="00E7624D"/>
    <w:rsid w:val="00E768F4"/>
    <w:rsid w:val="00E76F85"/>
    <w:rsid w:val="00E815D0"/>
    <w:rsid w:val="00E816BB"/>
    <w:rsid w:val="00E8181F"/>
    <w:rsid w:val="00E819FB"/>
    <w:rsid w:val="00E8527B"/>
    <w:rsid w:val="00E85FC2"/>
    <w:rsid w:val="00E8613E"/>
    <w:rsid w:val="00E87114"/>
    <w:rsid w:val="00E874BB"/>
    <w:rsid w:val="00E8789E"/>
    <w:rsid w:val="00E900EA"/>
    <w:rsid w:val="00E90892"/>
    <w:rsid w:val="00E918F6"/>
    <w:rsid w:val="00E91F62"/>
    <w:rsid w:val="00E92559"/>
    <w:rsid w:val="00E92A5C"/>
    <w:rsid w:val="00E9348C"/>
    <w:rsid w:val="00E9461A"/>
    <w:rsid w:val="00E94E3F"/>
    <w:rsid w:val="00E952BA"/>
    <w:rsid w:val="00E9534E"/>
    <w:rsid w:val="00E96398"/>
    <w:rsid w:val="00E966EA"/>
    <w:rsid w:val="00E96E3C"/>
    <w:rsid w:val="00EA0267"/>
    <w:rsid w:val="00EA0BB2"/>
    <w:rsid w:val="00EA2642"/>
    <w:rsid w:val="00EA3D30"/>
    <w:rsid w:val="00EA3D42"/>
    <w:rsid w:val="00EA4751"/>
    <w:rsid w:val="00EA5EA1"/>
    <w:rsid w:val="00EA673C"/>
    <w:rsid w:val="00EA6952"/>
    <w:rsid w:val="00EA6B1B"/>
    <w:rsid w:val="00EB11C7"/>
    <w:rsid w:val="00EB131B"/>
    <w:rsid w:val="00EB1664"/>
    <w:rsid w:val="00EB166E"/>
    <w:rsid w:val="00EB1888"/>
    <w:rsid w:val="00EB2461"/>
    <w:rsid w:val="00EB3525"/>
    <w:rsid w:val="00EB4B6A"/>
    <w:rsid w:val="00EB5E6D"/>
    <w:rsid w:val="00EB732C"/>
    <w:rsid w:val="00EB77A0"/>
    <w:rsid w:val="00EB791D"/>
    <w:rsid w:val="00EB7C04"/>
    <w:rsid w:val="00EC0717"/>
    <w:rsid w:val="00EC1792"/>
    <w:rsid w:val="00EC1BAC"/>
    <w:rsid w:val="00EC2126"/>
    <w:rsid w:val="00EC222C"/>
    <w:rsid w:val="00EC2884"/>
    <w:rsid w:val="00EC4223"/>
    <w:rsid w:val="00EC42FF"/>
    <w:rsid w:val="00EC4410"/>
    <w:rsid w:val="00EC50E1"/>
    <w:rsid w:val="00EC5205"/>
    <w:rsid w:val="00EC737A"/>
    <w:rsid w:val="00EC7459"/>
    <w:rsid w:val="00ED027E"/>
    <w:rsid w:val="00ED0B42"/>
    <w:rsid w:val="00ED0E53"/>
    <w:rsid w:val="00ED26B5"/>
    <w:rsid w:val="00ED2B1E"/>
    <w:rsid w:val="00ED2C55"/>
    <w:rsid w:val="00ED3B23"/>
    <w:rsid w:val="00ED3F17"/>
    <w:rsid w:val="00ED4A39"/>
    <w:rsid w:val="00ED5056"/>
    <w:rsid w:val="00ED6EAD"/>
    <w:rsid w:val="00ED76D7"/>
    <w:rsid w:val="00ED7A60"/>
    <w:rsid w:val="00EE0B8A"/>
    <w:rsid w:val="00EE1B05"/>
    <w:rsid w:val="00EE2D35"/>
    <w:rsid w:val="00EE3FE6"/>
    <w:rsid w:val="00EE46D4"/>
    <w:rsid w:val="00EE5D26"/>
    <w:rsid w:val="00EE6369"/>
    <w:rsid w:val="00EE6738"/>
    <w:rsid w:val="00EE7BF7"/>
    <w:rsid w:val="00EF02A0"/>
    <w:rsid w:val="00EF08E9"/>
    <w:rsid w:val="00EF0BD3"/>
    <w:rsid w:val="00EF0C6A"/>
    <w:rsid w:val="00EF0FFE"/>
    <w:rsid w:val="00EF1B47"/>
    <w:rsid w:val="00EF2274"/>
    <w:rsid w:val="00EF256D"/>
    <w:rsid w:val="00EF52D9"/>
    <w:rsid w:val="00EF53C6"/>
    <w:rsid w:val="00EF5532"/>
    <w:rsid w:val="00EF6C46"/>
    <w:rsid w:val="00EF73E3"/>
    <w:rsid w:val="00EF7E5E"/>
    <w:rsid w:val="00EF7EC9"/>
    <w:rsid w:val="00EF7FD0"/>
    <w:rsid w:val="00F00B17"/>
    <w:rsid w:val="00F024B9"/>
    <w:rsid w:val="00F025C2"/>
    <w:rsid w:val="00F02A31"/>
    <w:rsid w:val="00F02DFE"/>
    <w:rsid w:val="00F034BF"/>
    <w:rsid w:val="00F03E4D"/>
    <w:rsid w:val="00F03F65"/>
    <w:rsid w:val="00F041C6"/>
    <w:rsid w:val="00F043F7"/>
    <w:rsid w:val="00F04672"/>
    <w:rsid w:val="00F10224"/>
    <w:rsid w:val="00F105C7"/>
    <w:rsid w:val="00F10B1D"/>
    <w:rsid w:val="00F10FD5"/>
    <w:rsid w:val="00F113D4"/>
    <w:rsid w:val="00F11EAC"/>
    <w:rsid w:val="00F1432A"/>
    <w:rsid w:val="00F162B9"/>
    <w:rsid w:val="00F2044A"/>
    <w:rsid w:val="00F20E3E"/>
    <w:rsid w:val="00F20EED"/>
    <w:rsid w:val="00F21B6C"/>
    <w:rsid w:val="00F233EE"/>
    <w:rsid w:val="00F23A70"/>
    <w:rsid w:val="00F23F96"/>
    <w:rsid w:val="00F2470D"/>
    <w:rsid w:val="00F24D97"/>
    <w:rsid w:val="00F251FC"/>
    <w:rsid w:val="00F2549B"/>
    <w:rsid w:val="00F25E02"/>
    <w:rsid w:val="00F261D4"/>
    <w:rsid w:val="00F262F1"/>
    <w:rsid w:val="00F31346"/>
    <w:rsid w:val="00F31A36"/>
    <w:rsid w:val="00F31AE7"/>
    <w:rsid w:val="00F32168"/>
    <w:rsid w:val="00F3266B"/>
    <w:rsid w:val="00F32BE1"/>
    <w:rsid w:val="00F33287"/>
    <w:rsid w:val="00F3370B"/>
    <w:rsid w:val="00F33969"/>
    <w:rsid w:val="00F33A6E"/>
    <w:rsid w:val="00F345A9"/>
    <w:rsid w:val="00F35A66"/>
    <w:rsid w:val="00F35CC4"/>
    <w:rsid w:val="00F35CF8"/>
    <w:rsid w:val="00F37D38"/>
    <w:rsid w:val="00F4089D"/>
    <w:rsid w:val="00F418BA"/>
    <w:rsid w:val="00F423A9"/>
    <w:rsid w:val="00F424B8"/>
    <w:rsid w:val="00F428CF"/>
    <w:rsid w:val="00F42B3B"/>
    <w:rsid w:val="00F43009"/>
    <w:rsid w:val="00F435FF"/>
    <w:rsid w:val="00F437E0"/>
    <w:rsid w:val="00F449AA"/>
    <w:rsid w:val="00F45031"/>
    <w:rsid w:val="00F458ED"/>
    <w:rsid w:val="00F45A4D"/>
    <w:rsid w:val="00F45FBB"/>
    <w:rsid w:val="00F45FCE"/>
    <w:rsid w:val="00F46AD4"/>
    <w:rsid w:val="00F47062"/>
    <w:rsid w:val="00F4721B"/>
    <w:rsid w:val="00F4722D"/>
    <w:rsid w:val="00F47761"/>
    <w:rsid w:val="00F47767"/>
    <w:rsid w:val="00F47839"/>
    <w:rsid w:val="00F47907"/>
    <w:rsid w:val="00F5007E"/>
    <w:rsid w:val="00F50826"/>
    <w:rsid w:val="00F508EA"/>
    <w:rsid w:val="00F52344"/>
    <w:rsid w:val="00F523A4"/>
    <w:rsid w:val="00F52632"/>
    <w:rsid w:val="00F52E0E"/>
    <w:rsid w:val="00F53DB3"/>
    <w:rsid w:val="00F5432C"/>
    <w:rsid w:val="00F54598"/>
    <w:rsid w:val="00F54E6E"/>
    <w:rsid w:val="00F55576"/>
    <w:rsid w:val="00F55C20"/>
    <w:rsid w:val="00F561AE"/>
    <w:rsid w:val="00F561F7"/>
    <w:rsid w:val="00F566B8"/>
    <w:rsid w:val="00F569B6"/>
    <w:rsid w:val="00F56BC8"/>
    <w:rsid w:val="00F571A3"/>
    <w:rsid w:val="00F57DC4"/>
    <w:rsid w:val="00F602EE"/>
    <w:rsid w:val="00F61438"/>
    <w:rsid w:val="00F6164E"/>
    <w:rsid w:val="00F6335F"/>
    <w:rsid w:val="00F6425F"/>
    <w:rsid w:val="00F64C7B"/>
    <w:rsid w:val="00F66314"/>
    <w:rsid w:val="00F6773F"/>
    <w:rsid w:val="00F677FD"/>
    <w:rsid w:val="00F67A2F"/>
    <w:rsid w:val="00F7039D"/>
    <w:rsid w:val="00F70F05"/>
    <w:rsid w:val="00F719C7"/>
    <w:rsid w:val="00F71B6A"/>
    <w:rsid w:val="00F7240C"/>
    <w:rsid w:val="00F7260F"/>
    <w:rsid w:val="00F72D1A"/>
    <w:rsid w:val="00F73265"/>
    <w:rsid w:val="00F7440D"/>
    <w:rsid w:val="00F75159"/>
    <w:rsid w:val="00F76732"/>
    <w:rsid w:val="00F76D59"/>
    <w:rsid w:val="00F805A1"/>
    <w:rsid w:val="00F809D1"/>
    <w:rsid w:val="00F811D9"/>
    <w:rsid w:val="00F816CF"/>
    <w:rsid w:val="00F82BD6"/>
    <w:rsid w:val="00F83097"/>
    <w:rsid w:val="00F83389"/>
    <w:rsid w:val="00F8374A"/>
    <w:rsid w:val="00F8388D"/>
    <w:rsid w:val="00F83F8F"/>
    <w:rsid w:val="00F8402F"/>
    <w:rsid w:val="00F87821"/>
    <w:rsid w:val="00F91673"/>
    <w:rsid w:val="00F951D1"/>
    <w:rsid w:val="00F95DA5"/>
    <w:rsid w:val="00F96EE8"/>
    <w:rsid w:val="00FA12AC"/>
    <w:rsid w:val="00FA1344"/>
    <w:rsid w:val="00FA298A"/>
    <w:rsid w:val="00FA2DB4"/>
    <w:rsid w:val="00FA344F"/>
    <w:rsid w:val="00FA3ECC"/>
    <w:rsid w:val="00FA4D2F"/>
    <w:rsid w:val="00FA4FFA"/>
    <w:rsid w:val="00FA7953"/>
    <w:rsid w:val="00FB0936"/>
    <w:rsid w:val="00FB0AB9"/>
    <w:rsid w:val="00FB0B3F"/>
    <w:rsid w:val="00FB108D"/>
    <w:rsid w:val="00FB11F7"/>
    <w:rsid w:val="00FB17A5"/>
    <w:rsid w:val="00FB26F1"/>
    <w:rsid w:val="00FB298C"/>
    <w:rsid w:val="00FB6842"/>
    <w:rsid w:val="00FC0048"/>
    <w:rsid w:val="00FC04E4"/>
    <w:rsid w:val="00FC0690"/>
    <w:rsid w:val="00FC240C"/>
    <w:rsid w:val="00FC274B"/>
    <w:rsid w:val="00FC2B34"/>
    <w:rsid w:val="00FC3A92"/>
    <w:rsid w:val="00FC4783"/>
    <w:rsid w:val="00FC5E94"/>
    <w:rsid w:val="00FC69FA"/>
    <w:rsid w:val="00FC78B3"/>
    <w:rsid w:val="00FD0A92"/>
    <w:rsid w:val="00FD0DB7"/>
    <w:rsid w:val="00FD1728"/>
    <w:rsid w:val="00FD1C97"/>
    <w:rsid w:val="00FD2607"/>
    <w:rsid w:val="00FD2DF7"/>
    <w:rsid w:val="00FD43A7"/>
    <w:rsid w:val="00FD478F"/>
    <w:rsid w:val="00FD4A97"/>
    <w:rsid w:val="00FD52BA"/>
    <w:rsid w:val="00FD6AEB"/>
    <w:rsid w:val="00FD6C9F"/>
    <w:rsid w:val="00FD6DC3"/>
    <w:rsid w:val="00FD75C4"/>
    <w:rsid w:val="00FD77BB"/>
    <w:rsid w:val="00FE062C"/>
    <w:rsid w:val="00FE0BE1"/>
    <w:rsid w:val="00FE0E64"/>
    <w:rsid w:val="00FE1DE9"/>
    <w:rsid w:val="00FE24CA"/>
    <w:rsid w:val="00FE2C25"/>
    <w:rsid w:val="00FE3A51"/>
    <w:rsid w:val="00FE3CC8"/>
    <w:rsid w:val="00FE3EF3"/>
    <w:rsid w:val="00FE6113"/>
    <w:rsid w:val="00FE6D4E"/>
    <w:rsid w:val="00FE7678"/>
    <w:rsid w:val="00FE7755"/>
    <w:rsid w:val="00FE7A81"/>
    <w:rsid w:val="00FE7E3E"/>
    <w:rsid w:val="00FF1AC6"/>
    <w:rsid w:val="00FF49A2"/>
    <w:rsid w:val="00FF4DEF"/>
    <w:rsid w:val="00FF5445"/>
    <w:rsid w:val="00FF5DD6"/>
    <w:rsid w:val="00FF6631"/>
    <w:rsid w:val="00FF67D4"/>
    <w:rsid w:val="00FF6A0E"/>
    <w:rsid w:val="00FF714A"/>
    <w:rsid w:val="00FF72E1"/>
    <w:rsid w:val="00FF757C"/>
    <w:rsid w:val="00FF78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footnote reference" w:qFormat="1"/>
    <w:lsdException w:name="Title" w:semiHidden="0" w:uiPriority="10" w:unhideWhenUsed="0"/>
    <w:lsdException w:name="Default Paragraph Font" w:uiPriority="1"/>
    <w:lsdException w:name="Subtitle" w:semiHidden="0" w:uiPriority="11" w:unhideWhenUsed="0"/>
    <w:lsdException w:name="Hyperlink"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82346"/>
    <w:pPr>
      <w:spacing w:before="120" w:after="240" w:line="240" w:lineRule="auto"/>
    </w:pPr>
    <w:rPr>
      <w:rFonts w:ascii="Arial" w:hAnsi="Arial"/>
    </w:rPr>
  </w:style>
  <w:style w:type="paragraph" w:styleId="Heading1">
    <w:name w:val="heading 1"/>
    <w:basedOn w:val="Normal"/>
    <w:next w:val="Normal"/>
    <w:link w:val="Heading1Char"/>
    <w:uiPriority w:val="9"/>
    <w:qFormat/>
    <w:rsid w:val="00F64C7B"/>
    <w:pPr>
      <w:keepNext/>
      <w:keepLines/>
      <w:numPr>
        <w:numId w:val="13"/>
      </w:numPr>
      <w:spacing w:before="420"/>
      <w:outlineLvl w:val="0"/>
    </w:pPr>
    <w:rPr>
      <w:rFonts w:ascii="Lucida Fax" w:eastAsiaTheme="majorEastAsia" w:hAnsi="Lucida Fax" w:cstheme="majorBidi"/>
      <w:bCs/>
      <w:color w:val="51626F"/>
      <w:sz w:val="32"/>
      <w:szCs w:val="28"/>
    </w:rPr>
  </w:style>
  <w:style w:type="paragraph" w:styleId="Heading2">
    <w:name w:val="heading 2"/>
    <w:basedOn w:val="Normal"/>
    <w:next w:val="Normal"/>
    <w:link w:val="Heading2Char"/>
    <w:uiPriority w:val="9"/>
    <w:unhideWhenUsed/>
    <w:qFormat/>
    <w:rsid w:val="00F64C7B"/>
    <w:pPr>
      <w:keepNext/>
      <w:keepLines/>
      <w:numPr>
        <w:ilvl w:val="1"/>
        <w:numId w:val="13"/>
      </w:numPr>
      <w:spacing w:before="420"/>
      <w:outlineLvl w:val="1"/>
    </w:pPr>
    <w:rPr>
      <w:rFonts w:eastAsiaTheme="majorEastAsia" w:cstheme="majorBidi"/>
      <w:b/>
      <w:bCs/>
      <w:color w:val="51626F"/>
      <w:sz w:val="28"/>
      <w:szCs w:val="26"/>
    </w:rPr>
  </w:style>
  <w:style w:type="paragraph" w:styleId="Heading3">
    <w:name w:val="heading 3"/>
    <w:basedOn w:val="Normal"/>
    <w:next w:val="Normal"/>
    <w:link w:val="Heading3Char"/>
    <w:uiPriority w:val="9"/>
    <w:unhideWhenUsed/>
    <w:qFormat/>
    <w:rsid w:val="00F64C7B"/>
    <w:pPr>
      <w:keepNext/>
      <w:keepLines/>
      <w:numPr>
        <w:ilvl w:val="2"/>
        <w:numId w:val="13"/>
      </w:numPr>
      <w:spacing w:before="200"/>
      <w:outlineLvl w:val="2"/>
    </w:pPr>
    <w:rPr>
      <w:rFonts w:eastAsiaTheme="majorEastAsia" w:cstheme="majorBidi"/>
      <w:b/>
      <w:bCs/>
      <w:sz w:val="24"/>
    </w:rPr>
  </w:style>
  <w:style w:type="paragraph" w:styleId="Heading4">
    <w:name w:val="heading 4"/>
    <w:basedOn w:val="Normal"/>
    <w:next w:val="Normal"/>
    <w:link w:val="Heading4Char"/>
    <w:uiPriority w:val="9"/>
    <w:unhideWhenUsed/>
    <w:qFormat/>
    <w:rsid w:val="00F64C7B"/>
    <w:pPr>
      <w:keepNext/>
      <w:keepLines/>
      <w:numPr>
        <w:ilvl w:val="3"/>
        <w:numId w:val="13"/>
      </w:numPr>
      <w:spacing w:before="200"/>
      <w:outlineLvl w:val="3"/>
    </w:pPr>
    <w:rPr>
      <w:rFonts w:eastAsiaTheme="majorEastAsia" w:cstheme="majorBidi"/>
      <w:b/>
      <w:bCs/>
      <w:i/>
      <w:iCs/>
      <w:color w:val="51626F"/>
      <w:sz w:val="24"/>
    </w:rPr>
  </w:style>
  <w:style w:type="paragraph" w:styleId="Heading5">
    <w:name w:val="heading 5"/>
    <w:basedOn w:val="Normal"/>
    <w:next w:val="Normal"/>
    <w:link w:val="Heading5Char"/>
    <w:uiPriority w:val="9"/>
    <w:unhideWhenUsed/>
    <w:qFormat/>
    <w:rsid w:val="00564A4D"/>
    <w:pPr>
      <w:keepNext/>
      <w:keepLines/>
      <w:numPr>
        <w:ilvl w:val="4"/>
        <w:numId w:val="13"/>
      </w:numPr>
      <w:spacing w:before="200"/>
      <w:outlineLvl w:val="4"/>
    </w:pPr>
    <w:rPr>
      <w:rFonts w:eastAsiaTheme="majorEastAsia" w:cstheme="majorBidi"/>
      <w:b/>
      <w:color w:val="243F60" w:themeColor="accent1" w:themeShade="7F"/>
    </w:rPr>
  </w:style>
  <w:style w:type="paragraph" w:styleId="Heading6">
    <w:name w:val="heading 6"/>
    <w:basedOn w:val="Normal"/>
    <w:next w:val="Normal"/>
    <w:link w:val="Heading6Char"/>
    <w:uiPriority w:val="9"/>
    <w:unhideWhenUsed/>
    <w:rsid w:val="00564A4D"/>
    <w:pPr>
      <w:keepNext/>
      <w:keepLines/>
      <w:numPr>
        <w:ilvl w:val="5"/>
        <w:numId w:val="13"/>
      </w:numPr>
      <w:spacing w:before="200"/>
      <w:outlineLvl w:val="5"/>
    </w:pPr>
    <w:rPr>
      <w:rFonts w:eastAsiaTheme="majorEastAsia" w:cstheme="majorBidi"/>
      <w:i/>
      <w:iCs/>
      <w:sz w:val="20"/>
    </w:rPr>
  </w:style>
  <w:style w:type="paragraph" w:styleId="Heading7">
    <w:name w:val="heading 7"/>
    <w:basedOn w:val="Normal"/>
    <w:next w:val="Normal"/>
    <w:link w:val="Heading7Char"/>
    <w:uiPriority w:val="9"/>
    <w:semiHidden/>
    <w:unhideWhenUsed/>
    <w:qFormat/>
    <w:rsid w:val="00B77B94"/>
    <w:pPr>
      <w:keepNext/>
      <w:keepLines/>
      <w:numPr>
        <w:ilvl w:val="6"/>
        <w:numId w:val="1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77B94"/>
    <w:pPr>
      <w:keepNext/>
      <w:keepLines/>
      <w:numPr>
        <w:ilvl w:val="7"/>
        <w:numId w:val="1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77B94"/>
    <w:pPr>
      <w:keepNext/>
      <w:keepLines/>
      <w:numPr>
        <w:ilvl w:val="8"/>
        <w:numId w:val="1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4C7B"/>
    <w:rPr>
      <w:rFonts w:ascii="Lucida Fax" w:eastAsiaTheme="majorEastAsia" w:hAnsi="Lucida Fax" w:cstheme="majorBidi"/>
      <w:bCs/>
      <w:color w:val="51626F"/>
      <w:sz w:val="32"/>
      <w:szCs w:val="28"/>
    </w:rPr>
  </w:style>
  <w:style w:type="character" w:customStyle="1" w:styleId="Heading2Char">
    <w:name w:val="Heading 2 Char"/>
    <w:basedOn w:val="DefaultParagraphFont"/>
    <w:link w:val="Heading2"/>
    <w:uiPriority w:val="9"/>
    <w:rsid w:val="00F64C7B"/>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uiPriority w:val="9"/>
    <w:rsid w:val="00F64C7B"/>
    <w:rPr>
      <w:rFonts w:ascii="Arial" w:eastAsiaTheme="majorEastAsia" w:hAnsi="Arial" w:cstheme="majorBidi"/>
      <w:b/>
      <w:bCs/>
      <w:sz w:val="24"/>
    </w:rPr>
  </w:style>
  <w:style w:type="character" w:customStyle="1" w:styleId="Heading4Char">
    <w:name w:val="Heading 4 Char"/>
    <w:basedOn w:val="DefaultParagraphFont"/>
    <w:link w:val="Heading4"/>
    <w:uiPriority w:val="9"/>
    <w:rsid w:val="00F64C7B"/>
    <w:rPr>
      <w:rFonts w:ascii="Arial" w:eastAsiaTheme="majorEastAsia" w:hAnsi="Arial" w:cstheme="majorBidi"/>
      <w:b/>
      <w:bCs/>
      <w:i/>
      <w:iCs/>
      <w:color w:val="51626F"/>
      <w:sz w:val="24"/>
    </w:rPr>
  </w:style>
  <w:style w:type="character" w:customStyle="1" w:styleId="Heading5Char">
    <w:name w:val="Heading 5 Char"/>
    <w:basedOn w:val="DefaultParagraphFont"/>
    <w:link w:val="Heading5"/>
    <w:uiPriority w:val="9"/>
    <w:rsid w:val="00564A4D"/>
    <w:rPr>
      <w:rFonts w:ascii="Arial" w:eastAsiaTheme="majorEastAsia" w:hAnsi="Arial" w:cstheme="majorBidi"/>
      <w:b/>
      <w:color w:val="243F60" w:themeColor="accent1" w:themeShade="7F"/>
    </w:rPr>
  </w:style>
  <w:style w:type="character" w:customStyle="1" w:styleId="Heading6Char">
    <w:name w:val="Heading 6 Char"/>
    <w:basedOn w:val="DefaultParagraphFont"/>
    <w:link w:val="Heading6"/>
    <w:uiPriority w:val="9"/>
    <w:rsid w:val="00564A4D"/>
    <w:rPr>
      <w:rFonts w:ascii="Arial" w:eastAsiaTheme="majorEastAsia" w:hAnsi="Arial" w:cstheme="majorBidi"/>
      <w:i/>
      <w:iCs/>
      <w:sz w:val="20"/>
    </w:rPr>
  </w:style>
  <w:style w:type="paragraph" w:customStyle="1" w:styleId="Reporttitle">
    <w:name w:val="Report title"/>
    <w:basedOn w:val="Normal"/>
    <w:link w:val="ReporttitleChar"/>
    <w:qFormat/>
    <w:rsid w:val="00532467"/>
    <w:pPr>
      <w:spacing w:before="520"/>
    </w:pPr>
    <w:rPr>
      <w:rFonts w:ascii="Lucida Fax" w:hAnsi="Lucida Fax"/>
      <w:b/>
      <w:color w:val="4F2D7F"/>
      <w:sz w:val="56"/>
      <w:szCs w:val="56"/>
    </w:rPr>
  </w:style>
  <w:style w:type="character" w:customStyle="1" w:styleId="ReporttitleChar">
    <w:name w:val="Report title Char"/>
    <w:basedOn w:val="DefaultParagraphFont"/>
    <w:link w:val="Reporttitle"/>
    <w:rsid w:val="00532467"/>
    <w:rPr>
      <w:rFonts w:ascii="Lucida Fax" w:hAnsi="Lucida Fax"/>
      <w:b/>
      <w:color w:val="4F2D7F"/>
      <w:sz w:val="56"/>
      <w:szCs w:val="56"/>
    </w:rPr>
  </w:style>
  <w:style w:type="paragraph" w:customStyle="1" w:styleId="Chaptertitle">
    <w:name w:val="Chapter title"/>
    <w:basedOn w:val="Reporttitle"/>
    <w:link w:val="ChaptertitleChar"/>
    <w:qFormat/>
    <w:rsid w:val="00532467"/>
    <w:rPr>
      <w:b w:val="0"/>
      <w:sz w:val="52"/>
      <w:szCs w:val="52"/>
    </w:rPr>
  </w:style>
  <w:style w:type="character" w:customStyle="1" w:styleId="ChaptertitleChar">
    <w:name w:val="Chapter title Char"/>
    <w:basedOn w:val="ReporttitleChar"/>
    <w:link w:val="Chaptertitle"/>
    <w:rsid w:val="00532467"/>
    <w:rPr>
      <w:rFonts w:ascii="Lucida Fax" w:hAnsi="Lucida Fax"/>
      <w:b w:val="0"/>
      <w:color w:val="4F2D7F"/>
      <w:sz w:val="52"/>
      <w:szCs w:val="52"/>
    </w:rPr>
  </w:style>
  <w:style w:type="paragraph" w:customStyle="1" w:styleId="Numberedlist">
    <w:name w:val="Numbered list"/>
    <w:basedOn w:val="ListNumber"/>
    <w:qFormat/>
    <w:rsid w:val="00EA3D42"/>
  </w:style>
  <w:style w:type="paragraph" w:customStyle="1" w:styleId="Numberedlist2">
    <w:name w:val="Numbered list 2"/>
    <w:basedOn w:val="ListNumber2"/>
    <w:qFormat/>
    <w:rsid w:val="00EA3D42"/>
    <w:pPr>
      <w:numPr>
        <w:numId w:val="7"/>
      </w:numPr>
    </w:pPr>
  </w:style>
  <w:style w:type="paragraph" w:customStyle="1" w:styleId="Copyrighttext">
    <w:name w:val="Copyright text"/>
    <w:basedOn w:val="Normal"/>
    <w:link w:val="CopyrighttextChar"/>
    <w:qFormat/>
    <w:rsid w:val="00EA3D42"/>
    <w:pPr>
      <w:ind w:left="1225"/>
      <w:contextualSpacing/>
    </w:pPr>
    <w:rPr>
      <w:sz w:val="16"/>
      <w:szCs w:val="16"/>
    </w:rPr>
  </w:style>
  <w:style w:type="character" w:customStyle="1" w:styleId="CopyrighttextChar">
    <w:name w:val="Copyright text Char"/>
    <w:basedOn w:val="DefaultParagraphFont"/>
    <w:link w:val="Copyrighttext"/>
    <w:rsid w:val="00EA3D42"/>
    <w:rPr>
      <w:rFonts w:ascii="Arial" w:hAnsi="Arial"/>
      <w:sz w:val="16"/>
      <w:szCs w:val="16"/>
    </w:rPr>
  </w:style>
  <w:style w:type="paragraph" w:customStyle="1" w:styleId="TableofcontentsTOCheading">
    <w:name w:val="Table of contents (TOC) heading"/>
    <w:basedOn w:val="Normal"/>
    <w:link w:val="TableofcontentsTOCheadingChar"/>
    <w:qFormat/>
    <w:rsid w:val="00EA3D42"/>
    <w:pPr>
      <w:spacing w:before="240" w:after="120"/>
      <w:ind w:left="1225"/>
      <w:contextualSpacing/>
    </w:pPr>
    <w:rPr>
      <w:b/>
      <w:sz w:val="20"/>
      <w:szCs w:val="20"/>
    </w:rPr>
  </w:style>
  <w:style w:type="character" w:customStyle="1" w:styleId="TableofcontentsTOCheadingChar">
    <w:name w:val="Table of contents (TOC) heading Char"/>
    <w:basedOn w:val="DefaultParagraphFont"/>
    <w:link w:val="TableofcontentsTOCheading"/>
    <w:rsid w:val="00EA3D42"/>
    <w:rPr>
      <w:rFonts w:ascii="Arial" w:hAnsi="Arial"/>
      <w:b/>
      <w:sz w:val="20"/>
      <w:szCs w:val="20"/>
    </w:rPr>
  </w:style>
  <w:style w:type="paragraph" w:customStyle="1" w:styleId="Tableofcontentstext">
    <w:name w:val="Table of contents text"/>
    <w:basedOn w:val="Normal"/>
    <w:link w:val="TableofcontentstextChar"/>
    <w:qFormat/>
    <w:rsid w:val="00EA3D42"/>
    <w:pPr>
      <w:ind w:left="1225"/>
      <w:contextualSpacing/>
    </w:pPr>
    <w:rPr>
      <w:sz w:val="20"/>
      <w:szCs w:val="20"/>
    </w:rPr>
  </w:style>
  <w:style w:type="character" w:customStyle="1" w:styleId="TableofcontentstextChar">
    <w:name w:val="Table of contents text Char"/>
    <w:basedOn w:val="DefaultParagraphFont"/>
    <w:link w:val="Tableofcontentstext"/>
    <w:rsid w:val="00EA3D42"/>
    <w:rPr>
      <w:rFonts w:ascii="Arial" w:hAnsi="Arial"/>
      <w:sz w:val="20"/>
      <w:szCs w:val="20"/>
    </w:rPr>
  </w:style>
  <w:style w:type="paragraph" w:customStyle="1" w:styleId="Headingnumbered1">
    <w:name w:val="Heading numbered 1."/>
    <w:basedOn w:val="Normal"/>
    <w:link w:val="Headingnumbered1Char"/>
    <w:qFormat/>
    <w:rsid w:val="00B77B94"/>
    <w:pPr>
      <w:numPr>
        <w:numId w:val="12"/>
      </w:numPr>
      <w:spacing w:before="520"/>
      <w:contextualSpacing/>
      <w:outlineLvl w:val="1"/>
    </w:pPr>
    <w:rPr>
      <w:rFonts w:ascii="Lucida Fax" w:hAnsi="Lucida Fax"/>
      <w:color w:val="51626F"/>
      <w:sz w:val="32"/>
      <w:szCs w:val="32"/>
    </w:rPr>
  </w:style>
  <w:style w:type="character" w:customStyle="1" w:styleId="Headingnumbered1Char">
    <w:name w:val="Heading numbered 1. Char"/>
    <w:basedOn w:val="DefaultParagraphFont"/>
    <w:link w:val="Headingnumbered1"/>
    <w:rsid w:val="00B77B94"/>
    <w:rPr>
      <w:rFonts w:ascii="Lucida Fax" w:hAnsi="Lucida Fax"/>
      <w:color w:val="51626F"/>
      <w:sz w:val="32"/>
      <w:szCs w:val="32"/>
    </w:rPr>
  </w:style>
  <w:style w:type="paragraph" w:customStyle="1" w:styleId="Headingnumbered11">
    <w:name w:val="Heading numbered 1.1"/>
    <w:basedOn w:val="Headingnumbered1"/>
    <w:next w:val="Heading3"/>
    <w:link w:val="Headingnumbered11Char"/>
    <w:qFormat/>
    <w:rsid w:val="00021202"/>
    <w:pPr>
      <w:numPr>
        <w:ilvl w:val="1"/>
        <w:numId w:val="1"/>
      </w:numPr>
      <w:outlineLvl w:val="2"/>
    </w:pPr>
    <w:rPr>
      <w:b/>
      <w:sz w:val="28"/>
      <w:szCs w:val="24"/>
    </w:rPr>
  </w:style>
  <w:style w:type="character" w:customStyle="1" w:styleId="Headingnumbered11Char">
    <w:name w:val="Heading numbered 1.1 Char"/>
    <w:basedOn w:val="DefaultParagraphFont"/>
    <w:link w:val="Headingnumbered11"/>
    <w:rsid w:val="00B77B94"/>
    <w:rPr>
      <w:rFonts w:ascii="Lucida Fax" w:hAnsi="Lucida Fax"/>
      <w:b/>
      <w:color w:val="51626F"/>
      <w:sz w:val="28"/>
      <w:szCs w:val="24"/>
    </w:rPr>
  </w:style>
  <w:style w:type="paragraph" w:customStyle="1" w:styleId="Headingnumbered111">
    <w:name w:val="Heading numbered 1.1.1"/>
    <w:basedOn w:val="Normal"/>
    <w:link w:val="Headingnumbered111Char"/>
    <w:qFormat/>
    <w:rsid w:val="00021202"/>
    <w:pPr>
      <w:numPr>
        <w:ilvl w:val="2"/>
        <w:numId w:val="2"/>
      </w:numPr>
      <w:spacing w:before="240"/>
      <w:ind w:left="958" w:hanging="958"/>
      <w:contextualSpacing/>
      <w:outlineLvl w:val="3"/>
    </w:pPr>
    <w:rPr>
      <w:sz w:val="24"/>
      <w:szCs w:val="24"/>
    </w:rPr>
  </w:style>
  <w:style w:type="character" w:customStyle="1" w:styleId="Headingnumbered111Char">
    <w:name w:val="Heading numbered 1.1.1 Char"/>
    <w:basedOn w:val="DefaultParagraphFont"/>
    <w:link w:val="Headingnumbered111"/>
    <w:rsid w:val="00021202"/>
    <w:rPr>
      <w:rFonts w:ascii="Arial" w:hAnsi="Arial"/>
      <w:sz w:val="24"/>
      <w:szCs w:val="24"/>
    </w:rPr>
  </w:style>
  <w:style w:type="paragraph" w:customStyle="1" w:styleId="Tableheadingtext">
    <w:name w:val="Table heading text"/>
    <w:basedOn w:val="Normal"/>
    <w:link w:val="TableheadingtextChar"/>
    <w:qFormat/>
    <w:rsid w:val="00EA3D42"/>
    <w:pPr>
      <w:spacing w:before="240"/>
      <w:contextualSpacing/>
    </w:pPr>
    <w:rPr>
      <w:b/>
      <w:sz w:val="20"/>
      <w:szCs w:val="20"/>
    </w:rPr>
  </w:style>
  <w:style w:type="character" w:customStyle="1" w:styleId="TableheadingtextChar">
    <w:name w:val="Table heading text Char"/>
    <w:basedOn w:val="DefaultParagraphFont"/>
    <w:link w:val="Tableheadingtext"/>
    <w:rsid w:val="00EA3D42"/>
    <w:rPr>
      <w:rFonts w:ascii="Arial" w:hAnsi="Arial"/>
      <w:b/>
      <w:sz w:val="20"/>
      <w:szCs w:val="20"/>
    </w:rPr>
  </w:style>
  <w:style w:type="paragraph" w:customStyle="1" w:styleId="Tablebodytext">
    <w:name w:val="Table body text"/>
    <w:basedOn w:val="Normal"/>
    <w:link w:val="TablebodytextChar"/>
    <w:qFormat/>
    <w:rsid w:val="00EA3D42"/>
    <w:pPr>
      <w:ind w:left="1225"/>
      <w:contextualSpacing/>
    </w:pPr>
    <w:rPr>
      <w:sz w:val="20"/>
    </w:rPr>
  </w:style>
  <w:style w:type="character" w:customStyle="1" w:styleId="TablebodytextChar">
    <w:name w:val="Table body text Char"/>
    <w:basedOn w:val="DefaultParagraphFont"/>
    <w:link w:val="Tablebodytext"/>
    <w:rsid w:val="00EA3D42"/>
    <w:rPr>
      <w:rFonts w:ascii="Arial" w:hAnsi="Arial"/>
      <w:sz w:val="20"/>
    </w:rPr>
  </w:style>
  <w:style w:type="paragraph" w:customStyle="1" w:styleId="Chartheading">
    <w:name w:val="Chart heading"/>
    <w:basedOn w:val="Normal"/>
    <w:link w:val="ChartheadingChar"/>
    <w:qFormat/>
    <w:rsid w:val="00EA3D42"/>
    <w:pPr>
      <w:spacing w:before="240"/>
      <w:contextualSpacing/>
    </w:pPr>
    <w:rPr>
      <w:b/>
      <w:sz w:val="20"/>
      <w:szCs w:val="20"/>
    </w:rPr>
  </w:style>
  <w:style w:type="character" w:customStyle="1" w:styleId="ChartheadingChar">
    <w:name w:val="Chart heading Char"/>
    <w:basedOn w:val="DefaultParagraphFont"/>
    <w:link w:val="Chartheading"/>
    <w:rsid w:val="00EA3D42"/>
    <w:rPr>
      <w:rFonts w:ascii="Arial" w:hAnsi="Arial"/>
      <w:b/>
      <w:sz w:val="20"/>
      <w:szCs w:val="20"/>
    </w:rPr>
  </w:style>
  <w:style w:type="paragraph" w:customStyle="1" w:styleId="Boxedtextheading">
    <w:name w:val="Boxed text heading"/>
    <w:basedOn w:val="Normal"/>
    <w:link w:val="BoxedtextheadingChar"/>
    <w:qFormat/>
    <w:rsid w:val="00BE1F1B"/>
    <w:pPr>
      <w:pBdr>
        <w:top w:val="single" w:sz="4" w:space="4" w:color="auto"/>
        <w:left w:val="single" w:sz="4" w:space="4" w:color="auto"/>
        <w:bottom w:val="single" w:sz="4" w:space="4" w:color="auto"/>
        <w:right w:val="single" w:sz="4" w:space="4" w:color="auto"/>
      </w:pBdr>
      <w:spacing w:before="240"/>
      <w:contextualSpacing/>
    </w:pPr>
    <w:rPr>
      <w:b/>
      <w:sz w:val="20"/>
      <w:szCs w:val="20"/>
    </w:rPr>
  </w:style>
  <w:style w:type="character" w:customStyle="1" w:styleId="BoxedtextheadingChar">
    <w:name w:val="Boxed text heading Char"/>
    <w:basedOn w:val="DefaultParagraphFont"/>
    <w:link w:val="Boxedtextheading"/>
    <w:rsid w:val="00BE1F1B"/>
    <w:rPr>
      <w:rFonts w:ascii="Arial" w:hAnsi="Arial"/>
      <w:b/>
      <w:sz w:val="20"/>
      <w:szCs w:val="20"/>
    </w:rPr>
  </w:style>
  <w:style w:type="paragraph" w:customStyle="1" w:styleId="Boxedtext">
    <w:name w:val="Boxed text"/>
    <w:basedOn w:val="Normal"/>
    <w:link w:val="BoxedtextChar"/>
    <w:qFormat/>
    <w:rsid w:val="00BE1F1B"/>
    <w:pPr>
      <w:pBdr>
        <w:top w:val="single" w:sz="4" w:space="4" w:color="auto"/>
        <w:left w:val="single" w:sz="4" w:space="4" w:color="auto"/>
        <w:bottom w:val="single" w:sz="4" w:space="4" w:color="auto"/>
        <w:right w:val="single" w:sz="4" w:space="4" w:color="auto"/>
      </w:pBdr>
      <w:contextualSpacing/>
    </w:pPr>
    <w:rPr>
      <w:sz w:val="20"/>
      <w:szCs w:val="20"/>
    </w:rPr>
  </w:style>
  <w:style w:type="character" w:customStyle="1" w:styleId="BoxedtextChar">
    <w:name w:val="Boxed text Char"/>
    <w:basedOn w:val="DefaultParagraphFont"/>
    <w:link w:val="Boxedtext"/>
    <w:rsid w:val="00BE1F1B"/>
    <w:rPr>
      <w:rFonts w:ascii="Arial" w:hAnsi="Arial"/>
      <w:sz w:val="20"/>
      <w:szCs w:val="20"/>
    </w:rPr>
  </w:style>
  <w:style w:type="paragraph" w:customStyle="1" w:styleId="Pullquoteheading">
    <w:name w:val="Pull quote heading"/>
    <w:basedOn w:val="Normal"/>
    <w:link w:val="PullquoteheadingChar"/>
    <w:qFormat/>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rsid w:val="00EA3D42"/>
    <w:rPr>
      <w:rFonts w:ascii="Lucida Fax" w:hAnsi="Lucida Fax"/>
      <w:b/>
      <w:color w:val="DC5034"/>
      <w:sz w:val="24"/>
      <w:szCs w:val="24"/>
    </w:rPr>
  </w:style>
  <w:style w:type="paragraph" w:customStyle="1" w:styleId="Pullquotetext">
    <w:name w:val="Pull quote text"/>
    <w:basedOn w:val="Pullquoteheading"/>
    <w:link w:val="PullquotetextChar"/>
    <w:qFormat/>
    <w:rsid w:val="007C1C53"/>
    <w:rPr>
      <w:b w:val="0"/>
    </w:rPr>
  </w:style>
  <w:style w:type="character" w:customStyle="1" w:styleId="PullquotetextChar">
    <w:name w:val="Pull quote text Char"/>
    <w:basedOn w:val="PullquoteheadingChar"/>
    <w:link w:val="Pullquotetext"/>
    <w:rsid w:val="007C1C53"/>
    <w:rPr>
      <w:rFonts w:ascii="Lucida Fax" w:hAnsi="Lucida Fax"/>
      <w:b w:val="0"/>
      <w:color w:val="DC5034"/>
      <w:sz w:val="24"/>
      <w:szCs w:val="24"/>
    </w:rPr>
  </w:style>
  <w:style w:type="paragraph" w:customStyle="1" w:styleId="Note">
    <w:name w:val="Note"/>
    <w:basedOn w:val="Normal"/>
    <w:link w:val="NoteChar"/>
    <w:qFormat/>
    <w:rsid w:val="00EA3D42"/>
    <w:pPr>
      <w:spacing w:after="120"/>
      <w:contextualSpacing/>
    </w:pPr>
    <w:rPr>
      <w:i/>
      <w:sz w:val="16"/>
      <w:szCs w:val="16"/>
    </w:rPr>
  </w:style>
  <w:style w:type="character" w:customStyle="1" w:styleId="NoteChar">
    <w:name w:val="Note Char"/>
    <w:basedOn w:val="DefaultParagraphFont"/>
    <w:link w:val="Note"/>
    <w:rsid w:val="00EA3D42"/>
    <w:rPr>
      <w:rFonts w:ascii="Arial" w:hAnsi="Arial"/>
      <w:i/>
      <w:sz w:val="16"/>
      <w:szCs w:val="16"/>
    </w:rPr>
  </w:style>
  <w:style w:type="paragraph" w:customStyle="1" w:styleId="Source">
    <w:name w:val="Source"/>
    <w:basedOn w:val="Normal"/>
    <w:link w:val="SourceChar"/>
    <w:qFormat/>
    <w:rsid w:val="00EA3D42"/>
    <w:pPr>
      <w:spacing w:before="60"/>
      <w:contextualSpacing/>
    </w:pPr>
    <w:rPr>
      <w:sz w:val="16"/>
      <w:szCs w:val="16"/>
    </w:rPr>
  </w:style>
  <w:style w:type="character" w:customStyle="1" w:styleId="SourceChar">
    <w:name w:val="Source Char"/>
    <w:basedOn w:val="DefaultParagraphFont"/>
    <w:link w:val="Source"/>
    <w:rsid w:val="00EA3D42"/>
    <w:rPr>
      <w:rFonts w:ascii="Arial" w:hAnsi="Arial"/>
      <w:sz w:val="16"/>
      <w:szCs w:val="16"/>
    </w:rPr>
  </w:style>
  <w:style w:type="paragraph" w:customStyle="1" w:styleId="Footnotes">
    <w:name w:val="Footnotes"/>
    <w:basedOn w:val="Normal"/>
    <w:link w:val="FootnotesChar"/>
    <w:qFormat/>
    <w:rsid w:val="00EA3D42"/>
    <w:pPr>
      <w:spacing w:before="60"/>
      <w:contextualSpacing/>
    </w:pPr>
    <w:rPr>
      <w:sz w:val="16"/>
      <w:szCs w:val="16"/>
    </w:rPr>
  </w:style>
  <w:style w:type="character" w:customStyle="1" w:styleId="FootnotesChar">
    <w:name w:val="Footnotes Char"/>
    <w:basedOn w:val="DefaultParagraphFont"/>
    <w:link w:val="Footnotes"/>
    <w:rsid w:val="00EA3D42"/>
    <w:rPr>
      <w:rFonts w:ascii="Arial" w:hAnsi="Arial"/>
      <w:sz w:val="16"/>
      <w:szCs w:val="16"/>
    </w:rPr>
  </w:style>
  <w:style w:type="paragraph" w:styleId="Quote">
    <w:name w:val="Quote"/>
    <w:basedOn w:val="Normal"/>
    <w:next w:val="Normal"/>
    <w:link w:val="QuoteChar"/>
    <w:uiPriority w:val="29"/>
    <w:qFormat/>
    <w:rsid w:val="00D61A54"/>
    <w:pPr>
      <w:ind w:left="340"/>
    </w:pPr>
    <w:rPr>
      <w:i/>
      <w:iCs/>
      <w:color w:val="000000" w:themeColor="text1"/>
    </w:rPr>
  </w:style>
  <w:style w:type="character" w:customStyle="1" w:styleId="QuoteChar">
    <w:name w:val="Quote Char"/>
    <w:basedOn w:val="DefaultParagraphFont"/>
    <w:link w:val="Quote"/>
    <w:uiPriority w:val="29"/>
    <w:rsid w:val="00D61A54"/>
    <w:rPr>
      <w:rFonts w:ascii="Arial" w:hAnsi="Arial"/>
      <w:i/>
      <w:iCs/>
      <w:color w:val="000000" w:themeColor="text1"/>
    </w:rPr>
  </w:style>
  <w:style w:type="paragraph" w:customStyle="1" w:styleId="Charttext">
    <w:name w:val="Chart text"/>
    <w:basedOn w:val="Normal"/>
    <w:qFormat/>
    <w:rsid w:val="007C1C53"/>
    <w:pPr>
      <w:spacing w:after="120"/>
    </w:pPr>
    <w:rPr>
      <w:sz w:val="20"/>
    </w:rPr>
  </w:style>
  <w:style w:type="paragraph" w:customStyle="1" w:styleId="Bulletpoint">
    <w:name w:val="Bullet point"/>
    <w:basedOn w:val="ListBullet"/>
    <w:qFormat/>
    <w:rsid w:val="00EA3D42"/>
    <w:rPr>
      <w:rFonts w:cs="Times New Roman"/>
    </w:rPr>
  </w:style>
  <w:style w:type="paragraph" w:styleId="ListBullet">
    <w:name w:val="List Bullet"/>
    <w:basedOn w:val="Normal"/>
    <w:uiPriority w:val="99"/>
    <w:unhideWhenUsed/>
    <w:rsid w:val="00D61A54"/>
    <w:pPr>
      <w:numPr>
        <w:numId w:val="3"/>
      </w:numPr>
      <w:contextualSpacing/>
    </w:pPr>
  </w:style>
  <w:style w:type="paragraph" w:customStyle="1" w:styleId="Bulletpoint2">
    <w:name w:val="Bullet point 2"/>
    <w:basedOn w:val="ListBullet2"/>
    <w:qFormat/>
    <w:rsid w:val="00EA3D42"/>
    <w:pPr>
      <w:tabs>
        <w:tab w:val="clear" w:pos="643"/>
      </w:tabs>
      <w:ind w:left="1003"/>
    </w:pPr>
  </w:style>
  <w:style w:type="paragraph" w:styleId="ListNumber">
    <w:name w:val="List Number"/>
    <w:basedOn w:val="Normal"/>
    <w:uiPriority w:val="99"/>
    <w:unhideWhenUsed/>
    <w:rsid w:val="00EA3D42"/>
    <w:pPr>
      <w:numPr>
        <w:numId w:val="5"/>
      </w:numPr>
      <w:tabs>
        <w:tab w:val="clear" w:pos="644"/>
        <w:tab w:val="num" w:pos="360"/>
      </w:tabs>
      <w:ind w:left="360"/>
      <w:contextualSpacing/>
    </w:pPr>
  </w:style>
  <w:style w:type="paragraph" w:styleId="ListBullet2">
    <w:name w:val="List Bullet 2"/>
    <w:basedOn w:val="Normal"/>
    <w:uiPriority w:val="99"/>
    <w:semiHidden/>
    <w:unhideWhenUsed/>
    <w:rsid w:val="00EA3D42"/>
    <w:pPr>
      <w:numPr>
        <w:numId w:val="4"/>
      </w:numPr>
      <w:contextualSpacing/>
    </w:pPr>
  </w:style>
  <w:style w:type="paragraph" w:styleId="TOCHeading">
    <w:name w:val="TOC Heading"/>
    <w:basedOn w:val="Heading1"/>
    <w:next w:val="Normal"/>
    <w:uiPriority w:val="39"/>
    <w:unhideWhenUsed/>
    <w:qFormat/>
    <w:rsid w:val="003518B3"/>
    <w:pPr>
      <w:spacing w:before="480" w:line="276" w:lineRule="auto"/>
      <w:outlineLvl w:val="9"/>
    </w:pPr>
    <w:rPr>
      <w:rFonts w:asciiTheme="majorHAnsi" w:hAnsiTheme="majorHAnsi"/>
      <w:b/>
      <w:color w:val="365F91" w:themeColor="accent1" w:themeShade="BF"/>
      <w:sz w:val="28"/>
      <w:lang w:val="en-US" w:eastAsia="ja-JP"/>
    </w:rPr>
  </w:style>
  <w:style w:type="paragraph" w:styleId="ListNumber2">
    <w:name w:val="List Number 2"/>
    <w:basedOn w:val="Normal"/>
    <w:uiPriority w:val="99"/>
    <w:semiHidden/>
    <w:unhideWhenUsed/>
    <w:rsid w:val="00EA3D42"/>
    <w:pPr>
      <w:numPr>
        <w:numId w:val="6"/>
      </w:numPr>
      <w:contextualSpacing/>
    </w:pPr>
  </w:style>
  <w:style w:type="character" w:styleId="Hyperlink">
    <w:name w:val="Hyperlink"/>
    <w:basedOn w:val="DefaultParagraphFont"/>
    <w:uiPriority w:val="99"/>
    <w:unhideWhenUsed/>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1573E4"/>
    <w:pPr>
      <w:tabs>
        <w:tab w:val="center" w:pos="4513"/>
        <w:tab w:val="right" w:pos="9026"/>
      </w:tabs>
      <w:spacing w:before="60"/>
    </w:pPr>
    <w:rPr>
      <w:sz w:val="16"/>
    </w:rPr>
  </w:style>
  <w:style w:type="character" w:customStyle="1" w:styleId="FooterChar">
    <w:name w:val="Footer Char"/>
    <w:basedOn w:val="DefaultParagraphFont"/>
    <w:link w:val="Footer"/>
    <w:uiPriority w:val="99"/>
    <w:rsid w:val="001573E4"/>
    <w:rPr>
      <w:rFonts w:ascii="Arial" w:hAnsi="Arial"/>
      <w:sz w:val="16"/>
    </w:rPr>
  </w:style>
  <w:style w:type="paragraph" w:styleId="ListParagraph">
    <w:name w:val="List Paragraph"/>
    <w:basedOn w:val="Normal"/>
    <w:uiPriority w:val="34"/>
    <w:qFormat/>
    <w:rsid w:val="00A60A26"/>
    <w:pPr>
      <w:ind w:left="357"/>
      <w:contextualSpacing/>
    </w:pPr>
  </w:style>
  <w:style w:type="paragraph" w:customStyle="1" w:styleId="subsection">
    <w:name w:val="subsection"/>
    <w:aliases w:val="ss"/>
    <w:basedOn w:val="Normal"/>
    <w:uiPriority w:val="99"/>
    <w:rsid w:val="004828A6"/>
    <w:pPr>
      <w:spacing w:before="180"/>
      <w:ind w:left="1134" w:hanging="1134"/>
    </w:pPr>
    <w:rPr>
      <w:rFonts w:ascii="Times New Roman" w:hAnsi="Times New Roman" w:cs="Times New Roman"/>
      <w:lang w:eastAsia="en-AU"/>
    </w:rPr>
  </w:style>
  <w:style w:type="paragraph" w:customStyle="1" w:styleId="ActHead5">
    <w:name w:val="ActHead 5"/>
    <w:aliases w:val="s"/>
    <w:basedOn w:val="Normal"/>
    <w:qFormat/>
    <w:rsid w:val="004828A6"/>
    <w:pPr>
      <w:keepNext/>
      <w:spacing w:before="280"/>
      <w:ind w:left="1134" w:hanging="1134"/>
    </w:pPr>
    <w:rPr>
      <w:rFonts w:ascii="Times New Roman" w:hAnsi="Times New Roman" w:cs="Times New Roman"/>
      <w:b/>
      <w:bCs/>
      <w:sz w:val="24"/>
      <w:szCs w:val="24"/>
      <w:lang w:eastAsia="en-AU"/>
    </w:rPr>
  </w:style>
  <w:style w:type="character" w:customStyle="1" w:styleId="CharSectno">
    <w:name w:val="CharSectno"/>
    <w:basedOn w:val="DefaultParagraphFont"/>
    <w:qFormat/>
    <w:rsid w:val="004828A6"/>
  </w:style>
  <w:style w:type="paragraph" w:customStyle="1" w:styleId="Listbullet1">
    <w:name w:val="List bullet 1"/>
    <w:basedOn w:val="Normal"/>
    <w:autoRedefine/>
    <w:qFormat/>
    <w:rsid w:val="00FF67D4"/>
    <w:pPr>
      <w:numPr>
        <w:numId w:val="8"/>
      </w:numPr>
    </w:pPr>
    <w:rPr>
      <w:rFonts w:eastAsia="Calibri" w:cs="Times New Roman"/>
      <w:sz w:val="20"/>
    </w:rPr>
  </w:style>
  <w:style w:type="paragraph" w:customStyle="1" w:styleId="Non-numberedheading3">
    <w:name w:val="Non-numbered heading 3"/>
    <w:basedOn w:val="Normal"/>
    <w:next w:val="Normal"/>
    <w:autoRedefine/>
    <w:qFormat/>
    <w:rsid w:val="00BC5732"/>
    <w:pPr>
      <w:keepNext/>
      <w:spacing w:after="120"/>
    </w:pPr>
    <w:rPr>
      <w:rFonts w:ascii="Lucida Fax" w:eastAsia="Times New Roman" w:hAnsi="Lucida Fax" w:cs="Times New Roman"/>
      <w:b/>
      <w:bCs/>
      <w:sz w:val="24"/>
      <w:szCs w:val="28"/>
    </w:rPr>
  </w:style>
  <w:style w:type="paragraph" w:styleId="CommentText">
    <w:name w:val="annotation text"/>
    <w:basedOn w:val="Normal"/>
    <w:link w:val="CommentTextChar"/>
    <w:uiPriority w:val="99"/>
    <w:unhideWhenUsed/>
    <w:rsid w:val="003701BF"/>
    <w:rPr>
      <w:sz w:val="20"/>
      <w:szCs w:val="20"/>
    </w:rPr>
  </w:style>
  <w:style w:type="character" w:customStyle="1" w:styleId="CommentTextChar">
    <w:name w:val="Comment Text Char"/>
    <w:basedOn w:val="DefaultParagraphFont"/>
    <w:link w:val="CommentText"/>
    <w:uiPriority w:val="99"/>
    <w:rsid w:val="003701BF"/>
    <w:rPr>
      <w:rFonts w:ascii="Arial" w:hAnsi="Arial"/>
      <w:sz w:val="20"/>
      <w:szCs w:val="20"/>
    </w:rPr>
  </w:style>
  <w:style w:type="character" w:styleId="CommentReference">
    <w:name w:val="annotation reference"/>
    <w:uiPriority w:val="99"/>
    <w:semiHidden/>
    <w:unhideWhenUsed/>
    <w:rsid w:val="003701BF"/>
    <w:rPr>
      <w:sz w:val="16"/>
      <w:szCs w:val="16"/>
    </w:rPr>
  </w:style>
  <w:style w:type="paragraph" w:styleId="TOC1">
    <w:name w:val="toc 1"/>
    <w:basedOn w:val="Normal"/>
    <w:next w:val="Normal"/>
    <w:autoRedefine/>
    <w:uiPriority w:val="39"/>
    <w:unhideWhenUsed/>
    <w:qFormat/>
    <w:rsid w:val="00692C97"/>
    <w:pPr>
      <w:tabs>
        <w:tab w:val="right" w:leader="dot" w:pos="9016"/>
      </w:tabs>
      <w:spacing w:after="100"/>
      <w:ind w:left="220"/>
    </w:pPr>
  </w:style>
  <w:style w:type="paragraph" w:styleId="TOC2">
    <w:name w:val="toc 2"/>
    <w:basedOn w:val="Normal"/>
    <w:next w:val="Normal"/>
    <w:autoRedefine/>
    <w:uiPriority w:val="39"/>
    <w:unhideWhenUsed/>
    <w:qFormat/>
    <w:rsid w:val="003701BF"/>
    <w:pPr>
      <w:spacing w:after="100"/>
      <w:ind w:left="220"/>
    </w:pPr>
  </w:style>
  <w:style w:type="paragraph" w:customStyle="1" w:styleId="Normalparagraph">
    <w:name w:val="Normal paragraph"/>
    <w:basedOn w:val="Normal"/>
    <w:qFormat/>
    <w:rsid w:val="0084416C"/>
    <w:pPr>
      <w:tabs>
        <w:tab w:val="left" w:pos="426"/>
      </w:tabs>
      <w:spacing w:before="240"/>
    </w:pPr>
    <w:rPr>
      <w:rFonts w:eastAsia="Times New Roman" w:cs="Times New Roman"/>
    </w:rPr>
  </w:style>
  <w:style w:type="paragraph" w:customStyle="1" w:styleId="alpha1">
    <w:name w:val="alpha 1"/>
    <w:basedOn w:val="ListNumber"/>
    <w:autoRedefine/>
    <w:qFormat/>
    <w:rsid w:val="0084416C"/>
    <w:pPr>
      <w:numPr>
        <w:numId w:val="0"/>
      </w:numPr>
      <w:contextualSpacing w:val="0"/>
    </w:pPr>
    <w:rPr>
      <w:rFonts w:eastAsia="Times New Roman" w:cs="Times New Roman"/>
      <w:szCs w:val="24"/>
      <w:lang w:eastAsia="en-AU"/>
    </w:rPr>
  </w:style>
  <w:style w:type="character" w:styleId="FootnoteReference">
    <w:name w:val="footnote reference"/>
    <w:aliases w:val="(NECG) Footnote Reference,(NECG) Footnote Reference1,(NECG) Footnote Reference2,o,Style 3,Style 12,fr,Appel note de bas de p,Style 124,Style 6 + 12 pt,Appel n,(NECG) Footnote Reference3,(NECG) Footnote Reference4,Footnote Reference 1"/>
    <w:basedOn w:val="DefaultParagraphFont"/>
    <w:uiPriority w:val="99"/>
    <w:qFormat/>
    <w:rsid w:val="0084416C"/>
    <w:rPr>
      <w:rFonts w:cs="Times New Roman"/>
      <w:sz w:val="20"/>
      <w:vertAlign w:val="superscript"/>
    </w:rPr>
  </w:style>
  <w:style w:type="paragraph" w:styleId="CommentSubject">
    <w:name w:val="annotation subject"/>
    <w:basedOn w:val="CommentText"/>
    <w:next w:val="CommentText"/>
    <w:link w:val="CommentSubjectChar"/>
    <w:uiPriority w:val="99"/>
    <w:semiHidden/>
    <w:unhideWhenUsed/>
    <w:rsid w:val="007B00A1"/>
    <w:rPr>
      <w:b/>
      <w:bCs/>
    </w:rPr>
  </w:style>
  <w:style w:type="character" w:customStyle="1" w:styleId="CommentSubjectChar">
    <w:name w:val="Comment Subject Char"/>
    <w:basedOn w:val="CommentTextChar"/>
    <w:link w:val="CommentSubject"/>
    <w:uiPriority w:val="99"/>
    <w:semiHidden/>
    <w:rsid w:val="007B00A1"/>
    <w:rPr>
      <w:rFonts w:ascii="Arial" w:hAnsi="Arial"/>
      <w:b/>
      <w:bCs/>
      <w:sz w:val="20"/>
      <w:szCs w:val="20"/>
    </w:rPr>
  </w:style>
  <w:style w:type="paragraph" w:styleId="NormalWeb">
    <w:name w:val="Normal (Web)"/>
    <w:basedOn w:val="Normal"/>
    <w:uiPriority w:val="99"/>
    <w:semiHidden/>
    <w:unhideWhenUsed/>
    <w:rsid w:val="00D55B17"/>
    <w:pPr>
      <w:spacing w:before="100" w:beforeAutospacing="1" w:after="100" w:afterAutospacing="1"/>
    </w:pPr>
    <w:rPr>
      <w:rFonts w:ascii="Times New Roman" w:eastAsia="Times New Roman" w:hAnsi="Times New Roman" w:cs="Times New Roman"/>
      <w:sz w:val="24"/>
      <w:szCs w:val="24"/>
      <w:lang w:eastAsia="en-AU"/>
    </w:rPr>
  </w:style>
  <w:style w:type="paragraph" w:styleId="FootnoteText">
    <w:name w:val="footnote text"/>
    <w:basedOn w:val="Normal"/>
    <w:link w:val="FootnoteTextChar"/>
    <w:uiPriority w:val="99"/>
    <w:unhideWhenUsed/>
    <w:rsid w:val="00A23E10"/>
    <w:pPr>
      <w:spacing w:before="0"/>
    </w:pPr>
    <w:rPr>
      <w:sz w:val="20"/>
      <w:szCs w:val="20"/>
    </w:rPr>
  </w:style>
  <w:style w:type="character" w:customStyle="1" w:styleId="FootnoteTextChar">
    <w:name w:val="Footnote Text Char"/>
    <w:basedOn w:val="DefaultParagraphFont"/>
    <w:link w:val="FootnoteText"/>
    <w:uiPriority w:val="99"/>
    <w:rsid w:val="00A23E10"/>
    <w:rPr>
      <w:rFonts w:ascii="Arial" w:hAnsi="Arial"/>
      <w:sz w:val="20"/>
      <w:szCs w:val="20"/>
    </w:rPr>
  </w:style>
  <w:style w:type="paragraph" w:styleId="TOC3">
    <w:name w:val="toc 3"/>
    <w:basedOn w:val="Normal"/>
    <w:next w:val="Normal"/>
    <w:autoRedefine/>
    <w:uiPriority w:val="39"/>
    <w:unhideWhenUsed/>
    <w:qFormat/>
    <w:rsid w:val="002844EF"/>
    <w:pPr>
      <w:spacing w:after="100"/>
      <w:ind w:left="440"/>
    </w:pPr>
  </w:style>
  <w:style w:type="paragraph" w:customStyle="1" w:styleId="paragraphsub">
    <w:name w:val="paragraph(sub)"/>
    <w:aliases w:val="aa"/>
    <w:basedOn w:val="Normal"/>
    <w:rsid w:val="002D6098"/>
    <w:pPr>
      <w:tabs>
        <w:tab w:val="right" w:pos="1985"/>
      </w:tabs>
      <w:spacing w:before="40"/>
      <w:ind w:left="2098" w:hanging="2098"/>
    </w:pPr>
    <w:rPr>
      <w:rFonts w:ascii="Times New Roman" w:eastAsia="Times New Roman" w:hAnsi="Times New Roman" w:cs="Times New Roman"/>
      <w:szCs w:val="20"/>
      <w:lang w:eastAsia="en-AU"/>
    </w:rPr>
  </w:style>
  <w:style w:type="paragraph" w:customStyle="1" w:styleId="paragraph">
    <w:name w:val="paragraph"/>
    <w:aliases w:val="a"/>
    <w:basedOn w:val="Normal"/>
    <w:rsid w:val="002D6098"/>
    <w:pPr>
      <w:tabs>
        <w:tab w:val="right" w:pos="1531"/>
      </w:tabs>
      <w:spacing w:before="40"/>
      <w:ind w:left="1644" w:hanging="1644"/>
    </w:pPr>
    <w:rPr>
      <w:rFonts w:ascii="Times New Roman" w:eastAsia="Times New Roman" w:hAnsi="Times New Roman" w:cs="Times New Roman"/>
      <w:szCs w:val="20"/>
      <w:lang w:eastAsia="en-AU"/>
    </w:rPr>
  </w:style>
  <w:style w:type="character" w:customStyle="1" w:styleId="CharChapText">
    <w:name w:val="CharChapText"/>
    <w:basedOn w:val="DefaultParagraphFont"/>
    <w:qFormat/>
    <w:rsid w:val="00394546"/>
  </w:style>
  <w:style w:type="paragraph" w:customStyle="1" w:styleId="Definition">
    <w:name w:val="Definition"/>
    <w:aliases w:val="dd"/>
    <w:basedOn w:val="Normal"/>
    <w:rsid w:val="00394546"/>
    <w:pPr>
      <w:spacing w:before="180"/>
      <w:ind w:left="1134"/>
    </w:pPr>
    <w:rPr>
      <w:rFonts w:ascii="Times New Roman" w:eastAsia="Times New Roman" w:hAnsi="Times New Roman" w:cs="Times New Roman"/>
      <w:szCs w:val="20"/>
      <w:lang w:eastAsia="en-AU"/>
    </w:rPr>
  </w:style>
  <w:style w:type="character" w:styleId="Emphasis">
    <w:name w:val="Emphasis"/>
    <w:basedOn w:val="DefaultParagraphFont"/>
    <w:uiPriority w:val="20"/>
    <w:qFormat/>
    <w:rsid w:val="00763104"/>
    <w:rPr>
      <w:i/>
      <w:iCs/>
    </w:rPr>
  </w:style>
  <w:style w:type="paragraph" w:styleId="Header">
    <w:name w:val="header"/>
    <w:basedOn w:val="Normal"/>
    <w:link w:val="HeaderChar"/>
    <w:uiPriority w:val="99"/>
    <w:unhideWhenUsed/>
    <w:rsid w:val="00924BF0"/>
    <w:pPr>
      <w:tabs>
        <w:tab w:val="center" w:pos="4513"/>
        <w:tab w:val="right" w:pos="9026"/>
      </w:tabs>
      <w:spacing w:before="0"/>
    </w:pPr>
  </w:style>
  <w:style w:type="character" w:customStyle="1" w:styleId="HeaderChar">
    <w:name w:val="Header Char"/>
    <w:basedOn w:val="DefaultParagraphFont"/>
    <w:link w:val="Header"/>
    <w:uiPriority w:val="99"/>
    <w:rsid w:val="00924BF0"/>
    <w:rPr>
      <w:rFonts w:ascii="Arial" w:hAnsi="Arial"/>
    </w:rPr>
  </w:style>
  <w:style w:type="paragraph" w:customStyle="1" w:styleId="ACCCcopyrighttext">
    <w:name w:val="ACCC copyright text"/>
    <w:basedOn w:val="Normal"/>
    <w:autoRedefine/>
    <w:qFormat/>
    <w:rsid w:val="00CF01BE"/>
    <w:pPr>
      <w:spacing w:before="0"/>
    </w:pPr>
    <w:rPr>
      <w:sz w:val="20"/>
    </w:rPr>
  </w:style>
  <w:style w:type="character" w:styleId="FollowedHyperlink">
    <w:name w:val="FollowedHyperlink"/>
    <w:basedOn w:val="DefaultParagraphFont"/>
    <w:uiPriority w:val="99"/>
    <w:semiHidden/>
    <w:unhideWhenUsed/>
    <w:rsid w:val="00710B4D"/>
    <w:rPr>
      <w:color w:val="800080" w:themeColor="followedHyperlink"/>
      <w:u w:val="single"/>
    </w:rPr>
  </w:style>
  <w:style w:type="table" w:styleId="TableGrid">
    <w:name w:val="Table Grid"/>
    <w:aliases w:val="ACCC Table"/>
    <w:basedOn w:val="TableNormal"/>
    <w:uiPriority w:val="59"/>
    <w:rsid w:val="00311F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B77B9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77B9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77B94"/>
    <w:rPr>
      <w:rFonts w:asciiTheme="majorHAnsi" w:eastAsiaTheme="majorEastAsia" w:hAnsiTheme="majorHAnsi" w:cstheme="majorBidi"/>
      <w:i/>
      <w:iCs/>
      <w:color w:val="404040" w:themeColor="text1" w:themeTint="BF"/>
      <w:sz w:val="20"/>
      <w:szCs w:val="20"/>
    </w:rPr>
  </w:style>
  <w:style w:type="paragraph" w:customStyle="1" w:styleId="Default">
    <w:name w:val="Default"/>
    <w:rsid w:val="00A533CD"/>
    <w:pPr>
      <w:autoSpaceDE w:val="0"/>
      <w:autoSpaceDN w:val="0"/>
      <w:adjustRightInd w:val="0"/>
      <w:spacing w:after="0" w:line="240" w:lineRule="auto"/>
    </w:pPr>
    <w:rPr>
      <w:rFonts w:ascii="Verdana" w:hAnsi="Verdana" w:cs="Verdana"/>
      <w:color w:val="000000"/>
      <w:sz w:val="24"/>
      <w:szCs w:val="24"/>
    </w:rPr>
  </w:style>
  <w:style w:type="table" w:customStyle="1" w:styleId="ACCCTable1">
    <w:name w:val="ACCC Table1"/>
    <w:basedOn w:val="TableNormal"/>
    <w:next w:val="TableGrid"/>
    <w:uiPriority w:val="59"/>
    <w:rsid w:val="004F6B2D"/>
    <w:pPr>
      <w:spacing w:before="60" w:after="60" w:line="240" w:lineRule="auto"/>
    </w:pPr>
    <w:rPr>
      <w:rFonts w:ascii="Arial" w:hAnsi="Arial"/>
      <w:sz w:val="20"/>
    </w:rPr>
    <w:tblPr>
      <w:tblBorders>
        <w:top w:val="single" w:sz="4" w:space="0" w:color="BFBFBF"/>
        <w:bottom w:val="single" w:sz="4" w:space="0" w:color="BFBFBF"/>
      </w:tblBorders>
    </w:tblPr>
    <w:tcPr>
      <w:shd w:val="clear" w:color="auto" w:fill="auto"/>
    </w:tcPr>
    <w:tblStylePr w:type="firstRow">
      <w:pPr>
        <w:wordWrap/>
        <w:spacing w:beforeLines="0" w:beforeAutospacing="0" w:afterLines="0" w:afterAutospacing="0"/>
      </w:pPr>
      <w:rPr>
        <w:rFonts w:ascii="Arial" w:hAnsi="Arial"/>
        <w:b/>
        <w:sz w:val="20"/>
      </w:rPr>
      <w:tblPr/>
      <w:tcPr>
        <w:tcBorders>
          <w:top w:val="single" w:sz="4" w:space="0" w:color="BFBFBF"/>
          <w:left w:val="nil"/>
          <w:bottom w:val="single" w:sz="4" w:space="0" w:color="BFBFBF"/>
          <w:right w:val="nil"/>
          <w:insideH w:val="nil"/>
          <w:insideV w:val="nil"/>
          <w:tl2br w:val="nil"/>
          <w:tr2bl w:val="nil"/>
        </w:tcBorders>
        <w:shd w:val="clear" w:color="auto" w:fill="auto"/>
      </w:tcPr>
    </w:tblStylePr>
    <w:tblStylePr w:type="lastRow">
      <w:pPr>
        <w:wordWrap/>
        <w:spacing w:beforeLines="0" w:beforeAutospacing="0" w:afterLines="0" w:afterAutospacing="0" w:line="240" w:lineRule="auto"/>
      </w:pPr>
      <w:rPr>
        <w:rFonts w:ascii="Arial" w:hAnsi="Arial"/>
        <w:b/>
        <w:sz w:val="20"/>
      </w:rPr>
    </w:tblStylePr>
    <w:tblStylePr w:type="firstCol">
      <w:rPr>
        <w:rFonts w:ascii="Arial" w:hAnsi="Arial"/>
        <w:b/>
        <w:sz w:val="20"/>
      </w:rPr>
    </w:tblStylePr>
  </w:style>
  <w:style w:type="paragraph" w:styleId="TOC8">
    <w:name w:val="toc 8"/>
    <w:basedOn w:val="Normal"/>
    <w:next w:val="Normal"/>
    <w:uiPriority w:val="39"/>
    <w:rsid w:val="005217BA"/>
    <w:pPr>
      <w:tabs>
        <w:tab w:val="right" w:leader="dot" w:pos="9016"/>
      </w:tabs>
      <w:spacing w:after="100" w:line="240" w:lineRule="atLeast"/>
      <w:ind w:left="2977"/>
    </w:pPr>
    <w:rPr>
      <w:noProof/>
    </w:rPr>
  </w:style>
  <w:style w:type="paragraph" w:styleId="TOC9">
    <w:name w:val="toc 9"/>
    <w:basedOn w:val="Normal"/>
    <w:next w:val="Normal"/>
    <w:uiPriority w:val="39"/>
    <w:rsid w:val="005217BA"/>
    <w:pPr>
      <w:tabs>
        <w:tab w:val="right" w:leader="dot" w:pos="9016"/>
      </w:tabs>
      <w:spacing w:after="100" w:line="240" w:lineRule="atLeast"/>
      <w:ind w:left="3402"/>
    </w:pPr>
    <w:rPr>
      <w:noProof/>
    </w:rPr>
  </w:style>
  <w:style w:type="paragraph" w:styleId="TOC4">
    <w:name w:val="toc 4"/>
    <w:basedOn w:val="Normal"/>
    <w:next w:val="Normal"/>
    <w:uiPriority w:val="39"/>
    <w:rsid w:val="005217BA"/>
    <w:pPr>
      <w:tabs>
        <w:tab w:val="right" w:leader="dot" w:pos="9016"/>
      </w:tabs>
      <w:spacing w:after="100" w:line="240" w:lineRule="atLeast"/>
      <w:ind w:left="1276"/>
    </w:pPr>
    <w:rPr>
      <w:noProof/>
    </w:rPr>
  </w:style>
  <w:style w:type="paragraph" w:styleId="TOC5">
    <w:name w:val="toc 5"/>
    <w:basedOn w:val="Normal"/>
    <w:next w:val="Normal"/>
    <w:uiPriority w:val="39"/>
    <w:rsid w:val="005217BA"/>
    <w:pPr>
      <w:tabs>
        <w:tab w:val="right" w:leader="dot" w:pos="9016"/>
      </w:tabs>
      <w:spacing w:after="100" w:line="240" w:lineRule="atLeast"/>
      <w:ind w:left="1701"/>
    </w:pPr>
    <w:rPr>
      <w:noProof/>
    </w:rPr>
  </w:style>
  <w:style w:type="paragraph" w:styleId="TOC6">
    <w:name w:val="toc 6"/>
    <w:basedOn w:val="Normal"/>
    <w:next w:val="Normal"/>
    <w:uiPriority w:val="39"/>
    <w:rsid w:val="005217BA"/>
    <w:pPr>
      <w:tabs>
        <w:tab w:val="right" w:leader="dot" w:pos="9016"/>
      </w:tabs>
      <w:spacing w:after="100" w:line="240" w:lineRule="atLeast"/>
      <w:ind w:left="2127"/>
    </w:pPr>
    <w:rPr>
      <w:noProof/>
    </w:rPr>
  </w:style>
  <w:style w:type="paragraph" w:styleId="TOC7">
    <w:name w:val="toc 7"/>
    <w:basedOn w:val="Normal"/>
    <w:next w:val="Normal"/>
    <w:uiPriority w:val="39"/>
    <w:rsid w:val="005217BA"/>
    <w:pPr>
      <w:tabs>
        <w:tab w:val="right" w:leader="dot" w:pos="9016"/>
      </w:tabs>
      <w:spacing w:after="100" w:line="240" w:lineRule="atLeast"/>
      <w:ind w:left="2552"/>
    </w:pPr>
    <w:rPr>
      <w:noProof/>
    </w:rPr>
  </w:style>
  <w:style w:type="paragraph" w:styleId="Revision">
    <w:name w:val="Revision"/>
    <w:hidden/>
    <w:uiPriority w:val="99"/>
    <w:semiHidden/>
    <w:rsid w:val="00CA02A2"/>
    <w:pPr>
      <w:spacing w:after="0" w:line="240" w:lineRule="auto"/>
    </w:pPr>
    <w:rPr>
      <w:rFonts w:ascii="Arial" w:hAnsi="Arial"/>
    </w:rPr>
  </w:style>
  <w:style w:type="table" w:customStyle="1" w:styleId="LightShading1">
    <w:name w:val="Light Shading1"/>
    <w:basedOn w:val="TableNormal"/>
    <w:next w:val="LightShading"/>
    <w:uiPriority w:val="60"/>
    <w:rsid w:val="00A46D1F"/>
    <w:pPr>
      <w:spacing w:before="120" w:after="120" w:line="240" w:lineRule="auto"/>
    </w:pPr>
    <w:rPr>
      <w:color w:val="000000" w:themeColor="text1" w:themeShade="BF"/>
      <w:sz w:val="20"/>
    </w:rPr>
    <w:tblPr>
      <w:tblBorders>
        <w:top w:val="single" w:sz="4" w:space="0" w:color="EEECE1" w:themeColor="background2"/>
        <w:bottom w:val="single" w:sz="4" w:space="0" w:color="EEECE1" w:themeColor="background2"/>
        <w:insideH w:val="single" w:sz="4" w:space="0" w:color="EEECE1" w:themeColor="background2"/>
      </w:tblBorders>
    </w:tblPr>
    <w:tcPr>
      <w:shd w:val="clear" w:color="auto" w:fill="auto"/>
    </w:tcPr>
    <w:tblStylePr w:type="firstRow">
      <w:pPr>
        <w:wordWrap/>
        <w:spacing w:beforeLines="0" w:beforeAutospacing="0" w:afterLines="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Autospacing="0" w:afterLines="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paragraph" w:styleId="Caption">
    <w:name w:val="caption"/>
    <w:basedOn w:val="Normal"/>
    <w:next w:val="Normal"/>
    <w:uiPriority w:val="35"/>
    <w:unhideWhenUsed/>
    <w:qFormat/>
    <w:rsid w:val="00A46D1F"/>
    <w:pPr>
      <w:spacing w:before="0" w:after="200"/>
    </w:pPr>
    <w:rPr>
      <w:b/>
      <w:bCs/>
      <w:color w:val="4F81BD" w:themeColor="accent1"/>
      <w:sz w:val="18"/>
      <w:szCs w:val="18"/>
    </w:rPr>
  </w:style>
  <w:style w:type="table" w:styleId="LightShading">
    <w:name w:val="Light Shading"/>
    <w:basedOn w:val="TableNormal"/>
    <w:uiPriority w:val="60"/>
    <w:rsid w:val="00A46D1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footnote reference" w:qFormat="1"/>
    <w:lsdException w:name="Title" w:semiHidden="0" w:uiPriority="10" w:unhideWhenUsed="0"/>
    <w:lsdException w:name="Default Paragraph Font" w:uiPriority="1"/>
    <w:lsdException w:name="Subtitle" w:semiHidden="0" w:uiPriority="11" w:unhideWhenUsed="0"/>
    <w:lsdException w:name="Hyperlink"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82346"/>
    <w:pPr>
      <w:spacing w:before="120" w:after="240" w:line="240" w:lineRule="auto"/>
    </w:pPr>
    <w:rPr>
      <w:rFonts w:ascii="Arial" w:hAnsi="Arial"/>
    </w:rPr>
  </w:style>
  <w:style w:type="paragraph" w:styleId="Heading1">
    <w:name w:val="heading 1"/>
    <w:basedOn w:val="Normal"/>
    <w:next w:val="Normal"/>
    <w:link w:val="Heading1Char"/>
    <w:uiPriority w:val="9"/>
    <w:qFormat/>
    <w:rsid w:val="00F64C7B"/>
    <w:pPr>
      <w:keepNext/>
      <w:keepLines/>
      <w:numPr>
        <w:numId w:val="13"/>
      </w:numPr>
      <w:spacing w:before="420"/>
      <w:outlineLvl w:val="0"/>
    </w:pPr>
    <w:rPr>
      <w:rFonts w:ascii="Lucida Fax" w:eastAsiaTheme="majorEastAsia" w:hAnsi="Lucida Fax" w:cstheme="majorBidi"/>
      <w:bCs/>
      <w:color w:val="51626F"/>
      <w:sz w:val="32"/>
      <w:szCs w:val="28"/>
    </w:rPr>
  </w:style>
  <w:style w:type="paragraph" w:styleId="Heading2">
    <w:name w:val="heading 2"/>
    <w:basedOn w:val="Normal"/>
    <w:next w:val="Normal"/>
    <w:link w:val="Heading2Char"/>
    <w:uiPriority w:val="9"/>
    <w:unhideWhenUsed/>
    <w:qFormat/>
    <w:rsid w:val="00F64C7B"/>
    <w:pPr>
      <w:keepNext/>
      <w:keepLines/>
      <w:numPr>
        <w:ilvl w:val="1"/>
        <w:numId w:val="13"/>
      </w:numPr>
      <w:spacing w:before="420"/>
      <w:outlineLvl w:val="1"/>
    </w:pPr>
    <w:rPr>
      <w:rFonts w:eastAsiaTheme="majorEastAsia" w:cstheme="majorBidi"/>
      <w:b/>
      <w:bCs/>
      <w:color w:val="51626F"/>
      <w:sz w:val="28"/>
      <w:szCs w:val="26"/>
    </w:rPr>
  </w:style>
  <w:style w:type="paragraph" w:styleId="Heading3">
    <w:name w:val="heading 3"/>
    <w:basedOn w:val="Normal"/>
    <w:next w:val="Normal"/>
    <w:link w:val="Heading3Char"/>
    <w:uiPriority w:val="9"/>
    <w:unhideWhenUsed/>
    <w:qFormat/>
    <w:rsid w:val="00F64C7B"/>
    <w:pPr>
      <w:keepNext/>
      <w:keepLines/>
      <w:numPr>
        <w:ilvl w:val="2"/>
        <w:numId w:val="13"/>
      </w:numPr>
      <w:spacing w:before="200"/>
      <w:outlineLvl w:val="2"/>
    </w:pPr>
    <w:rPr>
      <w:rFonts w:eastAsiaTheme="majorEastAsia" w:cstheme="majorBidi"/>
      <w:b/>
      <w:bCs/>
      <w:sz w:val="24"/>
    </w:rPr>
  </w:style>
  <w:style w:type="paragraph" w:styleId="Heading4">
    <w:name w:val="heading 4"/>
    <w:basedOn w:val="Normal"/>
    <w:next w:val="Normal"/>
    <w:link w:val="Heading4Char"/>
    <w:uiPriority w:val="9"/>
    <w:unhideWhenUsed/>
    <w:qFormat/>
    <w:rsid w:val="00F64C7B"/>
    <w:pPr>
      <w:keepNext/>
      <w:keepLines/>
      <w:numPr>
        <w:ilvl w:val="3"/>
        <w:numId w:val="13"/>
      </w:numPr>
      <w:spacing w:before="200"/>
      <w:outlineLvl w:val="3"/>
    </w:pPr>
    <w:rPr>
      <w:rFonts w:eastAsiaTheme="majorEastAsia" w:cstheme="majorBidi"/>
      <w:b/>
      <w:bCs/>
      <w:i/>
      <w:iCs/>
      <w:color w:val="51626F"/>
      <w:sz w:val="24"/>
    </w:rPr>
  </w:style>
  <w:style w:type="paragraph" w:styleId="Heading5">
    <w:name w:val="heading 5"/>
    <w:basedOn w:val="Normal"/>
    <w:next w:val="Normal"/>
    <w:link w:val="Heading5Char"/>
    <w:uiPriority w:val="9"/>
    <w:unhideWhenUsed/>
    <w:qFormat/>
    <w:rsid w:val="00564A4D"/>
    <w:pPr>
      <w:keepNext/>
      <w:keepLines/>
      <w:numPr>
        <w:ilvl w:val="4"/>
        <w:numId w:val="13"/>
      </w:numPr>
      <w:spacing w:before="200"/>
      <w:outlineLvl w:val="4"/>
    </w:pPr>
    <w:rPr>
      <w:rFonts w:eastAsiaTheme="majorEastAsia" w:cstheme="majorBidi"/>
      <w:b/>
      <w:color w:val="243F60" w:themeColor="accent1" w:themeShade="7F"/>
    </w:rPr>
  </w:style>
  <w:style w:type="paragraph" w:styleId="Heading6">
    <w:name w:val="heading 6"/>
    <w:basedOn w:val="Normal"/>
    <w:next w:val="Normal"/>
    <w:link w:val="Heading6Char"/>
    <w:uiPriority w:val="9"/>
    <w:unhideWhenUsed/>
    <w:rsid w:val="00564A4D"/>
    <w:pPr>
      <w:keepNext/>
      <w:keepLines/>
      <w:numPr>
        <w:ilvl w:val="5"/>
        <w:numId w:val="13"/>
      </w:numPr>
      <w:spacing w:before="200"/>
      <w:outlineLvl w:val="5"/>
    </w:pPr>
    <w:rPr>
      <w:rFonts w:eastAsiaTheme="majorEastAsia" w:cstheme="majorBidi"/>
      <w:i/>
      <w:iCs/>
      <w:sz w:val="20"/>
    </w:rPr>
  </w:style>
  <w:style w:type="paragraph" w:styleId="Heading7">
    <w:name w:val="heading 7"/>
    <w:basedOn w:val="Normal"/>
    <w:next w:val="Normal"/>
    <w:link w:val="Heading7Char"/>
    <w:uiPriority w:val="9"/>
    <w:semiHidden/>
    <w:unhideWhenUsed/>
    <w:qFormat/>
    <w:rsid w:val="00B77B94"/>
    <w:pPr>
      <w:keepNext/>
      <w:keepLines/>
      <w:numPr>
        <w:ilvl w:val="6"/>
        <w:numId w:val="1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77B94"/>
    <w:pPr>
      <w:keepNext/>
      <w:keepLines/>
      <w:numPr>
        <w:ilvl w:val="7"/>
        <w:numId w:val="1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77B94"/>
    <w:pPr>
      <w:keepNext/>
      <w:keepLines/>
      <w:numPr>
        <w:ilvl w:val="8"/>
        <w:numId w:val="1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4C7B"/>
    <w:rPr>
      <w:rFonts w:ascii="Lucida Fax" w:eastAsiaTheme="majorEastAsia" w:hAnsi="Lucida Fax" w:cstheme="majorBidi"/>
      <w:bCs/>
      <w:color w:val="51626F"/>
      <w:sz w:val="32"/>
      <w:szCs w:val="28"/>
    </w:rPr>
  </w:style>
  <w:style w:type="character" w:customStyle="1" w:styleId="Heading2Char">
    <w:name w:val="Heading 2 Char"/>
    <w:basedOn w:val="DefaultParagraphFont"/>
    <w:link w:val="Heading2"/>
    <w:uiPriority w:val="9"/>
    <w:rsid w:val="00F64C7B"/>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uiPriority w:val="9"/>
    <w:rsid w:val="00F64C7B"/>
    <w:rPr>
      <w:rFonts w:ascii="Arial" w:eastAsiaTheme="majorEastAsia" w:hAnsi="Arial" w:cstheme="majorBidi"/>
      <w:b/>
      <w:bCs/>
      <w:sz w:val="24"/>
    </w:rPr>
  </w:style>
  <w:style w:type="character" w:customStyle="1" w:styleId="Heading4Char">
    <w:name w:val="Heading 4 Char"/>
    <w:basedOn w:val="DefaultParagraphFont"/>
    <w:link w:val="Heading4"/>
    <w:uiPriority w:val="9"/>
    <w:rsid w:val="00F64C7B"/>
    <w:rPr>
      <w:rFonts w:ascii="Arial" w:eastAsiaTheme="majorEastAsia" w:hAnsi="Arial" w:cstheme="majorBidi"/>
      <w:b/>
      <w:bCs/>
      <w:i/>
      <w:iCs/>
      <w:color w:val="51626F"/>
      <w:sz w:val="24"/>
    </w:rPr>
  </w:style>
  <w:style w:type="character" w:customStyle="1" w:styleId="Heading5Char">
    <w:name w:val="Heading 5 Char"/>
    <w:basedOn w:val="DefaultParagraphFont"/>
    <w:link w:val="Heading5"/>
    <w:uiPriority w:val="9"/>
    <w:rsid w:val="00564A4D"/>
    <w:rPr>
      <w:rFonts w:ascii="Arial" w:eastAsiaTheme="majorEastAsia" w:hAnsi="Arial" w:cstheme="majorBidi"/>
      <w:b/>
      <w:color w:val="243F60" w:themeColor="accent1" w:themeShade="7F"/>
    </w:rPr>
  </w:style>
  <w:style w:type="character" w:customStyle="1" w:styleId="Heading6Char">
    <w:name w:val="Heading 6 Char"/>
    <w:basedOn w:val="DefaultParagraphFont"/>
    <w:link w:val="Heading6"/>
    <w:uiPriority w:val="9"/>
    <w:rsid w:val="00564A4D"/>
    <w:rPr>
      <w:rFonts w:ascii="Arial" w:eastAsiaTheme="majorEastAsia" w:hAnsi="Arial" w:cstheme="majorBidi"/>
      <w:i/>
      <w:iCs/>
      <w:sz w:val="20"/>
    </w:rPr>
  </w:style>
  <w:style w:type="paragraph" w:customStyle="1" w:styleId="Reporttitle">
    <w:name w:val="Report title"/>
    <w:basedOn w:val="Normal"/>
    <w:link w:val="ReporttitleChar"/>
    <w:qFormat/>
    <w:rsid w:val="00532467"/>
    <w:pPr>
      <w:spacing w:before="520"/>
    </w:pPr>
    <w:rPr>
      <w:rFonts w:ascii="Lucida Fax" w:hAnsi="Lucida Fax"/>
      <w:b/>
      <w:color w:val="4F2D7F"/>
      <w:sz w:val="56"/>
      <w:szCs w:val="56"/>
    </w:rPr>
  </w:style>
  <w:style w:type="character" w:customStyle="1" w:styleId="ReporttitleChar">
    <w:name w:val="Report title Char"/>
    <w:basedOn w:val="DefaultParagraphFont"/>
    <w:link w:val="Reporttitle"/>
    <w:rsid w:val="00532467"/>
    <w:rPr>
      <w:rFonts w:ascii="Lucida Fax" w:hAnsi="Lucida Fax"/>
      <w:b/>
      <w:color w:val="4F2D7F"/>
      <w:sz w:val="56"/>
      <w:szCs w:val="56"/>
    </w:rPr>
  </w:style>
  <w:style w:type="paragraph" w:customStyle="1" w:styleId="Chaptertitle">
    <w:name w:val="Chapter title"/>
    <w:basedOn w:val="Reporttitle"/>
    <w:link w:val="ChaptertitleChar"/>
    <w:qFormat/>
    <w:rsid w:val="00532467"/>
    <w:rPr>
      <w:b w:val="0"/>
      <w:sz w:val="52"/>
      <w:szCs w:val="52"/>
    </w:rPr>
  </w:style>
  <w:style w:type="character" w:customStyle="1" w:styleId="ChaptertitleChar">
    <w:name w:val="Chapter title Char"/>
    <w:basedOn w:val="ReporttitleChar"/>
    <w:link w:val="Chaptertitle"/>
    <w:rsid w:val="00532467"/>
    <w:rPr>
      <w:rFonts w:ascii="Lucida Fax" w:hAnsi="Lucida Fax"/>
      <w:b w:val="0"/>
      <w:color w:val="4F2D7F"/>
      <w:sz w:val="52"/>
      <w:szCs w:val="52"/>
    </w:rPr>
  </w:style>
  <w:style w:type="paragraph" w:customStyle="1" w:styleId="Numberedlist">
    <w:name w:val="Numbered list"/>
    <w:basedOn w:val="ListNumber"/>
    <w:qFormat/>
    <w:rsid w:val="00EA3D42"/>
  </w:style>
  <w:style w:type="paragraph" w:customStyle="1" w:styleId="Numberedlist2">
    <w:name w:val="Numbered list 2"/>
    <w:basedOn w:val="ListNumber2"/>
    <w:qFormat/>
    <w:rsid w:val="00EA3D42"/>
    <w:pPr>
      <w:numPr>
        <w:numId w:val="7"/>
      </w:numPr>
    </w:pPr>
  </w:style>
  <w:style w:type="paragraph" w:customStyle="1" w:styleId="Copyrighttext">
    <w:name w:val="Copyright text"/>
    <w:basedOn w:val="Normal"/>
    <w:link w:val="CopyrighttextChar"/>
    <w:qFormat/>
    <w:rsid w:val="00EA3D42"/>
    <w:pPr>
      <w:ind w:left="1225"/>
      <w:contextualSpacing/>
    </w:pPr>
    <w:rPr>
      <w:sz w:val="16"/>
      <w:szCs w:val="16"/>
    </w:rPr>
  </w:style>
  <w:style w:type="character" w:customStyle="1" w:styleId="CopyrighttextChar">
    <w:name w:val="Copyright text Char"/>
    <w:basedOn w:val="DefaultParagraphFont"/>
    <w:link w:val="Copyrighttext"/>
    <w:rsid w:val="00EA3D42"/>
    <w:rPr>
      <w:rFonts w:ascii="Arial" w:hAnsi="Arial"/>
      <w:sz w:val="16"/>
      <w:szCs w:val="16"/>
    </w:rPr>
  </w:style>
  <w:style w:type="paragraph" w:customStyle="1" w:styleId="TableofcontentsTOCheading">
    <w:name w:val="Table of contents (TOC) heading"/>
    <w:basedOn w:val="Normal"/>
    <w:link w:val="TableofcontentsTOCheadingChar"/>
    <w:qFormat/>
    <w:rsid w:val="00EA3D42"/>
    <w:pPr>
      <w:spacing w:before="240" w:after="120"/>
      <w:ind w:left="1225"/>
      <w:contextualSpacing/>
    </w:pPr>
    <w:rPr>
      <w:b/>
      <w:sz w:val="20"/>
      <w:szCs w:val="20"/>
    </w:rPr>
  </w:style>
  <w:style w:type="character" w:customStyle="1" w:styleId="TableofcontentsTOCheadingChar">
    <w:name w:val="Table of contents (TOC) heading Char"/>
    <w:basedOn w:val="DefaultParagraphFont"/>
    <w:link w:val="TableofcontentsTOCheading"/>
    <w:rsid w:val="00EA3D42"/>
    <w:rPr>
      <w:rFonts w:ascii="Arial" w:hAnsi="Arial"/>
      <w:b/>
      <w:sz w:val="20"/>
      <w:szCs w:val="20"/>
    </w:rPr>
  </w:style>
  <w:style w:type="paragraph" w:customStyle="1" w:styleId="Tableofcontentstext">
    <w:name w:val="Table of contents text"/>
    <w:basedOn w:val="Normal"/>
    <w:link w:val="TableofcontentstextChar"/>
    <w:qFormat/>
    <w:rsid w:val="00EA3D42"/>
    <w:pPr>
      <w:ind w:left="1225"/>
      <w:contextualSpacing/>
    </w:pPr>
    <w:rPr>
      <w:sz w:val="20"/>
      <w:szCs w:val="20"/>
    </w:rPr>
  </w:style>
  <w:style w:type="character" w:customStyle="1" w:styleId="TableofcontentstextChar">
    <w:name w:val="Table of contents text Char"/>
    <w:basedOn w:val="DefaultParagraphFont"/>
    <w:link w:val="Tableofcontentstext"/>
    <w:rsid w:val="00EA3D42"/>
    <w:rPr>
      <w:rFonts w:ascii="Arial" w:hAnsi="Arial"/>
      <w:sz w:val="20"/>
      <w:szCs w:val="20"/>
    </w:rPr>
  </w:style>
  <w:style w:type="paragraph" w:customStyle="1" w:styleId="Headingnumbered1">
    <w:name w:val="Heading numbered 1."/>
    <w:basedOn w:val="Normal"/>
    <w:link w:val="Headingnumbered1Char"/>
    <w:qFormat/>
    <w:rsid w:val="00B77B94"/>
    <w:pPr>
      <w:numPr>
        <w:numId w:val="12"/>
      </w:numPr>
      <w:spacing w:before="520"/>
      <w:contextualSpacing/>
      <w:outlineLvl w:val="1"/>
    </w:pPr>
    <w:rPr>
      <w:rFonts w:ascii="Lucida Fax" w:hAnsi="Lucida Fax"/>
      <w:color w:val="51626F"/>
      <w:sz w:val="32"/>
      <w:szCs w:val="32"/>
    </w:rPr>
  </w:style>
  <w:style w:type="character" w:customStyle="1" w:styleId="Headingnumbered1Char">
    <w:name w:val="Heading numbered 1. Char"/>
    <w:basedOn w:val="DefaultParagraphFont"/>
    <w:link w:val="Headingnumbered1"/>
    <w:rsid w:val="00B77B94"/>
    <w:rPr>
      <w:rFonts w:ascii="Lucida Fax" w:hAnsi="Lucida Fax"/>
      <w:color w:val="51626F"/>
      <w:sz w:val="32"/>
      <w:szCs w:val="32"/>
    </w:rPr>
  </w:style>
  <w:style w:type="paragraph" w:customStyle="1" w:styleId="Headingnumbered11">
    <w:name w:val="Heading numbered 1.1"/>
    <w:basedOn w:val="Headingnumbered1"/>
    <w:next w:val="Heading3"/>
    <w:link w:val="Headingnumbered11Char"/>
    <w:qFormat/>
    <w:rsid w:val="00021202"/>
    <w:pPr>
      <w:numPr>
        <w:ilvl w:val="1"/>
        <w:numId w:val="1"/>
      </w:numPr>
      <w:outlineLvl w:val="2"/>
    </w:pPr>
    <w:rPr>
      <w:b/>
      <w:sz w:val="28"/>
      <w:szCs w:val="24"/>
    </w:rPr>
  </w:style>
  <w:style w:type="character" w:customStyle="1" w:styleId="Headingnumbered11Char">
    <w:name w:val="Heading numbered 1.1 Char"/>
    <w:basedOn w:val="DefaultParagraphFont"/>
    <w:link w:val="Headingnumbered11"/>
    <w:rsid w:val="00B77B94"/>
    <w:rPr>
      <w:rFonts w:ascii="Lucida Fax" w:hAnsi="Lucida Fax"/>
      <w:b/>
      <w:color w:val="51626F"/>
      <w:sz w:val="28"/>
      <w:szCs w:val="24"/>
    </w:rPr>
  </w:style>
  <w:style w:type="paragraph" w:customStyle="1" w:styleId="Headingnumbered111">
    <w:name w:val="Heading numbered 1.1.1"/>
    <w:basedOn w:val="Normal"/>
    <w:link w:val="Headingnumbered111Char"/>
    <w:qFormat/>
    <w:rsid w:val="00021202"/>
    <w:pPr>
      <w:numPr>
        <w:ilvl w:val="2"/>
        <w:numId w:val="2"/>
      </w:numPr>
      <w:spacing w:before="240"/>
      <w:ind w:left="958" w:hanging="958"/>
      <w:contextualSpacing/>
      <w:outlineLvl w:val="3"/>
    </w:pPr>
    <w:rPr>
      <w:sz w:val="24"/>
      <w:szCs w:val="24"/>
    </w:rPr>
  </w:style>
  <w:style w:type="character" w:customStyle="1" w:styleId="Headingnumbered111Char">
    <w:name w:val="Heading numbered 1.1.1 Char"/>
    <w:basedOn w:val="DefaultParagraphFont"/>
    <w:link w:val="Headingnumbered111"/>
    <w:rsid w:val="00021202"/>
    <w:rPr>
      <w:rFonts w:ascii="Arial" w:hAnsi="Arial"/>
      <w:sz w:val="24"/>
      <w:szCs w:val="24"/>
    </w:rPr>
  </w:style>
  <w:style w:type="paragraph" w:customStyle="1" w:styleId="Tableheadingtext">
    <w:name w:val="Table heading text"/>
    <w:basedOn w:val="Normal"/>
    <w:link w:val="TableheadingtextChar"/>
    <w:qFormat/>
    <w:rsid w:val="00EA3D42"/>
    <w:pPr>
      <w:spacing w:before="240"/>
      <w:contextualSpacing/>
    </w:pPr>
    <w:rPr>
      <w:b/>
      <w:sz w:val="20"/>
      <w:szCs w:val="20"/>
    </w:rPr>
  </w:style>
  <w:style w:type="character" w:customStyle="1" w:styleId="TableheadingtextChar">
    <w:name w:val="Table heading text Char"/>
    <w:basedOn w:val="DefaultParagraphFont"/>
    <w:link w:val="Tableheadingtext"/>
    <w:rsid w:val="00EA3D42"/>
    <w:rPr>
      <w:rFonts w:ascii="Arial" w:hAnsi="Arial"/>
      <w:b/>
      <w:sz w:val="20"/>
      <w:szCs w:val="20"/>
    </w:rPr>
  </w:style>
  <w:style w:type="paragraph" w:customStyle="1" w:styleId="Tablebodytext">
    <w:name w:val="Table body text"/>
    <w:basedOn w:val="Normal"/>
    <w:link w:val="TablebodytextChar"/>
    <w:qFormat/>
    <w:rsid w:val="00EA3D42"/>
    <w:pPr>
      <w:ind w:left="1225"/>
      <w:contextualSpacing/>
    </w:pPr>
    <w:rPr>
      <w:sz w:val="20"/>
    </w:rPr>
  </w:style>
  <w:style w:type="character" w:customStyle="1" w:styleId="TablebodytextChar">
    <w:name w:val="Table body text Char"/>
    <w:basedOn w:val="DefaultParagraphFont"/>
    <w:link w:val="Tablebodytext"/>
    <w:rsid w:val="00EA3D42"/>
    <w:rPr>
      <w:rFonts w:ascii="Arial" w:hAnsi="Arial"/>
      <w:sz w:val="20"/>
    </w:rPr>
  </w:style>
  <w:style w:type="paragraph" w:customStyle="1" w:styleId="Chartheading">
    <w:name w:val="Chart heading"/>
    <w:basedOn w:val="Normal"/>
    <w:link w:val="ChartheadingChar"/>
    <w:qFormat/>
    <w:rsid w:val="00EA3D42"/>
    <w:pPr>
      <w:spacing w:before="240"/>
      <w:contextualSpacing/>
    </w:pPr>
    <w:rPr>
      <w:b/>
      <w:sz w:val="20"/>
      <w:szCs w:val="20"/>
    </w:rPr>
  </w:style>
  <w:style w:type="character" w:customStyle="1" w:styleId="ChartheadingChar">
    <w:name w:val="Chart heading Char"/>
    <w:basedOn w:val="DefaultParagraphFont"/>
    <w:link w:val="Chartheading"/>
    <w:rsid w:val="00EA3D42"/>
    <w:rPr>
      <w:rFonts w:ascii="Arial" w:hAnsi="Arial"/>
      <w:b/>
      <w:sz w:val="20"/>
      <w:szCs w:val="20"/>
    </w:rPr>
  </w:style>
  <w:style w:type="paragraph" w:customStyle="1" w:styleId="Boxedtextheading">
    <w:name w:val="Boxed text heading"/>
    <w:basedOn w:val="Normal"/>
    <w:link w:val="BoxedtextheadingChar"/>
    <w:qFormat/>
    <w:rsid w:val="00BE1F1B"/>
    <w:pPr>
      <w:pBdr>
        <w:top w:val="single" w:sz="4" w:space="4" w:color="auto"/>
        <w:left w:val="single" w:sz="4" w:space="4" w:color="auto"/>
        <w:bottom w:val="single" w:sz="4" w:space="4" w:color="auto"/>
        <w:right w:val="single" w:sz="4" w:space="4" w:color="auto"/>
      </w:pBdr>
      <w:spacing w:before="240"/>
      <w:contextualSpacing/>
    </w:pPr>
    <w:rPr>
      <w:b/>
      <w:sz w:val="20"/>
      <w:szCs w:val="20"/>
    </w:rPr>
  </w:style>
  <w:style w:type="character" w:customStyle="1" w:styleId="BoxedtextheadingChar">
    <w:name w:val="Boxed text heading Char"/>
    <w:basedOn w:val="DefaultParagraphFont"/>
    <w:link w:val="Boxedtextheading"/>
    <w:rsid w:val="00BE1F1B"/>
    <w:rPr>
      <w:rFonts w:ascii="Arial" w:hAnsi="Arial"/>
      <w:b/>
      <w:sz w:val="20"/>
      <w:szCs w:val="20"/>
    </w:rPr>
  </w:style>
  <w:style w:type="paragraph" w:customStyle="1" w:styleId="Boxedtext">
    <w:name w:val="Boxed text"/>
    <w:basedOn w:val="Normal"/>
    <w:link w:val="BoxedtextChar"/>
    <w:qFormat/>
    <w:rsid w:val="00BE1F1B"/>
    <w:pPr>
      <w:pBdr>
        <w:top w:val="single" w:sz="4" w:space="4" w:color="auto"/>
        <w:left w:val="single" w:sz="4" w:space="4" w:color="auto"/>
        <w:bottom w:val="single" w:sz="4" w:space="4" w:color="auto"/>
        <w:right w:val="single" w:sz="4" w:space="4" w:color="auto"/>
      </w:pBdr>
      <w:contextualSpacing/>
    </w:pPr>
    <w:rPr>
      <w:sz w:val="20"/>
      <w:szCs w:val="20"/>
    </w:rPr>
  </w:style>
  <w:style w:type="character" w:customStyle="1" w:styleId="BoxedtextChar">
    <w:name w:val="Boxed text Char"/>
    <w:basedOn w:val="DefaultParagraphFont"/>
    <w:link w:val="Boxedtext"/>
    <w:rsid w:val="00BE1F1B"/>
    <w:rPr>
      <w:rFonts w:ascii="Arial" w:hAnsi="Arial"/>
      <w:sz w:val="20"/>
      <w:szCs w:val="20"/>
    </w:rPr>
  </w:style>
  <w:style w:type="paragraph" w:customStyle="1" w:styleId="Pullquoteheading">
    <w:name w:val="Pull quote heading"/>
    <w:basedOn w:val="Normal"/>
    <w:link w:val="PullquoteheadingChar"/>
    <w:qFormat/>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rsid w:val="00EA3D42"/>
    <w:rPr>
      <w:rFonts w:ascii="Lucida Fax" w:hAnsi="Lucida Fax"/>
      <w:b/>
      <w:color w:val="DC5034"/>
      <w:sz w:val="24"/>
      <w:szCs w:val="24"/>
    </w:rPr>
  </w:style>
  <w:style w:type="paragraph" w:customStyle="1" w:styleId="Pullquotetext">
    <w:name w:val="Pull quote text"/>
    <w:basedOn w:val="Pullquoteheading"/>
    <w:link w:val="PullquotetextChar"/>
    <w:qFormat/>
    <w:rsid w:val="007C1C53"/>
    <w:rPr>
      <w:b w:val="0"/>
    </w:rPr>
  </w:style>
  <w:style w:type="character" w:customStyle="1" w:styleId="PullquotetextChar">
    <w:name w:val="Pull quote text Char"/>
    <w:basedOn w:val="PullquoteheadingChar"/>
    <w:link w:val="Pullquotetext"/>
    <w:rsid w:val="007C1C53"/>
    <w:rPr>
      <w:rFonts w:ascii="Lucida Fax" w:hAnsi="Lucida Fax"/>
      <w:b w:val="0"/>
      <w:color w:val="DC5034"/>
      <w:sz w:val="24"/>
      <w:szCs w:val="24"/>
    </w:rPr>
  </w:style>
  <w:style w:type="paragraph" w:customStyle="1" w:styleId="Note">
    <w:name w:val="Note"/>
    <w:basedOn w:val="Normal"/>
    <w:link w:val="NoteChar"/>
    <w:qFormat/>
    <w:rsid w:val="00EA3D42"/>
    <w:pPr>
      <w:spacing w:after="120"/>
      <w:contextualSpacing/>
    </w:pPr>
    <w:rPr>
      <w:i/>
      <w:sz w:val="16"/>
      <w:szCs w:val="16"/>
    </w:rPr>
  </w:style>
  <w:style w:type="character" w:customStyle="1" w:styleId="NoteChar">
    <w:name w:val="Note Char"/>
    <w:basedOn w:val="DefaultParagraphFont"/>
    <w:link w:val="Note"/>
    <w:rsid w:val="00EA3D42"/>
    <w:rPr>
      <w:rFonts w:ascii="Arial" w:hAnsi="Arial"/>
      <w:i/>
      <w:sz w:val="16"/>
      <w:szCs w:val="16"/>
    </w:rPr>
  </w:style>
  <w:style w:type="paragraph" w:customStyle="1" w:styleId="Source">
    <w:name w:val="Source"/>
    <w:basedOn w:val="Normal"/>
    <w:link w:val="SourceChar"/>
    <w:qFormat/>
    <w:rsid w:val="00EA3D42"/>
    <w:pPr>
      <w:spacing w:before="60"/>
      <w:contextualSpacing/>
    </w:pPr>
    <w:rPr>
      <w:sz w:val="16"/>
      <w:szCs w:val="16"/>
    </w:rPr>
  </w:style>
  <w:style w:type="character" w:customStyle="1" w:styleId="SourceChar">
    <w:name w:val="Source Char"/>
    <w:basedOn w:val="DefaultParagraphFont"/>
    <w:link w:val="Source"/>
    <w:rsid w:val="00EA3D42"/>
    <w:rPr>
      <w:rFonts w:ascii="Arial" w:hAnsi="Arial"/>
      <w:sz w:val="16"/>
      <w:szCs w:val="16"/>
    </w:rPr>
  </w:style>
  <w:style w:type="paragraph" w:customStyle="1" w:styleId="Footnotes">
    <w:name w:val="Footnotes"/>
    <w:basedOn w:val="Normal"/>
    <w:link w:val="FootnotesChar"/>
    <w:qFormat/>
    <w:rsid w:val="00EA3D42"/>
    <w:pPr>
      <w:spacing w:before="60"/>
      <w:contextualSpacing/>
    </w:pPr>
    <w:rPr>
      <w:sz w:val="16"/>
      <w:szCs w:val="16"/>
    </w:rPr>
  </w:style>
  <w:style w:type="character" w:customStyle="1" w:styleId="FootnotesChar">
    <w:name w:val="Footnotes Char"/>
    <w:basedOn w:val="DefaultParagraphFont"/>
    <w:link w:val="Footnotes"/>
    <w:rsid w:val="00EA3D42"/>
    <w:rPr>
      <w:rFonts w:ascii="Arial" w:hAnsi="Arial"/>
      <w:sz w:val="16"/>
      <w:szCs w:val="16"/>
    </w:rPr>
  </w:style>
  <w:style w:type="paragraph" w:styleId="Quote">
    <w:name w:val="Quote"/>
    <w:basedOn w:val="Normal"/>
    <w:next w:val="Normal"/>
    <w:link w:val="QuoteChar"/>
    <w:uiPriority w:val="29"/>
    <w:qFormat/>
    <w:rsid w:val="00D61A54"/>
    <w:pPr>
      <w:ind w:left="340"/>
    </w:pPr>
    <w:rPr>
      <w:i/>
      <w:iCs/>
      <w:color w:val="000000" w:themeColor="text1"/>
    </w:rPr>
  </w:style>
  <w:style w:type="character" w:customStyle="1" w:styleId="QuoteChar">
    <w:name w:val="Quote Char"/>
    <w:basedOn w:val="DefaultParagraphFont"/>
    <w:link w:val="Quote"/>
    <w:uiPriority w:val="29"/>
    <w:rsid w:val="00D61A54"/>
    <w:rPr>
      <w:rFonts w:ascii="Arial" w:hAnsi="Arial"/>
      <w:i/>
      <w:iCs/>
      <w:color w:val="000000" w:themeColor="text1"/>
    </w:rPr>
  </w:style>
  <w:style w:type="paragraph" w:customStyle="1" w:styleId="Charttext">
    <w:name w:val="Chart text"/>
    <w:basedOn w:val="Normal"/>
    <w:qFormat/>
    <w:rsid w:val="007C1C53"/>
    <w:pPr>
      <w:spacing w:after="120"/>
    </w:pPr>
    <w:rPr>
      <w:sz w:val="20"/>
    </w:rPr>
  </w:style>
  <w:style w:type="paragraph" w:customStyle="1" w:styleId="Bulletpoint">
    <w:name w:val="Bullet point"/>
    <w:basedOn w:val="ListBullet"/>
    <w:qFormat/>
    <w:rsid w:val="00EA3D42"/>
    <w:rPr>
      <w:rFonts w:cs="Times New Roman"/>
    </w:rPr>
  </w:style>
  <w:style w:type="paragraph" w:styleId="ListBullet">
    <w:name w:val="List Bullet"/>
    <w:basedOn w:val="Normal"/>
    <w:uiPriority w:val="99"/>
    <w:unhideWhenUsed/>
    <w:rsid w:val="00D61A54"/>
    <w:pPr>
      <w:numPr>
        <w:numId w:val="3"/>
      </w:numPr>
      <w:contextualSpacing/>
    </w:pPr>
  </w:style>
  <w:style w:type="paragraph" w:customStyle="1" w:styleId="Bulletpoint2">
    <w:name w:val="Bullet point 2"/>
    <w:basedOn w:val="ListBullet2"/>
    <w:qFormat/>
    <w:rsid w:val="00EA3D42"/>
    <w:pPr>
      <w:tabs>
        <w:tab w:val="clear" w:pos="643"/>
      </w:tabs>
      <w:ind w:left="1003"/>
    </w:pPr>
  </w:style>
  <w:style w:type="paragraph" w:styleId="ListNumber">
    <w:name w:val="List Number"/>
    <w:basedOn w:val="Normal"/>
    <w:uiPriority w:val="99"/>
    <w:unhideWhenUsed/>
    <w:rsid w:val="00EA3D42"/>
    <w:pPr>
      <w:numPr>
        <w:numId w:val="5"/>
      </w:numPr>
      <w:tabs>
        <w:tab w:val="clear" w:pos="644"/>
        <w:tab w:val="num" w:pos="360"/>
      </w:tabs>
      <w:ind w:left="360"/>
      <w:contextualSpacing/>
    </w:pPr>
  </w:style>
  <w:style w:type="paragraph" w:styleId="ListBullet2">
    <w:name w:val="List Bullet 2"/>
    <w:basedOn w:val="Normal"/>
    <w:uiPriority w:val="99"/>
    <w:semiHidden/>
    <w:unhideWhenUsed/>
    <w:rsid w:val="00EA3D42"/>
    <w:pPr>
      <w:numPr>
        <w:numId w:val="4"/>
      </w:numPr>
      <w:contextualSpacing/>
    </w:pPr>
  </w:style>
  <w:style w:type="paragraph" w:styleId="TOCHeading">
    <w:name w:val="TOC Heading"/>
    <w:basedOn w:val="Heading1"/>
    <w:next w:val="Normal"/>
    <w:uiPriority w:val="39"/>
    <w:unhideWhenUsed/>
    <w:qFormat/>
    <w:rsid w:val="003518B3"/>
    <w:pPr>
      <w:spacing w:before="480" w:line="276" w:lineRule="auto"/>
      <w:outlineLvl w:val="9"/>
    </w:pPr>
    <w:rPr>
      <w:rFonts w:asciiTheme="majorHAnsi" w:hAnsiTheme="majorHAnsi"/>
      <w:b/>
      <w:color w:val="365F91" w:themeColor="accent1" w:themeShade="BF"/>
      <w:sz w:val="28"/>
      <w:lang w:val="en-US" w:eastAsia="ja-JP"/>
    </w:rPr>
  </w:style>
  <w:style w:type="paragraph" w:styleId="ListNumber2">
    <w:name w:val="List Number 2"/>
    <w:basedOn w:val="Normal"/>
    <w:uiPriority w:val="99"/>
    <w:semiHidden/>
    <w:unhideWhenUsed/>
    <w:rsid w:val="00EA3D42"/>
    <w:pPr>
      <w:numPr>
        <w:numId w:val="6"/>
      </w:numPr>
      <w:contextualSpacing/>
    </w:pPr>
  </w:style>
  <w:style w:type="character" w:styleId="Hyperlink">
    <w:name w:val="Hyperlink"/>
    <w:basedOn w:val="DefaultParagraphFont"/>
    <w:uiPriority w:val="99"/>
    <w:unhideWhenUsed/>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1573E4"/>
    <w:pPr>
      <w:tabs>
        <w:tab w:val="center" w:pos="4513"/>
        <w:tab w:val="right" w:pos="9026"/>
      </w:tabs>
      <w:spacing w:before="60"/>
    </w:pPr>
    <w:rPr>
      <w:sz w:val="16"/>
    </w:rPr>
  </w:style>
  <w:style w:type="character" w:customStyle="1" w:styleId="FooterChar">
    <w:name w:val="Footer Char"/>
    <w:basedOn w:val="DefaultParagraphFont"/>
    <w:link w:val="Footer"/>
    <w:uiPriority w:val="99"/>
    <w:rsid w:val="001573E4"/>
    <w:rPr>
      <w:rFonts w:ascii="Arial" w:hAnsi="Arial"/>
      <w:sz w:val="16"/>
    </w:rPr>
  </w:style>
  <w:style w:type="paragraph" w:styleId="ListParagraph">
    <w:name w:val="List Paragraph"/>
    <w:basedOn w:val="Normal"/>
    <w:uiPriority w:val="34"/>
    <w:qFormat/>
    <w:rsid w:val="00A60A26"/>
    <w:pPr>
      <w:ind w:left="357"/>
      <w:contextualSpacing/>
    </w:pPr>
  </w:style>
  <w:style w:type="paragraph" w:customStyle="1" w:styleId="subsection">
    <w:name w:val="subsection"/>
    <w:aliases w:val="ss"/>
    <w:basedOn w:val="Normal"/>
    <w:uiPriority w:val="99"/>
    <w:rsid w:val="004828A6"/>
    <w:pPr>
      <w:spacing w:before="180"/>
      <w:ind w:left="1134" w:hanging="1134"/>
    </w:pPr>
    <w:rPr>
      <w:rFonts w:ascii="Times New Roman" w:hAnsi="Times New Roman" w:cs="Times New Roman"/>
      <w:lang w:eastAsia="en-AU"/>
    </w:rPr>
  </w:style>
  <w:style w:type="paragraph" w:customStyle="1" w:styleId="ActHead5">
    <w:name w:val="ActHead 5"/>
    <w:aliases w:val="s"/>
    <w:basedOn w:val="Normal"/>
    <w:qFormat/>
    <w:rsid w:val="004828A6"/>
    <w:pPr>
      <w:keepNext/>
      <w:spacing w:before="280"/>
      <w:ind w:left="1134" w:hanging="1134"/>
    </w:pPr>
    <w:rPr>
      <w:rFonts w:ascii="Times New Roman" w:hAnsi="Times New Roman" w:cs="Times New Roman"/>
      <w:b/>
      <w:bCs/>
      <w:sz w:val="24"/>
      <w:szCs w:val="24"/>
      <w:lang w:eastAsia="en-AU"/>
    </w:rPr>
  </w:style>
  <w:style w:type="character" w:customStyle="1" w:styleId="CharSectno">
    <w:name w:val="CharSectno"/>
    <w:basedOn w:val="DefaultParagraphFont"/>
    <w:qFormat/>
    <w:rsid w:val="004828A6"/>
  </w:style>
  <w:style w:type="paragraph" w:customStyle="1" w:styleId="Listbullet1">
    <w:name w:val="List bullet 1"/>
    <w:basedOn w:val="Normal"/>
    <w:autoRedefine/>
    <w:qFormat/>
    <w:rsid w:val="00FF67D4"/>
    <w:pPr>
      <w:numPr>
        <w:numId w:val="8"/>
      </w:numPr>
    </w:pPr>
    <w:rPr>
      <w:rFonts w:eastAsia="Calibri" w:cs="Times New Roman"/>
      <w:sz w:val="20"/>
    </w:rPr>
  </w:style>
  <w:style w:type="paragraph" w:customStyle="1" w:styleId="Non-numberedheading3">
    <w:name w:val="Non-numbered heading 3"/>
    <w:basedOn w:val="Normal"/>
    <w:next w:val="Normal"/>
    <w:autoRedefine/>
    <w:qFormat/>
    <w:rsid w:val="00BC5732"/>
    <w:pPr>
      <w:keepNext/>
      <w:spacing w:after="120"/>
    </w:pPr>
    <w:rPr>
      <w:rFonts w:ascii="Lucida Fax" w:eastAsia="Times New Roman" w:hAnsi="Lucida Fax" w:cs="Times New Roman"/>
      <w:b/>
      <w:bCs/>
      <w:sz w:val="24"/>
      <w:szCs w:val="28"/>
    </w:rPr>
  </w:style>
  <w:style w:type="paragraph" w:styleId="CommentText">
    <w:name w:val="annotation text"/>
    <w:basedOn w:val="Normal"/>
    <w:link w:val="CommentTextChar"/>
    <w:uiPriority w:val="99"/>
    <w:unhideWhenUsed/>
    <w:rsid w:val="003701BF"/>
    <w:rPr>
      <w:sz w:val="20"/>
      <w:szCs w:val="20"/>
    </w:rPr>
  </w:style>
  <w:style w:type="character" w:customStyle="1" w:styleId="CommentTextChar">
    <w:name w:val="Comment Text Char"/>
    <w:basedOn w:val="DefaultParagraphFont"/>
    <w:link w:val="CommentText"/>
    <w:uiPriority w:val="99"/>
    <w:rsid w:val="003701BF"/>
    <w:rPr>
      <w:rFonts w:ascii="Arial" w:hAnsi="Arial"/>
      <w:sz w:val="20"/>
      <w:szCs w:val="20"/>
    </w:rPr>
  </w:style>
  <w:style w:type="character" w:styleId="CommentReference">
    <w:name w:val="annotation reference"/>
    <w:uiPriority w:val="99"/>
    <w:semiHidden/>
    <w:unhideWhenUsed/>
    <w:rsid w:val="003701BF"/>
    <w:rPr>
      <w:sz w:val="16"/>
      <w:szCs w:val="16"/>
    </w:rPr>
  </w:style>
  <w:style w:type="paragraph" w:styleId="TOC1">
    <w:name w:val="toc 1"/>
    <w:basedOn w:val="Normal"/>
    <w:next w:val="Normal"/>
    <w:autoRedefine/>
    <w:uiPriority w:val="39"/>
    <w:unhideWhenUsed/>
    <w:qFormat/>
    <w:rsid w:val="00692C97"/>
    <w:pPr>
      <w:tabs>
        <w:tab w:val="right" w:leader="dot" w:pos="9016"/>
      </w:tabs>
      <w:spacing w:after="100"/>
      <w:ind w:left="220"/>
    </w:pPr>
  </w:style>
  <w:style w:type="paragraph" w:styleId="TOC2">
    <w:name w:val="toc 2"/>
    <w:basedOn w:val="Normal"/>
    <w:next w:val="Normal"/>
    <w:autoRedefine/>
    <w:uiPriority w:val="39"/>
    <w:unhideWhenUsed/>
    <w:qFormat/>
    <w:rsid w:val="003701BF"/>
    <w:pPr>
      <w:spacing w:after="100"/>
      <w:ind w:left="220"/>
    </w:pPr>
  </w:style>
  <w:style w:type="paragraph" w:customStyle="1" w:styleId="Normalparagraph">
    <w:name w:val="Normal paragraph"/>
    <w:basedOn w:val="Normal"/>
    <w:qFormat/>
    <w:rsid w:val="0084416C"/>
    <w:pPr>
      <w:tabs>
        <w:tab w:val="left" w:pos="426"/>
      </w:tabs>
      <w:spacing w:before="240"/>
    </w:pPr>
    <w:rPr>
      <w:rFonts w:eastAsia="Times New Roman" w:cs="Times New Roman"/>
    </w:rPr>
  </w:style>
  <w:style w:type="paragraph" w:customStyle="1" w:styleId="alpha1">
    <w:name w:val="alpha 1"/>
    <w:basedOn w:val="ListNumber"/>
    <w:autoRedefine/>
    <w:qFormat/>
    <w:rsid w:val="0084416C"/>
    <w:pPr>
      <w:numPr>
        <w:numId w:val="0"/>
      </w:numPr>
      <w:contextualSpacing w:val="0"/>
    </w:pPr>
    <w:rPr>
      <w:rFonts w:eastAsia="Times New Roman" w:cs="Times New Roman"/>
      <w:szCs w:val="24"/>
      <w:lang w:eastAsia="en-AU"/>
    </w:rPr>
  </w:style>
  <w:style w:type="character" w:styleId="FootnoteReference">
    <w:name w:val="footnote reference"/>
    <w:aliases w:val="(NECG) Footnote Reference,(NECG) Footnote Reference1,(NECG) Footnote Reference2,o,Style 3,Style 12,fr,Appel note de bas de p,Style 124,Style 6 + 12 pt,Appel n,(NECG) Footnote Reference3,(NECG) Footnote Reference4,Footnote Reference 1"/>
    <w:basedOn w:val="DefaultParagraphFont"/>
    <w:uiPriority w:val="99"/>
    <w:qFormat/>
    <w:rsid w:val="0084416C"/>
    <w:rPr>
      <w:rFonts w:cs="Times New Roman"/>
      <w:sz w:val="20"/>
      <w:vertAlign w:val="superscript"/>
    </w:rPr>
  </w:style>
  <w:style w:type="paragraph" w:styleId="CommentSubject">
    <w:name w:val="annotation subject"/>
    <w:basedOn w:val="CommentText"/>
    <w:next w:val="CommentText"/>
    <w:link w:val="CommentSubjectChar"/>
    <w:uiPriority w:val="99"/>
    <w:semiHidden/>
    <w:unhideWhenUsed/>
    <w:rsid w:val="007B00A1"/>
    <w:rPr>
      <w:b/>
      <w:bCs/>
    </w:rPr>
  </w:style>
  <w:style w:type="character" w:customStyle="1" w:styleId="CommentSubjectChar">
    <w:name w:val="Comment Subject Char"/>
    <w:basedOn w:val="CommentTextChar"/>
    <w:link w:val="CommentSubject"/>
    <w:uiPriority w:val="99"/>
    <w:semiHidden/>
    <w:rsid w:val="007B00A1"/>
    <w:rPr>
      <w:rFonts w:ascii="Arial" w:hAnsi="Arial"/>
      <w:b/>
      <w:bCs/>
      <w:sz w:val="20"/>
      <w:szCs w:val="20"/>
    </w:rPr>
  </w:style>
  <w:style w:type="paragraph" w:styleId="NormalWeb">
    <w:name w:val="Normal (Web)"/>
    <w:basedOn w:val="Normal"/>
    <w:uiPriority w:val="99"/>
    <w:semiHidden/>
    <w:unhideWhenUsed/>
    <w:rsid w:val="00D55B17"/>
    <w:pPr>
      <w:spacing w:before="100" w:beforeAutospacing="1" w:after="100" w:afterAutospacing="1"/>
    </w:pPr>
    <w:rPr>
      <w:rFonts w:ascii="Times New Roman" w:eastAsia="Times New Roman" w:hAnsi="Times New Roman" w:cs="Times New Roman"/>
      <w:sz w:val="24"/>
      <w:szCs w:val="24"/>
      <w:lang w:eastAsia="en-AU"/>
    </w:rPr>
  </w:style>
  <w:style w:type="paragraph" w:styleId="FootnoteText">
    <w:name w:val="footnote text"/>
    <w:basedOn w:val="Normal"/>
    <w:link w:val="FootnoteTextChar"/>
    <w:uiPriority w:val="99"/>
    <w:unhideWhenUsed/>
    <w:rsid w:val="00A23E10"/>
    <w:pPr>
      <w:spacing w:before="0"/>
    </w:pPr>
    <w:rPr>
      <w:sz w:val="20"/>
      <w:szCs w:val="20"/>
    </w:rPr>
  </w:style>
  <w:style w:type="character" w:customStyle="1" w:styleId="FootnoteTextChar">
    <w:name w:val="Footnote Text Char"/>
    <w:basedOn w:val="DefaultParagraphFont"/>
    <w:link w:val="FootnoteText"/>
    <w:uiPriority w:val="99"/>
    <w:rsid w:val="00A23E10"/>
    <w:rPr>
      <w:rFonts w:ascii="Arial" w:hAnsi="Arial"/>
      <w:sz w:val="20"/>
      <w:szCs w:val="20"/>
    </w:rPr>
  </w:style>
  <w:style w:type="paragraph" w:styleId="TOC3">
    <w:name w:val="toc 3"/>
    <w:basedOn w:val="Normal"/>
    <w:next w:val="Normal"/>
    <w:autoRedefine/>
    <w:uiPriority w:val="39"/>
    <w:unhideWhenUsed/>
    <w:qFormat/>
    <w:rsid w:val="002844EF"/>
    <w:pPr>
      <w:spacing w:after="100"/>
      <w:ind w:left="440"/>
    </w:pPr>
  </w:style>
  <w:style w:type="paragraph" w:customStyle="1" w:styleId="paragraphsub">
    <w:name w:val="paragraph(sub)"/>
    <w:aliases w:val="aa"/>
    <w:basedOn w:val="Normal"/>
    <w:rsid w:val="002D6098"/>
    <w:pPr>
      <w:tabs>
        <w:tab w:val="right" w:pos="1985"/>
      </w:tabs>
      <w:spacing w:before="40"/>
      <w:ind w:left="2098" w:hanging="2098"/>
    </w:pPr>
    <w:rPr>
      <w:rFonts w:ascii="Times New Roman" w:eastAsia="Times New Roman" w:hAnsi="Times New Roman" w:cs="Times New Roman"/>
      <w:szCs w:val="20"/>
      <w:lang w:eastAsia="en-AU"/>
    </w:rPr>
  </w:style>
  <w:style w:type="paragraph" w:customStyle="1" w:styleId="paragraph">
    <w:name w:val="paragraph"/>
    <w:aliases w:val="a"/>
    <w:basedOn w:val="Normal"/>
    <w:rsid w:val="002D6098"/>
    <w:pPr>
      <w:tabs>
        <w:tab w:val="right" w:pos="1531"/>
      </w:tabs>
      <w:spacing w:before="40"/>
      <w:ind w:left="1644" w:hanging="1644"/>
    </w:pPr>
    <w:rPr>
      <w:rFonts w:ascii="Times New Roman" w:eastAsia="Times New Roman" w:hAnsi="Times New Roman" w:cs="Times New Roman"/>
      <w:szCs w:val="20"/>
      <w:lang w:eastAsia="en-AU"/>
    </w:rPr>
  </w:style>
  <w:style w:type="character" w:customStyle="1" w:styleId="CharChapText">
    <w:name w:val="CharChapText"/>
    <w:basedOn w:val="DefaultParagraphFont"/>
    <w:qFormat/>
    <w:rsid w:val="00394546"/>
  </w:style>
  <w:style w:type="paragraph" w:customStyle="1" w:styleId="Definition">
    <w:name w:val="Definition"/>
    <w:aliases w:val="dd"/>
    <w:basedOn w:val="Normal"/>
    <w:rsid w:val="00394546"/>
    <w:pPr>
      <w:spacing w:before="180"/>
      <w:ind w:left="1134"/>
    </w:pPr>
    <w:rPr>
      <w:rFonts w:ascii="Times New Roman" w:eastAsia="Times New Roman" w:hAnsi="Times New Roman" w:cs="Times New Roman"/>
      <w:szCs w:val="20"/>
      <w:lang w:eastAsia="en-AU"/>
    </w:rPr>
  </w:style>
  <w:style w:type="character" w:styleId="Emphasis">
    <w:name w:val="Emphasis"/>
    <w:basedOn w:val="DefaultParagraphFont"/>
    <w:uiPriority w:val="20"/>
    <w:qFormat/>
    <w:rsid w:val="00763104"/>
    <w:rPr>
      <w:i/>
      <w:iCs/>
    </w:rPr>
  </w:style>
  <w:style w:type="paragraph" w:styleId="Header">
    <w:name w:val="header"/>
    <w:basedOn w:val="Normal"/>
    <w:link w:val="HeaderChar"/>
    <w:uiPriority w:val="99"/>
    <w:unhideWhenUsed/>
    <w:rsid w:val="00924BF0"/>
    <w:pPr>
      <w:tabs>
        <w:tab w:val="center" w:pos="4513"/>
        <w:tab w:val="right" w:pos="9026"/>
      </w:tabs>
      <w:spacing w:before="0"/>
    </w:pPr>
  </w:style>
  <w:style w:type="character" w:customStyle="1" w:styleId="HeaderChar">
    <w:name w:val="Header Char"/>
    <w:basedOn w:val="DefaultParagraphFont"/>
    <w:link w:val="Header"/>
    <w:uiPriority w:val="99"/>
    <w:rsid w:val="00924BF0"/>
    <w:rPr>
      <w:rFonts w:ascii="Arial" w:hAnsi="Arial"/>
    </w:rPr>
  </w:style>
  <w:style w:type="paragraph" w:customStyle="1" w:styleId="ACCCcopyrighttext">
    <w:name w:val="ACCC copyright text"/>
    <w:basedOn w:val="Normal"/>
    <w:autoRedefine/>
    <w:qFormat/>
    <w:rsid w:val="00CF01BE"/>
    <w:pPr>
      <w:spacing w:before="0"/>
    </w:pPr>
    <w:rPr>
      <w:sz w:val="20"/>
    </w:rPr>
  </w:style>
  <w:style w:type="character" w:styleId="FollowedHyperlink">
    <w:name w:val="FollowedHyperlink"/>
    <w:basedOn w:val="DefaultParagraphFont"/>
    <w:uiPriority w:val="99"/>
    <w:semiHidden/>
    <w:unhideWhenUsed/>
    <w:rsid w:val="00710B4D"/>
    <w:rPr>
      <w:color w:val="800080" w:themeColor="followedHyperlink"/>
      <w:u w:val="single"/>
    </w:rPr>
  </w:style>
  <w:style w:type="table" w:styleId="TableGrid">
    <w:name w:val="Table Grid"/>
    <w:aliases w:val="ACCC Table"/>
    <w:basedOn w:val="TableNormal"/>
    <w:uiPriority w:val="59"/>
    <w:rsid w:val="00311F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B77B9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77B9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77B94"/>
    <w:rPr>
      <w:rFonts w:asciiTheme="majorHAnsi" w:eastAsiaTheme="majorEastAsia" w:hAnsiTheme="majorHAnsi" w:cstheme="majorBidi"/>
      <w:i/>
      <w:iCs/>
      <w:color w:val="404040" w:themeColor="text1" w:themeTint="BF"/>
      <w:sz w:val="20"/>
      <w:szCs w:val="20"/>
    </w:rPr>
  </w:style>
  <w:style w:type="paragraph" w:customStyle="1" w:styleId="Default">
    <w:name w:val="Default"/>
    <w:rsid w:val="00A533CD"/>
    <w:pPr>
      <w:autoSpaceDE w:val="0"/>
      <w:autoSpaceDN w:val="0"/>
      <w:adjustRightInd w:val="0"/>
      <w:spacing w:after="0" w:line="240" w:lineRule="auto"/>
    </w:pPr>
    <w:rPr>
      <w:rFonts w:ascii="Verdana" w:hAnsi="Verdana" w:cs="Verdana"/>
      <w:color w:val="000000"/>
      <w:sz w:val="24"/>
      <w:szCs w:val="24"/>
    </w:rPr>
  </w:style>
  <w:style w:type="table" w:customStyle="1" w:styleId="ACCCTable1">
    <w:name w:val="ACCC Table1"/>
    <w:basedOn w:val="TableNormal"/>
    <w:next w:val="TableGrid"/>
    <w:uiPriority w:val="59"/>
    <w:rsid w:val="004F6B2D"/>
    <w:pPr>
      <w:spacing w:before="60" w:after="60" w:line="240" w:lineRule="auto"/>
    </w:pPr>
    <w:rPr>
      <w:rFonts w:ascii="Arial" w:hAnsi="Arial"/>
      <w:sz w:val="20"/>
    </w:rPr>
    <w:tblPr>
      <w:tblBorders>
        <w:top w:val="single" w:sz="4" w:space="0" w:color="BFBFBF"/>
        <w:bottom w:val="single" w:sz="4" w:space="0" w:color="BFBF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left w:val="nil"/>
          <w:bottom w:val="single" w:sz="4" w:space="0" w:color="BFBF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paragraph" w:styleId="TOC8">
    <w:name w:val="toc 8"/>
    <w:basedOn w:val="Normal"/>
    <w:next w:val="Normal"/>
    <w:uiPriority w:val="39"/>
    <w:rsid w:val="005217BA"/>
    <w:pPr>
      <w:tabs>
        <w:tab w:val="right" w:leader="dot" w:pos="9016"/>
      </w:tabs>
      <w:spacing w:after="100" w:line="240" w:lineRule="atLeast"/>
      <w:ind w:left="2977"/>
    </w:pPr>
    <w:rPr>
      <w:noProof/>
    </w:rPr>
  </w:style>
  <w:style w:type="paragraph" w:styleId="TOC9">
    <w:name w:val="toc 9"/>
    <w:basedOn w:val="Normal"/>
    <w:next w:val="Normal"/>
    <w:uiPriority w:val="39"/>
    <w:rsid w:val="005217BA"/>
    <w:pPr>
      <w:tabs>
        <w:tab w:val="right" w:leader="dot" w:pos="9016"/>
      </w:tabs>
      <w:spacing w:after="100" w:line="240" w:lineRule="atLeast"/>
      <w:ind w:left="3402"/>
    </w:pPr>
    <w:rPr>
      <w:noProof/>
    </w:rPr>
  </w:style>
  <w:style w:type="paragraph" w:styleId="TOC4">
    <w:name w:val="toc 4"/>
    <w:basedOn w:val="Normal"/>
    <w:next w:val="Normal"/>
    <w:uiPriority w:val="39"/>
    <w:rsid w:val="005217BA"/>
    <w:pPr>
      <w:tabs>
        <w:tab w:val="right" w:leader="dot" w:pos="9016"/>
      </w:tabs>
      <w:spacing w:after="100" w:line="240" w:lineRule="atLeast"/>
      <w:ind w:left="1276"/>
    </w:pPr>
    <w:rPr>
      <w:noProof/>
    </w:rPr>
  </w:style>
  <w:style w:type="paragraph" w:styleId="TOC5">
    <w:name w:val="toc 5"/>
    <w:basedOn w:val="Normal"/>
    <w:next w:val="Normal"/>
    <w:uiPriority w:val="39"/>
    <w:rsid w:val="005217BA"/>
    <w:pPr>
      <w:tabs>
        <w:tab w:val="right" w:leader="dot" w:pos="9016"/>
      </w:tabs>
      <w:spacing w:after="100" w:line="240" w:lineRule="atLeast"/>
      <w:ind w:left="1701"/>
    </w:pPr>
    <w:rPr>
      <w:noProof/>
    </w:rPr>
  </w:style>
  <w:style w:type="paragraph" w:styleId="TOC6">
    <w:name w:val="toc 6"/>
    <w:basedOn w:val="Normal"/>
    <w:next w:val="Normal"/>
    <w:uiPriority w:val="39"/>
    <w:rsid w:val="005217BA"/>
    <w:pPr>
      <w:tabs>
        <w:tab w:val="right" w:leader="dot" w:pos="9016"/>
      </w:tabs>
      <w:spacing w:after="100" w:line="240" w:lineRule="atLeast"/>
      <w:ind w:left="2127"/>
    </w:pPr>
    <w:rPr>
      <w:noProof/>
    </w:rPr>
  </w:style>
  <w:style w:type="paragraph" w:styleId="TOC7">
    <w:name w:val="toc 7"/>
    <w:basedOn w:val="Normal"/>
    <w:next w:val="Normal"/>
    <w:uiPriority w:val="39"/>
    <w:rsid w:val="005217BA"/>
    <w:pPr>
      <w:tabs>
        <w:tab w:val="right" w:leader="dot" w:pos="9016"/>
      </w:tabs>
      <w:spacing w:after="100" w:line="240" w:lineRule="atLeast"/>
      <w:ind w:left="2552"/>
    </w:pPr>
    <w:rPr>
      <w:noProof/>
    </w:rPr>
  </w:style>
  <w:style w:type="paragraph" w:styleId="Revision">
    <w:name w:val="Revision"/>
    <w:hidden/>
    <w:uiPriority w:val="99"/>
    <w:semiHidden/>
    <w:rsid w:val="00CA02A2"/>
    <w:pPr>
      <w:spacing w:after="0" w:line="240" w:lineRule="auto"/>
    </w:pPr>
    <w:rPr>
      <w:rFonts w:ascii="Arial" w:hAnsi="Arial"/>
    </w:rPr>
  </w:style>
  <w:style w:type="table" w:customStyle="1" w:styleId="LightShading1">
    <w:name w:val="Light Shading1"/>
    <w:basedOn w:val="TableNormal"/>
    <w:next w:val="LightShading"/>
    <w:uiPriority w:val="60"/>
    <w:rsid w:val="00A46D1F"/>
    <w:pPr>
      <w:spacing w:before="120" w:after="120" w:line="240" w:lineRule="auto"/>
    </w:pPr>
    <w:rPr>
      <w:color w:val="000000" w:themeColor="text1" w:themeShade="BF"/>
      <w:sz w:val="20"/>
    </w:rPr>
    <w:tblPr>
      <w:tblBorders>
        <w:top w:val="single" w:sz="4" w:space="0" w:color="EEECE1" w:themeColor="background2"/>
        <w:bottom w:val="single" w:sz="4" w:space="0" w:color="EEECE1" w:themeColor="background2"/>
        <w:insideH w:val="single" w:sz="4" w:space="0" w:color="EEECE1"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paragraph" w:styleId="Caption">
    <w:name w:val="caption"/>
    <w:basedOn w:val="Normal"/>
    <w:next w:val="Normal"/>
    <w:uiPriority w:val="35"/>
    <w:unhideWhenUsed/>
    <w:qFormat/>
    <w:rsid w:val="00A46D1F"/>
    <w:pPr>
      <w:spacing w:before="0" w:after="200"/>
    </w:pPr>
    <w:rPr>
      <w:b/>
      <w:bCs/>
      <w:color w:val="4F81BD" w:themeColor="accent1"/>
      <w:sz w:val="18"/>
      <w:szCs w:val="18"/>
    </w:rPr>
  </w:style>
  <w:style w:type="table" w:styleId="LightShading">
    <w:name w:val="Light Shading"/>
    <w:basedOn w:val="TableNormal"/>
    <w:uiPriority w:val="60"/>
    <w:rsid w:val="00A46D1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82860">
      <w:bodyDiv w:val="1"/>
      <w:marLeft w:val="0"/>
      <w:marRight w:val="0"/>
      <w:marTop w:val="0"/>
      <w:marBottom w:val="0"/>
      <w:divBdr>
        <w:top w:val="none" w:sz="0" w:space="0" w:color="auto"/>
        <w:left w:val="none" w:sz="0" w:space="0" w:color="auto"/>
        <w:bottom w:val="none" w:sz="0" w:space="0" w:color="auto"/>
        <w:right w:val="none" w:sz="0" w:space="0" w:color="auto"/>
      </w:divBdr>
      <w:divsChild>
        <w:div w:id="1064453989">
          <w:marLeft w:val="0"/>
          <w:marRight w:val="0"/>
          <w:marTop w:val="0"/>
          <w:marBottom w:val="0"/>
          <w:divBdr>
            <w:top w:val="none" w:sz="0" w:space="0" w:color="auto"/>
            <w:left w:val="none" w:sz="0" w:space="0" w:color="auto"/>
            <w:bottom w:val="none" w:sz="0" w:space="0" w:color="auto"/>
            <w:right w:val="none" w:sz="0" w:space="0" w:color="auto"/>
          </w:divBdr>
          <w:divsChild>
            <w:div w:id="1822890377">
              <w:marLeft w:val="0"/>
              <w:marRight w:val="0"/>
              <w:marTop w:val="0"/>
              <w:marBottom w:val="0"/>
              <w:divBdr>
                <w:top w:val="none" w:sz="0" w:space="0" w:color="auto"/>
                <w:left w:val="none" w:sz="0" w:space="0" w:color="auto"/>
                <w:bottom w:val="none" w:sz="0" w:space="0" w:color="auto"/>
                <w:right w:val="none" w:sz="0" w:space="0" w:color="auto"/>
              </w:divBdr>
              <w:divsChild>
                <w:div w:id="1565749762">
                  <w:marLeft w:val="0"/>
                  <w:marRight w:val="0"/>
                  <w:marTop w:val="0"/>
                  <w:marBottom w:val="0"/>
                  <w:divBdr>
                    <w:top w:val="none" w:sz="0" w:space="0" w:color="auto"/>
                    <w:left w:val="none" w:sz="0" w:space="0" w:color="auto"/>
                    <w:bottom w:val="none" w:sz="0" w:space="0" w:color="auto"/>
                    <w:right w:val="none" w:sz="0" w:space="0" w:color="auto"/>
                  </w:divBdr>
                  <w:divsChild>
                    <w:div w:id="561871406">
                      <w:marLeft w:val="0"/>
                      <w:marRight w:val="0"/>
                      <w:marTop w:val="0"/>
                      <w:marBottom w:val="0"/>
                      <w:divBdr>
                        <w:top w:val="single" w:sz="6" w:space="0" w:color="DCD9D9"/>
                        <w:left w:val="single" w:sz="6" w:space="0" w:color="DCD9D9"/>
                        <w:bottom w:val="single" w:sz="2" w:space="0" w:color="DCD9D9"/>
                        <w:right w:val="single" w:sz="6" w:space="0" w:color="DCD9D9"/>
                      </w:divBdr>
                      <w:divsChild>
                        <w:div w:id="527720862">
                          <w:marLeft w:val="0"/>
                          <w:marRight w:val="-100"/>
                          <w:marTop w:val="450"/>
                          <w:marBottom w:val="0"/>
                          <w:divBdr>
                            <w:top w:val="none" w:sz="0" w:space="0" w:color="auto"/>
                            <w:left w:val="none" w:sz="0" w:space="0" w:color="auto"/>
                            <w:bottom w:val="none" w:sz="0" w:space="0" w:color="auto"/>
                            <w:right w:val="none" w:sz="0" w:space="0" w:color="auto"/>
                          </w:divBdr>
                          <w:divsChild>
                            <w:div w:id="922840693">
                              <w:marLeft w:val="0"/>
                              <w:marRight w:val="0"/>
                              <w:marTop w:val="0"/>
                              <w:marBottom w:val="0"/>
                              <w:divBdr>
                                <w:top w:val="none" w:sz="0" w:space="0" w:color="auto"/>
                                <w:left w:val="none" w:sz="0" w:space="0" w:color="auto"/>
                                <w:bottom w:val="none" w:sz="0" w:space="0" w:color="auto"/>
                                <w:right w:val="none" w:sz="0" w:space="0" w:color="auto"/>
                              </w:divBdr>
                              <w:divsChild>
                                <w:div w:id="554396441">
                                  <w:marLeft w:val="0"/>
                                  <w:marRight w:val="0"/>
                                  <w:marTop w:val="0"/>
                                  <w:marBottom w:val="0"/>
                                  <w:divBdr>
                                    <w:top w:val="none" w:sz="0" w:space="0" w:color="auto"/>
                                    <w:left w:val="none" w:sz="0" w:space="0" w:color="auto"/>
                                    <w:bottom w:val="none" w:sz="0" w:space="0" w:color="auto"/>
                                    <w:right w:val="none" w:sz="0" w:space="0" w:color="auto"/>
                                  </w:divBdr>
                                  <w:divsChild>
                                    <w:div w:id="572204132">
                                      <w:marLeft w:val="0"/>
                                      <w:marRight w:val="0"/>
                                      <w:marTop w:val="0"/>
                                      <w:marBottom w:val="0"/>
                                      <w:divBdr>
                                        <w:top w:val="none" w:sz="0" w:space="0" w:color="auto"/>
                                        <w:left w:val="none" w:sz="0" w:space="0" w:color="auto"/>
                                        <w:bottom w:val="none" w:sz="0" w:space="0" w:color="auto"/>
                                        <w:right w:val="none" w:sz="0" w:space="0" w:color="auto"/>
                                      </w:divBdr>
                                      <w:divsChild>
                                        <w:div w:id="1391612648">
                                          <w:marLeft w:val="0"/>
                                          <w:marRight w:val="0"/>
                                          <w:marTop w:val="0"/>
                                          <w:marBottom w:val="360"/>
                                          <w:divBdr>
                                            <w:top w:val="none" w:sz="0" w:space="0" w:color="auto"/>
                                            <w:left w:val="none" w:sz="0" w:space="0" w:color="auto"/>
                                            <w:bottom w:val="none" w:sz="0" w:space="0" w:color="auto"/>
                                            <w:right w:val="none" w:sz="0" w:space="0" w:color="auto"/>
                                          </w:divBdr>
                                          <w:divsChild>
                                            <w:div w:id="1604338084">
                                              <w:marLeft w:val="0"/>
                                              <w:marRight w:val="0"/>
                                              <w:marTop w:val="0"/>
                                              <w:marBottom w:val="0"/>
                                              <w:divBdr>
                                                <w:top w:val="none" w:sz="0" w:space="0" w:color="auto"/>
                                                <w:left w:val="none" w:sz="0" w:space="0" w:color="auto"/>
                                                <w:bottom w:val="none" w:sz="0" w:space="0" w:color="auto"/>
                                                <w:right w:val="none" w:sz="0" w:space="0" w:color="auto"/>
                                              </w:divBdr>
                                              <w:divsChild>
                                                <w:div w:id="531721933">
                                                  <w:marLeft w:val="0"/>
                                                  <w:marRight w:val="0"/>
                                                  <w:marTop w:val="0"/>
                                                  <w:marBottom w:val="0"/>
                                                  <w:divBdr>
                                                    <w:top w:val="none" w:sz="0" w:space="0" w:color="auto"/>
                                                    <w:left w:val="none" w:sz="0" w:space="0" w:color="auto"/>
                                                    <w:bottom w:val="none" w:sz="0" w:space="0" w:color="auto"/>
                                                    <w:right w:val="none" w:sz="0" w:space="0" w:color="auto"/>
                                                  </w:divBdr>
                                                  <w:divsChild>
                                                    <w:div w:id="400913046">
                                                      <w:marLeft w:val="0"/>
                                                      <w:marRight w:val="0"/>
                                                      <w:marTop w:val="0"/>
                                                      <w:marBottom w:val="0"/>
                                                      <w:divBdr>
                                                        <w:top w:val="none" w:sz="0" w:space="0" w:color="auto"/>
                                                        <w:left w:val="none" w:sz="0" w:space="0" w:color="auto"/>
                                                        <w:bottom w:val="none" w:sz="0" w:space="0" w:color="auto"/>
                                                        <w:right w:val="none" w:sz="0" w:space="0" w:color="auto"/>
                                                      </w:divBdr>
                                                      <w:divsChild>
                                                        <w:div w:id="859197469">
                                                          <w:marLeft w:val="0"/>
                                                          <w:marRight w:val="0"/>
                                                          <w:marTop w:val="0"/>
                                                          <w:marBottom w:val="0"/>
                                                          <w:divBdr>
                                                            <w:top w:val="none" w:sz="0" w:space="0" w:color="auto"/>
                                                            <w:left w:val="none" w:sz="0" w:space="0" w:color="auto"/>
                                                            <w:bottom w:val="none" w:sz="0" w:space="0" w:color="auto"/>
                                                            <w:right w:val="none" w:sz="0" w:space="0" w:color="auto"/>
                                                          </w:divBdr>
                                                          <w:divsChild>
                                                            <w:div w:id="1204706712">
                                                              <w:marLeft w:val="0"/>
                                                              <w:marRight w:val="0"/>
                                                              <w:marTop w:val="0"/>
                                                              <w:marBottom w:val="0"/>
                                                              <w:divBdr>
                                                                <w:top w:val="none" w:sz="0" w:space="0" w:color="auto"/>
                                                                <w:left w:val="none" w:sz="0" w:space="0" w:color="auto"/>
                                                                <w:bottom w:val="none" w:sz="0" w:space="0" w:color="auto"/>
                                                                <w:right w:val="none" w:sz="0" w:space="0" w:color="auto"/>
                                                              </w:divBdr>
                                                              <w:divsChild>
                                                                <w:div w:id="188628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8425594">
      <w:bodyDiv w:val="1"/>
      <w:marLeft w:val="0"/>
      <w:marRight w:val="0"/>
      <w:marTop w:val="0"/>
      <w:marBottom w:val="0"/>
      <w:divBdr>
        <w:top w:val="none" w:sz="0" w:space="0" w:color="auto"/>
        <w:left w:val="none" w:sz="0" w:space="0" w:color="auto"/>
        <w:bottom w:val="none" w:sz="0" w:space="0" w:color="auto"/>
        <w:right w:val="none" w:sz="0" w:space="0" w:color="auto"/>
      </w:divBdr>
      <w:divsChild>
        <w:div w:id="871458873">
          <w:marLeft w:val="0"/>
          <w:marRight w:val="0"/>
          <w:marTop w:val="0"/>
          <w:marBottom w:val="0"/>
          <w:divBdr>
            <w:top w:val="none" w:sz="0" w:space="0" w:color="auto"/>
            <w:left w:val="none" w:sz="0" w:space="0" w:color="auto"/>
            <w:bottom w:val="none" w:sz="0" w:space="0" w:color="auto"/>
            <w:right w:val="none" w:sz="0" w:space="0" w:color="auto"/>
          </w:divBdr>
          <w:divsChild>
            <w:div w:id="1030187097">
              <w:marLeft w:val="0"/>
              <w:marRight w:val="0"/>
              <w:marTop w:val="0"/>
              <w:marBottom w:val="0"/>
              <w:divBdr>
                <w:top w:val="none" w:sz="0" w:space="0" w:color="auto"/>
                <w:left w:val="none" w:sz="0" w:space="0" w:color="auto"/>
                <w:bottom w:val="none" w:sz="0" w:space="0" w:color="auto"/>
                <w:right w:val="none" w:sz="0" w:space="0" w:color="auto"/>
              </w:divBdr>
              <w:divsChild>
                <w:div w:id="764113149">
                  <w:marLeft w:val="0"/>
                  <w:marRight w:val="0"/>
                  <w:marTop w:val="0"/>
                  <w:marBottom w:val="0"/>
                  <w:divBdr>
                    <w:top w:val="none" w:sz="0" w:space="0" w:color="auto"/>
                    <w:left w:val="none" w:sz="0" w:space="0" w:color="auto"/>
                    <w:bottom w:val="none" w:sz="0" w:space="0" w:color="auto"/>
                    <w:right w:val="none" w:sz="0" w:space="0" w:color="auto"/>
                  </w:divBdr>
                  <w:divsChild>
                    <w:div w:id="20866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88399">
      <w:bodyDiv w:val="1"/>
      <w:marLeft w:val="0"/>
      <w:marRight w:val="0"/>
      <w:marTop w:val="0"/>
      <w:marBottom w:val="0"/>
      <w:divBdr>
        <w:top w:val="none" w:sz="0" w:space="0" w:color="auto"/>
        <w:left w:val="none" w:sz="0" w:space="0" w:color="auto"/>
        <w:bottom w:val="none" w:sz="0" w:space="0" w:color="auto"/>
        <w:right w:val="none" w:sz="0" w:space="0" w:color="auto"/>
      </w:divBdr>
    </w:div>
    <w:div w:id="186335364">
      <w:bodyDiv w:val="1"/>
      <w:marLeft w:val="0"/>
      <w:marRight w:val="0"/>
      <w:marTop w:val="0"/>
      <w:marBottom w:val="0"/>
      <w:divBdr>
        <w:top w:val="none" w:sz="0" w:space="0" w:color="auto"/>
        <w:left w:val="none" w:sz="0" w:space="0" w:color="auto"/>
        <w:bottom w:val="none" w:sz="0" w:space="0" w:color="auto"/>
        <w:right w:val="none" w:sz="0" w:space="0" w:color="auto"/>
      </w:divBdr>
      <w:divsChild>
        <w:div w:id="644701761">
          <w:marLeft w:val="0"/>
          <w:marRight w:val="0"/>
          <w:marTop w:val="0"/>
          <w:marBottom w:val="0"/>
          <w:divBdr>
            <w:top w:val="none" w:sz="0" w:space="0" w:color="auto"/>
            <w:left w:val="none" w:sz="0" w:space="0" w:color="auto"/>
            <w:bottom w:val="none" w:sz="0" w:space="0" w:color="auto"/>
            <w:right w:val="none" w:sz="0" w:space="0" w:color="auto"/>
          </w:divBdr>
          <w:divsChild>
            <w:div w:id="1896087913">
              <w:marLeft w:val="0"/>
              <w:marRight w:val="0"/>
              <w:marTop w:val="0"/>
              <w:marBottom w:val="0"/>
              <w:divBdr>
                <w:top w:val="none" w:sz="0" w:space="0" w:color="auto"/>
                <w:left w:val="none" w:sz="0" w:space="0" w:color="auto"/>
                <w:bottom w:val="none" w:sz="0" w:space="0" w:color="auto"/>
                <w:right w:val="none" w:sz="0" w:space="0" w:color="auto"/>
              </w:divBdr>
              <w:divsChild>
                <w:div w:id="948312993">
                  <w:marLeft w:val="0"/>
                  <w:marRight w:val="0"/>
                  <w:marTop w:val="0"/>
                  <w:marBottom w:val="0"/>
                  <w:divBdr>
                    <w:top w:val="none" w:sz="0" w:space="0" w:color="auto"/>
                    <w:left w:val="none" w:sz="0" w:space="0" w:color="auto"/>
                    <w:bottom w:val="none" w:sz="0" w:space="0" w:color="auto"/>
                    <w:right w:val="none" w:sz="0" w:space="0" w:color="auto"/>
                  </w:divBdr>
                  <w:divsChild>
                    <w:div w:id="523984414">
                      <w:marLeft w:val="0"/>
                      <w:marRight w:val="0"/>
                      <w:marTop w:val="0"/>
                      <w:marBottom w:val="0"/>
                      <w:divBdr>
                        <w:top w:val="single" w:sz="6" w:space="0" w:color="DCD9D9"/>
                        <w:left w:val="single" w:sz="6" w:space="0" w:color="DCD9D9"/>
                        <w:bottom w:val="single" w:sz="2" w:space="0" w:color="DCD9D9"/>
                        <w:right w:val="single" w:sz="6" w:space="0" w:color="DCD9D9"/>
                      </w:divBdr>
                      <w:divsChild>
                        <w:div w:id="1163550757">
                          <w:marLeft w:val="0"/>
                          <w:marRight w:val="-100"/>
                          <w:marTop w:val="450"/>
                          <w:marBottom w:val="0"/>
                          <w:divBdr>
                            <w:top w:val="none" w:sz="0" w:space="0" w:color="auto"/>
                            <w:left w:val="none" w:sz="0" w:space="0" w:color="auto"/>
                            <w:bottom w:val="none" w:sz="0" w:space="0" w:color="auto"/>
                            <w:right w:val="none" w:sz="0" w:space="0" w:color="auto"/>
                          </w:divBdr>
                          <w:divsChild>
                            <w:div w:id="883953447">
                              <w:marLeft w:val="0"/>
                              <w:marRight w:val="0"/>
                              <w:marTop w:val="0"/>
                              <w:marBottom w:val="0"/>
                              <w:divBdr>
                                <w:top w:val="none" w:sz="0" w:space="0" w:color="auto"/>
                                <w:left w:val="none" w:sz="0" w:space="0" w:color="auto"/>
                                <w:bottom w:val="none" w:sz="0" w:space="0" w:color="auto"/>
                                <w:right w:val="none" w:sz="0" w:space="0" w:color="auto"/>
                              </w:divBdr>
                              <w:divsChild>
                                <w:div w:id="1128356348">
                                  <w:marLeft w:val="0"/>
                                  <w:marRight w:val="0"/>
                                  <w:marTop w:val="0"/>
                                  <w:marBottom w:val="0"/>
                                  <w:divBdr>
                                    <w:top w:val="none" w:sz="0" w:space="0" w:color="auto"/>
                                    <w:left w:val="none" w:sz="0" w:space="0" w:color="auto"/>
                                    <w:bottom w:val="none" w:sz="0" w:space="0" w:color="auto"/>
                                    <w:right w:val="none" w:sz="0" w:space="0" w:color="auto"/>
                                  </w:divBdr>
                                  <w:divsChild>
                                    <w:div w:id="2129741417">
                                      <w:marLeft w:val="0"/>
                                      <w:marRight w:val="0"/>
                                      <w:marTop w:val="0"/>
                                      <w:marBottom w:val="0"/>
                                      <w:divBdr>
                                        <w:top w:val="none" w:sz="0" w:space="0" w:color="auto"/>
                                        <w:left w:val="none" w:sz="0" w:space="0" w:color="auto"/>
                                        <w:bottom w:val="none" w:sz="0" w:space="0" w:color="auto"/>
                                        <w:right w:val="none" w:sz="0" w:space="0" w:color="auto"/>
                                      </w:divBdr>
                                      <w:divsChild>
                                        <w:div w:id="510875741">
                                          <w:marLeft w:val="0"/>
                                          <w:marRight w:val="0"/>
                                          <w:marTop w:val="0"/>
                                          <w:marBottom w:val="360"/>
                                          <w:divBdr>
                                            <w:top w:val="none" w:sz="0" w:space="0" w:color="auto"/>
                                            <w:left w:val="none" w:sz="0" w:space="0" w:color="auto"/>
                                            <w:bottom w:val="none" w:sz="0" w:space="0" w:color="auto"/>
                                            <w:right w:val="none" w:sz="0" w:space="0" w:color="auto"/>
                                          </w:divBdr>
                                          <w:divsChild>
                                            <w:div w:id="86921936">
                                              <w:marLeft w:val="0"/>
                                              <w:marRight w:val="0"/>
                                              <w:marTop w:val="0"/>
                                              <w:marBottom w:val="0"/>
                                              <w:divBdr>
                                                <w:top w:val="none" w:sz="0" w:space="0" w:color="auto"/>
                                                <w:left w:val="none" w:sz="0" w:space="0" w:color="auto"/>
                                                <w:bottom w:val="none" w:sz="0" w:space="0" w:color="auto"/>
                                                <w:right w:val="none" w:sz="0" w:space="0" w:color="auto"/>
                                              </w:divBdr>
                                              <w:divsChild>
                                                <w:div w:id="694233845">
                                                  <w:marLeft w:val="0"/>
                                                  <w:marRight w:val="0"/>
                                                  <w:marTop w:val="0"/>
                                                  <w:marBottom w:val="0"/>
                                                  <w:divBdr>
                                                    <w:top w:val="none" w:sz="0" w:space="0" w:color="auto"/>
                                                    <w:left w:val="none" w:sz="0" w:space="0" w:color="auto"/>
                                                    <w:bottom w:val="none" w:sz="0" w:space="0" w:color="auto"/>
                                                    <w:right w:val="none" w:sz="0" w:space="0" w:color="auto"/>
                                                  </w:divBdr>
                                                  <w:divsChild>
                                                    <w:div w:id="87628443">
                                                      <w:marLeft w:val="0"/>
                                                      <w:marRight w:val="0"/>
                                                      <w:marTop w:val="0"/>
                                                      <w:marBottom w:val="0"/>
                                                      <w:divBdr>
                                                        <w:top w:val="none" w:sz="0" w:space="0" w:color="auto"/>
                                                        <w:left w:val="none" w:sz="0" w:space="0" w:color="auto"/>
                                                        <w:bottom w:val="none" w:sz="0" w:space="0" w:color="auto"/>
                                                        <w:right w:val="none" w:sz="0" w:space="0" w:color="auto"/>
                                                      </w:divBdr>
                                                      <w:divsChild>
                                                        <w:div w:id="1466895044">
                                                          <w:marLeft w:val="0"/>
                                                          <w:marRight w:val="0"/>
                                                          <w:marTop w:val="0"/>
                                                          <w:marBottom w:val="0"/>
                                                          <w:divBdr>
                                                            <w:top w:val="none" w:sz="0" w:space="0" w:color="auto"/>
                                                            <w:left w:val="none" w:sz="0" w:space="0" w:color="auto"/>
                                                            <w:bottom w:val="none" w:sz="0" w:space="0" w:color="auto"/>
                                                            <w:right w:val="none" w:sz="0" w:space="0" w:color="auto"/>
                                                          </w:divBdr>
                                                          <w:divsChild>
                                                            <w:div w:id="1891841297">
                                                              <w:marLeft w:val="0"/>
                                                              <w:marRight w:val="0"/>
                                                              <w:marTop w:val="0"/>
                                                              <w:marBottom w:val="0"/>
                                                              <w:divBdr>
                                                                <w:top w:val="none" w:sz="0" w:space="0" w:color="auto"/>
                                                                <w:left w:val="none" w:sz="0" w:space="0" w:color="auto"/>
                                                                <w:bottom w:val="none" w:sz="0" w:space="0" w:color="auto"/>
                                                                <w:right w:val="none" w:sz="0" w:space="0" w:color="auto"/>
                                                              </w:divBdr>
                                                              <w:divsChild>
                                                                <w:div w:id="37296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9096058">
      <w:bodyDiv w:val="1"/>
      <w:marLeft w:val="0"/>
      <w:marRight w:val="0"/>
      <w:marTop w:val="0"/>
      <w:marBottom w:val="0"/>
      <w:divBdr>
        <w:top w:val="none" w:sz="0" w:space="0" w:color="auto"/>
        <w:left w:val="none" w:sz="0" w:space="0" w:color="auto"/>
        <w:bottom w:val="none" w:sz="0" w:space="0" w:color="auto"/>
        <w:right w:val="none" w:sz="0" w:space="0" w:color="auto"/>
      </w:divBdr>
    </w:div>
    <w:div w:id="271327487">
      <w:bodyDiv w:val="1"/>
      <w:marLeft w:val="0"/>
      <w:marRight w:val="0"/>
      <w:marTop w:val="0"/>
      <w:marBottom w:val="0"/>
      <w:divBdr>
        <w:top w:val="none" w:sz="0" w:space="0" w:color="auto"/>
        <w:left w:val="none" w:sz="0" w:space="0" w:color="auto"/>
        <w:bottom w:val="none" w:sz="0" w:space="0" w:color="auto"/>
        <w:right w:val="none" w:sz="0" w:space="0" w:color="auto"/>
      </w:divBdr>
      <w:divsChild>
        <w:div w:id="1918057253">
          <w:marLeft w:val="0"/>
          <w:marRight w:val="0"/>
          <w:marTop w:val="0"/>
          <w:marBottom w:val="0"/>
          <w:divBdr>
            <w:top w:val="none" w:sz="0" w:space="0" w:color="auto"/>
            <w:left w:val="none" w:sz="0" w:space="0" w:color="auto"/>
            <w:bottom w:val="none" w:sz="0" w:space="0" w:color="auto"/>
            <w:right w:val="none" w:sz="0" w:space="0" w:color="auto"/>
          </w:divBdr>
          <w:divsChild>
            <w:div w:id="1034581618">
              <w:marLeft w:val="0"/>
              <w:marRight w:val="0"/>
              <w:marTop w:val="0"/>
              <w:marBottom w:val="0"/>
              <w:divBdr>
                <w:top w:val="none" w:sz="0" w:space="0" w:color="auto"/>
                <w:left w:val="none" w:sz="0" w:space="0" w:color="auto"/>
                <w:bottom w:val="none" w:sz="0" w:space="0" w:color="auto"/>
                <w:right w:val="none" w:sz="0" w:space="0" w:color="auto"/>
              </w:divBdr>
              <w:divsChild>
                <w:div w:id="649794860">
                  <w:marLeft w:val="0"/>
                  <w:marRight w:val="0"/>
                  <w:marTop w:val="0"/>
                  <w:marBottom w:val="0"/>
                  <w:divBdr>
                    <w:top w:val="none" w:sz="0" w:space="0" w:color="auto"/>
                    <w:left w:val="none" w:sz="0" w:space="0" w:color="auto"/>
                    <w:bottom w:val="none" w:sz="0" w:space="0" w:color="auto"/>
                    <w:right w:val="none" w:sz="0" w:space="0" w:color="auto"/>
                  </w:divBdr>
                  <w:divsChild>
                    <w:div w:id="170725455">
                      <w:marLeft w:val="0"/>
                      <w:marRight w:val="0"/>
                      <w:marTop w:val="0"/>
                      <w:marBottom w:val="0"/>
                      <w:divBdr>
                        <w:top w:val="none" w:sz="0" w:space="0" w:color="auto"/>
                        <w:left w:val="none" w:sz="0" w:space="0" w:color="auto"/>
                        <w:bottom w:val="none" w:sz="0" w:space="0" w:color="auto"/>
                        <w:right w:val="none" w:sz="0" w:space="0" w:color="auto"/>
                      </w:divBdr>
                      <w:divsChild>
                        <w:div w:id="2089812342">
                          <w:marLeft w:val="0"/>
                          <w:marRight w:val="0"/>
                          <w:marTop w:val="0"/>
                          <w:marBottom w:val="0"/>
                          <w:divBdr>
                            <w:top w:val="none" w:sz="0" w:space="0" w:color="auto"/>
                            <w:left w:val="none" w:sz="0" w:space="0" w:color="auto"/>
                            <w:bottom w:val="none" w:sz="0" w:space="0" w:color="auto"/>
                            <w:right w:val="none" w:sz="0" w:space="0" w:color="auto"/>
                          </w:divBdr>
                          <w:divsChild>
                            <w:div w:id="178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605003">
      <w:bodyDiv w:val="1"/>
      <w:marLeft w:val="0"/>
      <w:marRight w:val="0"/>
      <w:marTop w:val="0"/>
      <w:marBottom w:val="0"/>
      <w:divBdr>
        <w:top w:val="none" w:sz="0" w:space="0" w:color="auto"/>
        <w:left w:val="none" w:sz="0" w:space="0" w:color="auto"/>
        <w:bottom w:val="none" w:sz="0" w:space="0" w:color="auto"/>
        <w:right w:val="none" w:sz="0" w:space="0" w:color="auto"/>
      </w:divBdr>
      <w:divsChild>
        <w:div w:id="1324702377">
          <w:marLeft w:val="0"/>
          <w:marRight w:val="0"/>
          <w:marTop w:val="0"/>
          <w:marBottom w:val="0"/>
          <w:divBdr>
            <w:top w:val="none" w:sz="0" w:space="0" w:color="auto"/>
            <w:left w:val="none" w:sz="0" w:space="0" w:color="auto"/>
            <w:bottom w:val="none" w:sz="0" w:space="0" w:color="auto"/>
            <w:right w:val="none" w:sz="0" w:space="0" w:color="auto"/>
          </w:divBdr>
          <w:divsChild>
            <w:div w:id="84040142">
              <w:marLeft w:val="0"/>
              <w:marRight w:val="0"/>
              <w:marTop w:val="0"/>
              <w:marBottom w:val="0"/>
              <w:divBdr>
                <w:top w:val="none" w:sz="0" w:space="0" w:color="auto"/>
                <w:left w:val="none" w:sz="0" w:space="0" w:color="auto"/>
                <w:bottom w:val="none" w:sz="0" w:space="0" w:color="auto"/>
                <w:right w:val="none" w:sz="0" w:space="0" w:color="auto"/>
              </w:divBdr>
              <w:divsChild>
                <w:div w:id="896237243">
                  <w:marLeft w:val="0"/>
                  <w:marRight w:val="0"/>
                  <w:marTop w:val="0"/>
                  <w:marBottom w:val="0"/>
                  <w:divBdr>
                    <w:top w:val="none" w:sz="0" w:space="0" w:color="auto"/>
                    <w:left w:val="none" w:sz="0" w:space="0" w:color="auto"/>
                    <w:bottom w:val="none" w:sz="0" w:space="0" w:color="auto"/>
                    <w:right w:val="none" w:sz="0" w:space="0" w:color="auto"/>
                  </w:divBdr>
                  <w:divsChild>
                    <w:div w:id="1691565121">
                      <w:marLeft w:val="0"/>
                      <w:marRight w:val="0"/>
                      <w:marTop w:val="0"/>
                      <w:marBottom w:val="0"/>
                      <w:divBdr>
                        <w:top w:val="single" w:sz="6" w:space="0" w:color="DCD9D9"/>
                        <w:left w:val="single" w:sz="6" w:space="0" w:color="DCD9D9"/>
                        <w:bottom w:val="single" w:sz="2" w:space="0" w:color="DCD9D9"/>
                        <w:right w:val="single" w:sz="6" w:space="0" w:color="DCD9D9"/>
                      </w:divBdr>
                      <w:divsChild>
                        <w:div w:id="1318995578">
                          <w:marLeft w:val="0"/>
                          <w:marRight w:val="-100"/>
                          <w:marTop w:val="450"/>
                          <w:marBottom w:val="0"/>
                          <w:divBdr>
                            <w:top w:val="none" w:sz="0" w:space="0" w:color="auto"/>
                            <w:left w:val="none" w:sz="0" w:space="0" w:color="auto"/>
                            <w:bottom w:val="none" w:sz="0" w:space="0" w:color="auto"/>
                            <w:right w:val="none" w:sz="0" w:space="0" w:color="auto"/>
                          </w:divBdr>
                          <w:divsChild>
                            <w:div w:id="2127653791">
                              <w:marLeft w:val="0"/>
                              <w:marRight w:val="0"/>
                              <w:marTop w:val="0"/>
                              <w:marBottom w:val="0"/>
                              <w:divBdr>
                                <w:top w:val="none" w:sz="0" w:space="0" w:color="auto"/>
                                <w:left w:val="none" w:sz="0" w:space="0" w:color="auto"/>
                                <w:bottom w:val="none" w:sz="0" w:space="0" w:color="auto"/>
                                <w:right w:val="none" w:sz="0" w:space="0" w:color="auto"/>
                              </w:divBdr>
                              <w:divsChild>
                                <w:div w:id="1353066559">
                                  <w:marLeft w:val="0"/>
                                  <w:marRight w:val="0"/>
                                  <w:marTop w:val="0"/>
                                  <w:marBottom w:val="0"/>
                                  <w:divBdr>
                                    <w:top w:val="none" w:sz="0" w:space="0" w:color="auto"/>
                                    <w:left w:val="none" w:sz="0" w:space="0" w:color="auto"/>
                                    <w:bottom w:val="none" w:sz="0" w:space="0" w:color="auto"/>
                                    <w:right w:val="none" w:sz="0" w:space="0" w:color="auto"/>
                                  </w:divBdr>
                                  <w:divsChild>
                                    <w:div w:id="1276719279">
                                      <w:marLeft w:val="0"/>
                                      <w:marRight w:val="0"/>
                                      <w:marTop w:val="0"/>
                                      <w:marBottom w:val="0"/>
                                      <w:divBdr>
                                        <w:top w:val="none" w:sz="0" w:space="0" w:color="auto"/>
                                        <w:left w:val="none" w:sz="0" w:space="0" w:color="auto"/>
                                        <w:bottom w:val="none" w:sz="0" w:space="0" w:color="auto"/>
                                        <w:right w:val="none" w:sz="0" w:space="0" w:color="auto"/>
                                      </w:divBdr>
                                      <w:divsChild>
                                        <w:div w:id="1887327253">
                                          <w:marLeft w:val="0"/>
                                          <w:marRight w:val="0"/>
                                          <w:marTop w:val="0"/>
                                          <w:marBottom w:val="360"/>
                                          <w:divBdr>
                                            <w:top w:val="none" w:sz="0" w:space="0" w:color="auto"/>
                                            <w:left w:val="none" w:sz="0" w:space="0" w:color="auto"/>
                                            <w:bottom w:val="none" w:sz="0" w:space="0" w:color="auto"/>
                                            <w:right w:val="none" w:sz="0" w:space="0" w:color="auto"/>
                                          </w:divBdr>
                                          <w:divsChild>
                                            <w:div w:id="590311054">
                                              <w:marLeft w:val="0"/>
                                              <w:marRight w:val="0"/>
                                              <w:marTop w:val="0"/>
                                              <w:marBottom w:val="0"/>
                                              <w:divBdr>
                                                <w:top w:val="none" w:sz="0" w:space="0" w:color="auto"/>
                                                <w:left w:val="none" w:sz="0" w:space="0" w:color="auto"/>
                                                <w:bottom w:val="none" w:sz="0" w:space="0" w:color="auto"/>
                                                <w:right w:val="none" w:sz="0" w:space="0" w:color="auto"/>
                                              </w:divBdr>
                                              <w:divsChild>
                                                <w:div w:id="2090687222">
                                                  <w:marLeft w:val="0"/>
                                                  <w:marRight w:val="0"/>
                                                  <w:marTop w:val="0"/>
                                                  <w:marBottom w:val="0"/>
                                                  <w:divBdr>
                                                    <w:top w:val="none" w:sz="0" w:space="0" w:color="auto"/>
                                                    <w:left w:val="none" w:sz="0" w:space="0" w:color="auto"/>
                                                    <w:bottom w:val="none" w:sz="0" w:space="0" w:color="auto"/>
                                                    <w:right w:val="none" w:sz="0" w:space="0" w:color="auto"/>
                                                  </w:divBdr>
                                                  <w:divsChild>
                                                    <w:div w:id="1416975309">
                                                      <w:marLeft w:val="0"/>
                                                      <w:marRight w:val="0"/>
                                                      <w:marTop w:val="0"/>
                                                      <w:marBottom w:val="0"/>
                                                      <w:divBdr>
                                                        <w:top w:val="none" w:sz="0" w:space="0" w:color="auto"/>
                                                        <w:left w:val="none" w:sz="0" w:space="0" w:color="auto"/>
                                                        <w:bottom w:val="none" w:sz="0" w:space="0" w:color="auto"/>
                                                        <w:right w:val="none" w:sz="0" w:space="0" w:color="auto"/>
                                                      </w:divBdr>
                                                      <w:divsChild>
                                                        <w:div w:id="902836166">
                                                          <w:marLeft w:val="0"/>
                                                          <w:marRight w:val="0"/>
                                                          <w:marTop w:val="0"/>
                                                          <w:marBottom w:val="0"/>
                                                          <w:divBdr>
                                                            <w:top w:val="none" w:sz="0" w:space="0" w:color="auto"/>
                                                            <w:left w:val="none" w:sz="0" w:space="0" w:color="auto"/>
                                                            <w:bottom w:val="none" w:sz="0" w:space="0" w:color="auto"/>
                                                            <w:right w:val="none" w:sz="0" w:space="0" w:color="auto"/>
                                                          </w:divBdr>
                                                          <w:divsChild>
                                                            <w:div w:id="1787044537">
                                                              <w:marLeft w:val="0"/>
                                                              <w:marRight w:val="0"/>
                                                              <w:marTop w:val="0"/>
                                                              <w:marBottom w:val="0"/>
                                                              <w:divBdr>
                                                                <w:top w:val="none" w:sz="0" w:space="0" w:color="auto"/>
                                                                <w:left w:val="none" w:sz="0" w:space="0" w:color="auto"/>
                                                                <w:bottom w:val="none" w:sz="0" w:space="0" w:color="auto"/>
                                                                <w:right w:val="none" w:sz="0" w:space="0" w:color="auto"/>
                                                              </w:divBdr>
                                                              <w:divsChild>
                                                                <w:div w:id="723867387">
                                                                  <w:marLeft w:val="0"/>
                                                                  <w:marRight w:val="0"/>
                                                                  <w:marTop w:val="0"/>
                                                                  <w:marBottom w:val="0"/>
                                                                  <w:divBdr>
                                                                    <w:top w:val="none" w:sz="0" w:space="0" w:color="auto"/>
                                                                    <w:left w:val="none" w:sz="0" w:space="0" w:color="auto"/>
                                                                    <w:bottom w:val="none" w:sz="0" w:space="0" w:color="auto"/>
                                                                    <w:right w:val="none" w:sz="0" w:space="0" w:color="auto"/>
                                                                  </w:divBdr>
                                                                  <w:divsChild>
                                                                    <w:div w:id="1286156192">
                                                                      <w:marLeft w:val="0"/>
                                                                      <w:marRight w:val="0"/>
                                                                      <w:marTop w:val="0"/>
                                                                      <w:marBottom w:val="0"/>
                                                                      <w:divBdr>
                                                                        <w:top w:val="none" w:sz="0" w:space="0" w:color="auto"/>
                                                                        <w:left w:val="none" w:sz="0" w:space="0" w:color="auto"/>
                                                                        <w:bottom w:val="none" w:sz="0" w:space="0" w:color="auto"/>
                                                                        <w:right w:val="none" w:sz="0" w:space="0" w:color="auto"/>
                                                                      </w:divBdr>
                                                                      <w:divsChild>
                                                                        <w:div w:id="572155293">
                                                                          <w:marLeft w:val="0"/>
                                                                          <w:marRight w:val="0"/>
                                                                          <w:marTop w:val="0"/>
                                                                          <w:marBottom w:val="0"/>
                                                                          <w:divBdr>
                                                                            <w:top w:val="none" w:sz="0" w:space="0" w:color="auto"/>
                                                                            <w:left w:val="none" w:sz="0" w:space="0" w:color="auto"/>
                                                                            <w:bottom w:val="none" w:sz="0" w:space="0" w:color="auto"/>
                                                                            <w:right w:val="none" w:sz="0" w:space="0" w:color="auto"/>
                                                                          </w:divBdr>
                                                                          <w:divsChild>
                                                                            <w:div w:id="1487548717">
                                                                              <w:marLeft w:val="0"/>
                                                                              <w:marRight w:val="0"/>
                                                                              <w:marTop w:val="0"/>
                                                                              <w:marBottom w:val="0"/>
                                                                              <w:divBdr>
                                                                                <w:top w:val="none" w:sz="0" w:space="0" w:color="auto"/>
                                                                                <w:left w:val="none" w:sz="0" w:space="0" w:color="auto"/>
                                                                                <w:bottom w:val="none" w:sz="0" w:space="0" w:color="auto"/>
                                                                                <w:right w:val="none" w:sz="0" w:space="0" w:color="auto"/>
                                                                              </w:divBdr>
                                                                              <w:divsChild>
                                                                                <w:div w:id="1512602992">
                                                                                  <w:marLeft w:val="0"/>
                                                                                  <w:marRight w:val="0"/>
                                                                                  <w:marTop w:val="0"/>
                                                                                  <w:marBottom w:val="0"/>
                                                                                  <w:divBdr>
                                                                                    <w:top w:val="none" w:sz="0" w:space="0" w:color="auto"/>
                                                                                    <w:left w:val="none" w:sz="0" w:space="0" w:color="auto"/>
                                                                                    <w:bottom w:val="none" w:sz="0" w:space="0" w:color="auto"/>
                                                                                    <w:right w:val="none" w:sz="0" w:space="0" w:color="auto"/>
                                                                                  </w:divBdr>
                                                                                  <w:divsChild>
                                                                                    <w:div w:id="1498157656">
                                                                                      <w:marLeft w:val="0"/>
                                                                                      <w:marRight w:val="0"/>
                                                                                      <w:marTop w:val="0"/>
                                                                                      <w:marBottom w:val="0"/>
                                                                                      <w:divBdr>
                                                                                        <w:top w:val="none" w:sz="0" w:space="0" w:color="auto"/>
                                                                                        <w:left w:val="none" w:sz="0" w:space="0" w:color="auto"/>
                                                                                        <w:bottom w:val="none" w:sz="0" w:space="0" w:color="auto"/>
                                                                                        <w:right w:val="none" w:sz="0" w:space="0" w:color="auto"/>
                                                                                      </w:divBdr>
                                                                                      <w:divsChild>
                                                                                        <w:div w:id="2040201855">
                                                                                          <w:marLeft w:val="0"/>
                                                                                          <w:marRight w:val="0"/>
                                                                                          <w:marTop w:val="0"/>
                                                                                          <w:marBottom w:val="0"/>
                                                                                          <w:divBdr>
                                                                                            <w:top w:val="none" w:sz="0" w:space="0" w:color="auto"/>
                                                                                            <w:left w:val="none" w:sz="0" w:space="0" w:color="auto"/>
                                                                                            <w:bottom w:val="none" w:sz="0" w:space="0" w:color="auto"/>
                                                                                            <w:right w:val="none" w:sz="0" w:space="0" w:color="auto"/>
                                                                                          </w:divBdr>
                                                                                          <w:divsChild>
                                                                                            <w:div w:id="1016998277">
                                                                                              <w:marLeft w:val="0"/>
                                                                                              <w:marRight w:val="0"/>
                                                                                              <w:marTop w:val="0"/>
                                                                                              <w:marBottom w:val="0"/>
                                                                                              <w:divBdr>
                                                                                                <w:top w:val="none" w:sz="0" w:space="0" w:color="auto"/>
                                                                                                <w:left w:val="none" w:sz="0" w:space="0" w:color="auto"/>
                                                                                                <w:bottom w:val="none" w:sz="0" w:space="0" w:color="auto"/>
                                                                                                <w:right w:val="none" w:sz="0" w:space="0" w:color="auto"/>
                                                                                              </w:divBdr>
                                                                                              <w:divsChild>
                                                                                                <w:div w:id="199984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4237506">
      <w:bodyDiv w:val="1"/>
      <w:marLeft w:val="0"/>
      <w:marRight w:val="0"/>
      <w:marTop w:val="0"/>
      <w:marBottom w:val="0"/>
      <w:divBdr>
        <w:top w:val="none" w:sz="0" w:space="0" w:color="auto"/>
        <w:left w:val="none" w:sz="0" w:space="0" w:color="auto"/>
        <w:bottom w:val="none" w:sz="0" w:space="0" w:color="auto"/>
        <w:right w:val="none" w:sz="0" w:space="0" w:color="auto"/>
      </w:divBdr>
    </w:div>
    <w:div w:id="705568546">
      <w:bodyDiv w:val="1"/>
      <w:marLeft w:val="0"/>
      <w:marRight w:val="0"/>
      <w:marTop w:val="0"/>
      <w:marBottom w:val="0"/>
      <w:divBdr>
        <w:top w:val="none" w:sz="0" w:space="0" w:color="auto"/>
        <w:left w:val="none" w:sz="0" w:space="0" w:color="auto"/>
        <w:bottom w:val="none" w:sz="0" w:space="0" w:color="auto"/>
        <w:right w:val="none" w:sz="0" w:space="0" w:color="auto"/>
      </w:divBdr>
      <w:divsChild>
        <w:div w:id="875431410">
          <w:marLeft w:val="0"/>
          <w:marRight w:val="0"/>
          <w:marTop w:val="0"/>
          <w:marBottom w:val="0"/>
          <w:divBdr>
            <w:top w:val="none" w:sz="0" w:space="0" w:color="auto"/>
            <w:left w:val="none" w:sz="0" w:space="0" w:color="auto"/>
            <w:bottom w:val="none" w:sz="0" w:space="0" w:color="auto"/>
            <w:right w:val="none" w:sz="0" w:space="0" w:color="auto"/>
          </w:divBdr>
          <w:divsChild>
            <w:div w:id="922564026">
              <w:marLeft w:val="0"/>
              <w:marRight w:val="0"/>
              <w:marTop w:val="0"/>
              <w:marBottom w:val="0"/>
              <w:divBdr>
                <w:top w:val="none" w:sz="0" w:space="0" w:color="auto"/>
                <w:left w:val="none" w:sz="0" w:space="0" w:color="auto"/>
                <w:bottom w:val="none" w:sz="0" w:space="0" w:color="auto"/>
                <w:right w:val="none" w:sz="0" w:space="0" w:color="auto"/>
              </w:divBdr>
              <w:divsChild>
                <w:div w:id="1868059939">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786760">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50766191">
      <w:bodyDiv w:val="1"/>
      <w:marLeft w:val="0"/>
      <w:marRight w:val="0"/>
      <w:marTop w:val="0"/>
      <w:marBottom w:val="0"/>
      <w:divBdr>
        <w:top w:val="none" w:sz="0" w:space="0" w:color="auto"/>
        <w:left w:val="none" w:sz="0" w:space="0" w:color="auto"/>
        <w:bottom w:val="none" w:sz="0" w:space="0" w:color="auto"/>
        <w:right w:val="none" w:sz="0" w:space="0" w:color="auto"/>
      </w:divBdr>
    </w:div>
    <w:div w:id="1069496201">
      <w:bodyDiv w:val="1"/>
      <w:marLeft w:val="0"/>
      <w:marRight w:val="0"/>
      <w:marTop w:val="0"/>
      <w:marBottom w:val="0"/>
      <w:divBdr>
        <w:top w:val="none" w:sz="0" w:space="0" w:color="auto"/>
        <w:left w:val="none" w:sz="0" w:space="0" w:color="auto"/>
        <w:bottom w:val="none" w:sz="0" w:space="0" w:color="auto"/>
        <w:right w:val="none" w:sz="0" w:space="0" w:color="auto"/>
      </w:divBdr>
      <w:divsChild>
        <w:div w:id="613631730">
          <w:marLeft w:val="0"/>
          <w:marRight w:val="0"/>
          <w:marTop w:val="0"/>
          <w:marBottom w:val="0"/>
          <w:divBdr>
            <w:top w:val="none" w:sz="0" w:space="0" w:color="auto"/>
            <w:left w:val="none" w:sz="0" w:space="0" w:color="auto"/>
            <w:bottom w:val="none" w:sz="0" w:space="0" w:color="auto"/>
            <w:right w:val="none" w:sz="0" w:space="0" w:color="auto"/>
          </w:divBdr>
          <w:divsChild>
            <w:div w:id="349962281">
              <w:marLeft w:val="0"/>
              <w:marRight w:val="0"/>
              <w:marTop w:val="0"/>
              <w:marBottom w:val="0"/>
              <w:divBdr>
                <w:top w:val="none" w:sz="0" w:space="0" w:color="auto"/>
                <w:left w:val="none" w:sz="0" w:space="0" w:color="auto"/>
                <w:bottom w:val="none" w:sz="0" w:space="0" w:color="auto"/>
                <w:right w:val="none" w:sz="0" w:space="0" w:color="auto"/>
              </w:divBdr>
              <w:divsChild>
                <w:div w:id="848443990">
                  <w:marLeft w:val="0"/>
                  <w:marRight w:val="0"/>
                  <w:marTop w:val="0"/>
                  <w:marBottom w:val="0"/>
                  <w:divBdr>
                    <w:top w:val="none" w:sz="0" w:space="0" w:color="auto"/>
                    <w:left w:val="none" w:sz="0" w:space="0" w:color="auto"/>
                    <w:bottom w:val="none" w:sz="0" w:space="0" w:color="auto"/>
                    <w:right w:val="none" w:sz="0" w:space="0" w:color="auto"/>
                  </w:divBdr>
                  <w:divsChild>
                    <w:div w:id="1371228006">
                      <w:marLeft w:val="0"/>
                      <w:marRight w:val="0"/>
                      <w:marTop w:val="0"/>
                      <w:marBottom w:val="0"/>
                      <w:divBdr>
                        <w:top w:val="none" w:sz="0" w:space="0" w:color="auto"/>
                        <w:left w:val="none" w:sz="0" w:space="0" w:color="auto"/>
                        <w:bottom w:val="none" w:sz="0" w:space="0" w:color="auto"/>
                        <w:right w:val="none" w:sz="0" w:space="0" w:color="auto"/>
                      </w:divBdr>
                      <w:divsChild>
                        <w:div w:id="185408212">
                          <w:marLeft w:val="0"/>
                          <w:marRight w:val="0"/>
                          <w:marTop w:val="0"/>
                          <w:marBottom w:val="0"/>
                          <w:divBdr>
                            <w:top w:val="none" w:sz="0" w:space="0" w:color="auto"/>
                            <w:left w:val="none" w:sz="0" w:space="0" w:color="auto"/>
                            <w:bottom w:val="none" w:sz="0" w:space="0" w:color="auto"/>
                            <w:right w:val="none" w:sz="0" w:space="0" w:color="auto"/>
                          </w:divBdr>
                          <w:divsChild>
                            <w:div w:id="151803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698664">
      <w:bodyDiv w:val="1"/>
      <w:marLeft w:val="0"/>
      <w:marRight w:val="0"/>
      <w:marTop w:val="0"/>
      <w:marBottom w:val="0"/>
      <w:divBdr>
        <w:top w:val="none" w:sz="0" w:space="0" w:color="auto"/>
        <w:left w:val="none" w:sz="0" w:space="0" w:color="auto"/>
        <w:bottom w:val="none" w:sz="0" w:space="0" w:color="auto"/>
        <w:right w:val="none" w:sz="0" w:space="0" w:color="auto"/>
      </w:divBdr>
    </w:div>
    <w:div w:id="1425954568">
      <w:bodyDiv w:val="1"/>
      <w:marLeft w:val="0"/>
      <w:marRight w:val="0"/>
      <w:marTop w:val="0"/>
      <w:marBottom w:val="0"/>
      <w:divBdr>
        <w:top w:val="none" w:sz="0" w:space="0" w:color="auto"/>
        <w:left w:val="none" w:sz="0" w:space="0" w:color="auto"/>
        <w:bottom w:val="none" w:sz="0" w:space="0" w:color="auto"/>
        <w:right w:val="none" w:sz="0" w:space="0" w:color="auto"/>
      </w:divBdr>
    </w:div>
    <w:div w:id="1633054153">
      <w:bodyDiv w:val="1"/>
      <w:marLeft w:val="0"/>
      <w:marRight w:val="0"/>
      <w:marTop w:val="0"/>
      <w:marBottom w:val="0"/>
      <w:divBdr>
        <w:top w:val="none" w:sz="0" w:space="0" w:color="auto"/>
        <w:left w:val="none" w:sz="0" w:space="0" w:color="auto"/>
        <w:bottom w:val="none" w:sz="0" w:space="0" w:color="auto"/>
        <w:right w:val="none" w:sz="0" w:space="0" w:color="auto"/>
      </w:divBdr>
    </w:div>
    <w:div w:id="1654682012">
      <w:bodyDiv w:val="1"/>
      <w:marLeft w:val="0"/>
      <w:marRight w:val="0"/>
      <w:marTop w:val="0"/>
      <w:marBottom w:val="0"/>
      <w:divBdr>
        <w:top w:val="none" w:sz="0" w:space="0" w:color="auto"/>
        <w:left w:val="none" w:sz="0" w:space="0" w:color="auto"/>
        <w:bottom w:val="none" w:sz="0" w:space="0" w:color="auto"/>
        <w:right w:val="none" w:sz="0" w:space="0" w:color="auto"/>
      </w:divBdr>
    </w:div>
    <w:div w:id="1697191010">
      <w:bodyDiv w:val="1"/>
      <w:marLeft w:val="0"/>
      <w:marRight w:val="0"/>
      <w:marTop w:val="0"/>
      <w:marBottom w:val="0"/>
      <w:divBdr>
        <w:top w:val="none" w:sz="0" w:space="0" w:color="auto"/>
        <w:left w:val="none" w:sz="0" w:space="0" w:color="auto"/>
        <w:bottom w:val="none" w:sz="0" w:space="0" w:color="auto"/>
        <w:right w:val="none" w:sz="0" w:space="0" w:color="auto"/>
      </w:divBdr>
      <w:divsChild>
        <w:div w:id="1296712698">
          <w:marLeft w:val="0"/>
          <w:marRight w:val="0"/>
          <w:marTop w:val="0"/>
          <w:marBottom w:val="0"/>
          <w:divBdr>
            <w:top w:val="none" w:sz="0" w:space="0" w:color="auto"/>
            <w:left w:val="none" w:sz="0" w:space="0" w:color="auto"/>
            <w:bottom w:val="none" w:sz="0" w:space="0" w:color="auto"/>
            <w:right w:val="none" w:sz="0" w:space="0" w:color="auto"/>
          </w:divBdr>
          <w:divsChild>
            <w:div w:id="1137649245">
              <w:marLeft w:val="0"/>
              <w:marRight w:val="0"/>
              <w:marTop w:val="0"/>
              <w:marBottom w:val="0"/>
              <w:divBdr>
                <w:top w:val="none" w:sz="0" w:space="0" w:color="auto"/>
                <w:left w:val="none" w:sz="0" w:space="0" w:color="auto"/>
                <w:bottom w:val="none" w:sz="0" w:space="0" w:color="auto"/>
                <w:right w:val="none" w:sz="0" w:space="0" w:color="auto"/>
              </w:divBdr>
              <w:divsChild>
                <w:div w:id="1534997196">
                  <w:marLeft w:val="0"/>
                  <w:marRight w:val="0"/>
                  <w:marTop w:val="0"/>
                  <w:marBottom w:val="0"/>
                  <w:divBdr>
                    <w:top w:val="none" w:sz="0" w:space="0" w:color="auto"/>
                    <w:left w:val="none" w:sz="0" w:space="0" w:color="auto"/>
                    <w:bottom w:val="none" w:sz="0" w:space="0" w:color="auto"/>
                    <w:right w:val="none" w:sz="0" w:space="0" w:color="auto"/>
                  </w:divBdr>
                  <w:divsChild>
                    <w:div w:id="1483699497">
                      <w:marLeft w:val="0"/>
                      <w:marRight w:val="0"/>
                      <w:marTop w:val="0"/>
                      <w:marBottom w:val="0"/>
                      <w:divBdr>
                        <w:top w:val="none" w:sz="0" w:space="0" w:color="auto"/>
                        <w:left w:val="none" w:sz="0" w:space="0" w:color="auto"/>
                        <w:bottom w:val="none" w:sz="0" w:space="0" w:color="auto"/>
                        <w:right w:val="none" w:sz="0" w:space="0" w:color="auto"/>
                      </w:divBdr>
                      <w:divsChild>
                        <w:div w:id="185580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56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mailto:transport@accc.gov.au" TargetMode="External"/><Relationship Id="rId26" Type="http://schemas.openxmlformats.org/officeDocument/2006/relationships/chart" Target="charts/chart3.xml"/><Relationship Id="rId39" Type="http://schemas.openxmlformats.org/officeDocument/2006/relationships/image" Target="media/image6.emf"/><Relationship Id="rId3" Type="http://schemas.microsoft.com/office/2007/relationships/stylesWithEffects" Target="stylesWithEffects.xml"/><Relationship Id="rId21" Type="http://schemas.openxmlformats.org/officeDocument/2006/relationships/hyperlink" Target="http://emeraldgrain.com/home/industry-store-and-move-grain/shipping-at-melbourne-port-terminal/" TargetMode="External"/><Relationship Id="rId34" Type="http://schemas.openxmlformats.org/officeDocument/2006/relationships/chart" Target="charts/chart6.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accc.gov.au/regulated-infrastructure/wheat-export/victorian-wheat-ports-exemption-assessments" TargetMode="External"/><Relationship Id="rId25" Type="http://schemas.openxmlformats.org/officeDocument/2006/relationships/hyperlink" Target="http://www.graincorp.com.au/storage-and-logistics/ports-and-shipping/shipping" TargetMode="External"/><Relationship Id="rId33" Type="http://schemas.openxmlformats.org/officeDocument/2006/relationships/chart" Target="charts/chart5.xml"/><Relationship Id="rId38"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www.accc.gov.au/regulated-infrastructure/wheat-export/victorian-wheat-ports-exemption-assessments" TargetMode="External"/><Relationship Id="rId20" Type="http://schemas.openxmlformats.org/officeDocument/2006/relationships/hyperlink" Target="http://emeraldgrain.com/home/industry-store-and-move-grain/shipping-at-melbourne-port-terminal/" TargetMode="External"/><Relationship Id="rId29" Type="http://schemas.openxmlformats.org/officeDocument/2006/relationships/hyperlink" Target="http://emeraldgrain.com/wp-content/uploads/2013/06/Melbourne-Port-Terminal-Capacity-and-Stem-Changes23.pdf"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2.xml"/><Relationship Id="rId32" Type="http://schemas.openxmlformats.org/officeDocument/2006/relationships/chart" Target="charts/chart4.xml"/><Relationship Id="rId37" Type="http://schemas.openxmlformats.org/officeDocument/2006/relationships/image" Target="media/image4.png"/><Relationship Id="rId40"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hyperlink" Target="https://www.accc.gov.au/regulated-infrastructure/wheat-export/victorian-wheat-ports-exemption-assessments" TargetMode="External"/><Relationship Id="rId23" Type="http://schemas.openxmlformats.org/officeDocument/2006/relationships/hyperlink" Target="http://www.graincorp.com.au/storage-and-logistics/ports-and-shipping/shipping" TargetMode="External"/><Relationship Id="rId28" Type="http://schemas.openxmlformats.org/officeDocument/2006/relationships/hyperlink" Target="http://www.graincorp.com.au/storage-and-logistics/ports-and-shipping/shipping" TargetMode="External"/><Relationship Id="rId36"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hyperlink" Target="mailto:michael.eady@accc.gov.au" TargetMode="External"/><Relationship Id="rId31" Type="http://schemas.openxmlformats.org/officeDocument/2006/relationships/hyperlink" Target="http://emeraldgrain.com/wp-content/uploads/2013/06/Melbourne-Port-Terminal-Capacity-and-Stem-Changes23.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1.xml"/><Relationship Id="rId27" Type="http://schemas.openxmlformats.org/officeDocument/2006/relationships/hyperlink" Target="http://emeraldgrain.com/wp-content/uploads/2013/06/Melbourne-Port-Terminal-Capacity-and-Stem-Changes23.pdf" TargetMode="External"/><Relationship Id="rId30" Type="http://schemas.openxmlformats.org/officeDocument/2006/relationships/hyperlink" Target="http://www.graincorp.com.au/storage-and-logistics/ports-and-shipping/shipping" TargetMode="External"/><Relationship Id="rId35" Type="http://schemas.openxmlformats.org/officeDocument/2006/relationships/image" Target="media/image2.emf"/></Relationships>
</file>

<file path=word/_rels/footnotes.xml.rels><?xml version="1.0" encoding="UTF-8" standalone="yes"?>
<Relationships xmlns="http://schemas.openxmlformats.org/package/2006/relationships"><Relationship Id="rId8" Type="http://schemas.openxmlformats.org/officeDocument/2006/relationships/hyperlink" Target="http://www.depi.vic.gov.au/agriculture-and-food/grains-and-other-crops" TargetMode="External"/><Relationship Id="rId13" Type="http://schemas.openxmlformats.org/officeDocument/2006/relationships/hyperlink" Target="http://www.moulameingrain.com.au/index.php/about-moulamein" TargetMode="External"/><Relationship Id="rId18" Type="http://schemas.openxmlformats.org/officeDocument/2006/relationships/hyperlink" Target="http://www.wimmeragrain.com.au/aboutus.html" TargetMode="External"/><Relationship Id="rId3" Type="http://schemas.openxmlformats.org/officeDocument/2006/relationships/hyperlink" Target="http://www.graincorp.com.au/storage-and-logistics/ports-and-shipping/shipping" TargetMode="External"/><Relationship Id="rId21" Type="http://schemas.openxmlformats.org/officeDocument/2006/relationships/hyperlink" Target="http://www.agripak.com.au/services" TargetMode="External"/><Relationship Id="rId7" Type="http://schemas.openxmlformats.org/officeDocument/2006/relationships/hyperlink" Target="http://emeraldgrain.com/home/about/" TargetMode="External"/><Relationship Id="rId12" Type="http://schemas.openxmlformats.org/officeDocument/2006/relationships/hyperlink" Target="http://broadbentgrain.com.au/" TargetMode="External"/><Relationship Id="rId17" Type="http://schemas.openxmlformats.org/officeDocument/2006/relationships/hyperlink" Target="http://www.graintrade.org.au/location_differential_tables" TargetMode="External"/><Relationship Id="rId25" Type="http://schemas.openxmlformats.org/officeDocument/2006/relationships/hyperlink" Target="https://www.accc.gov.au/media-release/accc-allows-graincorp-to-introduce-long-term-port-access-agreements" TargetMode="External"/><Relationship Id="rId2" Type="http://schemas.openxmlformats.org/officeDocument/2006/relationships/hyperlink" Target="http://www.parliament.vic.gov.au/images/stories/committees/rrc/IEGS/Media/20140411.Portland_Observer.Port_keen_to_expand.pdf" TargetMode="External"/><Relationship Id="rId16" Type="http://schemas.openxmlformats.org/officeDocument/2006/relationships/hyperlink" Target="http://pearsonsgroup.com.au/storage.php" TargetMode="External"/><Relationship Id="rId20" Type="http://schemas.openxmlformats.org/officeDocument/2006/relationships/hyperlink" Target="http://riordangrains.com.au/grain-storage/" TargetMode="External"/><Relationship Id="rId1" Type="http://schemas.openxmlformats.org/officeDocument/2006/relationships/hyperlink" Target="http://www.bunge.com.au/news/39-new-grain-export-terminal-for-geelong" TargetMode="External"/><Relationship Id="rId6" Type="http://schemas.openxmlformats.org/officeDocument/2006/relationships/hyperlink" Target="http://www.graincorp.com.au/storage-and-logistics/ports-and-shipping/" TargetMode="External"/><Relationship Id="rId11" Type="http://schemas.openxmlformats.org/officeDocument/2006/relationships/hyperlink" Target="http://www.wilkens.com.au/index.php/storage" TargetMode="External"/><Relationship Id="rId24" Type="http://schemas.openxmlformats.org/officeDocument/2006/relationships/hyperlink" Target="https://www.accc.gov.au/media-release/accc-allows-graincorp-to-introduce-long-term-port-access-agreements" TargetMode="External"/><Relationship Id="rId5" Type="http://schemas.openxmlformats.org/officeDocument/2006/relationships/hyperlink" Target="https://www.accc.gov.au/media-release/accc-allows-graincorp-to-introduce-long-term-port-access-agreements" TargetMode="External"/><Relationship Id="rId15" Type="http://schemas.openxmlformats.org/officeDocument/2006/relationships/hyperlink" Target="http://www.kellygrains.com.au/storage" TargetMode="External"/><Relationship Id="rId23" Type="http://schemas.openxmlformats.org/officeDocument/2006/relationships/hyperlink" Target="http://www.depi.vic.gov.au/agriculture-and-food/dairy" TargetMode="External"/><Relationship Id="rId10" Type="http://schemas.openxmlformats.org/officeDocument/2006/relationships/hyperlink" Target="http://riordangrains.com.au/grain-storage/" TargetMode="External"/><Relationship Id="rId19" Type="http://schemas.openxmlformats.org/officeDocument/2006/relationships/hyperlink" Target="http://www.viterra.com.au/packing-and-processing" TargetMode="External"/><Relationship Id="rId4" Type="http://schemas.openxmlformats.org/officeDocument/2006/relationships/hyperlink" Target="https://www.accc.gov.au/media-release/accc-allows-graincorp-to-introduce-long-term-port-access-agreements" TargetMode="External"/><Relationship Id="rId9" Type="http://schemas.openxmlformats.org/officeDocument/2006/relationships/hyperlink" Target="http://emeraldgrain.com/home/grower-services/store-and-move-grain/our-network/" TargetMode="External"/><Relationship Id="rId14" Type="http://schemas.openxmlformats.org/officeDocument/2006/relationships/hyperlink" Target="http://www.moorestorage.com.au/index.htm" TargetMode="External"/><Relationship Id="rId22" Type="http://schemas.openxmlformats.org/officeDocument/2006/relationships/hyperlink" Target="http://www.mahonystransport.com.au/services.php?id=8"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dchnas-evs02\home$\keddy\A%20WHEAT\Exemptions%20-%20Vic%20ports\Data\KE%20data%20analysi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dchnas-evs02\home$\keddy\A%20WHEAT\Exemptions%20-%20Vic%20ports\Data\KE%20data%20analysi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dchnas-evs02\home$\keddy\A%20WHEAT\Exemptions%20-%20Vic%20ports\Data\KE%20data%20analysi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file:///\\cdchnas-evs02\home$\keddy\A%20WHEAT\Exemptions%20-%20Vic%20ports\Data\KE%20data%20analysis%20-%20exporter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chnas-evs02\home$\keddy\A%20WHEAT\Exemptions%20-%20Vic%20ports\Data\KE%20data%20analysis%20-%20exporter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chnas-evs02\home$\keddy\A%20WHEAT\Exemptions%20-%20Vic%20ports\Data\KE%20data%20analysis%20-%20exporter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4647338313480128E-2"/>
          <c:y val="4.0028940718551502E-2"/>
          <c:w val="0.88672723601857517"/>
          <c:h val="0.70837289977156848"/>
        </c:manualLayout>
      </c:layout>
      <c:barChart>
        <c:barDir val="col"/>
        <c:grouping val="stacked"/>
        <c:varyColors val="0"/>
        <c:ser>
          <c:idx val="0"/>
          <c:order val="0"/>
          <c:tx>
            <c:strRef>
              <c:f>'Working GC data - Geelong'!$C$27</c:f>
              <c:strCache>
                <c:ptCount val="1"/>
                <c:pt idx="0">
                  <c:v>GrainCorp exports</c:v>
                </c:pt>
              </c:strCache>
            </c:strRef>
          </c:tx>
          <c:spPr>
            <a:solidFill>
              <a:srgbClr val="5B9BD5">
                <a:lumMod val="60000"/>
                <a:lumOff val="40000"/>
              </a:srgbClr>
            </a:solidFill>
          </c:spPr>
          <c:invertIfNegative val="0"/>
          <c:cat>
            <c:numRef>
              <c:f>'Working GC data - Portland'!$P$7:$BK$7</c:f>
              <c:numCache>
                <c:formatCode>mmm\-yy</c:formatCode>
                <c:ptCount val="48"/>
                <c:pt idx="0">
                  <c:v>40452</c:v>
                </c:pt>
                <c:pt idx="1">
                  <c:v>40483</c:v>
                </c:pt>
                <c:pt idx="2">
                  <c:v>40513</c:v>
                </c:pt>
                <c:pt idx="3">
                  <c:v>40544</c:v>
                </c:pt>
                <c:pt idx="4">
                  <c:v>40575</c:v>
                </c:pt>
                <c:pt idx="5">
                  <c:v>40603</c:v>
                </c:pt>
                <c:pt idx="6">
                  <c:v>40634</c:v>
                </c:pt>
                <c:pt idx="7">
                  <c:v>40664</c:v>
                </c:pt>
                <c:pt idx="8">
                  <c:v>40695</c:v>
                </c:pt>
                <c:pt idx="9">
                  <c:v>40725</c:v>
                </c:pt>
                <c:pt idx="10">
                  <c:v>40756</c:v>
                </c:pt>
                <c:pt idx="11">
                  <c:v>40787</c:v>
                </c:pt>
                <c:pt idx="12">
                  <c:v>40817</c:v>
                </c:pt>
                <c:pt idx="13">
                  <c:v>40848</c:v>
                </c:pt>
                <c:pt idx="14">
                  <c:v>40878</c:v>
                </c:pt>
                <c:pt idx="15">
                  <c:v>40909</c:v>
                </c:pt>
                <c:pt idx="16">
                  <c:v>40940</c:v>
                </c:pt>
                <c:pt idx="17">
                  <c:v>40969</c:v>
                </c:pt>
                <c:pt idx="18">
                  <c:v>41000</c:v>
                </c:pt>
                <c:pt idx="19">
                  <c:v>41030</c:v>
                </c:pt>
                <c:pt idx="20">
                  <c:v>41061</c:v>
                </c:pt>
                <c:pt idx="21">
                  <c:v>41091</c:v>
                </c:pt>
                <c:pt idx="22">
                  <c:v>41122</c:v>
                </c:pt>
                <c:pt idx="23">
                  <c:v>41153</c:v>
                </c:pt>
                <c:pt idx="24">
                  <c:v>41183</c:v>
                </c:pt>
                <c:pt idx="25">
                  <c:v>41214</c:v>
                </c:pt>
                <c:pt idx="26">
                  <c:v>41244</c:v>
                </c:pt>
                <c:pt idx="27">
                  <c:v>41275</c:v>
                </c:pt>
                <c:pt idx="28">
                  <c:v>41306</c:v>
                </c:pt>
                <c:pt idx="29">
                  <c:v>41334</c:v>
                </c:pt>
                <c:pt idx="30">
                  <c:v>41365</c:v>
                </c:pt>
                <c:pt idx="31">
                  <c:v>41395</c:v>
                </c:pt>
                <c:pt idx="32">
                  <c:v>41426</c:v>
                </c:pt>
                <c:pt idx="33">
                  <c:v>41456</c:v>
                </c:pt>
                <c:pt idx="34">
                  <c:v>41487</c:v>
                </c:pt>
                <c:pt idx="35">
                  <c:v>41518</c:v>
                </c:pt>
                <c:pt idx="36">
                  <c:v>41548</c:v>
                </c:pt>
                <c:pt idx="37">
                  <c:v>41579</c:v>
                </c:pt>
                <c:pt idx="38">
                  <c:v>41609</c:v>
                </c:pt>
                <c:pt idx="39">
                  <c:v>41640</c:v>
                </c:pt>
                <c:pt idx="40">
                  <c:v>41671</c:v>
                </c:pt>
                <c:pt idx="41">
                  <c:v>41699</c:v>
                </c:pt>
                <c:pt idx="42">
                  <c:v>41730</c:v>
                </c:pt>
                <c:pt idx="43">
                  <c:v>41760</c:v>
                </c:pt>
                <c:pt idx="44">
                  <c:v>41791</c:v>
                </c:pt>
                <c:pt idx="45">
                  <c:v>41821</c:v>
                </c:pt>
                <c:pt idx="46">
                  <c:v>41852</c:v>
                </c:pt>
                <c:pt idx="47">
                  <c:v>41883</c:v>
                </c:pt>
              </c:numCache>
            </c:numRef>
          </c:cat>
          <c:val>
            <c:numRef>
              <c:f>'Working GC data - Geelong'!$P$27:$BK$27</c:f>
              <c:numCache>
                <c:formatCode>_(* #,##0_);_(* \(#,##0\);_(* "-"??_);_(@_)</c:formatCode>
                <c:ptCount val="48"/>
                <c:pt idx="0">
                  <c:v>71141.739999999991</c:v>
                </c:pt>
                <c:pt idx="1">
                  <c:v>53216.92</c:v>
                </c:pt>
                <c:pt idx="2">
                  <c:v>27749.3</c:v>
                </c:pt>
                <c:pt idx="3">
                  <c:v>32909.990000000005</c:v>
                </c:pt>
                <c:pt idx="4">
                  <c:v>47899.99</c:v>
                </c:pt>
                <c:pt idx="5">
                  <c:v>36707.9</c:v>
                </c:pt>
                <c:pt idx="6">
                  <c:v>14662.11</c:v>
                </c:pt>
                <c:pt idx="7">
                  <c:v>88782.959999999992</c:v>
                </c:pt>
                <c:pt idx="8">
                  <c:v>66740.889999999985</c:v>
                </c:pt>
                <c:pt idx="9">
                  <c:v>29699.969999999998</c:v>
                </c:pt>
                <c:pt idx="10">
                  <c:v>109599.72</c:v>
                </c:pt>
                <c:pt idx="11">
                  <c:v>41999.97</c:v>
                </c:pt>
                <c:pt idx="12">
                  <c:v>40500</c:v>
                </c:pt>
                <c:pt idx="13">
                  <c:v>107749.95999999998</c:v>
                </c:pt>
                <c:pt idx="14">
                  <c:v>38238.800000000003</c:v>
                </c:pt>
                <c:pt idx="15">
                  <c:v>74526.999999999971</c:v>
                </c:pt>
                <c:pt idx="16">
                  <c:v>71499.98</c:v>
                </c:pt>
                <c:pt idx="17">
                  <c:v>142783.84999999998</c:v>
                </c:pt>
                <c:pt idx="18">
                  <c:v>38500</c:v>
                </c:pt>
                <c:pt idx="19">
                  <c:v>72815.360000000015</c:v>
                </c:pt>
                <c:pt idx="20">
                  <c:v>128868.4</c:v>
                </c:pt>
                <c:pt idx="21">
                  <c:v>44647.6</c:v>
                </c:pt>
                <c:pt idx="22">
                  <c:v>34348.01</c:v>
                </c:pt>
                <c:pt idx="23">
                  <c:v>38666.310000000012</c:v>
                </c:pt>
                <c:pt idx="24">
                  <c:v>42063.090000000004</c:v>
                </c:pt>
                <c:pt idx="25">
                  <c:v>74733.13</c:v>
                </c:pt>
                <c:pt idx="26">
                  <c:v>31767</c:v>
                </c:pt>
                <c:pt idx="27">
                  <c:v>47860</c:v>
                </c:pt>
                <c:pt idx="28">
                  <c:v>125093.19</c:v>
                </c:pt>
                <c:pt idx="29">
                  <c:v>60278.04</c:v>
                </c:pt>
                <c:pt idx="30">
                  <c:v>27060.149999999994</c:v>
                </c:pt>
                <c:pt idx="31">
                  <c:v>35931.19</c:v>
                </c:pt>
                <c:pt idx="32">
                  <c:v>0</c:v>
                </c:pt>
                <c:pt idx="33">
                  <c:v>36313</c:v>
                </c:pt>
                <c:pt idx="34">
                  <c:v>61144.000000000007</c:v>
                </c:pt>
                <c:pt idx="35">
                  <c:v>47252.89</c:v>
                </c:pt>
                <c:pt idx="36">
                  <c:v>38997</c:v>
                </c:pt>
                <c:pt idx="37">
                  <c:v>37059.800000000003</c:v>
                </c:pt>
                <c:pt idx="38">
                  <c:v>59240.2</c:v>
                </c:pt>
                <c:pt idx="39">
                  <c:v>93384.53</c:v>
                </c:pt>
                <c:pt idx="40">
                  <c:v>83061.009999999995</c:v>
                </c:pt>
                <c:pt idx="41">
                  <c:v>87910.43</c:v>
                </c:pt>
                <c:pt idx="42">
                  <c:v>86613</c:v>
                </c:pt>
                <c:pt idx="43">
                  <c:v>143957.49</c:v>
                </c:pt>
                <c:pt idx="44">
                  <c:v>15878.509999999993</c:v>
                </c:pt>
                <c:pt idx="45">
                  <c:v>18999.999999999996</c:v>
                </c:pt>
                <c:pt idx="46">
                  <c:v>15304</c:v>
                </c:pt>
                <c:pt idx="47">
                  <c:v>32863</c:v>
                </c:pt>
              </c:numCache>
            </c:numRef>
          </c:val>
        </c:ser>
        <c:ser>
          <c:idx val="1"/>
          <c:order val="1"/>
          <c:tx>
            <c:strRef>
              <c:f>'Working GC data - Geelong'!$C$44</c:f>
              <c:strCache>
                <c:ptCount val="1"/>
                <c:pt idx="0">
                  <c:v>Third party exports</c:v>
                </c:pt>
              </c:strCache>
            </c:strRef>
          </c:tx>
          <c:spPr>
            <a:solidFill>
              <a:schemeClr val="accent2">
                <a:lumMod val="60000"/>
                <a:lumOff val="40000"/>
              </a:schemeClr>
            </a:solidFill>
          </c:spPr>
          <c:invertIfNegative val="0"/>
          <c:cat>
            <c:numRef>
              <c:f>'Working GC data - Portland'!$P$7:$BK$7</c:f>
              <c:numCache>
                <c:formatCode>mmm\-yy</c:formatCode>
                <c:ptCount val="48"/>
                <c:pt idx="0">
                  <c:v>40452</c:v>
                </c:pt>
                <c:pt idx="1">
                  <c:v>40483</c:v>
                </c:pt>
                <c:pt idx="2">
                  <c:v>40513</c:v>
                </c:pt>
                <c:pt idx="3">
                  <c:v>40544</c:v>
                </c:pt>
                <c:pt idx="4">
                  <c:v>40575</c:v>
                </c:pt>
                <c:pt idx="5">
                  <c:v>40603</c:v>
                </c:pt>
                <c:pt idx="6">
                  <c:v>40634</c:v>
                </c:pt>
                <c:pt idx="7">
                  <c:v>40664</c:v>
                </c:pt>
                <c:pt idx="8">
                  <c:v>40695</c:v>
                </c:pt>
                <c:pt idx="9">
                  <c:v>40725</c:v>
                </c:pt>
                <c:pt idx="10">
                  <c:v>40756</c:v>
                </c:pt>
                <c:pt idx="11">
                  <c:v>40787</c:v>
                </c:pt>
                <c:pt idx="12">
                  <c:v>40817</c:v>
                </c:pt>
                <c:pt idx="13">
                  <c:v>40848</c:v>
                </c:pt>
                <c:pt idx="14">
                  <c:v>40878</c:v>
                </c:pt>
                <c:pt idx="15">
                  <c:v>40909</c:v>
                </c:pt>
                <c:pt idx="16">
                  <c:v>40940</c:v>
                </c:pt>
                <c:pt idx="17">
                  <c:v>40969</c:v>
                </c:pt>
                <c:pt idx="18">
                  <c:v>41000</c:v>
                </c:pt>
                <c:pt idx="19">
                  <c:v>41030</c:v>
                </c:pt>
                <c:pt idx="20">
                  <c:v>41061</c:v>
                </c:pt>
                <c:pt idx="21">
                  <c:v>41091</c:v>
                </c:pt>
                <c:pt idx="22">
                  <c:v>41122</c:v>
                </c:pt>
                <c:pt idx="23">
                  <c:v>41153</c:v>
                </c:pt>
                <c:pt idx="24">
                  <c:v>41183</c:v>
                </c:pt>
                <c:pt idx="25">
                  <c:v>41214</c:v>
                </c:pt>
                <c:pt idx="26">
                  <c:v>41244</c:v>
                </c:pt>
                <c:pt idx="27">
                  <c:v>41275</c:v>
                </c:pt>
                <c:pt idx="28">
                  <c:v>41306</c:v>
                </c:pt>
                <c:pt idx="29">
                  <c:v>41334</c:v>
                </c:pt>
                <c:pt idx="30">
                  <c:v>41365</c:v>
                </c:pt>
                <c:pt idx="31">
                  <c:v>41395</c:v>
                </c:pt>
                <c:pt idx="32">
                  <c:v>41426</c:v>
                </c:pt>
                <c:pt idx="33">
                  <c:v>41456</c:v>
                </c:pt>
                <c:pt idx="34">
                  <c:v>41487</c:v>
                </c:pt>
                <c:pt idx="35">
                  <c:v>41518</c:v>
                </c:pt>
                <c:pt idx="36">
                  <c:v>41548</c:v>
                </c:pt>
                <c:pt idx="37">
                  <c:v>41579</c:v>
                </c:pt>
                <c:pt idx="38">
                  <c:v>41609</c:v>
                </c:pt>
                <c:pt idx="39">
                  <c:v>41640</c:v>
                </c:pt>
                <c:pt idx="40">
                  <c:v>41671</c:v>
                </c:pt>
                <c:pt idx="41">
                  <c:v>41699</c:v>
                </c:pt>
                <c:pt idx="42">
                  <c:v>41730</c:v>
                </c:pt>
                <c:pt idx="43">
                  <c:v>41760</c:v>
                </c:pt>
                <c:pt idx="44">
                  <c:v>41791</c:v>
                </c:pt>
                <c:pt idx="45">
                  <c:v>41821</c:v>
                </c:pt>
                <c:pt idx="46">
                  <c:v>41852</c:v>
                </c:pt>
                <c:pt idx="47">
                  <c:v>41883</c:v>
                </c:pt>
              </c:numCache>
            </c:numRef>
          </c:cat>
          <c:val>
            <c:numRef>
              <c:f>'Working GC data - Geelong'!$P$44:$BK$44</c:f>
              <c:numCache>
                <c:formatCode>_(* #,##0_);_(* \(#,##0\);_(* "-"??_);_(@_)</c:formatCode>
                <c:ptCount val="48"/>
                <c:pt idx="0">
                  <c:v>72315.959999999992</c:v>
                </c:pt>
                <c:pt idx="1">
                  <c:v>0</c:v>
                </c:pt>
                <c:pt idx="2">
                  <c:v>17999.91</c:v>
                </c:pt>
                <c:pt idx="3">
                  <c:v>59522.37</c:v>
                </c:pt>
                <c:pt idx="4">
                  <c:v>220477.33999999991</c:v>
                </c:pt>
                <c:pt idx="5">
                  <c:v>135751.54999999999</c:v>
                </c:pt>
                <c:pt idx="6">
                  <c:v>164728.12</c:v>
                </c:pt>
                <c:pt idx="7">
                  <c:v>139150.59999999998</c:v>
                </c:pt>
                <c:pt idx="8">
                  <c:v>160505.62999999998</c:v>
                </c:pt>
                <c:pt idx="9">
                  <c:v>64923.22</c:v>
                </c:pt>
                <c:pt idx="10">
                  <c:v>248718.8</c:v>
                </c:pt>
                <c:pt idx="11">
                  <c:v>198282.59</c:v>
                </c:pt>
                <c:pt idx="12">
                  <c:v>193761.58000000002</c:v>
                </c:pt>
                <c:pt idx="13">
                  <c:v>103358.36000000002</c:v>
                </c:pt>
                <c:pt idx="14">
                  <c:v>145669.34</c:v>
                </c:pt>
                <c:pt idx="15">
                  <c:v>132506.47</c:v>
                </c:pt>
                <c:pt idx="16">
                  <c:v>119807.51</c:v>
                </c:pt>
                <c:pt idx="17">
                  <c:v>53734.52</c:v>
                </c:pt>
                <c:pt idx="18">
                  <c:v>231720.64999999997</c:v>
                </c:pt>
                <c:pt idx="19">
                  <c:v>143614.28999999998</c:v>
                </c:pt>
                <c:pt idx="20">
                  <c:v>132224.79</c:v>
                </c:pt>
                <c:pt idx="21">
                  <c:v>210048.31999999998</c:v>
                </c:pt>
                <c:pt idx="22">
                  <c:v>265343.68</c:v>
                </c:pt>
                <c:pt idx="23">
                  <c:v>104370</c:v>
                </c:pt>
                <c:pt idx="24">
                  <c:v>69000</c:v>
                </c:pt>
                <c:pt idx="25">
                  <c:v>45720.01</c:v>
                </c:pt>
                <c:pt idx="26">
                  <c:v>45600</c:v>
                </c:pt>
                <c:pt idx="27">
                  <c:v>142674</c:v>
                </c:pt>
                <c:pt idx="28">
                  <c:v>125538.28</c:v>
                </c:pt>
                <c:pt idx="29">
                  <c:v>164447.94</c:v>
                </c:pt>
                <c:pt idx="30">
                  <c:v>261025.46</c:v>
                </c:pt>
                <c:pt idx="31">
                  <c:v>311593.02999999997</c:v>
                </c:pt>
                <c:pt idx="32">
                  <c:v>154415.96000000002</c:v>
                </c:pt>
                <c:pt idx="33">
                  <c:v>110658.15000000002</c:v>
                </c:pt>
                <c:pt idx="34">
                  <c:v>107902.88</c:v>
                </c:pt>
                <c:pt idx="35">
                  <c:v>53754</c:v>
                </c:pt>
                <c:pt idx="36">
                  <c:v>20994</c:v>
                </c:pt>
                <c:pt idx="37">
                  <c:v>0</c:v>
                </c:pt>
                <c:pt idx="38">
                  <c:v>83500</c:v>
                </c:pt>
                <c:pt idx="39">
                  <c:v>161170.87999999998</c:v>
                </c:pt>
                <c:pt idx="40">
                  <c:v>141997.16</c:v>
                </c:pt>
                <c:pt idx="41">
                  <c:v>180287.97</c:v>
                </c:pt>
                <c:pt idx="42">
                  <c:v>98030.040000000008</c:v>
                </c:pt>
                <c:pt idx="43">
                  <c:v>86539.09</c:v>
                </c:pt>
                <c:pt idx="44">
                  <c:v>129700.86</c:v>
                </c:pt>
                <c:pt idx="45">
                  <c:v>27480.14</c:v>
                </c:pt>
                <c:pt idx="46">
                  <c:v>0</c:v>
                </c:pt>
                <c:pt idx="47">
                  <c:v>39558.199999999997</c:v>
                </c:pt>
              </c:numCache>
            </c:numRef>
          </c:val>
        </c:ser>
        <c:dLbls>
          <c:showLegendKey val="0"/>
          <c:showVal val="0"/>
          <c:showCatName val="0"/>
          <c:showSerName val="0"/>
          <c:showPercent val="0"/>
          <c:showBubbleSize val="0"/>
        </c:dLbls>
        <c:gapWidth val="150"/>
        <c:overlap val="100"/>
        <c:axId val="284560384"/>
        <c:axId val="284562176"/>
      </c:barChart>
      <c:lineChart>
        <c:grouping val="standard"/>
        <c:varyColors val="0"/>
        <c:ser>
          <c:idx val="3"/>
          <c:order val="2"/>
          <c:tx>
            <c:strRef>
              <c:f>'Working GC data - Geelong'!$C$50</c:f>
              <c:strCache>
                <c:ptCount val="1"/>
                <c:pt idx="0">
                  <c:v>2014-15 available capacity </c:v>
                </c:pt>
              </c:strCache>
            </c:strRef>
          </c:tx>
          <c:spPr>
            <a:ln w="25400">
              <a:solidFill>
                <a:srgbClr val="FF0000"/>
              </a:solidFill>
            </a:ln>
          </c:spPr>
          <c:marker>
            <c:symbol val="none"/>
          </c:marker>
          <c:val>
            <c:numRef>
              <c:f>'Working GC data - Geelong'!$P$50:$BK$50</c:f>
              <c:numCache>
                <c:formatCode>_(* #,##0_);_(* \(#,##0\);_(* "-"??_);_(@_)</c:formatCode>
                <c:ptCount val="48"/>
                <c:pt idx="0">
                  <c:v>100000</c:v>
                </c:pt>
                <c:pt idx="1">
                  <c:v>100000</c:v>
                </c:pt>
                <c:pt idx="2">
                  <c:v>200000</c:v>
                </c:pt>
                <c:pt idx="3">
                  <c:v>200000</c:v>
                </c:pt>
                <c:pt idx="4">
                  <c:v>250000</c:v>
                </c:pt>
                <c:pt idx="5">
                  <c:v>250000</c:v>
                </c:pt>
                <c:pt idx="6">
                  <c:v>250000</c:v>
                </c:pt>
                <c:pt idx="7">
                  <c:v>250000</c:v>
                </c:pt>
                <c:pt idx="8">
                  <c:v>250000</c:v>
                </c:pt>
                <c:pt idx="9">
                  <c:v>250000</c:v>
                </c:pt>
                <c:pt idx="10">
                  <c:v>250000</c:v>
                </c:pt>
                <c:pt idx="11">
                  <c:v>250000</c:v>
                </c:pt>
                <c:pt idx="12">
                  <c:v>100000</c:v>
                </c:pt>
                <c:pt idx="13">
                  <c:v>100000</c:v>
                </c:pt>
                <c:pt idx="14">
                  <c:v>200000</c:v>
                </c:pt>
                <c:pt idx="15">
                  <c:v>200000</c:v>
                </c:pt>
                <c:pt idx="16">
                  <c:v>250000</c:v>
                </c:pt>
                <c:pt idx="17">
                  <c:v>250000</c:v>
                </c:pt>
                <c:pt idx="18">
                  <c:v>250000</c:v>
                </c:pt>
                <c:pt idx="19">
                  <c:v>250000</c:v>
                </c:pt>
                <c:pt idx="20">
                  <c:v>250000</c:v>
                </c:pt>
                <c:pt idx="21">
                  <c:v>250000</c:v>
                </c:pt>
                <c:pt idx="22">
                  <c:v>250000</c:v>
                </c:pt>
                <c:pt idx="23">
                  <c:v>250000</c:v>
                </c:pt>
                <c:pt idx="24">
                  <c:v>100000</c:v>
                </c:pt>
                <c:pt idx="25">
                  <c:v>100000</c:v>
                </c:pt>
                <c:pt idx="26">
                  <c:v>200000</c:v>
                </c:pt>
                <c:pt idx="27">
                  <c:v>200000</c:v>
                </c:pt>
                <c:pt idx="28">
                  <c:v>250000</c:v>
                </c:pt>
                <c:pt idx="29">
                  <c:v>250000</c:v>
                </c:pt>
                <c:pt idx="30">
                  <c:v>250000</c:v>
                </c:pt>
                <c:pt idx="31">
                  <c:v>250000</c:v>
                </c:pt>
                <c:pt idx="32">
                  <c:v>250000</c:v>
                </c:pt>
                <c:pt idx="33">
                  <c:v>250000</c:v>
                </c:pt>
                <c:pt idx="34">
                  <c:v>250000</c:v>
                </c:pt>
                <c:pt idx="35">
                  <c:v>250000</c:v>
                </c:pt>
                <c:pt idx="36">
                  <c:v>100000</c:v>
                </c:pt>
                <c:pt idx="37">
                  <c:v>100000</c:v>
                </c:pt>
                <c:pt idx="38">
                  <c:v>200000</c:v>
                </c:pt>
                <c:pt idx="39">
                  <c:v>200000</c:v>
                </c:pt>
                <c:pt idx="40">
                  <c:v>250000</c:v>
                </c:pt>
                <c:pt idx="41">
                  <c:v>250000</c:v>
                </c:pt>
                <c:pt idx="42">
                  <c:v>250000</c:v>
                </c:pt>
                <c:pt idx="43">
                  <c:v>250000</c:v>
                </c:pt>
                <c:pt idx="44">
                  <c:v>250000</c:v>
                </c:pt>
                <c:pt idx="45">
                  <c:v>250000</c:v>
                </c:pt>
                <c:pt idx="46">
                  <c:v>250000</c:v>
                </c:pt>
                <c:pt idx="47">
                  <c:v>250000</c:v>
                </c:pt>
              </c:numCache>
            </c:numRef>
          </c:val>
          <c:smooth val="0"/>
        </c:ser>
        <c:ser>
          <c:idx val="2"/>
          <c:order val="3"/>
          <c:tx>
            <c:strRef>
              <c:f>'Working GC data - Geelong'!$C$51</c:f>
              <c:strCache>
                <c:ptCount val="1"/>
                <c:pt idx="0">
                  <c:v>Historic maximum monthly throughput</c:v>
                </c:pt>
              </c:strCache>
            </c:strRef>
          </c:tx>
          <c:spPr>
            <a:ln w="38100">
              <a:solidFill>
                <a:srgbClr val="70AD47">
                  <a:lumMod val="75000"/>
                </a:srgbClr>
              </a:solidFill>
              <a:prstDash val="sysDot"/>
            </a:ln>
          </c:spPr>
          <c:marker>
            <c:symbol val="none"/>
          </c:marker>
          <c:val>
            <c:numRef>
              <c:f>'Working GC data - Geelong'!$P$51:$BK$51</c:f>
              <c:numCache>
                <c:formatCode>_(* #,##0_);_(* \(#,##0\);_(* "-"??_);_(@_)</c:formatCode>
                <c:ptCount val="48"/>
                <c:pt idx="0">
                  <c:v>358318.51999999996</c:v>
                </c:pt>
                <c:pt idx="1">
                  <c:v>358318.51999999996</c:v>
                </c:pt>
                <c:pt idx="2">
                  <c:v>358318.51999999996</c:v>
                </c:pt>
                <c:pt idx="3">
                  <c:v>358318.51999999996</c:v>
                </c:pt>
                <c:pt idx="4">
                  <c:v>358318.51999999996</c:v>
                </c:pt>
                <c:pt idx="5">
                  <c:v>358318.51999999996</c:v>
                </c:pt>
                <c:pt idx="6">
                  <c:v>358318.51999999996</c:v>
                </c:pt>
                <c:pt idx="7">
                  <c:v>358318.51999999996</c:v>
                </c:pt>
                <c:pt idx="8">
                  <c:v>358318.51999999996</c:v>
                </c:pt>
                <c:pt idx="9">
                  <c:v>358318.51999999996</c:v>
                </c:pt>
                <c:pt idx="10">
                  <c:v>358318.51999999996</c:v>
                </c:pt>
                <c:pt idx="11">
                  <c:v>358318.51999999996</c:v>
                </c:pt>
                <c:pt idx="12">
                  <c:v>358318.51999999996</c:v>
                </c:pt>
                <c:pt idx="13">
                  <c:v>358318.51999999996</c:v>
                </c:pt>
                <c:pt idx="14">
                  <c:v>358318.51999999996</c:v>
                </c:pt>
                <c:pt idx="15">
                  <c:v>358318.51999999996</c:v>
                </c:pt>
                <c:pt idx="16">
                  <c:v>358318.51999999996</c:v>
                </c:pt>
                <c:pt idx="17">
                  <c:v>358318.51999999996</c:v>
                </c:pt>
                <c:pt idx="18">
                  <c:v>358318.51999999996</c:v>
                </c:pt>
                <c:pt idx="19">
                  <c:v>358318.51999999996</c:v>
                </c:pt>
                <c:pt idx="20">
                  <c:v>358318.51999999996</c:v>
                </c:pt>
                <c:pt idx="21">
                  <c:v>358318.51999999996</c:v>
                </c:pt>
                <c:pt idx="22">
                  <c:v>358318.51999999996</c:v>
                </c:pt>
                <c:pt idx="23">
                  <c:v>358318.51999999996</c:v>
                </c:pt>
                <c:pt idx="24">
                  <c:v>358318.51999999996</c:v>
                </c:pt>
                <c:pt idx="25">
                  <c:v>358318.51999999996</c:v>
                </c:pt>
                <c:pt idx="26">
                  <c:v>358318.51999999996</c:v>
                </c:pt>
                <c:pt idx="27">
                  <c:v>358318.51999999996</c:v>
                </c:pt>
                <c:pt idx="28">
                  <c:v>358318.51999999996</c:v>
                </c:pt>
                <c:pt idx="29">
                  <c:v>358318.51999999996</c:v>
                </c:pt>
                <c:pt idx="30">
                  <c:v>358318.51999999996</c:v>
                </c:pt>
                <c:pt idx="31">
                  <c:v>358318.51999999996</c:v>
                </c:pt>
                <c:pt idx="32">
                  <c:v>358318.51999999996</c:v>
                </c:pt>
                <c:pt idx="33">
                  <c:v>358318.51999999996</c:v>
                </c:pt>
                <c:pt idx="34">
                  <c:v>358318.51999999996</c:v>
                </c:pt>
                <c:pt idx="35">
                  <c:v>358318.51999999996</c:v>
                </c:pt>
                <c:pt idx="36">
                  <c:v>358318.51999999996</c:v>
                </c:pt>
                <c:pt idx="37">
                  <c:v>358318.51999999996</c:v>
                </c:pt>
                <c:pt idx="38">
                  <c:v>358318.51999999996</c:v>
                </c:pt>
                <c:pt idx="39">
                  <c:v>358318.51999999996</c:v>
                </c:pt>
                <c:pt idx="40">
                  <c:v>358318.51999999996</c:v>
                </c:pt>
                <c:pt idx="41">
                  <c:v>358318.51999999996</c:v>
                </c:pt>
                <c:pt idx="42">
                  <c:v>358318.51999999996</c:v>
                </c:pt>
                <c:pt idx="43">
                  <c:v>358318.51999999996</c:v>
                </c:pt>
                <c:pt idx="44">
                  <c:v>358318.51999999996</c:v>
                </c:pt>
                <c:pt idx="45">
                  <c:v>358318.51999999996</c:v>
                </c:pt>
                <c:pt idx="46">
                  <c:v>358318.51999999996</c:v>
                </c:pt>
                <c:pt idx="47">
                  <c:v>358318.51999999996</c:v>
                </c:pt>
              </c:numCache>
            </c:numRef>
          </c:val>
          <c:smooth val="0"/>
        </c:ser>
        <c:ser>
          <c:idx val="4"/>
          <c:order val="4"/>
          <c:tx>
            <c:strRef>
              <c:f>'Working GC data - Geelong'!$C$52</c:f>
              <c:strCache>
                <c:ptCount val="1"/>
                <c:pt idx="0">
                  <c:v>Stated maximum capacity (averaged)</c:v>
                </c:pt>
              </c:strCache>
            </c:strRef>
          </c:tx>
          <c:spPr>
            <a:ln w="38100">
              <a:prstDash val="dash"/>
            </a:ln>
          </c:spPr>
          <c:marker>
            <c:symbol val="none"/>
          </c:marker>
          <c:val>
            <c:numRef>
              <c:f>'Working GC data - Geelong'!$P$52:$BK$52</c:f>
              <c:numCache>
                <c:formatCode>_(* #,##0_);_(* \(#,##0\);_(* "-"??_);_(@_)</c:formatCode>
                <c:ptCount val="48"/>
                <c:pt idx="0">
                  <c:v>283333.33333333343</c:v>
                </c:pt>
                <c:pt idx="1">
                  <c:v>283333.33333333343</c:v>
                </c:pt>
                <c:pt idx="2">
                  <c:v>283333.33333333343</c:v>
                </c:pt>
                <c:pt idx="3">
                  <c:v>283333.33333333343</c:v>
                </c:pt>
                <c:pt idx="4">
                  <c:v>283333.33333333343</c:v>
                </c:pt>
                <c:pt idx="5">
                  <c:v>283333.33333333343</c:v>
                </c:pt>
                <c:pt idx="6">
                  <c:v>283333.33333333343</c:v>
                </c:pt>
                <c:pt idx="7">
                  <c:v>283333.33333333343</c:v>
                </c:pt>
                <c:pt idx="8">
                  <c:v>283333.33333333343</c:v>
                </c:pt>
                <c:pt idx="9">
                  <c:v>283333.33333333343</c:v>
                </c:pt>
                <c:pt idx="10">
                  <c:v>283333.33333333343</c:v>
                </c:pt>
                <c:pt idx="11">
                  <c:v>283333.33333333343</c:v>
                </c:pt>
                <c:pt idx="12">
                  <c:v>283333.33333333343</c:v>
                </c:pt>
                <c:pt idx="13">
                  <c:v>283333.33333333343</c:v>
                </c:pt>
                <c:pt idx="14">
                  <c:v>283333.33333333343</c:v>
                </c:pt>
                <c:pt idx="15">
                  <c:v>283333.33333333343</c:v>
                </c:pt>
                <c:pt idx="16">
                  <c:v>283333.33333333343</c:v>
                </c:pt>
                <c:pt idx="17">
                  <c:v>283333.33333333343</c:v>
                </c:pt>
                <c:pt idx="18">
                  <c:v>283333.33333333343</c:v>
                </c:pt>
                <c:pt idx="19">
                  <c:v>283333.33333333343</c:v>
                </c:pt>
                <c:pt idx="20">
                  <c:v>283333.33333333343</c:v>
                </c:pt>
                <c:pt idx="21">
                  <c:v>283333.33333333343</c:v>
                </c:pt>
                <c:pt idx="22">
                  <c:v>283333.33333333343</c:v>
                </c:pt>
                <c:pt idx="23">
                  <c:v>283333.33333333343</c:v>
                </c:pt>
                <c:pt idx="24">
                  <c:v>283333.33333333343</c:v>
                </c:pt>
                <c:pt idx="25">
                  <c:v>283333.33333333343</c:v>
                </c:pt>
                <c:pt idx="26">
                  <c:v>283333.33333333343</c:v>
                </c:pt>
                <c:pt idx="27">
                  <c:v>283333.33333333343</c:v>
                </c:pt>
                <c:pt idx="28">
                  <c:v>283333.33333333343</c:v>
                </c:pt>
                <c:pt idx="29">
                  <c:v>283333.33333333343</c:v>
                </c:pt>
                <c:pt idx="30">
                  <c:v>283333.33333333343</c:v>
                </c:pt>
                <c:pt idx="31">
                  <c:v>283333.33333333343</c:v>
                </c:pt>
                <c:pt idx="32">
                  <c:v>283333.33333333343</c:v>
                </c:pt>
                <c:pt idx="33">
                  <c:v>283333.33333333343</c:v>
                </c:pt>
                <c:pt idx="34">
                  <c:v>283333.33333333343</c:v>
                </c:pt>
                <c:pt idx="35">
                  <c:v>283333.33333333343</c:v>
                </c:pt>
                <c:pt idx="36">
                  <c:v>283333.33333333343</c:v>
                </c:pt>
                <c:pt idx="37">
                  <c:v>283333.33333333343</c:v>
                </c:pt>
                <c:pt idx="38">
                  <c:v>283333.33333333343</c:v>
                </c:pt>
                <c:pt idx="39">
                  <c:v>283333.33333333343</c:v>
                </c:pt>
                <c:pt idx="40">
                  <c:v>283333.33333333343</c:v>
                </c:pt>
                <c:pt idx="41">
                  <c:v>283333.33333333343</c:v>
                </c:pt>
                <c:pt idx="42">
                  <c:v>283333.33333333343</c:v>
                </c:pt>
                <c:pt idx="43">
                  <c:v>283333.33333333343</c:v>
                </c:pt>
                <c:pt idx="44">
                  <c:v>283333.33333333343</c:v>
                </c:pt>
                <c:pt idx="45">
                  <c:v>283333.33333333343</c:v>
                </c:pt>
                <c:pt idx="46">
                  <c:v>283333.33333333343</c:v>
                </c:pt>
                <c:pt idx="47">
                  <c:v>283333.33333333343</c:v>
                </c:pt>
              </c:numCache>
            </c:numRef>
          </c:val>
          <c:smooth val="0"/>
        </c:ser>
        <c:dLbls>
          <c:showLegendKey val="0"/>
          <c:showVal val="0"/>
          <c:showCatName val="0"/>
          <c:showSerName val="0"/>
          <c:showPercent val="0"/>
          <c:showBubbleSize val="0"/>
        </c:dLbls>
        <c:marker val="1"/>
        <c:smooth val="0"/>
        <c:axId val="284560384"/>
        <c:axId val="284562176"/>
      </c:lineChart>
      <c:dateAx>
        <c:axId val="284560384"/>
        <c:scaling>
          <c:orientation val="minMax"/>
        </c:scaling>
        <c:delete val="0"/>
        <c:axPos val="b"/>
        <c:numFmt formatCode="mmm\-yy" sourceLinked="1"/>
        <c:majorTickMark val="out"/>
        <c:minorTickMark val="none"/>
        <c:tickLblPos val="nextTo"/>
        <c:txPr>
          <a:bodyPr rot="-5400000" vert="horz"/>
          <a:lstStyle/>
          <a:p>
            <a:pPr>
              <a:defRPr/>
            </a:pPr>
            <a:endParaRPr lang="en-US"/>
          </a:p>
        </c:txPr>
        <c:crossAx val="284562176"/>
        <c:crosses val="autoZero"/>
        <c:auto val="1"/>
        <c:lblOffset val="100"/>
        <c:baseTimeUnit val="months"/>
        <c:majorUnit val="2"/>
        <c:majorTimeUnit val="months"/>
      </c:dateAx>
      <c:valAx>
        <c:axId val="284562176"/>
        <c:scaling>
          <c:orientation val="minMax"/>
        </c:scaling>
        <c:delete val="0"/>
        <c:axPos val="l"/>
        <c:majorGridlines/>
        <c:numFmt formatCode="_(* #,##0_);_(* \(#,##0\);_(* &quot;-&quot;??_);_(@_)" sourceLinked="1"/>
        <c:majorTickMark val="out"/>
        <c:minorTickMark val="none"/>
        <c:tickLblPos val="nextTo"/>
        <c:crossAx val="284560384"/>
        <c:crosses val="autoZero"/>
        <c:crossBetween val="between"/>
      </c:valAx>
      <c:spPr>
        <a:ln>
          <a:solidFill>
            <a:schemeClr val="tx1"/>
          </a:solidFill>
        </a:ln>
      </c:spPr>
    </c:plotArea>
    <c:legend>
      <c:legendPos val="b"/>
      <c:layout>
        <c:manualLayout>
          <c:xMode val="edge"/>
          <c:yMode val="edge"/>
          <c:x val="0.10483041927451377"/>
          <c:y val="0.87118869492934325"/>
          <c:w val="0.81649159724851939"/>
          <c:h val="0.1212972817300581"/>
        </c:manualLayout>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4647338313480114E-2"/>
          <c:y val="4.0028940718551495E-2"/>
          <c:w val="0.88672723601857506"/>
          <c:h val="0.70460290179463581"/>
        </c:manualLayout>
      </c:layout>
      <c:barChart>
        <c:barDir val="col"/>
        <c:grouping val="stacked"/>
        <c:varyColors val="0"/>
        <c:ser>
          <c:idx val="0"/>
          <c:order val="0"/>
          <c:tx>
            <c:strRef>
              <c:f>'Working GC data - Portland'!$C$23</c:f>
              <c:strCache>
                <c:ptCount val="1"/>
                <c:pt idx="0">
                  <c:v>GrainCorp exports</c:v>
                </c:pt>
              </c:strCache>
            </c:strRef>
          </c:tx>
          <c:spPr>
            <a:solidFill>
              <a:srgbClr val="5B9BD5">
                <a:lumMod val="60000"/>
                <a:lumOff val="40000"/>
              </a:srgbClr>
            </a:solidFill>
          </c:spPr>
          <c:invertIfNegative val="0"/>
          <c:cat>
            <c:numRef>
              <c:f>'Working GC data - Portland'!$P$7:$BK$7</c:f>
              <c:numCache>
                <c:formatCode>mmm\-yy</c:formatCode>
                <c:ptCount val="48"/>
                <c:pt idx="0">
                  <c:v>40452</c:v>
                </c:pt>
                <c:pt idx="1">
                  <c:v>40483</c:v>
                </c:pt>
                <c:pt idx="2">
                  <c:v>40513</c:v>
                </c:pt>
                <c:pt idx="3">
                  <c:v>40544</c:v>
                </c:pt>
                <c:pt idx="4">
                  <c:v>40575</c:v>
                </c:pt>
                <c:pt idx="5">
                  <c:v>40603</c:v>
                </c:pt>
                <c:pt idx="6">
                  <c:v>40634</c:v>
                </c:pt>
                <c:pt idx="7">
                  <c:v>40664</c:v>
                </c:pt>
                <c:pt idx="8">
                  <c:v>40695</c:v>
                </c:pt>
                <c:pt idx="9">
                  <c:v>40725</c:v>
                </c:pt>
                <c:pt idx="10">
                  <c:v>40756</c:v>
                </c:pt>
                <c:pt idx="11">
                  <c:v>40787</c:v>
                </c:pt>
                <c:pt idx="12">
                  <c:v>40817</c:v>
                </c:pt>
                <c:pt idx="13">
                  <c:v>40848</c:v>
                </c:pt>
                <c:pt idx="14">
                  <c:v>40878</c:v>
                </c:pt>
                <c:pt idx="15">
                  <c:v>40909</c:v>
                </c:pt>
                <c:pt idx="16">
                  <c:v>40940</c:v>
                </c:pt>
                <c:pt idx="17">
                  <c:v>40969</c:v>
                </c:pt>
                <c:pt idx="18">
                  <c:v>41000</c:v>
                </c:pt>
                <c:pt idx="19">
                  <c:v>41030</c:v>
                </c:pt>
                <c:pt idx="20">
                  <c:v>41061</c:v>
                </c:pt>
                <c:pt idx="21">
                  <c:v>41091</c:v>
                </c:pt>
                <c:pt idx="22">
                  <c:v>41122</c:v>
                </c:pt>
                <c:pt idx="23">
                  <c:v>41153</c:v>
                </c:pt>
                <c:pt idx="24">
                  <c:v>41183</c:v>
                </c:pt>
                <c:pt idx="25">
                  <c:v>41214</c:v>
                </c:pt>
                <c:pt idx="26">
                  <c:v>41244</c:v>
                </c:pt>
                <c:pt idx="27">
                  <c:v>41275</c:v>
                </c:pt>
                <c:pt idx="28">
                  <c:v>41306</c:v>
                </c:pt>
                <c:pt idx="29">
                  <c:v>41334</c:v>
                </c:pt>
                <c:pt idx="30">
                  <c:v>41365</c:v>
                </c:pt>
                <c:pt idx="31">
                  <c:v>41395</c:v>
                </c:pt>
                <c:pt idx="32">
                  <c:v>41426</c:v>
                </c:pt>
                <c:pt idx="33">
                  <c:v>41456</c:v>
                </c:pt>
                <c:pt idx="34">
                  <c:v>41487</c:v>
                </c:pt>
                <c:pt idx="35">
                  <c:v>41518</c:v>
                </c:pt>
                <c:pt idx="36">
                  <c:v>41548</c:v>
                </c:pt>
                <c:pt idx="37">
                  <c:v>41579</c:v>
                </c:pt>
                <c:pt idx="38">
                  <c:v>41609</c:v>
                </c:pt>
                <c:pt idx="39">
                  <c:v>41640</c:v>
                </c:pt>
                <c:pt idx="40">
                  <c:v>41671</c:v>
                </c:pt>
                <c:pt idx="41">
                  <c:v>41699</c:v>
                </c:pt>
                <c:pt idx="42">
                  <c:v>41730</c:v>
                </c:pt>
                <c:pt idx="43">
                  <c:v>41760</c:v>
                </c:pt>
                <c:pt idx="44">
                  <c:v>41791</c:v>
                </c:pt>
                <c:pt idx="45">
                  <c:v>41821</c:v>
                </c:pt>
                <c:pt idx="46">
                  <c:v>41852</c:v>
                </c:pt>
                <c:pt idx="47">
                  <c:v>41883</c:v>
                </c:pt>
              </c:numCache>
            </c:numRef>
          </c:cat>
          <c:val>
            <c:numRef>
              <c:f>'Working GC data - Portland'!$P$23:$BK$23</c:f>
              <c:numCache>
                <c:formatCode>_(* #,##0_);_(* \(#,##0\);_(* "-"??_);_(@_)</c:formatCode>
                <c:ptCount val="48"/>
                <c:pt idx="0">
                  <c:v>26973.57</c:v>
                </c:pt>
                <c:pt idx="1">
                  <c:v>40408.43</c:v>
                </c:pt>
                <c:pt idx="2">
                  <c:v>0</c:v>
                </c:pt>
                <c:pt idx="3">
                  <c:v>32702.550000000003</c:v>
                </c:pt>
                <c:pt idx="4">
                  <c:v>17500.010000000002</c:v>
                </c:pt>
                <c:pt idx="5">
                  <c:v>25900.060000000005</c:v>
                </c:pt>
                <c:pt idx="6">
                  <c:v>17000</c:v>
                </c:pt>
                <c:pt idx="7">
                  <c:v>0</c:v>
                </c:pt>
                <c:pt idx="8">
                  <c:v>15237.31</c:v>
                </c:pt>
                <c:pt idx="9">
                  <c:v>18594.43</c:v>
                </c:pt>
                <c:pt idx="10">
                  <c:v>0</c:v>
                </c:pt>
                <c:pt idx="11">
                  <c:v>20300.050000000003</c:v>
                </c:pt>
                <c:pt idx="12">
                  <c:v>21500.01</c:v>
                </c:pt>
                <c:pt idx="13">
                  <c:v>30250.02</c:v>
                </c:pt>
                <c:pt idx="14">
                  <c:v>0</c:v>
                </c:pt>
                <c:pt idx="15">
                  <c:v>28819.440000000013</c:v>
                </c:pt>
                <c:pt idx="16">
                  <c:v>0</c:v>
                </c:pt>
                <c:pt idx="17">
                  <c:v>16500.02</c:v>
                </c:pt>
                <c:pt idx="18">
                  <c:v>7202.37</c:v>
                </c:pt>
                <c:pt idx="19">
                  <c:v>41383.050000000003</c:v>
                </c:pt>
                <c:pt idx="20">
                  <c:v>7214.81</c:v>
                </c:pt>
                <c:pt idx="21">
                  <c:v>29063.020000000004</c:v>
                </c:pt>
                <c:pt idx="22">
                  <c:v>42177.710000000006</c:v>
                </c:pt>
                <c:pt idx="23">
                  <c:v>0</c:v>
                </c:pt>
                <c:pt idx="24">
                  <c:v>19550.100000000002</c:v>
                </c:pt>
                <c:pt idx="25">
                  <c:v>29885.09</c:v>
                </c:pt>
                <c:pt idx="26">
                  <c:v>0</c:v>
                </c:pt>
                <c:pt idx="27">
                  <c:v>15590</c:v>
                </c:pt>
                <c:pt idx="28">
                  <c:v>11000</c:v>
                </c:pt>
                <c:pt idx="29">
                  <c:v>22000</c:v>
                </c:pt>
                <c:pt idx="30">
                  <c:v>0</c:v>
                </c:pt>
                <c:pt idx="31">
                  <c:v>0</c:v>
                </c:pt>
                <c:pt idx="32">
                  <c:v>0</c:v>
                </c:pt>
                <c:pt idx="33">
                  <c:v>0</c:v>
                </c:pt>
                <c:pt idx="34">
                  <c:v>0</c:v>
                </c:pt>
                <c:pt idx="35">
                  <c:v>0</c:v>
                </c:pt>
                <c:pt idx="36">
                  <c:v>0</c:v>
                </c:pt>
                <c:pt idx="37">
                  <c:v>33840</c:v>
                </c:pt>
                <c:pt idx="38">
                  <c:v>0</c:v>
                </c:pt>
                <c:pt idx="39">
                  <c:v>32375.710000000003</c:v>
                </c:pt>
                <c:pt idx="40">
                  <c:v>0</c:v>
                </c:pt>
                <c:pt idx="41">
                  <c:v>44732.850000000013</c:v>
                </c:pt>
                <c:pt idx="42">
                  <c:v>46014</c:v>
                </c:pt>
                <c:pt idx="43">
                  <c:v>19620</c:v>
                </c:pt>
                <c:pt idx="44">
                  <c:v>28699.999999999996</c:v>
                </c:pt>
                <c:pt idx="45">
                  <c:v>0</c:v>
                </c:pt>
                <c:pt idx="46">
                  <c:v>0</c:v>
                </c:pt>
                <c:pt idx="47">
                  <c:v>0</c:v>
                </c:pt>
              </c:numCache>
            </c:numRef>
          </c:val>
        </c:ser>
        <c:ser>
          <c:idx val="1"/>
          <c:order val="1"/>
          <c:tx>
            <c:strRef>
              <c:f>'Working GC data - Portland'!$C$35</c:f>
              <c:strCache>
                <c:ptCount val="1"/>
                <c:pt idx="0">
                  <c:v>Third party exports</c:v>
                </c:pt>
              </c:strCache>
            </c:strRef>
          </c:tx>
          <c:spPr>
            <a:solidFill>
              <a:schemeClr val="accent2">
                <a:lumMod val="60000"/>
                <a:lumOff val="40000"/>
              </a:schemeClr>
            </a:solidFill>
          </c:spPr>
          <c:invertIfNegative val="0"/>
          <c:cat>
            <c:numRef>
              <c:f>'Working GC data - Portland'!$P$7:$BK$7</c:f>
              <c:numCache>
                <c:formatCode>mmm\-yy</c:formatCode>
                <c:ptCount val="48"/>
                <c:pt idx="0">
                  <c:v>40452</c:v>
                </c:pt>
                <c:pt idx="1">
                  <c:v>40483</c:v>
                </c:pt>
                <c:pt idx="2">
                  <c:v>40513</c:v>
                </c:pt>
                <c:pt idx="3">
                  <c:v>40544</c:v>
                </c:pt>
                <c:pt idx="4">
                  <c:v>40575</c:v>
                </c:pt>
                <c:pt idx="5">
                  <c:v>40603</c:v>
                </c:pt>
                <c:pt idx="6">
                  <c:v>40634</c:v>
                </c:pt>
                <c:pt idx="7">
                  <c:v>40664</c:v>
                </c:pt>
                <c:pt idx="8">
                  <c:v>40695</c:v>
                </c:pt>
                <c:pt idx="9">
                  <c:v>40725</c:v>
                </c:pt>
                <c:pt idx="10">
                  <c:v>40756</c:v>
                </c:pt>
                <c:pt idx="11">
                  <c:v>40787</c:v>
                </c:pt>
                <c:pt idx="12">
                  <c:v>40817</c:v>
                </c:pt>
                <c:pt idx="13">
                  <c:v>40848</c:v>
                </c:pt>
                <c:pt idx="14">
                  <c:v>40878</c:v>
                </c:pt>
                <c:pt idx="15">
                  <c:v>40909</c:v>
                </c:pt>
                <c:pt idx="16">
                  <c:v>40940</c:v>
                </c:pt>
                <c:pt idx="17">
                  <c:v>40969</c:v>
                </c:pt>
                <c:pt idx="18">
                  <c:v>41000</c:v>
                </c:pt>
                <c:pt idx="19">
                  <c:v>41030</c:v>
                </c:pt>
                <c:pt idx="20">
                  <c:v>41061</c:v>
                </c:pt>
                <c:pt idx="21">
                  <c:v>41091</c:v>
                </c:pt>
                <c:pt idx="22">
                  <c:v>41122</c:v>
                </c:pt>
                <c:pt idx="23">
                  <c:v>41153</c:v>
                </c:pt>
                <c:pt idx="24">
                  <c:v>41183</c:v>
                </c:pt>
                <c:pt idx="25">
                  <c:v>41214</c:v>
                </c:pt>
                <c:pt idx="26">
                  <c:v>41244</c:v>
                </c:pt>
                <c:pt idx="27">
                  <c:v>41275</c:v>
                </c:pt>
                <c:pt idx="28">
                  <c:v>41306</c:v>
                </c:pt>
                <c:pt idx="29">
                  <c:v>41334</c:v>
                </c:pt>
                <c:pt idx="30">
                  <c:v>41365</c:v>
                </c:pt>
                <c:pt idx="31">
                  <c:v>41395</c:v>
                </c:pt>
                <c:pt idx="32">
                  <c:v>41426</c:v>
                </c:pt>
                <c:pt idx="33">
                  <c:v>41456</c:v>
                </c:pt>
                <c:pt idx="34">
                  <c:v>41487</c:v>
                </c:pt>
                <c:pt idx="35">
                  <c:v>41518</c:v>
                </c:pt>
                <c:pt idx="36">
                  <c:v>41548</c:v>
                </c:pt>
                <c:pt idx="37">
                  <c:v>41579</c:v>
                </c:pt>
                <c:pt idx="38">
                  <c:v>41609</c:v>
                </c:pt>
                <c:pt idx="39">
                  <c:v>41640</c:v>
                </c:pt>
                <c:pt idx="40">
                  <c:v>41671</c:v>
                </c:pt>
                <c:pt idx="41">
                  <c:v>41699</c:v>
                </c:pt>
                <c:pt idx="42">
                  <c:v>41730</c:v>
                </c:pt>
                <c:pt idx="43">
                  <c:v>41760</c:v>
                </c:pt>
                <c:pt idx="44">
                  <c:v>41791</c:v>
                </c:pt>
                <c:pt idx="45">
                  <c:v>41821</c:v>
                </c:pt>
                <c:pt idx="46">
                  <c:v>41852</c:v>
                </c:pt>
                <c:pt idx="47">
                  <c:v>41883</c:v>
                </c:pt>
              </c:numCache>
            </c:numRef>
          </c:cat>
          <c:val>
            <c:numRef>
              <c:f>'Working GC data - Portland'!$P$35:$BK$35</c:f>
              <c:numCache>
                <c:formatCode>_(* #,##0_);_(* \(#,##0\);_(* "-"??_);_(@_)</c:formatCode>
                <c:ptCount val="48"/>
                <c:pt idx="0">
                  <c:v>0</c:v>
                </c:pt>
                <c:pt idx="1">
                  <c:v>0</c:v>
                </c:pt>
                <c:pt idx="2">
                  <c:v>0</c:v>
                </c:pt>
                <c:pt idx="3">
                  <c:v>25428.77</c:v>
                </c:pt>
                <c:pt idx="4">
                  <c:v>24999.999999999996</c:v>
                </c:pt>
                <c:pt idx="5">
                  <c:v>55000.03</c:v>
                </c:pt>
                <c:pt idx="6">
                  <c:v>51015.199999999997</c:v>
                </c:pt>
                <c:pt idx="7">
                  <c:v>53543.64</c:v>
                </c:pt>
                <c:pt idx="8">
                  <c:v>65975.120000000024</c:v>
                </c:pt>
                <c:pt idx="9">
                  <c:v>38700.130000000005</c:v>
                </c:pt>
                <c:pt idx="10">
                  <c:v>41822.929999999993</c:v>
                </c:pt>
                <c:pt idx="11">
                  <c:v>71733.570000000007</c:v>
                </c:pt>
                <c:pt idx="12">
                  <c:v>41110.01</c:v>
                </c:pt>
                <c:pt idx="13">
                  <c:v>0</c:v>
                </c:pt>
                <c:pt idx="14">
                  <c:v>46193.15</c:v>
                </c:pt>
                <c:pt idx="15">
                  <c:v>82685.299999999988</c:v>
                </c:pt>
                <c:pt idx="16">
                  <c:v>83125.14</c:v>
                </c:pt>
                <c:pt idx="17">
                  <c:v>103309.75000000001</c:v>
                </c:pt>
                <c:pt idx="18">
                  <c:v>44063.92</c:v>
                </c:pt>
                <c:pt idx="19">
                  <c:v>74683.429999999993</c:v>
                </c:pt>
                <c:pt idx="20">
                  <c:v>90428.150000000023</c:v>
                </c:pt>
                <c:pt idx="21">
                  <c:v>96358.489999999991</c:v>
                </c:pt>
                <c:pt idx="22">
                  <c:v>72563.08</c:v>
                </c:pt>
                <c:pt idx="23">
                  <c:v>62059.310000000012</c:v>
                </c:pt>
                <c:pt idx="24">
                  <c:v>1057.99</c:v>
                </c:pt>
                <c:pt idx="25">
                  <c:v>28388.010000000006</c:v>
                </c:pt>
                <c:pt idx="26">
                  <c:v>24176.82</c:v>
                </c:pt>
                <c:pt idx="27">
                  <c:v>56915.709999999992</c:v>
                </c:pt>
                <c:pt idx="28">
                  <c:v>76820.349999999991</c:v>
                </c:pt>
                <c:pt idx="29">
                  <c:v>87691.199999999997</c:v>
                </c:pt>
                <c:pt idx="30">
                  <c:v>62397.94</c:v>
                </c:pt>
                <c:pt idx="31">
                  <c:v>110108.81</c:v>
                </c:pt>
                <c:pt idx="32">
                  <c:v>63677.450000000012</c:v>
                </c:pt>
                <c:pt idx="33">
                  <c:v>27000.000000000004</c:v>
                </c:pt>
                <c:pt idx="34">
                  <c:v>103919.47</c:v>
                </c:pt>
                <c:pt idx="35">
                  <c:v>0</c:v>
                </c:pt>
                <c:pt idx="36">
                  <c:v>0</c:v>
                </c:pt>
                <c:pt idx="37">
                  <c:v>0</c:v>
                </c:pt>
                <c:pt idx="38">
                  <c:v>14590.649999999994</c:v>
                </c:pt>
                <c:pt idx="39">
                  <c:v>79081.650000000023</c:v>
                </c:pt>
                <c:pt idx="40">
                  <c:v>52900.570000000007</c:v>
                </c:pt>
                <c:pt idx="41">
                  <c:v>36985.020000000004</c:v>
                </c:pt>
                <c:pt idx="42">
                  <c:v>44617.24</c:v>
                </c:pt>
                <c:pt idx="43">
                  <c:v>95751.760000000009</c:v>
                </c:pt>
                <c:pt idx="44">
                  <c:v>21600</c:v>
                </c:pt>
                <c:pt idx="45">
                  <c:v>16586.64</c:v>
                </c:pt>
                <c:pt idx="46">
                  <c:v>0</c:v>
                </c:pt>
                <c:pt idx="47">
                  <c:v>0</c:v>
                </c:pt>
              </c:numCache>
            </c:numRef>
          </c:val>
        </c:ser>
        <c:dLbls>
          <c:showLegendKey val="0"/>
          <c:showVal val="0"/>
          <c:showCatName val="0"/>
          <c:showSerName val="0"/>
          <c:showPercent val="0"/>
          <c:showBubbleSize val="0"/>
        </c:dLbls>
        <c:gapWidth val="150"/>
        <c:overlap val="100"/>
        <c:axId val="284609152"/>
        <c:axId val="284615040"/>
      </c:barChart>
      <c:lineChart>
        <c:grouping val="standard"/>
        <c:varyColors val="0"/>
        <c:ser>
          <c:idx val="3"/>
          <c:order val="2"/>
          <c:tx>
            <c:strRef>
              <c:f>'Working GC data - Portland'!$C$41</c:f>
              <c:strCache>
                <c:ptCount val="1"/>
                <c:pt idx="0">
                  <c:v>2014-15 available capacity </c:v>
                </c:pt>
              </c:strCache>
            </c:strRef>
          </c:tx>
          <c:spPr>
            <a:ln w="25400">
              <a:solidFill>
                <a:srgbClr val="FF0000"/>
              </a:solidFill>
            </a:ln>
          </c:spPr>
          <c:marker>
            <c:symbol val="none"/>
          </c:marker>
          <c:val>
            <c:numRef>
              <c:f>'Working GC data - Portland'!$P$41:$BK$41</c:f>
              <c:numCache>
                <c:formatCode>_(* #,##0_);_(* \(#,##0\);_(* "-"??_);_(@_)</c:formatCode>
                <c:ptCount val="48"/>
                <c:pt idx="0">
                  <c:v>80000</c:v>
                </c:pt>
                <c:pt idx="1">
                  <c:v>80000</c:v>
                </c:pt>
                <c:pt idx="2">
                  <c:v>70000</c:v>
                </c:pt>
                <c:pt idx="3">
                  <c:v>100000</c:v>
                </c:pt>
                <c:pt idx="4">
                  <c:v>100000</c:v>
                </c:pt>
                <c:pt idx="5">
                  <c:v>70000</c:v>
                </c:pt>
                <c:pt idx="6">
                  <c:v>100000</c:v>
                </c:pt>
                <c:pt idx="7">
                  <c:v>70000</c:v>
                </c:pt>
                <c:pt idx="8">
                  <c:v>100000</c:v>
                </c:pt>
                <c:pt idx="9">
                  <c:v>70000</c:v>
                </c:pt>
                <c:pt idx="10">
                  <c:v>70000</c:v>
                </c:pt>
                <c:pt idx="11">
                  <c:v>80000</c:v>
                </c:pt>
                <c:pt idx="12">
                  <c:v>80000</c:v>
                </c:pt>
                <c:pt idx="13">
                  <c:v>80000</c:v>
                </c:pt>
                <c:pt idx="14">
                  <c:v>70000</c:v>
                </c:pt>
                <c:pt idx="15">
                  <c:v>100000</c:v>
                </c:pt>
                <c:pt idx="16">
                  <c:v>100000</c:v>
                </c:pt>
                <c:pt idx="17">
                  <c:v>70000</c:v>
                </c:pt>
                <c:pt idx="18">
                  <c:v>100000</c:v>
                </c:pt>
                <c:pt idx="19">
                  <c:v>70000</c:v>
                </c:pt>
                <c:pt idx="20">
                  <c:v>100000</c:v>
                </c:pt>
                <c:pt idx="21">
                  <c:v>70000</c:v>
                </c:pt>
                <c:pt idx="22">
                  <c:v>70000</c:v>
                </c:pt>
                <c:pt idx="23">
                  <c:v>80000</c:v>
                </c:pt>
                <c:pt idx="24">
                  <c:v>80000</c:v>
                </c:pt>
                <c:pt idx="25">
                  <c:v>80000</c:v>
                </c:pt>
                <c:pt idx="26">
                  <c:v>70000</c:v>
                </c:pt>
                <c:pt idx="27">
                  <c:v>100000</c:v>
                </c:pt>
                <c:pt idx="28">
                  <c:v>100000</c:v>
                </c:pt>
                <c:pt idx="29">
                  <c:v>70000</c:v>
                </c:pt>
                <c:pt idx="30">
                  <c:v>100000</c:v>
                </c:pt>
                <c:pt idx="31">
                  <c:v>70000</c:v>
                </c:pt>
                <c:pt idx="32">
                  <c:v>100000</c:v>
                </c:pt>
                <c:pt idx="33">
                  <c:v>70000</c:v>
                </c:pt>
                <c:pt idx="34">
                  <c:v>70000</c:v>
                </c:pt>
                <c:pt idx="35">
                  <c:v>80000</c:v>
                </c:pt>
                <c:pt idx="36">
                  <c:v>80000</c:v>
                </c:pt>
                <c:pt idx="37">
                  <c:v>80000</c:v>
                </c:pt>
                <c:pt idx="38">
                  <c:v>70000</c:v>
                </c:pt>
                <c:pt idx="39">
                  <c:v>100000</c:v>
                </c:pt>
                <c:pt idx="40">
                  <c:v>100000</c:v>
                </c:pt>
                <c:pt idx="41">
                  <c:v>70000</c:v>
                </c:pt>
                <c:pt idx="42">
                  <c:v>100000</c:v>
                </c:pt>
                <c:pt idx="43">
                  <c:v>70000</c:v>
                </c:pt>
                <c:pt idx="44">
                  <c:v>100000</c:v>
                </c:pt>
                <c:pt idx="45">
                  <c:v>70000</c:v>
                </c:pt>
                <c:pt idx="46">
                  <c:v>70000</c:v>
                </c:pt>
                <c:pt idx="47">
                  <c:v>80000</c:v>
                </c:pt>
              </c:numCache>
            </c:numRef>
          </c:val>
          <c:smooth val="0"/>
        </c:ser>
        <c:ser>
          <c:idx val="2"/>
          <c:order val="3"/>
          <c:tx>
            <c:strRef>
              <c:f>'Working GC data - Portland'!$C$42</c:f>
              <c:strCache>
                <c:ptCount val="1"/>
                <c:pt idx="0">
                  <c:v>Historic maximum monthly throughput</c:v>
                </c:pt>
              </c:strCache>
            </c:strRef>
          </c:tx>
          <c:spPr>
            <a:ln w="25400">
              <a:solidFill>
                <a:srgbClr val="70AD47">
                  <a:lumMod val="75000"/>
                </a:srgbClr>
              </a:solidFill>
              <a:prstDash val="sysDot"/>
            </a:ln>
          </c:spPr>
          <c:marker>
            <c:symbol val="none"/>
          </c:marker>
          <c:val>
            <c:numRef>
              <c:f>'Working GC data - Portland'!$P$42:$BK$42</c:f>
              <c:numCache>
                <c:formatCode>_(* #,##0_);_(* \(#,##0\);_(* "-"??_);_(@_)</c:formatCode>
                <c:ptCount val="48"/>
                <c:pt idx="0">
                  <c:v>125421.51000000001</c:v>
                </c:pt>
                <c:pt idx="1">
                  <c:v>125421.51000000001</c:v>
                </c:pt>
                <c:pt idx="2">
                  <c:v>125421.51000000001</c:v>
                </c:pt>
                <c:pt idx="3">
                  <c:v>125421.51000000001</c:v>
                </c:pt>
                <c:pt idx="4">
                  <c:v>125421.51000000001</c:v>
                </c:pt>
                <c:pt idx="5">
                  <c:v>125421.51000000001</c:v>
                </c:pt>
                <c:pt idx="6">
                  <c:v>125421.51000000001</c:v>
                </c:pt>
                <c:pt idx="7">
                  <c:v>125421.51000000001</c:v>
                </c:pt>
                <c:pt idx="8">
                  <c:v>125421.51000000001</c:v>
                </c:pt>
                <c:pt idx="9">
                  <c:v>125421.51000000001</c:v>
                </c:pt>
                <c:pt idx="10">
                  <c:v>125421.51000000001</c:v>
                </c:pt>
                <c:pt idx="11">
                  <c:v>125421.51000000001</c:v>
                </c:pt>
                <c:pt idx="12">
                  <c:v>125421.51000000001</c:v>
                </c:pt>
                <c:pt idx="13">
                  <c:v>125421.51000000001</c:v>
                </c:pt>
                <c:pt idx="14">
                  <c:v>125421.51000000001</c:v>
                </c:pt>
                <c:pt idx="15">
                  <c:v>125421.51000000001</c:v>
                </c:pt>
                <c:pt idx="16">
                  <c:v>125421.51000000001</c:v>
                </c:pt>
                <c:pt idx="17">
                  <c:v>125421.51000000001</c:v>
                </c:pt>
                <c:pt idx="18">
                  <c:v>125421.51000000001</c:v>
                </c:pt>
                <c:pt idx="19">
                  <c:v>125421.51000000001</c:v>
                </c:pt>
                <c:pt idx="20">
                  <c:v>125421.51000000001</c:v>
                </c:pt>
                <c:pt idx="21">
                  <c:v>125421.51000000001</c:v>
                </c:pt>
                <c:pt idx="22">
                  <c:v>125421.51000000001</c:v>
                </c:pt>
                <c:pt idx="23">
                  <c:v>125421.51000000001</c:v>
                </c:pt>
                <c:pt idx="24">
                  <c:v>125421.51000000001</c:v>
                </c:pt>
                <c:pt idx="25">
                  <c:v>125421.51000000001</c:v>
                </c:pt>
                <c:pt idx="26">
                  <c:v>125421.51000000001</c:v>
                </c:pt>
                <c:pt idx="27">
                  <c:v>125421.51000000001</c:v>
                </c:pt>
                <c:pt idx="28">
                  <c:v>125421.51000000001</c:v>
                </c:pt>
                <c:pt idx="29">
                  <c:v>125421.51000000001</c:v>
                </c:pt>
                <c:pt idx="30">
                  <c:v>125421.51000000001</c:v>
                </c:pt>
                <c:pt idx="31">
                  <c:v>125421.51000000001</c:v>
                </c:pt>
                <c:pt idx="32">
                  <c:v>125421.51000000001</c:v>
                </c:pt>
                <c:pt idx="33">
                  <c:v>125421.51000000001</c:v>
                </c:pt>
                <c:pt idx="34">
                  <c:v>125421.51000000001</c:v>
                </c:pt>
                <c:pt idx="35">
                  <c:v>125421.51000000001</c:v>
                </c:pt>
                <c:pt idx="36">
                  <c:v>125421.51000000001</c:v>
                </c:pt>
                <c:pt idx="37">
                  <c:v>125421.51000000001</c:v>
                </c:pt>
                <c:pt idx="38">
                  <c:v>125421.51000000001</c:v>
                </c:pt>
                <c:pt idx="39">
                  <c:v>125421.51000000001</c:v>
                </c:pt>
                <c:pt idx="40">
                  <c:v>125421.51000000001</c:v>
                </c:pt>
                <c:pt idx="41">
                  <c:v>125421.51000000001</c:v>
                </c:pt>
                <c:pt idx="42">
                  <c:v>125421.51000000001</c:v>
                </c:pt>
                <c:pt idx="43">
                  <c:v>125421.51000000001</c:v>
                </c:pt>
                <c:pt idx="44">
                  <c:v>125421.51000000001</c:v>
                </c:pt>
                <c:pt idx="45">
                  <c:v>125421.51000000001</c:v>
                </c:pt>
                <c:pt idx="46">
                  <c:v>125421.51000000001</c:v>
                </c:pt>
                <c:pt idx="47">
                  <c:v>125421.51000000001</c:v>
                </c:pt>
              </c:numCache>
            </c:numRef>
          </c:val>
          <c:smooth val="0"/>
        </c:ser>
        <c:ser>
          <c:idx val="4"/>
          <c:order val="4"/>
          <c:tx>
            <c:strRef>
              <c:f>'Working GC data - Portland'!$C$43</c:f>
              <c:strCache>
                <c:ptCount val="1"/>
                <c:pt idx="0">
                  <c:v>Stated maximum capacity (averaged)</c:v>
                </c:pt>
              </c:strCache>
            </c:strRef>
          </c:tx>
          <c:spPr>
            <a:ln>
              <a:solidFill>
                <a:srgbClr val="7030A0"/>
              </a:solidFill>
              <a:prstDash val="dash"/>
            </a:ln>
          </c:spPr>
          <c:marker>
            <c:symbol val="none"/>
          </c:marker>
          <c:val>
            <c:numRef>
              <c:f>'Working GC data - Portland'!$P$43:$BK$43</c:f>
              <c:numCache>
                <c:formatCode>_(* #,##0_);_(* \(#,##0\);_(* "-"??_);_(@_)</c:formatCode>
                <c:ptCount val="48"/>
                <c:pt idx="0">
                  <c:v>125000</c:v>
                </c:pt>
                <c:pt idx="1">
                  <c:v>125000</c:v>
                </c:pt>
                <c:pt idx="2">
                  <c:v>125000</c:v>
                </c:pt>
                <c:pt idx="3">
                  <c:v>125000</c:v>
                </c:pt>
                <c:pt idx="4">
                  <c:v>125000</c:v>
                </c:pt>
                <c:pt idx="5">
                  <c:v>125000</c:v>
                </c:pt>
                <c:pt idx="6">
                  <c:v>125000</c:v>
                </c:pt>
                <c:pt idx="7">
                  <c:v>125000</c:v>
                </c:pt>
                <c:pt idx="8">
                  <c:v>125000</c:v>
                </c:pt>
                <c:pt idx="9">
                  <c:v>125000</c:v>
                </c:pt>
                <c:pt idx="10">
                  <c:v>125000</c:v>
                </c:pt>
                <c:pt idx="11">
                  <c:v>125000</c:v>
                </c:pt>
                <c:pt idx="12">
                  <c:v>125000</c:v>
                </c:pt>
                <c:pt idx="13">
                  <c:v>125000</c:v>
                </c:pt>
                <c:pt idx="14">
                  <c:v>125000</c:v>
                </c:pt>
                <c:pt idx="15">
                  <c:v>125000</c:v>
                </c:pt>
                <c:pt idx="16">
                  <c:v>125000</c:v>
                </c:pt>
                <c:pt idx="17">
                  <c:v>125000</c:v>
                </c:pt>
                <c:pt idx="18">
                  <c:v>125000</c:v>
                </c:pt>
                <c:pt idx="19">
                  <c:v>125000</c:v>
                </c:pt>
                <c:pt idx="20">
                  <c:v>125000</c:v>
                </c:pt>
                <c:pt idx="21">
                  <c:v>125000</c:v>
                </c:pt>
                <c:pt idx="22">
                  <c:v>125000</c:v>
                </c:pt>
                <c:pt idx="23">
                  <c:v>125000</c:v>
                </c:pt>
                <c:pt idx="24">
                  <c:v>125000</c:v>
                </c:pt>
                <c:pt idx="25">
                  <c:v>125000</c:v>
                </c:pt>
                <c:pt idx="26">
                  <c:v>125000</c:v>
                </c:pt>
                <c:pt idx="27">
                  <c:v>125000</c:v>
                </c:pt>
                <c:pt idx="28">
                  <c:v>125000</c:v>
                </c:pt>
                <c:pt idx="29">
                  <c:v>125000</c:v>
                </c:pt>
                <c:pt idx="30">
                  <c:v>125000</c:v>
                </c:pt>
                <c:pt idx="31">
                  <c:v>125000</c:v>
                </c:pt>
                <c:pt idx="32">
                  <c:v>125000</c:v>
                </c:pt>
                <c:pt idx="33">
                  <c:v>125000</c:v>
                </c:pt>
                <c:pt idx="34">
                  <c:v>125000</c:v>
                </c:pt>
                <c:pt idx="35">
                  <c:v>125000</c:v>
                </c:pt>
                <c:pt idx="36">
                  <c:v>125000</c:v>
                </c:pt>
                <c:pt idx="37">
                  <c:v>125000</c:v>
                </c:pt>
                <c:pt idx="38">
                  <c:v>125000</c:v>
                </c:pt>
                <c:pt idx="39">
                  <c:v>125000</c:v>
                </c:pt>
                <c:pt idx="40">
                  <c:v>125000</c:v>
                </c:pt>
                <c:pt idx="41">
                  <c:v>125000</c:v>
                </c:pt>
                <c:pt idx="42">
                  <c:v>125000</c:v>
                </c:pt>
                <c:pt idx="43">
                  <c:v>125000</c:v>
                </c:pt>
                <c:pt idx="44">
                  <c:v>125000</c:v>
                </c:pt>
                <c:pt idx="45">
                  <c:v>125000</c:v>
                </c:pt>
                <c:pt idx="46">
                  <c:v>125000</c:v>
                </c:pt>
                <c:pt idx="47">
                  <c:v>125000</c:v>
                </c:pt>
              </c:numCache>
            </c:numRef>
          </c:val>
          <c:smooth val="0"/>
        </c:ser>
        <c:dLbls>
          <c:showLegendKey val="0"/>
          <c:showVal val="0"/>
          <c:showCatName val="0"/>
          <c:showSerName val="0"/>
          <c:showPercent val="0"/>
          <c:showBubbleSize val="0"/>
        </c:dLbls>
        <c:marker val="1"/>
        <c:smooth val="0"/>
        <c:axId val="284609152"/>
        <c:axId val="284615040"/>
      </c:lineChart>
      <c:dateAx>
        <c:axId val="284609152"/>
        <c:scaling>
          <c:orientation val="minMax"/>
        </c:scaling>
        <c:delete val="0"/>
        <c:axPos val="b"/>
        <c:numFmt formatCode="mmm\-yy" sourceLinked="1"/>
        <c:majorTickMark val="out"/>
        <c:minorTickMark val="none"/>
        <c:tickLblPos val="nextTo"/>
        <c:txPr>
          <a:bodyPr rot="-5400000" vert="horz"/>
          <a:lstStyle/>
          <a:p>
            <a:pPr>
              <a:defRPr/>
            </a:pPr>
            <a:endParaRPr lang="en-US"/>
          </a:p>
        </c:txPr>
        <c:crossAx val="284615040"/>
        <c:crosses val="autoZero"/>
        <c:auto val="1"/>
        <c:lblOffset val="100"/>
        <c:baseTimeUnit val="months"/>
        <c:majorUnit val="2"/>
        <c:majorTimeUnit val="months"/>
      </c:dateAx>
      <c:valAx>
        <c:axId val="284615040"/>
        <c:scaling>
          <c:orientation val="minMax"/>
        </c:scaling>
        <c:delete val="0"/>
        <c:axPos val="l"/>
        <c:majorGridlines/>
        <c:numFmt formatCode="_(* #,##0_);_(* \(#,##0\);_(* &quot;-&quot;??_);_(@_)" sourceLinked="1"/>
        <c:majorTickMark val="out"/>
        <c:minorTickMark val="none"/>
        <c:tickLblPos val="nextTo"/>
        <c:crossAx val="284609152"/>
        <c:crosses val="autoZero"/>
        <c:crossBetween val="between"/>
      </c:valAx>
      <c:spPr>
        <a:ln>
          <a:solidFill>
            <a:schemeClr val="tx1"/>
          </a:solidFill>
        </a:ln>
      </c:spPr>
    </c:plotArea>
    <c:legend>
      <c:legendPos val="b"/>
      <c:layout>
        <c:manualLayout>
          <c:xMode val="edge"/>
          <c:yMode val="edge"/>
          <c:x val="0.10483041927451377"/>
          <c:y val="0.87701160451390303"/>
          <c:w val="0.80743858485679088"/>
          <c:h val="0.11559172481488597"/>
        </c:manualLayout>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4647338313480114E-2"/>
          <c:y val="4.0028940718551495E-2"/>
          <c:w val="0.88672723601857506"/>
          <c:h val="0.70446514796337478"/>
        </c:manualLayout>
      </c:layout>
      <c:barChart>
        <c:barDir val="col"/>
        <c:grouping val="stacked"/>
        <c:varyColors val="0"/>
        <c:ser>
          <c:idx val="0"/>
          <c:order val="0"/>
          <c:tx>
            <c:strRef>
              <c:f>'Working data - Melbourne'!$A$15</c:f>
              <c:strCache>
                <c:ptCount val="1"/>
                <c:pt idx="0">
                  <c:v>Emerald exports</c:v>
                </c:pt>
              </c:strCache>
            </c:strRef>
          </c:tx>
          <c:spPr>
            <a:solidFill>
              <a:srgbClr val="5B9BD5">
                <a:lumMod val="60000"/>
                <a:lumOff val="40000"/>
              </a:srgbClr>
            </a:solidFill>
          </c:spPr>
          <c:invertIfNegative val="0"/>
          <c:cat>
            <c:numRef>
              <c:f>'Working data - Melbourne'!$B$2:$Y$2</c:f>
              <c:numCache>
                <c:formatCode>mmm\-yy</c:formatCode>
                <c:ptCount val="24"/>
                <c:pt idx="0">
                  <c:v>41153</c:v>
                </c:pt>
                <c:pt idx="1">
                  <c:v>41183</c:v>
                </c:pt>
                <c:pt idx="2">
                  <c:v>41214</c:v>
                </c:pt>
                <c:pt idx="3">
                  <c:v>41244</c:v>
                </c:pt>
                <c:pt idx="4">
                  <c:v>41275</c:v>
                </c:pt>
                <c:pt idx="5">
                  <c:v>41306</c:v>
                </c:pt>
                <c:pt idx="6">
                  <c:v>41334</c:v>
                </c:pt>
                <c:pt idx="7">
                  <c:v>41365</c:v>
                </c:pt>
                <c:pt idx="8">
                  <c:v>41395</c:v>
                </c:pt>
                <c:pt idx="9">
                  <c:v>41426</c:v>
                </c:pt>
                <c:pt idx="10">
                  <c:v>41456</c:v>
                </c:pt>
                <c:pt idx="11">
                  <c:v>41487</c:v>
                </c:pt>
                <c:pt idx="12">
                  <c:v>41518</c:v>
                </c:pt>
                <c:pt idx="13">
                  <c:v>41548</c:v>
                </c:pt>
                <c:pt idx="14">
                  <c:v>41579</c:v>
                </c:pt>
                <c:pt idx="15">
                  <c:v>41609</c:v>
                </c:pt>
                <c:pt idx="16">
                  <c:v>41640</c:v>
                </c:pt>
                <c:pt idx="17">
                  <c:v>41671</c:v>
                </c:pt>
                <c:pt idx="18">
                  <c:v>41699</c:v>
                </c:pt>
                <c:pt idx="19">
                  <c:v>41730</c:v>
                </c:pt>
                <c:pt idx="20">
                  <c:v>41760</c:v>
                </c:pt>
                <c:pt idx="21">
                  <c:v>41791</c:v>
                </c:pt>
                <c:pt idx="22">
                  <c:v>41821</c:v>
                </c:pt>
                <c:pt idx="23">
                  <c:v>41852</c:v>
                </c:pt>
              </c:numCache>
            </c:numRef>
          </c:cat>
          <c:val>
            <c:numRef>
              <c:f>'Working data - Melbourne'!$B$15:$Y$15</c:f>
              <c:numCache>
                <c:formatCode>_(* #,##0_);_(* \(#,##0\);_(* "-"??_);_(@_)</c:formatCode>
                <c:ptCount val="24"/>
                <c:pt idx="0">
                  <c:v>49000</c:v>
                </c:pt>
                <c:pt idx="1">
                  <c:v>32000</c:v>
                </c:pt>
                <c:pt idx="2">
                  <c:v>41000</c:v>
                </c:pt>
                <c:pt idx="3">
                  <c:v>47000</c:v>
                </c:pt>
                <c:pt idx="4">
                  <c:v>31000</c:v>
                </c:pt>
                <c:pt idx="5">
                  <c:v>80000</c:v>
                </c:pt>
                <c:pt idx="6">
                  <c:v>47000</c:v>
                </c:pt>
                <c:pt idx="7">
                  <c:v>59000</c:v>
                </c:pt>
                <c:pt idx="8">
                  <c:v>51000</c:v>
                </c:pt>
                <c:pt idx="9">
                  <c:v>41000</c:v>
                </c:pt>
                <c:pt idx="10">
                  <c:v>29000</c:v>
                </c:pt>
                <c:pt idx="11">
                  <c:v>0</c:v>
                </c:pt>
                <c:pt idx="12">
                  <c:v>102000</c:v>
                </c:pt>
                <c:pt idx="13">
                  <c:v>26000</c:v>
                </c:pt>
                <c:pt idx="14">
                  <c:v>0</c:v>
                </c:pt>
                <c:pt idx="15">
                  <c:v>44000</c:v>
                </c:pt>
                <c:pt idx="16">
                  <c:v>34000</c:v>
                </c:pt>
                <c:pt idx="17">
                  <c:v>59000</c:v>
                </c:pt>
                <c:pt idx="18">
                  <c:v>96000</c:v>
                </c:pt>
                <c:pt idx="19">
                  <c:v>34000</c:v>
                </c:pt>
                <c:pt idx="20">
                  <c:v>11000</c:v>
                </c:pt>
                <c:pt idx="21">
                  <c:v>18000</c:v>
                </c:pt>
                <c:pt idx="22">
                  <c:v>62000</c:v>
                </c:pt>
                <c:pt idx="23">
                  <c:v>72000</c:v>
                </c:pt>
              </c:numCache>
            </c:numRef>
          </c:val>
        </c:ser>
        <c:ser>
          <c:idx val="1"/>
          <c:order val="1"/>
          <c:tx>
            <c:strRef>
              <c:f>'Working data - Melbourne'!$A$16</c:f>
              <c:strCache>
                <c:ptCount val="1"/>
                <c:pt idx="0">
                  <c:v>Third party exports</c:v>
                </c:pt>
              </c:strCache>
            </c:strRef>
          </c:tx>
          <c:spPr>
            <a:solidFill>
              <a:schemeClr val="accent2">
                <a:lumMod val="60000"/>
                <a:lumOff val="40000"/>
              </a:schemeClr>
            </a:solidFill>
          </c:spPr>
          <c:invertIfNegative val="0"/>
          <c:cat>
            <c:numRef>
              <c:f>'Working data - Melbourne'!$B$2:$Y$2</c:f>
              <c:numCache>
                <c:formatCode>mmm\-yy</c:formatCode>
                <c:ptCount val="24"/>
                <c:pt idx="0">
                  <c:v>41153</c:v>
                </c:pt>
                <c:pt idx="1">
                  <c:v>41183</c:v>
                </c:pt>
                <c:pt idx="2">
                  <c:v>41214</c:v>
                </c:pt>
                <c:pt idx="3">
                  <c:v>41244</c:v>
                </c:pt>
                <c:pt idx="4">
                  <c:v>41275</c:v>
                </c:pt>
                <c:pt idx="5">
                  <c:v>41306</c:v>
                </c:pt>
                <c:pt idx="6">
                  <c:v>41334</c:v>
                </c:pt>
                <c:pt idx="7">
                  <c:v>41365</c:v>
                </c:pt>
                <c:pt idx="8">
                  <c:v>41395</c:v>
                </c:pt>
                <c:pt idx="9">
                  <c:v>41426</c:v>
                </c:pt>
                <c:pt idx="10">
                  <c:v>41456</c:v>
                </c:pt>
                <c:pt idx="11">
                  <c:v>41487</c:v>
                </c:pt>
                <c:pt idx="12">
                  <c:v>41518</c:v>
                </c:pt>
                <c:pt idx="13">
                  <c:v>41548</c:v>
                </c:pt>
                <c:pt idx="14">
                  <c:v>41579</c:v>
                </c:pt>
                <c:pt idx="15">
                  <c:v>41609</c:v>
                </c:pt>
                <c:pt idx="16">
                  <c:v>41640</c:v>
                </c:pt>
                <c:pt idx="17">
                  <c:v>41671</c:v>
                </c:pt>
                <c:pt idx="18">
                  <c:v>41699</c:v>
                </c:pt>
                <c:pt idx="19">
                  <c:v>41730</c:v>
                </c:pt>
                <c:pt idx="20">
                  <c:v>41760</c:v>
                </c:pt>
                <c:pt idx="21">
                  <c:v>41791</c:v>
                </c:pt>
                <c:pt idx="22">
                  <c:v>41821</c:v>
                </c:pt>
                <c:pt idx="23">
                  <c:v>41852</c:v>
                </c:pt>
              </c:numCache>
            </c:numRef>
          </c:cat>
          <c:val>
            <c:numRef>
              <c:f>'Working data - Melbourne'!$B$16:$Y$16</c:f>
              <c:numCache>
                <c:formatCode>_(* #,##0_);_(* \(#,##0\);_(* "-"??_);_(@_)</c:formatCode>
                <c:ptCount val="24"/>
                <c:pt idx="0">
                  <c:v>28000</c:v>
                </c:pt>
                <c:pt idx="1">
                  <c:v>42000</c:v>
                </c:pt>
                <c:pt idx="2">
                  <c:v>38000</c:v>
                </c:pt>
                <c:pt idx="3">
                  <c:v>23000</c:v>
                </c:pt>
                <c:pt idx="4">
                  <c:v>40000</c:v>
                </c:pt>
                <c:pt idx="5">
                  <c:v>88000</c:v>
                </c:pt>
                <c:pt idx="6">
                  <c:v>137000</c:v>
                </c:pt>
                <c:pt idx="7">
                  <c:v>41000</c:v>
                </c:pt>
                <c:pt idx="8">
                  <c:v>120000</c:v>
                </c:pt>
                <c:pt idx="9">
                  <c:v>46000</c:v>
                </c:pt>
                <c:pt idx="10">
                  <c:v>37000</c:v>
                </c:pt>
                <c:pt idx="11">
                  <c:v>59000</c:v>
                </c:pt>
                <c:pt idx="12">
                  <c:v>12000</c:v>
                </c:pt>
                <c:pt idx="13">
                  <c:v>28000</c:v>
                </c:pt>
                <c:pt idx="14">
                  <c:v>0</c:v>
                </c:pt>
                <c:pt idx="15">
                  <c:v>42000</c:v>
                </c:pt>
                <c:pt idx="16">
                  <c:v>60000</c:v>
                </c:pt>
                <c:pt idx="17">
                  <c:v>83000</c:v>
                </c:pt>
                <c:pt idx="18">
                  <c:v>70000</c:v>
                </c:pt>
                <c:pt idx="19">
                  <c:v>109000</c:v>
                </c:pt>
                <c:pt idx="20">
                  <c:v>82000</c:v>
                </c:pt>
                <c:pt idx="21">
                  <c:v>0</c:v>
                </c:pt>
                <c:pt idx="22">
                  <c:v>0</c:v>
                </c:pt>
                <c:pt idx="23">
                  <c:v>0</c:v>
                </c:pt>
              </c:numCache>
            </c:numRef>
          </c:val>
        </c:ser>
        <c:dLbls>
          <c:showLegendKey val="0"/>
          <c:showVal val="0"/>
          <c:showCatName val="0"/>
          <c:showSerName val="0"/>
          <c:showPercent val="0"/>
          <c:showBubbleSize val="0"/>
        </c:dLbls>
        <c:gapWidth val="150"/>
        <c:overlap val="100"/>
        <c:axId val="284457216"/>
        <c:axId val="284463104"/>
      </c:barChart>
      <c:lineChart>
        <c:grouping val="standard"/>
        <c:varyColors val="0"/>
        <c:ser>
          <c:idx val="3"/>
          <c:order val="2"/>
          <c:tx>
            <c:strRef>
              <c:f>'Working data - Melbourne'!$A$32</c:f>
              <c:strCache>
                <c:ptCount val="1"/>
                <c:pt idx="0">
                  <c:v>2014-15 available capacity </c:v>
                </c:pt>
              </c:strCache>
            </c:strRef>
          </c:tx>
          <c:spPr>
            <a:ln w="25400">
              <a:solidFill>
                <a:srgbClr val="FF0000"/>
              </a:solidFill>
            </a:ln>
          </c:spPr>
          <c:marker>
            <c:symbol val="none"/>
          </c:marker>
          <c:val>
            <c:numRef>
              <c:f>'Working data - Melbourne'!$B$32:$Y$32</c:f>
              <c:numCache>
                <c:formatCode>_(* #,##0_);_(* \(#,##0\);_(* "-"??_);_(@_)</c:formatCode>
                <c:ptCount val="24"/>
                <c:pt idx="0">
                  <c:v>140000</c:v>
                </c:pt>
                <c:pt idx="1">
                  <c:v>80000</c:v>
                </c:pt>
                <c:pt idx="2">
                  <c:v>160000</c:v>
                </c:pt>
                <c:pt idx="3">
                  <c:v>160000</c:v>
                </c:pt>
                <c:pt idx="4">
                  <c:v>180000</c:v>
                </c:pt>
                <c:pt idx="5">
                  <c:v>180000</c:v>
                </c:pt>
                <c:pt idx="6">
                  <c:v>180000</c:v>
                </c:pt>
                <c:pt idx="7">
                  <c:v>180000</c:v>
                </c:pt>
                <c:pt idx="8">
                  <c:v>180000</c:v>
                </c:pt>
                <c:pt idx="9">
                  <c:v>180000</c:v>
                </c:pt>
                <c:pt idx="10">
                  <c:v>160000</c:v>
                </c:pt>
                <c:pt idx="11">
                  <c:v>160000</c:v>
                </c:pt>
                <c:pt idx="12">
                  <c:v>140000</c:v>
                </c:pt>
                <c:pt idx="13">
                  <c:v>80000</c:v>
                </c:pt>
                <c:pt idx="14">
                  <c:v>160000</c:v>
                </c:pt>
                <c:pt idx="15">
                  <c:v>160000</c:v>
                </c:pt>
                <c:pt idx="16">
                  <c:v>180000</c:v>
                </c:pt>
                <c:pt idx="17">
                  <c:v>180000</c:v>
                </c:pt>
                <c:pt idx="18">
                  <c:v>180000</c:v>
                </c:pt>
                <c:pt idx="19">
                  <c:v>180000</c:v>
                </c:pt>
                <c:pt idx="20">
                  <c:v>180000</c:v>
                </c:pt>
                <c:pt idx="21">
                  <c:v>180000</c:v>
                </c:pt>
                <c:pt idx="22">
                  <c:v>160000</c:v>
                </c:pt>
                <c:pt idx="23">
                  <c:v>160000</c:v>
                </c:pt>
              </c:numCache>
            </c:numRef>
          </c:val>
          <c:smooth val="0"/>
        </c:ser>
        <c:ser>
          <c:idx val="2"/>
          <c:order val="3"/>
          <c:tx>
            <c:strRef>
              <c:f>'Working data - Melbourne'!$A$33</c:f>
              <c:strCache>
                <c:ptCount val="1"/>
                <c:pt idx="0">
                  <c:v>Historic maximum monthly throughput</c:v>
                </c:pt>
              </c:strCache>
            </c:strRef>
          </c:tx>
          <c:spPr>
            <a:ln w="25400">
              <a:solidFill>
                <a:srgbClr val="70AD47">
                  <a:lumMod val="75000"/>
                </a:srgbClr>
              </a:solidFill>
              <a:prstDash val="sysDot"/>
            </a:ln>
          </c:spPr>
          <c:marker>
            <c:symbol val="none"/>
          </c:marker>
          <c:val>
            <c:numRef>
              <c:f>'Working data - Melbourne'!$B$33:$Y$33</c:f>
              <c:numCache>
                <c:formatCode>_(* #,##0_);_(* \(#,##0\);_(* "-"??_);_(@_)</c:formatCode>
                <c:ptCount val="24"/>
                <c:pt idx="0">
                  <c:v>184000</c:v>
                </c:pt>
                <c:pt idx="1">
                  <c:v>184000</c:v>
                </c:pt>
                <c:pt idx="2">
                  <c:v>184000</c:v>
                </c:pt>
                <c:pt idx="3">
                  <c:v>184000</c:v>
                </c:pt>
                <c:pt idx="4">
                  <c:v>184000</c:v>
                </c:pt>
                <c:pt idx="5">
                  <c:v>184000</c:v>
                </c:pt>
                <c:pt idx="6">
                  <c:v>184000</c:v>
                </c:pt>
                <c:pt idx="7">
                  <c:v>184000</c:v>
                </c:pt>
                <c:pt idx="8">
                  <c:v>184000</c:v>
                </c:pt>
                <c:pt idx="9">
                  <c:v>184000</c:v>
                </c:pt>
                <c:pt idx="10">
                  <c:v>184000</c:v>
                </c:pt>
                <c:pt idx="11">
                  <c:v>184000</c:v>
                </c:pt>
                <c:pt idx="12">
                  <c:v>184000</c:v>
                </c:pt>
                <c:pt idx="13">
                  <c:v>184000</c:v>
                </c:pt>
                <c:pt idx="14">
                  <c:v>184000</c:v>
                </c:pt>
                <c:pt idx="15">
                  <c:v>184000</c:v>
                </c:pt>
                <c:pt idx="16">
                  <c:v>184000</c:v>
                </c:pt>
                <c:pt idx="17">
                  <c:v>184000</c:v>
                </c:pt>
                <c:pt idx="18">
                  <c:v>184000</c:v>
                </c:pt>
                <c:pt idx="19">
                  <c:v>184000</c:v>
                </c:pt>
                <c:pt idx="20">
                  <c:v>184000</c:v>
                </c:pt>
                <c:pt idx="21">
                  <c:v>184000</c:v>
                </c:pt>
                <c:pt idx="22">
                  <c:v>184000</c:v>
                </c:pt>
                <c:pt idx="23">
                  <c:v>184000</c:v>
                </c:pt>
              </c:numCache>
            </c:numRef>
          </c:val>
          <c:smooth val="0"/>
        </c:ser>
        <c:ser>
          <c:idx val="4"/>
          <c:order val="4"/>
          <c:tx>
            <c:strRef>
              <c:f>'Working data - Melbourne'!$A$34</c:f>
              <c:strCache>
                <c:ptCount val="1"/>
                <c:pt idx="0">
                  <c:v>Stated maximum capacity (averaged)</c:v>
                </c:pt>
              </c:strCache>
            </c:strRef>
          </c:tx>
          <c:spPr>
            <a:ln>
              <a:solidFill>
                <a:srgbClr val="7030A0"/>
              </a:solidFill>
              <a:prstDash val="dash"/>
            </a:ln>
          </c:spPr>
          <c:marker>
            <c:symbol val="none"/>
          </c:marker>
          <c:val>
            <c:numRef>
              <c:f>'Working data - Melbourne'!$B$34:$Y$34</c:f>
              <c:numCache>
                <c:formatCode>_(* #,##0_);_(* \(#,##0\);_(* "-"??_);_(@_)</c:formatCode>
                <c:ptCount val="24"/>
                <c:pt idx="0">
                  <c:v>175000</c:v>
                </c:pt>
                <c:pt idx="1">
                  <c:v>175000</c:v>
                </c:pt>
                <c:pt idx="2">
                  <c:v>175000</c:v>
                </c:pt>
                <c:pt idx="3">
                  <c:v>175000</c:v>
                </c:pt>
                <c:pt idx="4">
                  <c:v>175000</c:v>
                </c:pt>
                <c:pt idx="5">
                  <c:v>175000</c:v>
                </c:pt>
                <c:pt idx="6">
                  <c:v>175000</c:v>
                </c:pt>
                <c:pt idx="7">
                  <c:v>175000</c:v>
                </c:pt>
                <c:pt idx="8">
                  <c:v>175000</c:v>
                </c:pt>
                <c:pt idx="9">
                  <c:v>175000</c:v>
                </c:pt>
                <c:pt idx="10">
                  <c:v>175000</c:v>
                </c:pt>
                <c:pt idx="11">
                  <c:v>175000</c:v>
                </c:pt>
                <c:pt idx="12">
                  <c:v>175000</c:v>
                </c:pt>
                <c:pt idx="13">
                  <c:v>175000</c:v>
                </c:pt>
                <c:pt idx="14">
                  <c:v>175000</c:v>
                </c:pt>
                <c:pt idx="15">
                  <c:v>175000</c:v>
                </c:pt>
                <c:pt idx="16">
                  <c:v>175000</c:v>
                </c:pt>
                <c:pt idx="17">
                  <c:v>175000</c:v>
                </c:pt>
                <c:pt idx="18">
                  <c:v>175000</c:v>
                </c:pt>
                <c:pt idx="19">
                  <c:v>175000</c:v>
                </c:pt>
                <c:pt idx="20">
                  <c:v>175000</c:v>
                </c:pt>
                <c:pt idx="21">
                  <c:v>175000</c:v>
                </c:pt>
                <c:pt idx="22">
                  <c:v>175000</c:v>
                </c:pt>
                <c:pt idx="23">
                  <c:v>175000</c:v>
                </c:pt>
              </c:numCache>
            </c:numRef>
          </c:val>
          <c:smooth val="0"/>
        </c:ser>
        <c:dLbls>
          <c:showLegendKey val="0"/>
          <c:showVal val="0"/>
          <c:showCatName val="0"/>
          <c:showSerName val="0"/>
          <c:showPercent val="0"/>
          <c:showBubbleSize val="0"/>
        </c:dLbls>
        <c:marker val="1"/>
        <c:smooth val="0"/>
        <c:axId val="284457216"/>
        <c:axId val="284463104"/>
      </c:lineChart>
      <c:dateAx>
        <c:axId val="284457216"/>
        <c:scaling>
          <c:orientation val="minMax"/>
        </c:scaling>
        <c:delete val="0"/>
        <c:axPos val="b"/>
        <c:numFmt formatCode="mmm\-yy" sourceLinked="1"/>
        <c:majorTickMark val="out"/>
        <c:minorTickMark val="none"/>
        <c:tickLblPos val="nextTo"/>
        <c:txPr>
          <a:bodyPr rot="-5400000" vert="horz"/>
          <a:lstStyle/>
          <a:p>
            <a:pPr>
              <a:defRPr sz="800"/>
            </a:pPr>
            <a:endParaRPr lang="en-US"/>
          </a:p>
        </c:txPr>
        <c:crossAx val="284463104"/>
        <c:crosses val="autoZero"/>
        <c:auto val="1"/>
        <c:lblOffset val="100"/>
        <c:baseTimeUnit val="months"/>
        <c:majorUnit val="2"/>
        <c:majorTimeUnit val="months"/>
      </c:dateAx>
      <c:valAx>
        <c:axId val="284463104"/>
        <c:scaling>
          <c:orientation val="minMax"/>
        </c:scaling>
        <c:delete val="0"/>
        <c:axPos val="l"/>
        <c:majorGridlines/>
        <c:numFmt formatCode="_(* #,##0_);_(* \(#,##0\);_(* &quot;-&quot;??_);_(@_)" sourceLinked="1"/>
        <c:majorTickMark val="out"/>
        <c:minorTickMark val="none"/>
        <c:tickLblPos val="nextTo"/>
        <c:txPr>
          <a:bodyPr/>
          <a:lstStyle/>
          <a:p>
            <a:pPr>
              <a:defRPr sz="800"/>
            </a:pPr>
            <a:endParaRPr lang="en-US"/>
          </a:p>
        </c:txPr>
        <c:crossAx val="284457216"/>
        <c:crosses val="autoZero"/>
        <c:crossBetween val="between"/>
      </c:valAx>
      <c:spPr>
        <a:ln>
          <a:solidFill>
            <a:schemeClr val="tx1"/>
          </a:solidFill>
        </a:ln>
      </c:spPr>
    </c:plotArea>
    <c:legend>
      <c:legendPos val="b"/>
      <c:layout>
        <c:manualLayout>
          <c:xMode val="edge"/>
          <c:yMode val="edge"/>
          <c:x val="0.10483041927451377"/>
          <c:y val="0.88367641067767311"/>
          <c:w val="0.81790547221029153"/>
          <c:h val="0.10885169602909957"/>
        </c:manualLayout>
      </c:layout>
      <c:overlay val="0"/>
      <c:txPr>
        <a:bodyPr/>
        <a:lstStyle/>
        <a:p>
          <a:pPr>
            <a:defRPr sz="900"/>
          </a:pPr>
          <a:endParaRPr lang="en-US"/>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en-US"/>
        </a:p>
      </c:txPr>
    </c:title>
    <c:autoTitleDeleted val="0"/>
    <c:plotArea>
      <c:layout>
        <c:manualLayout>
          <c:layoutTarget val="inner"/>
          <c:xMode val="edge"/>
          <c:yMode val="edge"/>
          <c:x val="0.31123583115899395"/>
          <c:y val="0.23689692315207397"/>
          <c:w val="0.35952087107351743"/>
          <c:h val="0.64779070246277071"/>
        </c:manualLayout>
      </c:layout>
      <c:pieChart>
        <c:varyColors val="1"/>
        <c:ser>
          <c:idx val="0"/>
          <c:order val="0"/>
          <c:tx>
            <c:strRef>
              <c:f>'Exporters at MPT'!$A$38</c:f>
              <c:strCache>
                <c:ptCount val="1"/>
                <c:pt idx="0">
                  <c:v>Melbourne port terminal</c:v>
                </c:pt>
              </c:strCache>
            </c:strRef>
          </c:tx>
          <c:dLbls>
            <c:dLbl>
              <c:idx val="1"/>
              <c:layout>
                <c:manualLayout>
                  <c:x val="-9.7755049514953174E-2"/>
                  <c:y val="-3.1571214841288352E-2"/>
                </c:manualLayout>
              </c:layout>
              <c:dLblPos val="bestFit"/>
              <c:showLegendKey val="0"/>
              <c:showVal val="0"/>
              <c:showCatName val="1"/>
              <c:showSerName val="0"/>
              <c:showPercent val="1"/>
              <c:showBubbleSize val="0"/>
            </c:dLbl>
            <c:dLbl>
              <c:idx val="3"/>
              <c:layout>
                <c:manualLayout>
                  <c:x val="-3.6102513874364146E-2"/>
                  <c:y val="5.5546669045517048E-2"/>
                </c:manualLayout>
              </c:layout>
              <c:dLblPos val="bestFit"/>
              <c:showLegendKey val="0"/>
              <c:showVal val="0"/>
              <c:showCatName val="1"/>
              <c:showSerName val="0"/>
              <c:showPercent val="1"/>
              <c:showBubbleSize val="0"/>
            </c:dLbl>
            <c:dLbl>
              <c:idx val="4"/>
              <c:layout>
                <c:manualLayout>
                  <c:x val="-0.1171421138523477"/>
                  <c:y val="5.5546669045517048E-2"/>
                </c:manualLayout>
              </c:layout>
              <c:tx>
                <c:rich>
                  <a:bodyPr/>
                  <a:lstStyle/>
                  <a:p>
                    <a:r>
                      <a:rPr lang="en-US"/>
                      <a:t>Glencore</a:t>
                    </a:r>
                  </a:p>
                  <a:p>
                    <a:r>
                      <a:rPr lang="en-US"/>
                      <a:t>/Viterra
6%</a:t>
                    </a:r>
                  </a:p>
                </c:rich>
              </c:tx>
              <c:dLblPos val="bestFit"/>
              <c:showLegendKey val="0"/>
              <c:showVal val="0"/>
              <c:showCatName val="1"/>
              <c:showSerName val="0"/>
              <c:showPercent val="1"/>
              <c:showBubbleSize val="0"/>
            </c:dLbl>
            <c:dLbl>
              <c:idx val="5"/>
              <c:layout>
                <c:manualLayout>
                  <c:x val="1.2204424103737609E-2"/>
                  <c:y val="0"/>
                </c:manualLayout>
              </c:layout>
              <c:dLblPos val="bestFit"/>
              <c:showLegendKey val="0"/>
              <c:showVal val="0"/>
              <c:showCatName val="1"/>
              <c:showSerName val="0"/>
              <c:showPercent val="1"/>
              <c:showBubbleSize val="0"/>
            </c:dLbl>
            <c:txPr>
              <a:bodyPr/>
              <a:lstStyle/>
              <a:p>
                <a:pPr>
                  <a:defRPr sz="900"/>
                </a:pPr>
                <a:endParaRPr lang="en-US"/>
              </a:p>
            </c:txPr>
            <c:dLblPos val="outEnd"/>
            <c:showLegendKey val="0"/>
            <c:showVal val="0"/>
            <c:showCatName val="1"/>
            <c:showSerName val="0"/>
            <c:showPercent val="1"/>
            <c:showBubbleSize val="0"/>
            <c:showLeaderLines val="1"/>
          </c:dLbls>
          <c:cat>
            <c:strRef>
              <c:f>('Exporters at MPT'!$B$41:$B$45,'Exporters at MPT'!$B$53)</c:f>
              <c:strCache>
                <c:ptCount val="6"/>
                <c:pt idx="0">
                  <c:v>Emerald</c:v>
                </c:pt>
                <c:pt idx="1">
                  <c:v>Cargill/AWB</c:v>
                </c:pt>
                <c:pt idx="2">
                  <c:v>Bunge</c:v>
                </c:pt>
                <c:pt idx="3">
                  <c:v>Noble Grain</c:v>
                </c:pt>
                <c:pt idx="4">
                  <c:v>Glencore/Viterra</c:v>
                </c:pt>
                <c:pt idx="5">
                  <c:v>Other exporters</c:v>
                </c:pt>
              </c:strCache>
            </c:strRef>
          </c:cat>
          <c:val>
            <c:numRef>
              <c:f>('Exporters at MPT'!$K$41:$K$45,'Exporters at MPT'!$K$53)</c:f>
              <c:numCache>
                <c:formatCode>0%</c:formatCode>
                <c:ptCount val="6"/>
                <c:pt idx="0">
                  <c:v>0.42297710920853981</c:v>
                </c:pt>
                <c:pt idx="1">
                  <c:v>0.23966504922096304</c:v>
                </c:pt>
                <c:pt idx="2">
                  <c:v>0.12577390496575866</c:v>
                </c:pt>
                <c:pt idx="3">
                  <c:v>6.3917492792290309E-2</c:v>
                </c:pt>
                <c:pt idx="4">
                  <c:v>6.2498019046185939E-2</c:v>
                </c:pt>
                <c:pt idx="5">
                  <c:v>8.516842476626231E-2</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xPr>
        <a:bodyPr/>
        <a:lstStyle/>
        <a:p>
          <a:pPr>
            <a:defRPr sz="1200"/>
          </a:pPr>
          <a:endParaRPr lang="en-US"/>
        </a:p>
      </c:txPr>
    </c:title>
    <c:autoTitleDeleted val="0"/>
    <c:plotArea>
      <c:layout>
        <c:manualLayout>
          <c:layoutTarget val="inner"/>
          <c:xMode val="edge"/>
          <c:yMode val="edge"/>
          <c:x val="0.29096060195547629"/>
          <c:y val="0.22969352988023334"/>
          <c:w val="0.37799503894965092"/>
          <c:h val="0.64524934383202104"/>
        </c:manualLayout>
      </c:layout>
      <c:pieChart>
        <c:varyColors val="1"/>
        <c:ser>
          <c:idx val="0"/>
          <c:order val="0"/>
          <c:tx>
            <c:strRef>
              <c:f>'Exporters at Geelong'!$A$1</c:f>
              <c:strCache>
                <c:ptCount val="1"/>
                <c:pt idx="0">
                  <c:v>Geelong port terminal</c:v>
                </c:pt>
              </c:strCache>
            </c:strRef>
          </c:tx>
          <c:dLbls>
            <c:txPr>
              <a:bodyPr/>
              <a:lstStyle/>
              <a:p>
                <a:pPr>
                  <a:defRPr sz="900"/>
                </a:pPr>
                <a:endParaRPr lang="en-US"/>
              </a:p>
            </c:txPr>
            <c:dLblPos val="outEnd"/>
            <c:showLegendKey val="0"/>
            <c:showVal val="1"/>
            <c:showCatName val="1"/>
            <c:showSerName val="0"/>
            <c:showPercent val="0"/>
            <c:showBubbleSize val="0"/>
            <c:showLeaderLines val="1"/>
          </c:dLbls>
          <c:cat>
            <c:strRef>
              <c:f>('Exporters at Geelong'!$B$4:$B$8,'Exporters at Geelong'!$B$19)</c:f>
              <c:strCache>
                <c:ptCount val="6"/>
                <c:pt idx="0">
                  <c:v>GrainCorp</c:v>
                </c:pt>
                <c:pt idx="1">
                  <c:v>Glencore</c:v>
                </c:pt>
                <c:pt idx="2">
                  <c:v>Cargill</c:v>
                </c:pt>
                <c:pt idx="3">
                  <c:v>ADM</c:v>
                </c:pt>
                <c:pt idx="4">
                  <c:v>Emerald</c:v>
                </c:pt>
                <c:pt idx="5">
                  <c:v>Other exporters</c:v>
                </c:pt>
              </c:strCache>
            </c:strRef>
          </c:cat>
          <c:val>
            <c:numRef>
              <c:f>('Exporters at Geelong'!$K$4:$K$8,'Exporters at Geelong'!$K$19)</c:f>
              <c:numCache>
                <c:formatCode>0%</c:formatCode>
                <c:ptCount val="6"/>
                <c:pt idx="0">
                  <c:v>0.32690876841006383</c:v>
                </c:pt>
                <c:pt idx="1">
                  <c:v>0.22826122651290257</c:v>
                </c:pt>
                <c:pt idx="2">
                  <c:v>0.16743679070241077</c:v>
                </c:pt>
                <c:pt idx="3">
                  <c:v>8.8836061850000772E-2</c:v>
                </c:pt>
                <c:pt idx="4">
                  <c:v>5.1596569154708755E-2</c:v>
                </c:pt>
                <c:pt idx="5">
                  <c:v>0.13696058336991371</c:v>
                </c:pt>
              </c:numCache>
            </c:numRef>
          </c:val>
        </c:ser>
        <c:dLbls>
          <c:showLegendKey val="0"/>
          <c:showVal val="1"/>
          <c:showCatName val="1"/>
          <c:showSerName val="0"/>
          <c:showPercent val="0"/>
          <c:showBubbleSize val="0"/>
          <c:showLeaderLines val="1"/>
        </c:dLbls>
        <c:firstSliceAng val="0"/>
      </c:pieChart>
    </c:plotArea>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txPr>
        <a:bodyPr/>
        <a:lstStyle/>
        <a:p>
          <a:pPr>
            <a:defRPr sz="1200"/>
          </a:pPr>
          <a:endParaRPr lang="en-US"/>
        </a:p>
      </c:txPr>
    </c:title>
    <c:autoTitleDeleted val="0"/>
    <c:plotArea>
      <c:layout>
        <c:manualLayout>
          <c:layoutTarget val="inner"/>
          <c:xMode val="edge"/>
          <c:yMode val="edge"/>
          <c:x val="0.27469665044129343"/>
          <c:y val="0.25115158203852306"/>
          <c:w val="0.39471158033496939"/>
          <c:h val="0.64705230885590426"/>
        </c:manualLayout>
      </c:layout>
      <c:pieChart>
        <c:varyColors val="1"/>
        <c:ser>
          <c:idx val="0"/>
          <c:order val="0"/>
          <c:tx>
            <c:strRef>
              <c:f>'Exporters at Portland'!$A$1</c:f>
              <c:strCache>
                <c:ptCount val="1"/>
                <c:pt idx="0">
                  <c:v>Portland port terminal</c:v>
                </c:pt>
              </c:strCache>
            </c:strRef>
          </c:tx>
          <c:dLbls>
            <c:dLbl>
              <c:idx val="4"/>
              <c:layout>
                <c:manualLayout>
                  <c:x val="-3.5847301784885155E-2"/>
                  <c:y val="9.811416084773681E-3"/>
                </c:manualLayout>
              </c:layout>
              <c:dLblPos val="bestFit"/>
              <c:showLegendKey val="0"/>
              <c:showVal val="1"/>
              <c:showCatName val="1"/>
              <c:showSerName val="0"/>
              <c:showPercent val="0"/>
              <c:showBubbleSize val="0"/>
            </c:dLbl>
            <c:dLbl>
              <c:idx val="5"/>
              <c:layout>
                <c:manualLayout>
                  <c:x val="-4.1853606581978592E-2"/>
                  <c:y val="1.4682359267017688E-2"/>
                </c:manualLayout>
              </c:layout>
              <c:dLblPos val="bestFit"/>
              <c:showLegendKey val="0"/>
              <c:showVal val="1"/>
              <c:showCatName val="1"/>
              <c:showSerName val="0"/>
              <c:showPercent val="0"/>
              <c:showBubbleSize val="0"/>
            </c:dLbl>
            <c:txPr>
              <a:bodyPr/>
              <a:lstStyle/>
              <a:p>
                <a:pPr>
                  <a:defRPr sz="900"/>
                </a:pPr>
                <a:endParaRPr lang="en-US"/>
              </a:p>
            </c:txPr>
            <c:dLblPos val="outEnd"/>
            <c:showLegendKey val="0"/>
            <c:showVal val="1"/>
            <c:showCatName val="1"/>
            <c:showSerName val="0"/>
            <c:showPercent val="0"/>
            <c:showBubbleSize val="0"/>
            <c:showLeaderLines val="1"/>
          </c:dLbls>
          <c:cat>
            <c:strRef>
              <c:f>('Exporters at Portland'!$B$3:$B$7,'Exporters at Portland'!$B$14)</c:f>
              <c:strCache>
                <c:ptCount val="6"/>
                <c:pt idx="0">
                  <c:v>GrainCorp</c:v>
                </c:pt>
                <c:pt idx="1">
                  <c:v>Cargill</c:v>
                </c:pt>
                <c:pt idx="2">
                  <c:v>Glencore</c:v>
                </c:pt>
                <c:pt idx="3">
                  <c:v>Emerald</c:v>
                </c:pt>
                <c:pt idx="4">
                  <c:v>ADM</c:v>
                </c:pt>
                <c:pt idx="5">
                  <c:v>Other exporters</c:v>
                </c:pt>
              </c:strCache>
            </c:strRef>
          </c:cat>
          <c:val>
            <c:numRef>
              <c:f>('Exporters at Portland'!$K$3:$K$7,'Exporters at Portland'!$K$14)</c:f>
              <c:numCache>
                <c:formatCode>0%</c:formatCode>
                <c:ptCount val="6"/>
                <c:pt idx="0">
                  <c:v>0.29287229679771642</c:v>
                </c:pt>
                <c:pt idx="1">
                  <c:v>0.35462271167610182</c:v>
                </c:pt>
                <c:pt idx="2">
                  <c:v>0.21650620948639068</c:v>
                </c:pt>
                <c:pt idx="3">
                  <c:v>0.14122406211508221</c:v>
                </c:pt>
                <c:pt idx="4">
                  <c:v>0.1274486109733442</c:v>
                </c:pt>
                <c:pt idx="5">
                  <c:v>0.1601984057490814</c:v>
                </c:pt>
              </c:numCache>
            </c:numRef>
          </c:val>
        </c:ser>
        <c:dLbls>
          <c:showLegendKey val="0"/>
          <c:showVal val="1"/>
          <c:showCatName val="1"/>
          <c:showSerName val="0"/>
          <c:showPercent val="0"/>
          <c:showBubbleSize val="0"/>
          <c:showLeaderLines val="1"/>
        </c:dLbls>
        <c:firstSliceAng val="0"/>
      </c:pieChart>
    </c:plotArea>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F4562465</Template>
  <TotalTime>0</TotalTime>
  <Pages>71</Pages>
  <Words>26263</Words>
  <Characters>149703</Characters>
  <Application>Microsoft Office Word</Application>
  <DocSecurity>4</DocSecurity>
  <Lines>1247</Lines>
  <Paragraphs>351</Paragraphs>
  <ScaleCrop>false</ScaleCrop>
  <LinksUpToDate>false</LinksUpToDate>
  <CharactersWithSpaces>175615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2015-04-09T07:01:00Z</dcterms:created>
  <dcterms:modified xsi:type="dcterms:W3CDTF">2015-04-09T07:01:00Z</dcterms:modified>
</cp:coreProperties>
</file>