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DF" w:rsidRPr="00DD5BA3" w:rsidRDefault="008453DF" w:rsidP="008453DF">
      <w:pPr>
        <w:autoSpaceDE w:val="0"/>
        <w:autoSpaceDN w:val="0"/>
        <w:adjustRightInd w:val="0"/>
      </w:pPr>
      <w:r>
        <w:rPr>
          <w:noProof/>
          <w:lang w:eastAsia="en-AU"/>
        </w:rPr>
        <w:drawing>
          <wp:inline distT="0" distB="0" distL="0" distR="0">
            <wp:extent cx="2305050" cy="1152525"/>
            <wp:effectExtent l="19050" t="0" r="0" b="0"/>
            <wp:docPr id="1" name="Picture 1" descr="http://intranet.accc.gov.au/content/item.phtml?itemId=448246&amp;nodeId=file3ffa3047bfa21&amp;fn=logo_72dpi-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ccc.gov.au/content/item.phtml?itemId=448246&amp;nodeId=file3ffa3047bfa21&amp;fn=logo_72dpi-web.gif"/>
                    <pic:cNvPicPr>
                      <a:picLocks noChangeAspect="1" noChangeArrowheads="1"/>
                    </pic:cNvPicPr>
                  </pic:nvPicPr>
                  <pic:blipFill>
                    <a:blip r:embed="rId8" r:link="rId9" cstate="print"/>
                    <a:srcRect/>
                    <a:stretch>
                      <a:fillRect/>
                    </a:stretch>
                  </pic:blipFill>
                  <pic:spPr bwMode="auto">
                    <a:xfrm>
                      <a:off x="0" y="0"/>
                      <a:ext cx="2305050" cy="1152525"/>
                    </a:xfrm>
                    <a:prstGeom prst="rect">
                      <a:avLst/>
                    </a:prstGeom>
                    <a:noFill/>
                    <a:ln w="9525">
                      <a:noFill/>
                      <a:miter lim="800000"/>
                      <a:headEnd/>
                      <a:tailEnd/>
                    </a:ln>
                  </pic:spPr>
                </pic:pic>
              </a:graphicData>
            </a:graphic>
          </wp:inline>
        </w:drawing>
      </w:r>
    </w:p>
    <w:p w:rsidR="008453DF" w:rsidRPr="00DD5BA3" w:rsidRDefault="008453DF" w:rsidP="008453DF">
      <w:pPr>
        <w:autoSpaceDE w:val="0"/>
        <w:autoSpaceDN w:val="0"/>
        <w:adjustRightInd w:val="0"/>
      </w:pPr>
    </w:p>
    <w:p w:rsidR="008453DF" w:rsidRPr="00DD5BA3" w:rsidRDefault="008453DF" w:rsidP="008453DF">
      <w:pPr>
        <w:autoSpaceDE w:val="0"/>
        <w:autoSpaceDN w:val="0"/>
        <w:adjustRightInd w:val="0"/>
      </w:pPr>
    </w:p>
    <w:p w:rsidR="008453DF" w:rsidRPr="00DD5BA3" w:rsidRDefault="008453DF" w:rsidP="008453DF">
      <w:pPr>
        <w:autoSpaceDE w:val="0"/>
        <w:autoSpaceDN w:val="0"/>
        <w:adjustRightInd w:val="0"/>
      </w:pPr>
    </w:p>
    <w:p w:rsidR="008453DF" w:rsidRPr="00DD5BA3" w:rsidRDefault="008453DF" w:rsidP="008453DF">
      <w:pPr>
        <w:autoSpaceDE w:val="0"/>
        <w:autoSpaceDN w:val="0"/>
        <w:adjustRightInd w:val="0"/>
      </w:pPr>
    </w:p>
    <w:p w:rsidR="008453DF" w:rsidRPr="00DD5BA3" w:rsidRDefault="008453DF" w:rsidP="008453DF">
      <w:pPr>
        <w:autoSpaceDE w:val="0"/>
        <w:autoSpaceDN w:val="0"/>
        <w:adjustRightInd w:val="0"/>
      </w:pPr>
    </w:p>
    <w:p w:rsidR="008453DF" w:rsidRPr="00DD5BA3" w:rsidRDefault="008453DF" w:rsidP="008453DF">
      <w:pPr>
        <w:autoSpaceDE w:val="0"/>
        <w:autoSpaceDN w:val="0"/>
        <w:adjustRightInd w:val="0"/>
      </w:pPr>
    </w:p>
    <w:p w:rsidR="004A54B2" w:rsidRDefault="00F76A79">
      <w:pPr>
        <w:pStyle w:val="Title"/>
        <w:jc w:val="center"/>
        <w:rPr>
          <w:b w:val="0"/>
          <w:caps/>
        </w:rPr>
      </w:pPr>
      <w:r w:rsidRPr="00F76A79">
        <w:rPr>
          <w:b w:val="0"/>
          <w:caps/>
        </w:rPr>
        <w:t>National broadband network</w:t>
      </w:r>
    </w:p>
    <w:p w:rsidR="004A54B2" w:rsidRDefault="00F76A79">
      <w:pPr>
        <w:pStyle w:val="Title"/>
        <w:jc w:val="center"/>
        <w:rPr>
          <w:b w:val="0"/>
          <w:caps/>
        </w:rPr>
      </w:pPr>
      <w:r w:rsidRPr="00F76A79">
        <w:rPr>
          <w:b w:val="0"/>
          <w:caps/>
        </w:rPr>
        <w:t>Points of Interconnect</w:t>
      </w:r>
      <w:r w:rsidR="00181557">
        <w:rPr>
          <w:b w:val="0"/>
          <w:caps/>
        </w:rPr>
        <w:t>ion</w:t>
      </w:r>
    </w:p>
    <w:p w:rsidR="008453DF" w:rsidRPr="00DD5BA3" w:rsidRDefault="008453DF"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4A54B2" w:rsidRDefault="008453DF">
      <w:pPr>
        <w:pStyle w:val="Subtitle"/>
      </w:pPr>
      <w:r w:rsidRPr="006C44BE">
        <w:t xml:space="preserve">An ACCC </w:t>
      </w:r>
      <w:r w:rsidR="00361604">
        <w:rPr>
          <w:rStyle w:val="Emphasis"/>
        </w:rPr>
        <w:t>Consultation</w:t>
      </w:r>
      <w:r w:rsidR="00F76A79" w:rsidRPr="00F76A79">
        <w:rPr>
          <w:rStyle w:val="Emphasis"/>
        </w:rPr>
        <w:t xml:space="preserve"> Paper</w:t>
      </w:r>
      <w:r w:rsidR="00F76A79" w:rsidRPr="00F76A79">
        <w:t xml:space="preserve"> </w:t>
      </w:r>
      <w:r w:rsidRPr="006C44BE">
        <w:t>on the</w:t>
      </w:r>
      <w:r w:rsidR="007D7BD2">
        <w:t xml:space="preserve"> proposed</w:t>
      </w:r>
      <w:r w:rsidRPr="006C44BE">
        <w:t xml:space="preserve"> </w:t>
      </w:r>
      <w:r w:rsidR="007D7BD2">
        <w:t>Section 151DB</w:t>
      </w:r>
      <w:r w:rsidRPr="006C44BE">
        <w:t xml:space="preserve"> list of points of interconnect</w:t>
      </w:r>
      <w:r w:rsidR="00181557">
        <w:t>ion</w:t>
      </w:r>
      <w:r w:rsidRPr="006C44BE">
        <w:t xml:space="preserve"> to the National Broadband Network</w:t>
      </w:r>
    </w:p>
    <w:p w:rsidR="008453DF" w:rsidRDefault="008453DF" w:rsidP="008453DF">
      <w:pPr>
        <w:autoSpaceDE w:val="0"/>
        <w:autoSpaceDN w:val="0"/>
        <w:adjustRightInd w:val="0"/>
        <w:rPr>
          <w:b/>
          <w:bCs/>
        </w:rPr>
      </w:pPr>
    </w:p>
    <w:p w:rsidR="00A70ADA" w:rsidRPr="00DD5BA3" w:rsidRDefault="00A70ADA"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4A54B2" w:rsidRDefault="004A54B2">
      <w:pPr>
        <w:autoSpaceDE w:val="0"/>
        <w:autoSpaceDN w:val="0"/>
        <w:adjustRightInd w:val="0"/>
        <w:jc w:val="center"/>
        <w:rPr>
          <w:b/>
          <w:bCs/>
        </w:rPr>
      </w:pPr>
    </w:p>
    <w:p w:rsidR="004A54B2" w:rsidRDefault="003211AC">
      <w:pPr>
        <w:jc w:val="center"/>
      </w:pPr>
      <w:r>
        <w:rPr>
          <w:rFonts w:cs="Times New Roman"/>
          <w:b/>
          <w:bCs/>
          <w:sz w:val="28"/>
          <w:szCs w:val="28"/>
        </w:rPr>
        <w:t>3</w:t>
      </w:r>
      <w:r w:rsidR="00D61299">
        <w:rPr>
          <w:rFonts w:cs="Times New Roman"/>
          <w:b/>
          <w:bCs/>
          <w:sz w:val="28"/>
          <w:szCs w:val="28"/>
        </w:rPr>
        <w:t xml:space="preserve"> August</w:t>
      </w:r>
      <w:r w:rsidR="008453DF" w:rsidRPr="008453DF">
        <w:rPr>
          <w:rFonts w:cs="Times New Roman"/>
          <w:b/>
          <w:bCs/>
          <w:sz w:val="28"/>
          <w:szCs w:val="28"/>
        </w:rPr>
        <w:t xml:space="preserve"> 2012</w:t>
      </w:r>
      <w:r w:rsidR="008453DF" w:rsidRPr="008453DF">
        <w:rPr>
          <w:noProof/>
          <w:lang w:eastAsia="en-AU"/>
        </w:rPr>
        <w:br w:type="page"/>
      </w:r>
      <w:r w:rsidR="008453DF">
        <w:rPr>
          <w:noProof/>
          <w:lang w:eastAsia="en-AU"/>
        </w:rPr>
        <w:lastRenderedPageBreak/>
        <w:drawing>
          <wp:inline distT="0" distB="0" distL="0" distR="0">
            <wp:extent cx="14097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09700" cy="1095375"/>
                    </a:xfrm>
                    <a:prstGeom prst="rect">
                      <a:avLst/>
                    </a:prstGeom>
                    <a:noFill/>
                    <a:ln w="9525">
                      <a:noFill/>
                      <a:miter lim="800000"/>
                      <a:headEnd/>
                      <a:tailEnd/>
                    </a:ln>
                  </pic:spPr>
                </pic:pic>
              </a:graphicData>
            </a:graphic>
          </wp:inline>
        </w:drawing>
      </w:r>
    </w:p>
    <w:p w:rsidR="008453DF" w:rsidRPr="00DD5BA3" w:rsidRDefault="008453DF" w:rsidP="008453DF">
      <w:pPr>
        <w:autoSpaceDE w:val="0"/>
        <w:autoSpaceDN w:val="0"/>
        <w:adjustRightInd w:val="0"/>
        <w:rPr>
          <w:rFonts w:ascii="Humanist777BT-LightB" w:hAnsi="Humanist777BT-LightB" w:cs="Humanist777BT-LightB"/>
          <w:sz w:val="16"/>
          <w:szCs w:val="16"/>
        </w:rPr>
      </w:pPr>
    </w:p>
    <w:p w:rsidR="008453DF" w:rsidRPr="00DD5BA3" w:rsidRDefault="008453DF" w:rsidP="008453DF">
      <w:pPr>
        <w:autoSpaceDE w:val="0"/>
        <w:autoSpaceDN w:val="0"/>
        <w:adjustRightInd w:val="0"/>
        <w:rPr>
          <w:rFonts w:ascii="Humanist777BT-LightB" w:hAnsi="Humanist777BT-LightB" w:cs="Humanist777BT-LightB"/>
          <w:sz w:val="16"/>
          <w:szCs w:val="16"/>
        </w:rPr>
      </w:pPr>
      <w:r w:rsidRPr="00DD5BA3">
        <w:rPr>
          <w:rFonts w:ascii="Humanist777BT-LightB" w:hAnsi="Humanist777BT-LightB" w:cs="Humanist777BT-LightB"/>
          <w:sz w:val="16"/>
          <w:szCs w:val="16"/>
        </w:rPr>
        <w:t>© Commonwealth of Australia 2010</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This work is copyright. Apart from any use as permitted under</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 xml:space="preserve">the </w:t>
      </w:r>
      <w:r w:rsidRPr="00DD5BA3">
        <w:rPr>
          <w:rFonts w:ascii="Humanist777BT-LightItalicB" w:hAnsi="Humanist777BT-LightItalicB" w:cs="Humanist777BT-LightItalicB"/>
          <w:i/>
          <w:iCs/>
          <w:sz w:val="16"/>
          <w:szCs w:val="16"/>
        </w:rPr>
        <w:t xml:space="preserve">Copyright Act 1968 </w:t>
      </w:r>
      <w:r w:rsidRPr="00DD5BA3">
        <w:rPr>
          <w:rFonts w:ascii="Humanist777BT-LightB" w:hAnsi="Humanist777BT-LightB" w:cs="Humanist777BT-LightB"/>
          <w:sz w:val="16"/>
          <w:szCs w:val="16"/>
        </w:rPr>
        <w:t>no part may be reproduced without</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prior permission from the Australian Competition and Consumer</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Commission. Requests and inquiries concerning reproduction</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and rights should be addressed to the Director Publishing,</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r w:rsidRPr="00DD5BA3">
        <w:rPr>
          <w:rFonts w:ascii="Humanist777BT-LightB" w:hAnsi="Humanist777BT-LightB" w:cs="Humanist777BT-LightB"/>
          <w:sz w:val="16"/>
          <w:szCs w:val="16"/>
        </w:rPr>
        <w:t>Australian Competition and Consumer Commission,</w:t>
      </w:r>
    </w:p>
    <w:p w:rsidR="008453DF" w:rsidRPr="00DD5BA3" w:rsidRDefault="008453DF" w:rsidP="008453DF">
      <w:pPr>
        <w:autoSpaceDE w:val="0"/>
        <w:autoSpaceDN w:val="0"/>
        <w:adjustRightInd w:val="0"/>
        <w:spacing w:after="0"/>
        <w:rPr>
          <w:rFonts w:ascii="Humanist777BT-LightB" w:hAnsi="Humanist777BT-LightB" w:cs="Humanist777BT-LightB"/>
          <w:sz w:val="16"/>
          <w:szCs w:val="16"/>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DD5BA3">
                <w:rPr>
                  <w:rFonts w:ascii="Humanist777BT-LightB" w:hAnsi="Humanist777BT-LightB" w:cs="Humanist777BT-LightB"/>
                  <w:sz w:val="16"/>
                  <w:szCs w:val="16"/>
                </w:rPr>
                <w:t>PO Box 3131</w:t>
              </w:r>
            </w:smartTag>
          </w:smartTag>
          <w:r w:rsidRPr="00DD5BA3">
            <w:rPr>
              <w:rFonts w:ascii="Humanist777BT-LightB" w:hAnsi="Humanist777BT-LightB" w:cs="Humanist777BT-LightB"/>
              <w:sz w:val="16"/>
              <w:szCs w:val="16"/>
            </w:rPr>
            <w:t xml:space="preserve">, </w:t>
          </w:r>
          <w:smartTag w:uri="urn:schemas-microsoft-com:office:smarttags" w:element="City">
            <w:r w:rsidRPr="00DD5BA3">
              <w:rPr>
                <w:rFonts w:ascii="Humanist777BT-LightB" w:hAnsi="Humanist777BT-LightB" w:cs="Humanist777BT-LightB"/>
                <w:sz w:val="16"/>
                <w:szCs w:val="16"/>
              </w:rPr>
              <w:t>Canberra</w:t>
            </w:r>
          </w:smartTag>
        </w:smartTag>
      </w:smartTag>
      <w:r w:rsidRPr="00DD5BA3">
        <w:rPr>
          <w:rFonts w:ascii="Humanist777BT-LightB" w:hAnsi="Humanist777BT-LightB" w:cs="Humanist777BT-LightB"/>
          <w:sz w:val="16"/>
          <w:szCs w:val="16"/>
        </w:rPr>
        <w:t xml:space="preserve"> ACT 2601.</w:t>
      </w:r>
    </w:p>
    <w:p w:rsidR="008453DF" w:rsidRPr="00DD5BA3" w:rsidRDefault="008453DF" w:rsidP="008453DF">
      <w:pPr>
        <w:autoSpaceDE w:val="0"/>
        <w:autoSpaceDN w:val="0"/>
        <w:adjustRightInd w:val="0"/>
        <w:rPr>
          <w:rFonts w:ascii="Humanist777BT-LightB" w:hAnsi="Humanist777BT-LightB" w:cs="Humanist777BT-LightB"/>
          <w:sz w:val="16"/>
          <w:szCs w:val="16"/>
        </w:rPr>
      </w:pPr>
    </w:p>
    <w:p w:rsidR="008453DF" w:rsidRPr="00DD5BA3" w:rsidRDefault="008453DF" w:rsidP="008453DF">
      <w:pPr>
        <w:autoSpaceDE w:val="0"/>
        <w:autoSpaceDN w:val="0"/>
        <w:adjustRightInd w:val="0"/>
        <w:rPr>
          <w:b/>
          <w:bCs/>
        </w:rPr>
      </w:pPr>
    </w:p>
    <w:p w:rsidR="008453DF" w:rsidRPr="00DD5BA3" w:rsidRDefault="008453DF" w:rsidP="008453DF">
      <w:pPr>
        <w:autoSpaceDE w:val="0"/>
        <w:autoSpaceDN w:val="0"/>
        <w:adjustRightInd w:val="0"/>
        <w:rPr>
          <w:b/>
          <w:bCs/>
        </w:rPr>
      </w:pPr>
    </w:p>
    <w:p w:rsidR="004A54B2" w:rsidRDefault="008453DF">
      <w:pPr>
        <w:rPr>
          <w:rFonts w:cs="Times New Roman"/>
          <w:b/>
          <w:sz w:val="28"/>
          <w:szCs w:val="28"/>
        </w:rPr>
      </w:pPr>
      <w:r w:rsidRPr="00DD5BA3">
        <w:br w:type="page"/>
      </w:r>
    </w:p>
    <w:sdt>
      <w:sdtPr>
        <w:rPr>
          <w:rFonts w:eastAsiaTheme="minorHAnsi" w:cstheme="minorBidi"/>
          <w:b w:val="0"/>
          <w:bCs w:val="0"/>
          <w:sz w:val="24"/>
          <w:szCs w:val="22"/>
          <w:lang w:val="en-AU"/>
        </w:rPr>
        <w:id w:val="-2119258783"/>
        <w:docPartObj>
          <w:docPartGallery w:val="Table of Contents"/>
          <w:docPartUnique/>
        </w:docPartObj>
      </w:sdtPr>
      <w:sdtContent>
        <w:p w:rsidR="003F2D04" w:rsidRDefault="00AD2669">
          <w:pPr>
            <w:pStyle w:val="TOCHeading"/>
            <w:numPr>
              <w:ilvl w:val="0"/>
              <w:numId w:val="0"/>
            </w:numPr>
            <w:ind w:left="357" w:hanging="357"/>
          </w:pPr>
          <w:r>
            <w:t>Table of Contents</w:t>
          </w:r>
        </w:p>
        <w:p w:rsidR="00F0314F" w:rsidRDefault="00001382">
          <w:pPr>
            <w:pStyle w:val="TOC1"/>
            <w:tabs>
              <w:tab w:val="left" w:pos="440"/>
              <w:tab w:val="right" w:leader="dot" w:pos="9016"/>
            </w:tabs>
            <w:rPr>
              <w:rFonts w:asciiTheme="minorHAnsi" w:eastAsiaTheme="minorEastAsia" w:hAnsiTheme="minorHAnsi" w:cstheme="minorBidi"/>
              <w:b w:val="0"/>
              <w:noProof/>
              <w:sz w:val="22"/>
              <w:szCs w:val="22"/>
            </w:rPr>
          </w:pPr>
          <w:r w:rsidRPr="00001382">
            <w:fldChar w:fldCharType="begin"/>
          </w:r>
          <w:r w:rsidR="00AD2669">
            <w:instrText xml:space="preserve"> TOC \o "1-3" \h \z \u </w:instrText>
          </w:r>
          <w:r w:rsidRPr="00001382">
            <w:fldChar w:fldCharType="separate"/>
          </w:r>
          <w:hyperlink w:anchor="_Toc331507465" w:history="1">
            <w:r w:rsidR="00F0314F" w:rsidRPr="009A48D0">
              <w:rPr>
                <w:rStyle w:val="Hyperlink"/>
                <w:noProof/>
              </w:rPr>
              <w:t>1.</w:t>
            </w:r>
            <w:r w:rsidR="00F0314F">
              <w:rPr>
                <w:rFonts w:asciiTheme="minorHAnsi" w:eastAsiaTheme="minorEastAsia" w:hAnsiTheme="minorHAnsi" w:cstheme="minorBidi"/>
                <w:b w:val="0"/>
                <w:noProof/>
                <w:sz w:val="22"/>
                <w:szCs w:val="22"/>
              </w:rPr>
              <w:tab/>
            </w:r>
            <w:r w:rsidR="00F0314F" w:rsidRPr="009A48D0">
              <w:rPr>
                <w:rStyle w:val="Hyperlink"/>
                <w:noProof/>
              </w:rPr>
              <w:t>Introduction</w:t>
            </w:r>
            <w:r w:rsidR="00F0314F">
              <w:rPr>
                <w:noProof/>
                <w:webHidden/>
              </w:rPr>
              <w:tab/>
            </w:r>
            <w:r>
              <w:rPr>
                <w:noProof/>
                <w:webHidden/>
              </w:rPr>
              <w:fldChar w:fldCharType="begin"/>
            </w:r>
            <w:r w:rsidR="00F0314F">
              <w:rPr>
                <w:noProof/>
                <w:webHidden/>
              </w:rPr>
              <w:instrText xml:space="preserve"> PAGEREF _Toc331507465 \h </w:instrText>
            </w:r>
            <w:r>
              <w:rPr>
                <w:noProof/>
                <w:webHidden/>
              </w:rPr>
            </w:r>
            <w:r>
              <w:rPr>
                <w:noProof/>
                <w:webHidden/>
              </w:rPr>
              <w:fldChar w:fldCharType="separate"/>
            </w:r>
            <w:r w:rsidR="00B107BD">
              <w:rPr>
                <w:noProof/>
                <w:webHidden/>
              </w:rPr>
              <w:t>4</w:t>
            </w:r>
            <w:r>
              <w:rPr>
                <w:noProof/>
                <w:webHidden/>
              </w:rPr>
              <w:fldChar w:fldCharType="end"/>
            </w:r>
          </w:hyperlink>
        </w:p>
        <w:p w:rsidR="00F0314F" w:rsidRDefault="00001382">
          <w:pPr>
            <w:pStyle w:val="TOC2"/>
            <w:tabs>
              <w:tab w:val="right" w:leader="dot" w:pos="9016"/>
            </w:tabs>
            <w:rPr>
              <w:rFonts w:asciiTheme="minorHAnsi" w:eastAsiaTheme="minorEastAsia" w:hAnsiTheme="minorHAnsi"/>
              <w:noProof/>
              <w:sz w:val="22"/>
              <w:lang w:eastAsia="en-AU"/>
            </w:rPr>
          </w:pPr>
          <w:hyperlink w:anchor="_Toc331507466" w:history="1">
            <w:r w:rsidR="00F0314F" w:rsidRPr="009A48D0">
              <w:rPr>
                <w:rStyle w:val="Hyperlink"/>
                <w:noProof/>
              </w:rPr>
              <w:t>1.1 Timetable for consultation</w:t>
            </w:r>
            <w:r w:rsidR="00F0314F">
              <w:rPr>
                <w:noProof/>
                <w:webHidden/>
              </w:rPr>
              <w:tab/>
            </w:r>
            <w:r>
              <w:rPr>
                <w:noProof/>
                <w:webHidden/>
              </w:rPr>
              <w:fldChar w:fldCharType="begin"/>
            </w:r>
            <w:r w:rsidR="00F0314F">
              <w:rPr>
                <w:noProof/>
                <w:webHidden/>
              </w:rPr>
              <w:instrText xml:space="preserve"> PAGEREF _Toc331507466 \h </w:instrText>
            </w:r>
            <w:r>
              <w:rPr>
                <w:noProof/>
                <w:webHidden/>
              </w:rPr>
            </w:r>
            <w:r>
              <w:rPr>
                <w:noProof/>
                <w:webHidden/>
              </w:rPr>
              <w:fldChar w:fldCharType="separate"/>
            </w:r>
            <w:r w:rsidR="00B107BD">
              <w:rPr>
                <w:noProof/>
                <w:webHidden/>
              </w:rPr>
              <w:t>4</w:t>
            </w:r>
            <w:r>
              <w:rPr>
                <w:noProof/>
                <w:webHidden/>
              </w:rPr>
              <w:fldChar w:fldCharType="end"/>
            </w:r>
          </w:hyperlink>
        </w:p>
        <w:p w:rsidR="00F0314F" w:rsidRDefault="00001382">
          <w:pPr>
            <w:pStyle w:val="TOC2"/>
            <w:tabs>
              <w:tab w:val="right" w:leader="dot" w:pos="9016"/>
            </w:tabs>
            <w:rPr>
              <w:rFonts w:asciiTheme="minorHAnsi" w:eastAsiaTheme="minorEastAsia" w:hAnsiTheme="minorHAnsi"/>
              <w:noProof/>
              <w:sz w:val="22"/>
              <w:lang w:eastAsia="en-AU"/>
            </w:rPr>
          </w:pPr>
          <w:hyperlink w:anchor="_Toc331507467" w:history="1">
            <w:r w:rsidR="00F0314F" w:rsidRPr="009A48D0">
              <w:rPr>
                <w:rStyle w:val="Hyperlink"/>
                <w:noProof/>
              </w:rPr>
              <w:t>1.2 Making submissions</w:t>
            </w:r>
            <w:r w:rsidR="00F0314F">
              <w:rPr>
                <w:noProof/>
                <w:webHidden/>
              </w:rPr>
              <w:tab/>
            </w:r>
            <w:r>
              <w:rPr>
                <w:noProof/>
                <w:webHidden/>
              </w:rPr>
              <w:fldChar w:fldCharType="begin"/>
            </w:r>
            <w:r w:rsidR="00F0314F">
              <w:rPr>
                <w:noProof/>
                <w:webHidden/>
              </w:rPr>
              <w:instrText xml:space="preserve"> PAGEREF _Toc331507467 \h </w:instrText>
            </w:r>
            <w:r>
              <w:rPr>
                <w:noProof/>
                <w:webHidden/>
              </w:rPr>
            </w:r>
            <w:r>
              <w:rPr>
                <w:noProof/>
                <w:webHidden/>
              </w:rPr>
              <w:fldChar w:fldCharType="separate"/>
            </w:r>
            <w:r w:rsidR="00B107BD">
              <w:rPr>
                <w:noProof/>
                <w:webHidden/>
              </w:rPr>
              <w:t>4</w:t>
            </w:r>
            <w:r>
              <w:rPr>
                <w:noProof/>
                <w:webHidden/>
              </w:rPr>
              <w:fldChar w:fldCharType="end"/>
            </w:r>
          </w:hyperlink>
        </w:p>
        <w:p w:rsidR="00F0314F" w:rsidRDefault="00001382">
          <w:pPr>
            <w:pStyle w:val="TOC1"/>
            <w:tabs>
              <w:tab w:val="left" w:pos="440"/>
              <w:tab w:val="right" w:leader="dot" w:pos="9016"/>
            </w:tabs>
            <w:rPr>
              <w:rFonts w:asciiTheme="minorHAnsi" w:eastAsiaTheme="minorEastAsia" w:hAnsiTheme="minorHAnsi" w:cstheme="minorBidi"/>
              <w:b w:val="0"/>
              <w:noProof/>
              <w:sz w:val="22"/>
              <w:szCs w:val="22"/>
            </w:rPr>
          </w:pPr>
          <w:hyperlink w:anchor="_Toc331507468" w:history="1">
            <w:r w:rsidR="00F0314F" w:rsidRPr="009A48D0">
              <w:rPr>
                <w:rStyle w:val="Hyperlink"/>
                <w:noProof/>
              </w:rPr>
              <w:t>2.</w:t>
            </w:r>
            <w:r w:rsidR="00F0314F">
              <w:rPr>
                <w:rFonts w:asciiTheme="minorHAnsi" w:eastAsiaTheme="minorEastAsia" w:hAnsiTheme="minorHAnsi" w:cstheme="minorBidi"/>
                <w:b w:val="0"/>
                <w:noProof/>
                <w:sz w:val="22"/>
                <w:szCs w:val="22"/>
              </w:rPr>
              <w:tab/>
            </w:r>
            <w:r w:rsidR="00F0314F" w:rsidRPr="009A48D0">
              <w:rPr>
                <w:rStyle w:val="Hyperlink"/>
                <w:noProof/>
              </w:rPr>
              <w:t>Section 151DB list of POIs</w:t>
            </w:r>
            <w:r w:rsidR="00F0314F">
              <w:rPr>
                <w:noProof/>
                <w:webHidden/>
              </w:rPr>
              <w:tab/>
            </w:r>
            <w:r>
              <w:rPr>
                <w:noProof/>
                <w:webHidden/>
              </w:rPr>
              <w:fldChar w:fldCharType="begin"/>
            </w:r>
            <w:r w:rsidR="00F0314F">
              <w:rPr>
                <w:noProof/>
                <w:webHidden/>
              </w:rPr>
              <w:instrText xml:space="preserve"> PAGEREF _Toc331507468 \h </w:instrText>
            </w:r>
            <w:r>
              <w:rPr>
                <w:noProof/>
                <w:webHidden/>
              </w:rPr>
            </w:r>
            <w:r>
              <w:rPr>
                <w:noProof/>
                <w:webHidden/>
              </w:rPr>
              <w:fldChar w:fldCharType="separate"/>
            </w:r>
            <w:r w:rsidR="00B107BD">
              <w:rPr>
                <w:noProof/>
                <w:webHidden/>
              </w:rPr>
              <w:t>5</w:t>
            </w:r>
            <w:r>
              <w:rPr>
                <w:noProof/>
                <w:webHidden/>
              </w:rPr>
              <w:fldChar w:fldCharType="end"/>
            </w:r>
          </w:hyperlink>
        </w:p>
        <w:p w:rsidR="00F0314F" w:rsidRDefault="00001382">
          <w:pPr>
            <w:pStyle w:val="TOC2"/>
            <w:tabs>
              <w:tab w:val="right" w:leader="dot" w:pos="9016"/>
            </w:tabs>
            <w:rPr>
              <w:rFonts w:asciiTheme="minorHAnsi" w:eastAsiaTheme="minorEastAsia" w:hAnsiTheme="minorHAnsi"/>
              <w:noProof/>
              <w:sz w:val="22"/>
              <w:lang w:eastAsia="en-AU"/>
            </w:rPr>
          </w:pPr>
          <w:hyperlink w:anchor="_Toc331507469" w:history="1">
            <w:r w:rsidR="00F0314F" w:rsidRPr="009A48D0">
              <w:rPr>
                <w:rStyle w:val="Hyperlink"/>
                <w:noProof/>
              </w:rPr>
              <w:t>2.1 Background</w:t>
            </w:r>
            <w:r w:rsidR="00F0314F">
              <w:rPr>
                <w:noProof/>
                <w:webHidden/>
              </w:rPr>
              <w:tab/>
            </w:r>
            <w:r>
              <w:rPr>
                <w:noProof/>
                <w:webHidden/>
              </w:rPr>
              <w:fldChar w:fldCharType="begin"/>
            </w:r>
            <w:r w:rsidR="00F0314F">
              <w:rPr>
                <w:noProof/>
                <w:webHidden/>
              </w:rPr>
              <w:instrText xml:space="preserve"> PAGEREF _Toc331507469 \h </w:instrText>
            </w:r>
            <w:r>
              <w:rPr>
                <w:noProof/>
                <w:webHidden/>
              </w:rPr>
            </w:r>
            <w:r>
              <w:rPr>
                <w:noProof/>
                <w:webHidden/>
              </w:rPr>
              <w:fldChar w:fldCharType="separate"/>
            </w:r>
            <w:r w:rsidR="00B107BD">
              <w:rPr>
                <w:noProof/>
                <w:webHidden/>
              </w:rPr>
              <w:t>5</w:t>
            </w:r>
            <w:r>
              <w:rPr>
                <w:noProof/>
                <w:webHidden/>
              </w:rPr>
              <w:fldChar w:fldCharType="end"/>
            </w:r>
          </w:hyperlink>
        </w:p>
        <w:p w:rsidR="00F0314F" w:rsidRDefault="00001382">
          <w:pPr>
            <w:pStyle w:val="TOC1"/>
            <w:tabs>
              <w:tab w:val="left" w:pos="440"/>
              <w:tab w:val="right" w:leader="dot" w:pos="9016"/>
            </w:tabs>
            <w:rPr>
              <w:rFonts w:asciiTheme="minorHAnsi" w:eastAsiaTheme="minorEastAsia" w:hAnsiTheme="minorHAnsi" w:cstheme="minorBidi"/>
              <w:b w:val="0"/>
              <w:noProof/>
              <w:sz w:val="22"/>
              <w:szCs w:val="22"/>
            </w:rPr>
          </w:pPr>
          <w:hyperlink w:anchor="_Toc331507470" w:history="1">
            <w:r w:rsidR="00F0314F" w:rsidRPr="009A48D0">
              <w:rPr>
                <w:rStyle w:val="Hyperlink"/>
                <w:noProof/>
              </w:rPr>
              <w:t>3.</w:t>
            </w:r>
            <w:r w:rsidR="00F0314F">
              <w:rPr>
                <w:rFonts w:asciiTheme="minorHAnsi" w:eastAsiaTheme="minorEastAsia" w:hAnsiTheme="minorHAnsi" w:cstheme="minorBidi"/>
                <w:b w:val="0"/>
                <w:noProof/>
                <w:sz w:val="22"/>
                <w:szCs w:val="22"/>
              </w:rPr>
              <w:tab/>
            </w:r>
            <w:r w:rsidR="00F0314F" w:rsidRPr="009A48D0">
              <w:rPr>
                <w:rStyle w:val="Hyperlink"/>
                <w:noProof/>
              </w:rPr>
              <w:t>Changes to the May 2011 list of POIs</w:t>
            </w:r>
            <w:r w:rsidR="00F0314F">
              <w:rPr>
                <w:noProof/>
                <w:webHidden/>
              </w:rPr>
              <w:tab/>
            </w:r>
            <w:r>
              <w:rPr>
                <w:noProof/>
                <w:webHidden/>
              </w:rPr>
              <w:fldChar w:fldCharType="begin"/>
            </w:r>
            <w:r w:rsidR="00F0314F">
              <w:rPr>
                <w:noProof/>
                <w:webHidden/>
              </w:rPr>
              <w:instrText xml:space="preserve"> PAGEREF _Toc331507470 \h </w:instrText>
            </w:r>
            <w:r>
              <w:rPr>
                <w:noProof/>
                <w:webHidden/>
              </w:rPr>
            </w:r>
            <w:r>
              <w:rPr>
                <w:noProof/>
                <w:webHidden/>
              </w:rPr>
              <w:fldChar w:fldCharType="separate"/>
            </w:r>
            <w:r w:rsidR="00B107BD">
              <w:rPr>
                <w:noProof/>
                <w:webHidden/>
              </w:rPr>
              <w:t>6</w:t>
            </w:r>
            <w:r>
              <w:rPr>
                <w:noProof/>
                <w:webHidden/>
              </w:rPr>
              <w:fldChar w:fldCharType="end"/>
            </w:r>
          </w:hyperlink>
        </w:p>
        <w:p w:rsidR="00F0314F" w:rsidRDefault="00001382">
          <w:pPr>
            <w:pStyle w:val="TOC1"/>
            <w:tabs>
              <w:tab w:val="left" w:pos="440"/>
              <w:tab w:val="right" w:leader="dot" w:pos="9016"/>
            </w:tabs>
            <w:rPr>
              <w:rFonts w:asciiTheme="minorHAnsi" w:eastAsiaTheme="minorEastAsia" w:hAnsiTheme="minorHAnsi" w:cstheme="minorBidi"/>
              <w:b w:val="0"/>
              <w:noProof/>
              <w:sz w:val="22"/>
              <w:szCs w:val="22"/>
            </w:rPr>
          </w:pPr>
          <w:hyperlink w:anchor="_Toc331507471" w:history="1">
            <w:r w:rsidR="00F0314F" w:rsidRPr="009A48D0">
              <w:rPr>
                <w:rStyle w:val="Hyperlink"/>
                <w:noProof/>
              </w:rPr>
              <w:t>4.</w:t>
            </w:r>
            <w:r w:rsidR="00F0314F">
              <w:rPr>
                <w:rFonts w:asciiTheme="minorHAnsi" w:eastAsiaTheme="minorEastAsia" w:hAnsiTheme="minorHAnsi" w:cstheme="minorBidi"/>
                <w:b w:val="0"/>
                <w:noProof/>
                <w:sz w:val="22"/>
                <w:szCs w:val="22"/>
              </w:rPr>
              <w:tab/>
            </w:r>
            <w:r w:rsidR="00F0314F" w:rsidRPr="009A48D0">
              <w:rPr>
                <w:rStyle w:val="Hyperlink"/>
                <w:noProof/>
              </w:rPr>
              <w:t>Public and confidential versions of the List of POIs</w:t>
            </w:r>
            <w:r w:rsidR="00F0314F">
              <w:rPr>
                <w:noProof/>
                <w:webHidden/>
              </w:rPr>
              <w:tab/>
            </w:r>
            <w:r>
              <w:rPr>
                <w:noProof/>
                <w:webHidden/>
              </w:rPr>
              <w:fldChar w:fldCharType="begin"/>
            </w:r>
            <w:r w:rsidR="00F0314F">
              <w:rPr>
                <w:noProof/>
                <w:webHidden/>
              </w:rPr>
              <w:instrText xml:space="preserve"> PAGEREF _Toc331507471 \h </w:instrText>
            </w:r>
            <w:r>
              <w:rPr>
                <w:noProof/>
                <w:webHidden/>
              </w:rPr>
            </w:r>
            <w:r>
              <w:rPr>
                <w:noProof/>
                <w:webHidden/>
              </w:rPr>
              <w:fldChar w:fldCharType="separate"/>
            </w:r>
            <w:r w:rsidR="00B107BD">
              <w:rPr>
                <w:noProof/>
                <w:webHidden/>
              </w:rPr>
              <w:t>6</w:t>
            </w:r>
            <w:r>
              <w:rPr>
                <w:noProof/>
                <w:webHidden/>
              </w:rPr>
              <w:fldChar w:fldCharType="end"/>
            </w:r>
          </w:hyperlink>
        </w:p>
        <w:p w:rsidR="00F0314F" w:rsidRDefault="00001382">
          <w:pPr>
            <w:pStyle w:val="TOC1"/>
            <w:tabs>
              <w:tab w:val="left" w:pos="440"/>
              <w:tab w:val="right" w:leader="dot" w:pos="9016"/>
            </w:tabs>
            <w:rPr>
              <w:rFonts w:asciiTheme="minorHAnsi" w:eastAsiaTheme="minorEastAsia" w:hAnsiTheme="minorHAnsi" w:cstheme="minorBidi"/>
              <w:b w:val="0"/>
              <w:noProof/>
              <w:sz w:val="22"/>
              <w:szCs w:val="22"/>
            </w:rPr>
          </w:pPr>
          <w:hyperlink w:anchor="_Toc331507472" w:history="1">
            <w:r w:rsidR="00F0314F" w:rsidRPr="009A48D0">
              <w:rPr>
                <w:rStyle w:val="Hyperlink"/>
                <w:noProof/>
              </w:rPr>
              <w:t>5.</w:t>
            </w:r>
            <w:r w:rsidR="00F0314F">
              <w:rPr>
                <w:rFonts w:asciiTheme="minorHAnsi" w:eastAsiaTheme="minorEastAsia" w:hAnsiTheme="minorHAnsi" w:cstheme="minorBidi"/>
                <w:b w:val="0"/>
                <w:noProof/>
                <w:sz w:val="22"/>
                <w:szCs w:val="22"/>
              </w:rPr>
              <w:tab/>
            </w:r>
            <w:r w:rsidR="00F0314F" w:rsidRPr="009A48D0">
              <w:rPr>
                <w:rStyle w:val="Hyperlink"/>
                <w:noProof/>
              </w:rPr>
              <w:t>Scope of the consultation</w:t>
            </w:r>
            <w:r w:rsidR="00F0314F">
              <w:rPr>
                <w:noProof/>
                <w:webHidden/>
              </w:rPr>
              <w:tab/>
            </w:r>
            <w:r>
              <w:rPr>
                <w:noProof/>
                <w:webHidden/>
              </w:rPr>
              <w:fldChar w:fldCharType="begin"/>
            </w:r>
            <w:r w:rsidR="00F0314F">
              <w:rPr>
                <w:noProof/>
                <w:webHidden/>
              </w:rPr>
              <w:instrText xml:space="preserve"> PAGEREF _Toc331507472 \h </w:instrText>
            </w:r>
            <w:r>
              <w:rPr>
                <w:noProof/>
                <w:webHidden/>
              </w:rPr>
            </w:r>
            <w:r>
              <w:rPr>
                <w:noProof/>
                <w:webHidden/>
              </w:rPr>
              <w:fldChar w:fldCharType="separate"/>
            </w:r>
            <w:r w:rsidR="00B107BD">
              <w:rPr>
                <w:noProof/>
                <w:webHidden/>
              </w:rPr>
              <w:t>7</w:t>
            </w:r>
            <w:r>
              <w:rPr>
                <w:noProof/>
                <w:webHidden/>
              </w:rPr>
              <w:fldChar w:fldCharType="end"/>
            </w:r>
          </w:hyperlink>
        </w:p>
        <w:p w:rsidR="00F0314F" w:rsidRDefault="00001382">
          <w:pPr>
            <w:pStyle w:val="TOC1"/>
            <w:tabs>
              <w:tab w:val="right" w:leader="dot" w:pos="9016"/>
            </w:tabs>
            <w:rPr>
              <w:rFonts w:asciiTheme="minorHAnsi" w:eastAsiaTheme="minorEastAsia" w:hAnsiTheme="minorHAnsi" w:cstheme="minorBidi"/>
              <w:b w:val="0"/>
              <w:noProof/>
              <w:sz w:val="22"/>
              <w:szCs w:val="22"/>
            </w:rPr>
          </w:pPr>
          <w:hyperlink w:anchor="_Toc331507473" w:history="1">
            <w:r w:rsidR="00F0314F" w:rsidRPr="009A48D0">
              <w:rPr>
                <w:rStyle w:val="Hyperlink"/>
                <w:noProof/>
              </w:rPr>
              <w:t>Appendix A</w:t>
            </w:r>
            <w:r w:rsidR="00F0314F">
              <w:rPr>
                <w:noProof/>
                <w:webHidden/>
              </w:rPr>
              <w:tab/>
            </w:r>
            <w:r>
              <w:rPr>
                <w:noProof/>
                <w:webHidden/>
              </w:rPr>
              <w:fldChar w:fldCharType="begin"/>
            </w:r>
            <w:r w:rsidR="00F0314F">
              <w:rPr>
                <w:noProof/>
                <w:webHidden/>
              </w:rPr>
              <w:instrText xml:space="preserve"> PAGEREF _Toc331507473 \h </w:instrText>
            </w:r>
            <w:r>
              <w:rPr>
                <w:noProof/>
                <w:webHidden/>
              </w:rPr>
            </w:r>
            <w:r>
              <w:rPr>
                <w:noProof/>
                <w:webHidden/>
              </w:rPr>
              <w:fldChar w:fldCharType="separate"/>
            </w:r>
            <w:r w:rsidR="00B107BD">
              <w:rPr>
                <w:noProof/>
                <w:webHidden/>
              </w:rPr>
              <w:t>8</w:t>
            </w:r>
            <w:r>
              <w:rPr>
                <w:noProof/>
                <w:webHidden/>
              </w:rPr>
              <w:fldChar w:fldCharType="end"/>
            </w:r>
          </w:hyperlink>
        </w:p>
        <w:p w:rsidR="00AD2669" w:rsidRDefault="00001382">
          <w:r>
            <w:fldChar w:fldCharType="end"/>
          </w:r>
        </w:p>
      </w:sdtContent>
    </w:sdt>
    <w:p w:rsidR="004A54B2" w:rsidRDefault="004A54B2"/>
    <w:p w:rsidR="004A54B2" w:rsidRDefault="004A54B2">
      <w:pPr>
        <w:rPr>
          <w:sz w:val="22"/>
        </w:rPr>
      </w:pPr>
    </w:p>
    <w:p w:rsidR="008A3A82" w:rsidRPr="00BE0512" w:rsidRDefault="008A3A82" w:rsidP="0055206E">
      <w:pPr>
        <w:pStyle w:val="ListParagraph"/>
        <w:spacing w:before="240" w:after="240"/>
        <w:rPr>
          <w:rFonts w:cs="Times New Roman"/>
          <w:b/>
          <w:sz w:val="28"/>
          <w:szCs w:val="28"/>
          <w:lang w:eastAsia="en-AU"/>
        </w:rPr>
      </w:pPr>
    </w:p>
    <w:p w:rsidR="008453DF" w:rsidRDefault="008453DF">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55206E" w:rsidRDefault="0055206E">
      <w:pPr>
        <w:rPr>
          <w:rFonts w:cs="Times New Roman"/>
          <w:szCs w:val="24"/>
          <w:u w:val="single"/>
        </w:rPr>
      </w:pPr>
    </w:p>
    <w:p w:rsidR="00F5592E" w:rsidRDefault="00F5592E">
      <w:pPr>
        <w:rPr>
          <w:rFonts w:cs="Times New Roman"/>
          <w:szCs w:val="24"/>
          <w:u w:val="single"/>
        </w:rPr>
      </w:pPr>
      <w:r>
        <w:rPr>
          <w:rFonts w:cs="Times New Roman"/>
          <w:szCs w:val="24"/>
          <w:u w:val="single"/>
        </w:rPr>
        <w:br w:type="page"/>
      </w:r>
    </w:p>
    <w:p w:rsidR="008801E2" w:rsidRDefault="00667035">
      <w:pPr>
        <w:pStyle w:val="Heading1"/>
        <w:spacing w:before="240"/>
      </w:pPr>
      <w:bookmarkStart w:id="0" w:name="_Toc331507465"/>
      <w:r w:rsidRPr="003B590E">
        <w:t>Introduction</w:t>
      </w:r>
      <w:bookmarkEnd w:id="0"/>
    </w:p>
    <w:p w:rsidR="008801E2" w:rsidRDefault="00296D0E">
      <w:pPr>
        <w:spacing w:after="0" w:line="240" w:lineRule="auto"/>
      </w:pPr>
      <w:r w:rsidRPr="00296D0E">
        <w:t xml:space="preserve">This </w:t>
      </w:r>
      <w:r w:rsidR="00361604">
        <w:t>consultation</w:t>
      </w:r>
      <w:r w:rsidRPr="00296D0E">
        <w:t xml:space="preserve"> paper has been published to clarify changes to the locations of Points of Interconnect (POIs) to the National Broadband Network (NBN)</w:t>
      </w:r>
      <w:r w:rsidR="00FB34EC">
        <w:t xml:space="preserve"> that will be listed </w:t>
      </w:r>
      <w:r w:rsidR="00DD5104">
        <w:t xml:space="preserve">under </w:t>
      </w:r>
      <w:r w:rsidR="00FB34EC">
        <w:t xml:space="preserve"> section 151DB of the </w:t>
      </w:r>
      <w:r w:rsidR="00FB34EC" w:rsidRPr="00FB34EC">
        <w:rPr>
          <w:i/>
        </w:rPr>
        <w:t>Competition and Consumer Act 2010</w:t>
      </w:r>
      <w:r w:rsidR="00FB34EC" w:rsidRPr="00296D0E">
        <w:t xml:space="preserve"> (CCA)</w:t>
      </w:r>
      <w:r w:rsidRPr="00296D0E">
        <w:t>. It also invites comments on the form of the final list of POIs, which will be published on the ACCC website in accordance with the</w:t>
      </w:r>
      <w:r w:rsidR="00FB34EC">
        <w:t xml:space="preserve"> CCA</w:t>
      </w:r>
      <w:r w:rsidRPr="00296D0E">
        <w:t>.</w:t>
      </w:r>
    </w:p>
    <w:p w:rsidR="008801E2" w:rsidRDefault="003B590E">
      <w:pPr>
        <w:pStyle w:val="Heading2"/>
        <w:spacing w:before="240" w:line="240" w:lineRule="auto"/>
      </w:pPr>
      <w:bookmarkStart w:id="1" w:name="_Toc331507466"/>
      <w:r w:rsidRPr="00765B6C">
        <w:t>1.</w:t>
      </w:r>
      <w:r w:rsidR="007D7BD2">
        <w:t>1</w:t>
      </w:r>
      <w:r w:rsidRPr="00765B6C">
        <w:t xml:space="preserve"> Timetable for consultation</w:t>
      </w:r>
      <w:bookmarkEnd w:id="1"/>
    </w:p>
    <w:p w:rsidR="008801E2" w:rsidRDefault="008C4DF1">
      <w:pPr>
        <w:spacing w:after="0" w:line="240" w:lineRule="auto"/>
      </w:pPr>
      <w:r>
        <w:t xml:space="preserve">The ACCC seeks stakeholders’ comments on the </w:t>
      </w:r>
      <w:r w:rsidR="00FB34EC">
        <w:t>draft</w:t>
      </w:r>
      <w:r>
        <w:t xml:space="preserve"> list of POIs to be published</w:t>
      </w:r>
      <w:r w:rsidR="00FB34EC">
        <w:t xml:space="preserve"> under section 151DB</w:t>
      </w:r>
      <w:r>
        <w:t>.</w:t>
      </w:r>
      <w:r w:rsidR="00F5592E">
        <w:t xml:space="preserve"> </w:t>
      </w:r>
      <w:r w:rsidR="003B590E">
        <w:t xml:space="preserve">Submissions will be accepted no later than 5.00 pm on </w:t>
      </w:r>
      <w:r w:rsidR="003211AC">
        <w:rPr>
          <w:b/>
        </w:rPr>
        <w:t xml:space="preserve">31 </w:t>
      </w:r>
      <w:r>
        <w:rPr>
          <w:b/>
        </w:rPr>
        <w:t>August</w:t>
      </w:r>
      <w:r w:rsidR="003B590E" w:rsidRPr="001D13A7">
        <w:rPr>
          <w:b/>
        </w:rPr>
        <w:t xml:space="preserve"> 2012</w:t>
      </w:r>
      <w:r w:rsidR="003B590E">
        <w:t>.</w:t>
      </w:r>
    </w:p>
    <w:p w:rsidR="008801E2" w:rsidRDefault="008801E2">
      <w:pPr>
        <w:spacing w:after="0" w:line="240" w:lineRule="auto"/>
      </w:pPr>
    </w:p>
    <w:p w:rsidR="008801E2" w:rsidRDefault="00C201D0">
      <w:pPr>
        <w:spacing w:after="0" w:line="240" w:lineRule="auto"/>
      </w:pPr>
      <w:r>
        <w:t>All submissions will be considered public and published on the ACCC’s website. If interested parties wish to submit commercial-in-confidence material to the ACCC they should submit both a public and a commercial-in-confidence version of their submissions. The public version should clearly identify the commercial-in-confidence material by replacing the confidential material with an appropriate symbol or ‘[c-i-c]’.</w:t>
      </w:r>
    </w:p>
    <w:p w:rsidR="008801E2" w:rsidRDefault="008801E2">
      <w:pPr>
        <w:spacing w:after="0" w:line="240" w:lineRule="auto"/>
      </w:pPr>
    </w:p>
    <w:p w:rsidR="008801E2" w:rsidRDefault="008C4DF1">
      <w:pPr>
        <w:spacing w:after="0" w:line="240" w:lineRule="auto"/>
      </w:pPr>
      <w:r>
        <w:t xml:space="preserve">The ACCC prefers to receive submissions in either Adobe PDF or Microsoft Word format which allow text to be searched. </w:t>
      </w:r>
    </w:p>
    <w:p w:rsidR="008801E2" w:rsidRDefault="00F31DB2">
      <w:pPr>
        <w:pStyle w:val="Heading2"/>
        <w:spacing w:before="240" w:line="240" w:lineRule="auto"/>
      </w:pPr>
      <w:bookmarkStart w:id="2" w:name="_Toc331507467"/>
      <w:r w:rsidRPr="00765B6C">
        <w:t>1.</w:t>
      </w:r>
      <w:r w:rsidR="007D7BD2">
        <w:t>2</w:t>
      </w:r>
      <w:r w:rsidRPr="00765B6C">
        <w:t xml:space="preserve"> Making submissions</w:t>
      </w:r>
      <w:bookmarkEnd w:id="2"/>
    </w:p>
    <w:p w:rsidR="008801E2" w:rsidRDefault="008C4DF1">
      <w:pPr>
        <w:spacing w:after="0" w:line="240" w:lineRule="auto"/>
      </w:pPr>
      <w:r>
        <w:t>The ACCC encourages industry participants, other stakeholders and the public more generally to make submissions to the ACCC to assist it in finalising the list of POIs.</w:t>
      </w:r>
    </w:p>
    <w:p w:rsidR="008801E2" w:rsidRDefault="008C4DF1">
      <w:pPr>
        <w:spacing w:after="0" w:line="240" w:lineRule="auto"/>
      </w:pPr>
      <w:r>
        <w:t>Please forward submissions by email to the following contact officers:</w:t>
      </w:r>
    </w:p>
    <w:p w:rsidR="008801E2" w:rsidRDefault="001800D3">
      <w:pPr>
        <w:spacing w:before="240" w:after="0" w:line="240" w:lineRule="auto"/>
      </w:pPr>
      <w:r>
        <w:t>Luis Martinez</w:t>
      </w:r>
      <w:r>
        <w:tab/>
      </w:r>
      <w:r>
        <w:tab/>
      </w:r>
      <w:r>
        <w:tab/>
      </w:r>
      <w:r>
        <w:tab/>
      </w:r>
      <w:r>
        <w:tab/>
      </w:r>
      <w:r>
        <w:tab/>
      </w:r>
      <w:r w:rsidR="00314BE1">
        <w:t>Grahame O’Leary</w:t>
      </w:r>
      <w:r w:rsidR="001D13A7">
        <w:tab/>
      </w:r>
      <w:r w:rsidR="001D13A7">
        <w:tab/>
      </w:r>
      <w:r w:rsidR="001D13A7">
        <w:tab/>
      </w:r>
    </w:p>
    <w:p w:rsidR="008801E2" w:rsidRDefault="001800D3">
      <w:pPr>
        <w:spacing w:after="0" w:line="240" w:lineRule="auto"/>
      </w:pPr>
      <w:r>
        <w:t>Project Officer</w:t>
      </w:r>
      <w:r>
        <w:tab/>
      </w:r>
      <w:r>
        <w:tab/>
      </w:r>
      <w:r>
        <w:tab/>
      </w:r>
      <w:r>
        <w:tab/>
      </w:r>
      <w:r>
        <w:tab/>
      </w:r>
      <w:r>
        <w:tab/>
      </w:r>
      <w:r w:rsidR="00314BE1">
        <w:t>Director</w:t>
      </w:r>
      <w:r w:rsidR="001D13A7">
        <w:tab/>
      </w:r>
      <w:r w:rsidR="001D13A7">
        <w:tab/>
      </w:r>
      <w:r w:rsidR="001D13A7">
        <w:tab/>
      </w:r>
      <w:r w:rsidR="001D13A7">
        <w:tab/>
      </w:r>
    </w:p>
    <w:p w:rsidR="008801E2" w:rsidRDefault="007D7BD2">
      <w:pPr>
        <w:spacing w:after="0" w:line="240" w:lineRule="auto"/>
      </w:pPr>
      <w:r>
        <w:t>Transmission and Facilities Access</w:t>
      </w:r>
      <w:r w:rsidR="001D13A7">
        <w:tab/>
      </w:r>
      <w:r w:rsidR="001800D3">
        <w:t xml:space="preserve">     </w:t>
      </w:r>
      <w:r w:rsidR="001800D3">
        <w:tab/>
      </w:r>
      <w:r w:rsidR="007A1F85">
        <w:tab/>
      </w:r>
      <w:r>
        <w:t>Transmission and Facilities Access</w:t>
      </w:r>
      <w:r w:rsidR="007A1F85">
        <w:t xml:space="preserve"> </w:t>
      </w:r>
      <w:r w:rsidR="001D13A7">
        <w:tab/>
      </w:r>
    </w:p>
    <w:p w:rsidR="008801E2" w:rsidRDefault="001800D3">
      <w:pPr>
        <w:spacing w:after="0" w:line="240" w:lineRule="auto"/>
      </w:pPr>
      <w:r>
        <w:t>Phone: 02 9230 3875</w:t>
      </w:r>
      <w:r>
        <w:tab/>
      </w:r>
      <w:r>
        <w:tab/>
      </w:r>
      <w:r>
        <w:tab/>
      </w:r>
      <w:r>
        <w:tab/>
      </w:r>
      <w:r>
        <w:tab/>
      </w:r>
      <w:r w:rsidR="00314BE1">
        <w:t>P</w:t>
      </w:r>
      <w:r w:rsidR="001D13A7">
        <w:t xml:space="preserve">hone </w:t>
      </w:r>
      <w:r w:rsidR="00314BE1">
        <w:t>02 9230 3832</w:t>
      </w:r>
      <w:r w:rsidR="001D13A7">
        <w:tab/>
      </w:r>
    </w:p>
    <w:p w:rsidR="008801E2" w:rsidRDefault="00001382">
      <w:pPr>
        <w:spacing w:after="0" w:line="240" w:lineRule="auto"/>
      </w:pPr>
      <w:hyperlink r:id="rId11" w:history="1">
        <w:r w:rsidR="001800D3" w:rsidRPr="00672DA1">
          <w:rPr>
            <w:rStyle w:val="Hyperlink"/>
            <w:rFonts w:cstheme="minorBidi"/>
          </w:rPr>
          <w:t>Luis.Martinez@accc.gov.au</w:t>
        </w:r>
      </w:hyperlink>
      <w:r w:rsidR="001800D3">
        <w:tab/>
      </w:r>
      <w:r w:rsidR="001800D3">
        <w:tab/>
      </w:r>
      <w:r w:rsidR="001800D3">
        <w:tab/>
      </w:r>
      <w:r w:rsidR="001800D3">
        <w:tab/>
      </w:r>
      <w:hyperlink r:id="rId12" w:history="1">
        <w:r w:rsidR="001800D3" w:rsidRPr="00672DA1">
          <w:rPr>
            <w:rStyle w:val="Hyperlink"/>
            <w:rFonts w:cstheme="minorBidi"/>
          </w:rPr>
          <w:t>Grahame.Oleary@accc.gov.au</w:t>
        </w:r>
      </w:hyperlink>
    </w:p>
    <w:p w:rsidR="001D13A7" w:rsidRDefault="001D13A7" w:rsidP="00765B6C">
      <w:pPr>
        <w:spacing w:after="0"/>
      </w:pPr>
      <w:r>
        <w:tab/>
      </w:r>
      <w:r>
        <w:tab/>
      </w:r>
      <w:r>
        <w:tab/>
      </w:r>
      <w:r>
        <w:tab/>
      </w:r>
    </w:p>
    <w:p w:rsidR="001D13A7" w:rsidRDefault="001D13A7" w:rsidP="00C201D0">
      <w:pPr>
        <w:rPr>
          <w:rFonts w:cs="Times New Roman"/>
          <w:szCs w:val="24"/>
        </w:rPr>
      </w:pPr>
    </w:p>
    <w:p w:rsidR="00C201D0" w:rsidRDefault="00C201D0">
      <w:pPr>
        <w:rPr>
          <w:rFonts w:cs="Times New Roman"/>
          <w:szCs w:val="24"/>
        </w:rPr>
      </w:pPr>
    </w:p>
    <w:p w:rsidR="003B590E" w:rsidRDefault="003B590E">
      <w:pPr>
        <w:rPr>
          <w:rFonts w:cs="Times New Roman"/>
          <w:b/>
          <w:sz w:val="28"/>
          <w:szCs w:val="28"/>
        </w:rPr>
      </w:pPr>
      <w:r>
        <w:rPr>
          <w:rFonts w:cs="Times New Roman"/>
          <w:b/>
          <w:sz w:val="28"/>
          <w:szCs w:val="28"/>
        </w:rPr>
        <w:br w:type="page"/>
      </w:r>
    </w:p>
    <w:p w:rsidR="008801E2" w:rsidRDefault="00F31DB2">
      <w:pPr>
        <w:pStyle w:val="Heading1"/>
        <w:spacing w:before="240"/>
      </w:pPr>
      <w:bookmarkStart w:id="3" w:name="_Toc331507468"/>
      <w:r w:rsidRPr="00765B6C">
        <w:t>Section 151DB list of POIs</w:t>
      </w:r>
      <w:bookmarkEnd w:id="3"/>
    </w:p>
    <w:p w:rsidR="00FB34EC" w:rsidRDefault="00431315">
      <w:pPr>
        <w:spacing w:after="0" w:line="240" w:lineRule="auto"/>
      </w:pPr>
      <w:r>
        <w:t xml:space="preserve">Under Section 151DB of the CCA, the ACCC must prepare a written list of </w:t>
      </w:r>
      <w:r w:rsidR="004B341D">
        <w:t>points of interconnection to the NBN</w:t>
      </w:r>
      <w:r w:rsidR="00F7341F">
        <w:t>, the ‘</w:t>
      </w:r>
      <w:r w:rsidR="004B341D">
        <w:t xml:space="preserve">section 151DB </w:t>
      </w:r>
      <w:r w:rsidR="002D11AF">
        <w:t>l</w:t>
      </w:r>
      <w:r w:rsidR="00F7341F">
        <w:t>ist’,</w:t>
      </w:r>
      <w:r>
        <w:t xml:space="preserve"> and publish this </w:t>
      </w:r>
      <w:r w:rsidR="00091F6D">
        <w:t xml:space="preserve">list </w:t>
      </w:r>
      <w:r>
        <w:t xml:space="preserve">on its website. The </w:t>
      </w:r>
      <w:r w:rsidR="002D11AF">
        <w:t>C</w:t>
      </w:r>
      <w:r>
        <w:t>ommission can only vary the list</w:t>
      </w:r>
      <w:r w:rsidR="00F7341F">
        <w:t xml:space="preserve"> in force</w:t>
      </w:r>
      <w:r>
        <w:t xml:space="preserve"> with the agreement of NBN Co</w:t>
      </w:r>
      <w:r w:rsidR="00552C0D">
        <w:t>.</w:t>
      </w:r>
      <w:r>
        <w:rPr>
          <w:rStyle w:val="FootnoteReference"/>
          <w:rFonts w:cs="Times New Roman"/>
          <w:szCs w:val="24"/>
        </w:rPr>
        <w:footnoteReference w:id="1"/>
      </w:r>
      <w:r w:rsidR="00436476" w:rsidRPr="00436476">
        <w:t xml:space="preserve"> </w:t>
      </w:r>
    </w:p>
    <w:p w:rsidR="00FB34EC" w:rsidRDefault="00FB34EC">
      <w:pPr>
        <w:spacing w:after="0" w:line="240" w:lineRule="auto"/>
      </w:pPr>
    </w:p>
    <w:p w:rsidR="008801E2" w:rsidRDefault="00436476">
      <w:pPr>
        <w:spacing w:after="0" w:line="240" w:lineRule="auto"/>
      </w:pPr>
      <w:r>
        <w:t>NBN Co can refuse to provide interconnection at a location that is not a POI</w:t>
      </w:r>
      <w:r w:rsidR="00FB34EC">
        <w:t xml:space="preserve"> included on the list (listed POI)</w:t>
      </w:r>
      <w:r>
        <w:t xml:space="preserve"> if this refusal is reasonably necessary to achieve uniform national pricing</w:t>
      </w:r>
      <w:r w:rsidR="00552C0D">
        <w:t>.</w:t>
      </w:r>
      <w:r>
        <w:rPr>
          <w:rStyle w:val="FootnoteReference"/>
          <w:rFonts w:cs="Times New Roman"/>
          <w:szCs w:val="24"/>
        </w:rPr>
        <w:footnoteReference w:id="2"/>
      </w:r>
      <w:r w:rsidR="00A14B27">
        <w:t xml:space="preserve"> </w:t>
      </w:r>
    </w:p>
    <w:p w:rsidR="008801E2" w:rsidRPr="00F0314F" w:rsidRDefault="00F0314F" w:rsidP="00F0314F">
      <w:pPr>
        <w:pStyle w:val="Heading2"/>
      </w:pPr>
      <w:bookmarkStart w:id="4" w:name="_Toc331507469"/>
      <w:r>
        <w:t xml:space="preserve">2.1 </w:t>
      </w:r>
      <w:r w:rsidR="00CE2DB5" w:rsidRPr="00F0314F">
        <w:t>Background</w:t>
      </w:r>
      <w:bookmarkEnd w:id="4"/>
    </w:p>
    <w:p w:rsidR="008801E2" w:rsidRDefault="00873F5A">
      <w:pPr>
        <w:spacing w:after="0" w:line="240" w:lineRule="auto"/>
      </w:pPr>
      <w:r w:rsidRPr="00A161A8">
        <w:t xml:space="preserve">In </w:t>
      </w:r>
      <w:r w:rsidR="007473F6" w:rsidRPr="00A161A8">
        <w:t>December</w:t>
      </w:r>
      <w:r w:rsidRPr="00A161A8">
        <w:t xml:space="preserve"> 2010, the AC</w:t>
      </w:r>
      <w:r w:rsidR="003518F5">
        <w:t>C</w:t>
      </w:r>
      <w:r w:rsidRPr="00A161A8">
        <w:t>C</w:t>
      </w:r>
      <w:r w:rsidR="005A2C7B">
        <w:t xml:space="preserve"> </w:t>
      </w:r>
      <w:r w:rsidR="005A2C7B" w:rsidRPr="005A2C7B">
        <w:t xml:space="preserve">released its advice to government on the number and location of the initial POIs for the NBN </w:t>
      </w:r>
      <w:r w:rsidR="001F5E8A" w:rsidRPr="00A161A8">
        <w:t>that would best meet the long-term interests of end users</w:t>
      </w:r>
      <w:r w:rsidRPr="00A161A8">
        <w:t>.</w:t>
      </w:r>
      <w:r w:rsidR="007473F6" w:rsidRPr="00A161A8">
        <w:t xml:space="preserve"> </w:t>
      </w:r>
      <w:r w:rsidR="004B341D">
        <w:t>In that advice, t</w:t>
      </w:r>
      <w:r w:rsidR="005A2C7B" w:rsidRPr="005A2C7B">
        <w:t xml:space="preserve">he ACCC considered that the initial POIs for the NBN would best meet the long-term interest of end-users when they are located according to </w:t>
      </w:r>
      <w:r w:rsidR="004B341D">
        <w:t>a semi-distributed approach,</w:t>
      </w:r>
      <w:r w:rsidR="005A2C7B">
        <w:t xml:space="preserve"> </w:t>
      </w:r>
      <w:r w:rsidR="004B341D">
        <w:t xml:space="preserve">a </w:t>
      </w:r>
      <w:r w:rsidR="005A2C7B">
        <w:t xml:space="preserve">set of </w:t>
      </w:r>
      <w:r w:rsidR="005A2C7B" w:rsidRPr="005A2C7B">
        <w:t>principles (the Competition Criteria)</w:t>
      </w:r>
      <w:r w:rsidR="004B341D">
        <w:t xml:space="preserve"> and are consistent with pre-defined network planning rules.</w:t>
      </w:r>
      <w:r w:rsidR="005A2C7B">
        <w:t xml:space="preserve"> </w:t>
      </w:r>
    </w:p>
    <w:p w:rsidR="008801E2" w:rsidRDefault="008801E2">
      <w:pPr>
        <w:spacing w:after="0" w:line="240" w:lineRule="auto"/>
      </w:pPr>
    </w:p>
    <w:p w:rsidR="008801E2" w:rsidRDefault="00E14D4E">
      <w:pPr>
        <w:spacing w:after="0" w:line="240" w:lineRule="auto"/>
      </w:pPr>
      <w:r>
        <w:t>Under the</w:t>
      </w:r>
      <w:r w:rsidR="007473F6" w:rsidRPr="00A161A8">
        <w:t xml:space="preserve"> </w:t>
      </w:r>
      <w:r w:rsidR="005A2C7B">
        <w:t>Competition Criteria</w:t>
      </w:r>
      <w:r w:rsidR="005A2C7B" w:rsidRPr="00A161A8">
        <w:t xml:space="preserve"> </w:t>
      </w:r>
      <w:r w:rsidR="005A2C7B">
        <w:t>a</w:t>
      </w:r>
      <w:r w:rsidR="00873F5A" w:rsidRPr="00A161A8">
        <w:t xml:space="preserve"> POI</w:t>
      </w:r>
      <w:r w:rsidR="005A2C7B">
        <w:t xml:space="preserve"> should be</w:t>
      </w:r>
      <w:r w:rsidR="00873F5A" w:rsidRPr="00A161A8">
        <w:t xml:space="preserve"> located where </w:t>
      </w:r>
      <w:r>
        <w:t xml:space="preserve">it is technically and operationally feasible to allow interconnection and </w:t>
      </w:r>
      <w:r w:rsidR="009572E0" w:rsidRPr="00A161A8">
        <w:t xml:space="preserve">there are </w:t>
      </w:r>
      <w:r>
        <w:t>at least two competitors with optical fibres within a nominated distance from the location which connects to</w:t>
      </w:r>
      <w:r w:rsidR="009572E0" w:rsidRPr="00A161A8">
        <w:t xml:space="preserve"> </w:t>
      </w:r>
      <w:r>
        <w:t>an optical fibre network which is connected to a capital city</w:t>
      </w:r>
      <w:r w:rsidR="005A2C7B">
        <w:t>.</w:t>
      </w:r>
      <w:r w:rsidR="00655F66" w:rsidRPr="00A161A8">
        <w:rPr>
          <w:rStyle w:val="FootnoteReference"/>
          <w:rFonts w:cs="Times New Roman"/>
          <w:szCs w:val="24"/>
        </w:rPr>
        <w:footnoteReference w:id="3"/>
      </w:r>
      <w:r w:rsidR="004B341D" w:rsidDel="004B341D">
        <w:t xml:space="preserve"> </w:t>
      </w:r>
      <w:r w:rsidR="003518F5">
        <w:t>NBN Co</w:t>
      </w:r>
      <w:r w:rsidR="0054076A">
        <w:t>,</w:t>
      </w:r>
      <w:r w:rsidR="003518F5">
        <w:t xml:space="preserve"> </w:t>
      </w:r>
      <w:r w:rsidR="000660BB">
        <w:t>in consultation with</w:t>
      </w:r>
      <w:r w:rsidR="003518F5">
        <w:t xml:space="preserve"> the </w:t>
      </w:r>
      <w:r w:rsidR="00614E25">
        <w:t>ACCC</w:t>
      </w:r>
      <w:r w:rsidR="002D11AF">
        <w:t>,</w:t>
      </w:r>
      <w:r w:rsidR="003518F5">
        <w:t xml:space="preserve"> </w:t>
      </w:r>
      <w:r w:rsidR="008801E2">
        <w:t xml:space="preserve">developed </w:t>
      </w:r>
      <w:r w:rsidR="003518F5">
        <w:t xml:space="preserve">a set of network planning rules </w:t>
      </w:r>
      <w:r w:rsidR="005A2C7B">
        <w:t xml:space="preserve">(the Planning Rules) </w:t>
      </w:r>
      <w:r w:rsidR="003518F5">
        <w:t xml:space="preserve">based on the </w:t>
      </w:r>
      <w:r w:rsidR="008801E2">
        <w:t>C</w:t>
      </w:r>
      <w:r w:rsidR="003518F5">
        <w:t xml:space="preserve">ompetition </w:t>
      </w:r>
      <w:r w:rsidR="008801E2">
        <w:t>C</w:t>
      </w:r>
      <w:r w:rsidR="003518F5">
        <w:t xml:space="preserve">riteria. </w:t>
      </w:r>
      <w:r w:rsidR="005A2C7B">
        <w:t>The Planning Rules included a</w:t>
      </w:r>
      <w:r w:rsidR="003518F5">
        <w:t xml:space="preserve"> soft cap of 80,000 premises per POI in metro areas and 100,000 premises per POI in regional </w:t>
      </w:r>
      <w:r w:rsidR="005A2C7B">
        <w:t>areas</w:t>
      </w:r>
      <w:r w:rsidR="003C7D4F">
        <w:t xml:space="preserve">. </w:t>
      </w:r>
      <w:r w:rsidR="003518F5">
        <w:t>NBN Co developed a list of 120 initial POIs based on the Competition Criteria and the Planning Rules.</w:t>
      </w:r>
    </w:p>
    <w:p w:rsidR="008801E2" w:rsidRDefault="008801E2">
      <w:pPr>
        <w:spacing w:after="0" w:line="240" w:lineRule="auto"/>
      </w:pPr>
    </w:p>
    <w:p w:rsidR="008801E2" w:rsidRDefault="003518F5">
      <w:pPr>
        <w:spacing w:after="0" w:line="240" w:lineRule="auto"/>
      </w:pPr>
      <w:r>
        <w:t>In December 2010</w:t>
      </w:r>
      <w:r w:rsidR="005A2C7B">
        <w:t>,</w:t>
      </w:r>
      <w:r>
        <w:t xml:space="preserve"> the ACCC </w:t>
      </w:r>
      <w:r w:rsidR="000660BB">
        <w:t xml:space="preserve">commenced </w:t>
      </w:r>
      <w:r>
        <w:t>a public con</w:t>
      </w:r>
      <w:r w:rsidR="004B341D">
        <w:t xml:space="preserve">sultation </w:t>
      </w:r>
      <w:r>
        <w:t xml:space="preserve">process </w:t>
      </w:r>
      <w:r w:rsidR="000660BB">
        <w:t xml:space="preserve">on </w:t>
      </w:r>
      <w:r>
        <w:t>the 120 POIs proposed by NBN Co.</w:t>
      </w:r>
      <w:r w:rsidR="005D6F94">
        <w:t xml:space="preserve"> </w:t>
      </w:r>
      <w:r>
        <w:t xml:space="preserve">The submissions </w:t>
      </w:r>
      <w:r w:rsidR="008801E2">
        <w:t xml:space="preserve">received </w:t>
      </w:r>
      <w:r w:rsidR="004B341D">
        <w:t xml:space="preserve">from stakeholders </w:t>
      </w:r>
      <w:r w:rsidR="008801E2">
        <w:t xml:space="preserve">in response to this consultation </w:t>
      </w:r>
      <w:r>
        <w:t xml:space="preserve">recommended </w:t>
      </w:r>
      <w:r w:rsidR="003C7D4F">
        <w:t xml:space="preserve">the </w:t>
      </w:r>
      <w:r w:rsidR="005D6F94">
        <w:t xml:space="preserve">relocation, addition and consolidation of </w:t>
      </w:r>
      <w:r w:rsidR="003C7D4F">
        <w:t xml:space="preserve">some </w:t>
      </w:r>
      <w:r w:rsidR="005D6F94">
        <w:t xml:space="preserve">POIs. </w:t>
      </w:r>
      <w:r w:rsidR="00737732">
        <w:t>As an outcome of the review NBN Co</w:t>
      </w:r>
      <w:r w:rsidR="005D6F94">
        <w:t>,</w:t>
      </w:r>
      <w:r w:rsidR="00737732">
        <w:t xml:space="preserve"> in consultation with the ACCC</w:t>
      </w:r>
      <w:r w:rsidR="005D6F94">
        <w:t>,</w:t>
      </w:r>
      <w:r w:rsidR="00737732">
        <w:t xml:space="preserve"> proposed</w:t>
      </w:r>
      <w:r w:rsidR="005D6F94">
        <w:t xml:space="preserve"> the relocation of 5 POIs, the addition of 2 POIs and the consolidation of </w:t>
      </w:r>
      <w:r w:rsidR="000660BB">
        <w:t>a further POI</w:t>
      </w:r>
      <w:r w:rsidR="005D6F94">
        <w:t>.</w:t>
      </w:r>
      <w:r w:rsidR="00A62BD5">
        <w:t xml:space="preserve"> </w:t>
      </w:r>
      <w:r w:rsidR="005D6F94">
        <w:t xml:space="preserve">NBN </w:t>
      </w:r>
      <w:r w:rsidR="00552C0D">
        <w:t>C</w:t>
      </w:r>
      <w:r w:rsidR="005D6F94">
        <w:t xml:space="preserve">o advised that it </w:t>
      </w:r>
      <w:r w:rsidR="0054076A">
        <w:t>would</w:t>
      </w:r>
      <w:r w:rsidR="005D6F94">
        <w:t xml:space="preserve"> be building its own facilities in locations where </w:t>
      </w:r>
      <w:r w:rsidR="00A62BD5">
        <w:t xml:space="preserve">sharing Telstra exchange buildings </w:t>
      </w:r>
      <w:r w:rsidR="0054076A">
        <w:t>was</w:t>
      </w:r>
      <w:r w:rsidR="00A62BD5">
        <w:t xml:space="preserve"> not technically feasible.</w:t>
      </w:r>
      <w:r w:rsidR="00393FB1">
        <w:t xml:space="preserve"> </w:t>
      </w:r>
      <w:r w:rsidR="00117432">
        <w:t>The list of revised POIs was published on the ACCC’s website in February 2011.</w:t>
      </w:r>
    </w:p>
    <w:p w:rsidR="008801E2" w:rsidRDefault="008801E2">
      <w:pPr>
        <w:spacing w:after="0" w:line="240" w:lineRule="auto"/>
      </w:pPr>
    </w:p>
    <w:p w:rsidR="008801E2" w:rsidRDefault="00B30D81">
      <w:pPr>
        <w:spacing w:after="0" w:line="240" w:lineRule="auto"/>
      </w:pPr>
      <w:r>
        <w:t xml:space="preserve">In May 2011 the ACCC published a </w:t>
      </w:r>
      <w:r w:rsidR="003C7D4F">
        <w:t xml:space="preserve">further </w:t>
      </w:r>
      <w:r>
        <w:t>revised list of POIs</w:t>
      </w:r>
      <w:r w:rsidR="0054076A">
        <w:t xml:space="preserve"> to the NBN. Th</w:t>
      </w:r>
      <w:r w:rsidR="000660BB">
        <w:t>is</w:t>
      </w:r>
      <w:r w:rsidR="0054076A">
        <w:t xml:space="preserve"> list identified POIs that had</w:t>
      </w:r>
      <w:r>
        <w:t xml:space="preserve"> changed from previous lists due to technical </w:t>
      </w:r>
      <w:r w:rsidR="002D11AF">
        <w:t>limitation</w:t>
      </w:r>
      <w:r w:rsidR="008801E2">
        <w:t>s</w:t>
      </w:r>
      <w:r>
        <w:t xml:space="preserve"> in the facilities originally </w:t>
      </w:r>
      <w:r w:rsidR="0054076A">
        <w:t>chosen</w:t>
      </w:r>
      <w:r>
        <w:t xml:space="preserve"> as POIs. This </w:t>
      </w:r>
      <w:r w:rsidR="0054076A">
        <w:t xml:space="preserve">new </w:t>
      </w:r>
      <w:r>
        <w:t>list identifie</w:t>
      </w:r>
      <w:r w:rsidR="0054076A">
        <w:t>d</w:t>
      </w:r>
      <w:r>
        <w:t xml:space="preserve"> 20 </w:t>
      </w:r>
      <w:r w:rsidR="0054076A">
        <w:t xml:space="preserve">relocated </w:t>
      </w:r>
      <w:r>
        <w:t xml:space="preserve">POIs and 10 POIs where NBN </w:t>
      </w:r>
      <w:r w:rsidR="00361604">
        <w:t>C</w:t>
      </w:r>
      <w:r>
        <w:t xml:space="preserve">o </w:t>
      </w:r>
      <w:r w:rsidR="0054076A">
        <w:t>would build</w:t>
      </w:r>
      <w:r>
        <w:t xml:space="preserve"> their own facilities.</w:t>
      </w:r>
      <w:r w:rsidR="00117432">
        <w:t xml:space="preserve"> </w:t>
      </w:r>
    </w:p>
    <w:p w:rsidR="00765B6C" w:rsidRDefault="00765B6C">
      <w:pPr>
        <w:rPr>
          <w:rFonts w:eastAsiaTheme="majorEastAsia" w:cstheme="majorBidi"/>
          <w:b/>
          <w:bCs/>
          <w:sz w:val="28"/>
          <w:szCs w:val="28"/>
        </w:rPr>
      </w:pPr>
      <w:r>
        <w:br w:type="page"/>
      </w:r>
    </w:p>
    <w:p w:rsidR="008801E2" w:rsidRDefault="00946AFC">
      <w:pPr>
        <w:pStyle w:val="Heading1"/>
        <w:spacing w:before="240"/>
      </w:pPr>
      <w:bookmarkStart w:id="5" w:name="_Toc331507470"/>
      <w:r w:rsidRPr="00765B6C">
        <w:t xml:space="preserve">Changes </w:t>
      </w:r>
      <w:r w:rsidR="00F31DB2" w:rsidRPr="00765B6C">
        <w:t xml:space="preserve">to </w:t>
      </w:r>
      <w:r w:rsidR="00384A75" w:rsidRPr="00765B6C">
        <w:t xml:space="preserve">the </w:t>
      </w:r>
      <w:r w:rsidR="00393FB1" w:rsidRPr="00765B6C">
        <w:t xml:space="preserve">May 2011 </w:t>
      </w:r>
      <w:r w:rsidR="00384A75" w:rsidRPr="00765B6C">
        <w:t>list of POIs</w:t>
      </w:r>
      <w:bookmarkEnd w:id="5"/>
    </w:p>
    <w:p w:rsidR="008801E2" w:rsidRDefault="006F3168">
      <w:pPr>
        <w:spacing w:after="0" w:line="240" w:lineRule="auto"/>
        <w:rPr>
          <w:rFonts w:cs="Times New Roman"/>
          <w:szCs w:val="24"/>
        </w:rPr>
      </w:pPr>
      <w:r>
        <w:rPr>
          <w:rFonts w:cs="Times New Roman"/>
          <w:szCs w:val="24"/>
        </w:rPr>
        <w:t>The table below s</w:t>
      </w:r>
      <w:r w:rsidR="00423310">
        <w:rPr>
          <w:rFonts w:cs="Times New Roman"/>
          <w:szCs w:val="24"/>
        </w:rPr>
        <w:t xml:space="preserve">ets out </w:t>
      </w:r>
      <w:r w:rsidR="00361604">
        <w:rPr>
          <w:rFonts w:cs="Times New Roman"/>
          <w:szCs w:val="24"/>
        </w:rPr>
        <w:t xml:space="preserve">a </w:t>
      </w:r>
      <w:r w:rsidR="00C201D0">
        <w:rPr>
          <w:rFonts w:cs="Times New Roman"/>
          <w:szCs w:val="24"/>
        </w:rPr>
        <w:t xml:space="preserve">list of </w:t>
      </w:r>
      <w:r w:rsidR="00423310">
        <w:rPr>
          <w:rFonts w:cs="Times New Roman"/>
          <w:szCs w:val="24"/>
        </w:rPr>
        <w:t>changes between the list</w:t>
      </w:r>
      <w:r w:rsidR="007F6499">
        <w:rPr>
          <w:rFonts w:cs="Times New Roman"/>
          <w:szCs w:val="24"/>
        </w:rPr>
        <w:t xml:space="preserve"> published in May 2011 and the </w:t>
      </w:r>
      <w:r w:rsidR="000660BB">
        <w:rPr>
          <w:rFonts w:cs="Times New Roman"/>
          <w:szCs w:val="24"/>
        </w:rPr>
        <w:t xml:space="preserve">draft </w:t>
      </w:r>
      <w:r w:rsidR="002D11AF">
        <w:rPr>
          <w:rFonts w:cs="Times New Roman"/>
          <w:szCs w:val="24"/>
        </w:rPr>
        <w:t>section</w:t>
      </w:r>
      <w:r w:rsidR="000660BB">
        <w:rPr>
          <w:rFonts w:cs="Times New Roman"/>
          <w:szCs w:val="24"/>
        </w:rPr>
        <w:t xml:space="preserve">151DB </w:t>
      </w:r>
      <w:r w:rsidR="007F6499">
        <w:rPr>
          <w:rFonts w:cs="Times New Roman"/>
          <w:szCs w:val="24"/>
        </w:rPr>
        <w:t>list</w:t>
      </w:r>
      <w:r w:rsidR="00181557">
        <w:rPr>
          <w:rFonts w:cs="Times New Roman"/>
          <w:szCs w:val="24"/>
        </w:rPr>
        <w:t xml:space="preserve"> </w:t>
      </w:r>
      <w:r w:rsidR="000E1CCA">
        <w:rPr>
          <w:rFonts w:cs="Times New Roman"/>
          <w:szCs w:val="24"/>
        </w:rPr>
        <w:t>which is the subject of this consultation paper</w:t>
      </w:r>
      <w:r w:rsidR="007F6499">
        <w:rPr>
          <w:rFonts w:cs="Times New Roman"/>
          <w:szCs w:val="24"/>
        </w:rPr>
        <w:t>.</w:t>
      </w:r>
      <w:r w:rsidR="00061522">
        <w:rPr>
          <w:rFonts w:cs="Times New Roman"/>
          <w:szCs w:val="24"/>
        </w:rPr>
        <w:t xml:space="preserve"> The </w:t>
      </w:r>
      <w:r w:rsidR="000B520A">
        <w:rPr>
          <w:rFonts w:cs="Times New Roman"/>
          <w:szCs w:val="24"/>
        </w:rPr>
        <w:t>table</w:t>
      </w:r>
      <w:r w:rsidR="00061522">
        <w:rPr>
          <w:rFonts w:cs="Times New Roman"/>
          <w:szCs w:val="24"/>
        </w:rPr>
        <w:t xml:space="preserve"> identifies </w:t>
      </w:r>
      <w:r w:rsidR="00CC7144">
        <w:rPr>
          <w:rFonts w:cs="Times New Roman"/>
          <w:szCs w:val="24"/>
        </w:rPr>
        <w:t>the revised location and name</w:t>
      </w:r>
      <w:r w:rsidR="002D11AF">
        <w:rPr>
          <w:rFonts w:cs="Times New Roman"/>
          <w:szCs w:val="24"/>
        </w:rPr>
        <w:t xml:space="preserve">s </w:t>
      </w:r>
      <w:r w:rsidR="00CC7144">
        <w:rPr>
          <w:rFonts w:cs="Times New Roman"/>
          <w:szCs w:val="24"/>
        </w:rPr>
        <w:t xml:space="preserve">of </w:t>
      </w:r>
      <w:r w:rsidR="00552C0D">
        <w:rPr>
          <w:rFonts w:cs="Times New Roman"/>
          <w:szCs w:val="24"/>
        </w:rPr>
        <w:t>nine</w:t>
      </w:r>
      <w:r w:rsidR="00061522">
        <w:rPr>
          <w:rFonts w:cs="Times New Roman"/>
          <w:szCs w:val="24"/>
        </w:rPr>
        <w:t xml:space="preserve"> </w:t>
      </w:r>
      <w:r w:rsidR="00CC7144">
        <w:rPr>
          <w:rFonts w:cs="Times New Roman"/>
          <w:szCs w:val="24"/>
        </w:rPr>
        <w:t>NBN Co</w:t>
      </w:r>
      <w:r w:rsidR="003C60C5">
        <w:rPr>
          <w:rFonts w:cs="Times New Roman"/>
          <w:szCs w:val="24"/>
        </w:rPr>
        <w:t xml:space="preserve"> built POIs</w:t>
      </w:r>
      <w:r w:rsidR="00CC7144">
        <w:rPr>
          <w:rFonts w:cs="Times New Roman"/>
          <w:szCs w:val="24"/>
        </w:rPr>
        <w:t xml:space="preserve"> and the relocation of </w:t>
      </w:r>
      <w:r w:rsidR="003C60C5">
        <w:rPr>
          <w:rFonts w:cs="Times New Roman"/>
          <w:szCs w:val="24"/>
        </w:rPr>
        <w:t xml:space="preserve">the </w:t>
      </w:r>
      <w:r w:rsidR="00CC7144">
        <w:rPr>
          <w:rFonts w:cs="Times New Roman"/>
          <w:szCs w:val="24"/>
        </w:rPr>
        <w:t xml:space="preserve">North Parramatta POI </w:t>
      </w:r>
      <w:r w:rsidR="00765B6C">
        <w:rPr>
          <w:rFonts w:cs="Times New Roman"/>
          <w:szCs w:val="24"/>
        </w:rPr>
        <w:t xml:space="preserve">to </w:t>
      </w:r>
      <w:r w:rsidR="00E32F1B">
        <w:rPr>
          <w:rFonts w:cs="Times New Roman"/>
          <w:szCs w:val="24"/>
        </w:rPr>
        <w:t xml:space="preserve">the </w:t>
      </w:r>
      <w:r w:rsidR="00765B6C">
        <w:rPr>
          <w:rFonts w:cs="Times New Roman"/>
          <w:szCs w:val="24"/>
        </w:rPr>
        <w:t>Parramatta</w:t>
      </w:r>
      <w:r w:rsidR="00E32F1B">
        <w:rPr>
          <w:rFonts w:cs="Times New Roman"/>
          <w:szCs w:val="24"/>
        </w:rPr>
        <w:t xml:space="preserve"> </w:t>
      </w:r>
      <w:r w:rsidR="002D11AF">
        <w:rPr>
          <w:rFonts w:cs="Times New Roman"/>
          <w:szCs w:val="24"/>
        </w:rPr>
        <w:t xml:space="preserve">Telstra </w:t>
      </w:r>
      <w:r w:rsidR="00E32F1B">
        <w:rPr>
          <w:rFonts w:cs="Times New Roman"/>
          <w:szCs w:val="24"/>
        </w:rPr>
        <w:t>exchange</w:t>
      </w:r>
      <w:r w:rsidR="00765B6C">
        <w:rPr>
          <w:rFonts w:cs="Times New Roman"/>
          <w:szCs w:val="24"/>
        </w:rPr>
        <w:t xml:space="preserve">. The ACCC has assessed the changes proposed by NBN Co and is satisfied that the </w:t>
      </w:r>
      <w:r w:rsidR="008801E2">
        <w:rPr>
          <w:rFonts w:cs="Times New Roman"/>
          <w:szCs w:val="24"/>
        </w:rPr>
        <w:t xml:space="preserve">nominated </w:t>
      </w:r>
      <w:r w:rsidR="00765B6C">
        <w:rPr>
          <w:rFonts w:cs="Times New Roman"/>
          <w:szCs w:val="24"/>
        </w:rPr>
        <w:t xml:space="preserve">locations </w:t>
      </w:r>
      <w:r w:rsidR="000660BB">
        <w:rPr>
          <w:rFonts w:cs="Times New Roman"/>
          <w:szCs w:val="24"/>
        </w:rPr>
        <w:t>are consistent with</w:t>
      </w:r>
      <w:r w:rsidR="00765B6C">
        <w:rPr>
          <w:rFonts w:cs="Times New Roman"/>
          <w:szCs w:val="24"/>
        </w:rPr>
        <w:t xml:space="preserve"> the adopted semi-distributed approach and the </w:t>
      </w:r>
      <w:r w:rsidR="008801E2">
        <w:rPr>
          <w:rFonts w:cs="Times New Roman"/>
          <w:szCs w:val="24"/>
        </w:rPr>
        <w:t>C</w:t>
      </w:r>
      <w:r w:rsidR="00765B6C">
        <w:rPr>
          <w:rFonts w:cs="Times New Roman"/>
          <w:szCs w:val="24"/>
        </w:rPr>
        <w:t xml:space="preserve">ompetition </w:t>
      </w:r>
      <w:r w:rsidR="008801E2">
        <w:rPr>
          <w:rFonts w:cs="Times New Roman"/>
          <w:szCs w:val="24"/>
        </w:rPr>
        <w:t>C</w:t>
      </w:r>
      <w:r w:rsidR="00765B6C">
        <w:rPr>
          <w:rFonts w:cs="Times New Roman"/>
          <w:szCs w:val="24"/>
        </w:rPr>
        <w:t>riteria.</w:t>
      </w:r>
      <w:r w:rsidR="00765B6C" w:rsidRPr="008C3A18">
        <w:rPr>
          <w:rFonts w:cs="Times New Roman"/>
          <w:szCs w:val="24"/>
        </w:rPr>
        <w:t xml:space="preserve"> </w:t>
      </w:r>
    </w:p>
    <w:p w:rsidR="008801E2" w:rsidRDefault="00904F80">
      <w:pPr>
        <w:spacing w:before="240" w:after="240" w:line="240" w:lineRule="auto"/>
        <w:rPr>
          <w:b/>
        </w:rPr>
      </w:pPr>
      <w:r w:rsidRPr="00904F80">
        <w:rPr>
          <w:b/>
        </w:rPr>
        <w:t xml:space="preserve">Table 1: Changes to the section 151DB List of POIs from List published in May 2011 </w:t>
      </w:r>
    </w:p>
    <w:tbl>
      <w:tblPr>
        <w:tblW w:w="5133" w:type="pct"/>
        <w:tblInd w:w="108" w:type="dxa"/>
        <w:tblLook w:val="04A0"/>
      </w:tblPr>
      <w:tblGrid>
        <w:gridCol w:w="706"/>
        <w:gridCol w:w="1834"/>
        <w:gridCol w:w="1621"/>
        <w:gridCol w:w="1283"/>
        <w:gridCol w:w="1981"/>
        <w:gridCol w:w="245"/>
        <w:gridCol w:w="1818"/>
      </w:tblGrid>
      <w:tr w:rsidR="002D11AF" w:rsidTr="002D11AF">
        <w:trPr>
          <w:trHeight w:val="450"/>
          <w:tblHeader/>
        </w:trPr>
        <w:tc>
          <w:tcPr>
            <w:tcW w:w="372" w:type="pct"/>
            <w:tcBorders>
              <w:top w:val="single" w:sz="4" w:space="0" w:color="auto"/>
              <w:left w:val="single" w:sz="4" w:space="0" w:color="auto"/>
              <w:bottom w:val="single" w:sz="4" w:space="0" w:color="auto"/>
              <w:right w:val="single" w:sz="4" w:space="0" w:color="auto"/>
            </w:tcBorders>
            <w:vAlign w:val="bottom"/>
            <w:hideMark/>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State</w:t>
            </w:r>
          </w:p>
        </w:tc>
        <w:tc>
          <w:tcPr>
            <w:tcW w:w="967" w:type="pct"/>
            <w:tcBorders>
              <w:top w:val="single" w:sz="4" w:space="0" w:color="auto"/>
              <w:left w:val="nil"/>
              <w:bottom w:val="single" w:sz="4" w:space="0" w:color="auto"/>
              <w:right w:val="single" w:sz="4" w:space="0" w:color="auto"/>
            </w:tcBorders>
            <w:vAlign w:val="bottom"/>
            <w:hideMark/>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Proposed POI name</w:t>
            </w:r>
          </w:p>
        </w:tc>
        <w:tc>
          <w:tcPr>
            <w:tcW w:w="854" w:type="pct"/>
            <w:tcBorders>
              <w:top w:val="single" w:sz="4" w:space="0" w:color="auto"/>
              <w:left w:val="nil"/>
              <w:bottom w:val="single" w:sz="4" w:space="0" w:color="auto"/>
              <w:right w:val="single" w:sz="4" w:space="0" w:color="auto"/>
            </w:tcBorders>
            <w:vAlign w:val="bottom"/>
            <w:hideMark/>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POI location</w:t>
            </w:r>
          </w:p>
        </w:tc>
        <w:tc>
          <w:tcPr>
            <w:tcW w:w="676" w:type="pct"/>
            <w:tcBorders>
              <w:top w:val="single" w:sz="4" w:space="0" w:color="auto"/>
              <w:left w:val="nil"/>
              <w:bottom w:val="single" w:sz="4" w:space="0" w:color="auto"/>
              <w:right w:val="single" w:sz="4" w:space="0" w:color="auto"/>
            </w:tcBorders>
            <w:vAlign w:val="bottom"/>
            <w:hideMark/>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Type</w:t>
            </w:r>
          </w:p>
        </w:tc>
        <w:tc>
          <w:tcPr>
            <w:tcW w:w="1044" w:type="pct"/>
            <w:tcBorders>
              <w:top w:val="single" w:sz="4" w:space="0" w:color="auto"/>
              <w:left w:val="single" w:sz="4" w:space="0" w:color="auto"/>
              <w:bottom w:val="single" w:sz="4" w:space="0" w:color="auto"/>
              <w:right w:val="single" w:sz="4" w:space="0" w:color="auto"/>
            </w:tcBorders>
            <w:vAlign w:val="bottom"/>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Located in</w:t>
            </w:r>
          </w:p>
        </w:tc>
        <w:tc>
          <w:tcPr>
            <w:tcW w:w="129" w:type="pct"/>
            <w:tcBorders>
              <w:left w:val="single" w:sz="4" w:space="0" w:color="auto"/>
              <w:right w:val="single" w:sz="4" w:space="0" w:color="auto"/>
            </w:tcBorders>
            <w:vAlign w:val="bottom"/>
          </w:tcPr>
          <w:p w:rsidR="00904F80" w:rsidRPr="00904F80" w:rsidRDefault="00904F80" w:rsidP="00904F80">
            <w:pPr>
              <w:spacing w:after="0" w:line="240" w:lineRule="auto"/>
              <w:jc w:val="center"/>
              <w:rPr>
                <w:rFonts w:ascii="Arial" w:eastAsia="Times New Roman" w:hAnsi="Arial" w:cs="Arial"/>
                <w:b/>
                <w:bCs/>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bottom"/>
          </w:tcPr>
          <w:p w:rsidR="00904F80" w:rsidRPr="00904F80" w:rsidRDefault="00904F80" w:rsidP="00904F80">
            <w:pPr>
              <w:spacing w:after="0" w:line="240" w:lineRule="auto"/>
              <w:jc w:val="center"/>
              <w:rPr>
                <w:rFonts w:ascii="Arial" w:eastAsia="Times New Roman" w:hAnsi="Arial" w:cs="Arial"/>
                <w:b/>
                <w:bCs/>
                <w:sz w:val="20"/>
                <w:szCs w:val="20"/>
                <w:lang w:eastAsia="en-AU"/>
              </w:rPr>
            </w:pPr>
            <w:r w:rsidRPr="00904F80">
              <w:rPr>
                <w:rFonts w:ascii="Arial" w:eastAsia="Times New Roman" w:hAnsi="Arial" w:cs="Arial"/>
                <w:b/>
                <w:bCs/>
                <w:sz w:val="20"/>
                <w:szCs w:val="20"/>
                <w:lang w:eastAsia="en-AU"/>
              </w:rPr>
              <w:t>Previous Location of POI  (in May 2011 list)</w:t>
            </w:r>
          </w:p>
        </w:tc>
      </w:tr>
      <w:tr w:rsidR="002D11AF" w:rsidRPr="00666A31"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NSW</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xml:space="preserve">* Eastern Creek </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Eastern Creek</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*Edensor Park</w:t>
            </w:r>
          </w:p>
        </w:tc>
      </w:tr>
      <w:tr w:rsidR="002D11AF" w:rsidRPr="00666A31"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NSW</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Asquith</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Hornsby</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904F80" w:rsidRPr="00904F80" w:rsidRDefault="00904F80" w:rsidP="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Same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*Hornsby</w:t>
            </w:r>
          </w:p>
        </w:tc>
      </w:tr>
      <w:tr w:rsidR="002D11AF" w:rsidRPr="00666A31"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NSW</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xml:space="preserve">Parramatta </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Parramatta</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North Parramatta</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QLD</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Aspley</w:t>
            </w:r>
            <w:r w:rsidR="00FF2636">
              <w:rPr>
                <w:rFonts w:ascii="Arial" w:eastAsia="Times New Roman" w:hAnsi="Arial" w:cs="Arial"/>
                <w:sz w:val="20"/>
                <w:szCs w:val="20"/>
                <w:lang w:eastAsia="en-AU"/>
              </w:rPr>
              <w:t xml:space="preserve"> </w:t>
            </w:r>
            <w:r w:rsidR="00A64084">
              <w:rPr>
                <w:rFonts w:ascii="Arial" w:eastAsia="Times New Roman" w:hAnsi="Arial" w:cs="Arial"/>
                <w:sz w:val="20"/>
                <w:szCs w:val="20"/>
                <w:lang w:eastAsia="en-AU"/>
              </w:rPr>
              <w:t>Depot</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 xml:space="preserve">Aspley </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*Chermside</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QLD</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Acacia Ridge</w:t>
            </w:r>
            <w:r w:rsidRPr="00904F80">
              <w:rPr>
                <w:rStyle w:val="FootnoteReference"/>
                <w:rFonts w:ascii="Arial" w:eastAsia="Times New Roman" w:hAnsi="Arial" w:cs="Arial"/>
                <w:sz w:val="20"/>
                <w:szCs w:val="20"/>
                <w:lang w:eastAsia="en-AU"/>
              </w:rPr>
              <w:footnoteReference w:id="4"/>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Acacia Ridge</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 xml:space="preserve">Salisbury </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SA</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*Greenfields</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Greenfields</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*Gepps Cross</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SA</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*Lonsdale</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Lonsdale</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*Reynella</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VIC</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*Nunawading</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Nunawading</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*Burwood</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WA</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*Wangara</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Wangara</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Metro</w:t>
            </w:r>
          </w:p>
        </w:tc>
        <w:tc>
          <w:tcPr>
            <w:tcW w:w="1044"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*Kingsley</w:t>
            </w:r>
          </w:p>
        </w:tc>
      </w:tr>
      <w:tr w:rsidR="002D11AF" w:rsidTr="002D11AF">
        <w:trPr>
          <w:trHeight w:val="255"/>
        </w:trPr>
        <w:tc>
          <w:tcPr>
            <w:tcW w:w="372" w:type="pct"/>
            <w:tcBorders>
              <w:top w:val="single" w:sz="4" w:space="0" w:color="auto"/>
              <w:left w:val="single" w:sz="4" w:space="0" w:color="auto"/>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WA</w:t>
            </w:r>
          </w:p>
        </w:tc>
        <w:tc>
          <w:tcPr>
            <w:tcW w:w="967"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*Bentley</w:t>
            </w:r>
          </w:p>
        </w:tc>
        <w:tc>
          <w:tcPr>
            <w:tcW w:w="854" w:type="pct"/>
            <w:tcBorders>
              <w:top w:val="nil"/>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val="en-GB" w:eastAsia="en-AU"/>
              </w:rPr>
              <w:t>Bentley</w:t>
            </w:r>
          </w:p>
        </w:tc>
        <w:tc>
          <w:tcPr>
            <w:tcW w:w="676" w:type="pct"/>
            <w:tcBorders>
              <w:top w:val="single" w:sz="4" w:space="0" w:color="auto"/>
              <w:left w:val="nil"/>
              <w:bottom w:val="single" w:sz="4" w:space="0" w:color="auto"/>
              <w:right w:val="single" w:sz="4" w:space="0" w:color="auto"/>
            </w:tcBorders>
            <w:noWrap/>
            <w:vAlign w:val="center"/>
            <w:hideMark/>
          </w:tcPr>
          <w:p w:rsidR="00CC4E3C" w:rsidRPr="002D11AF" w:rsidRDefault="00904F80" w:rsidP="002D11AF">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Outer Metro</w:t>
            </w:r>
          </w:p>
        </w:tc>
        <w:tc>
          <w:tcPr>
            <w:tcW w:w="1044" w:type="pct"/>
            <w:tcBorders>
              <w:top w:val="single" w:sz="4" w:space="0" w:color="auto"/>
              <w:left w:val="single" w:sz="4" w:space="0" w:color="auto"/>
              <w:bottom w:val="single" w:sz="4" w:space="0" w:color="auto"/>
              <w:right w:val="single" w:sz="4" w:space="0" w:color="auto"/>
            </w:tcBorders>
            <w:vAlign w:val="center"/>
          </w:tcPr>
          <w:p w:rsidR="00904F80" w:rsidRPr="00904F80" w:rsidRDefault="00904F80" w:rsidP="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Non-adjacent ESA</w:t>
            </w:r>
          </w:p>
        </w:tc>
        <w:tc>
          <w:tcPr>
            <w:tcW w:w="129" w:type="pct"/>
            <w:tcBorders>
              <w:top w:val="nil"/>
              <w:left w:val="single" w:sz="4" w:space="0" w:color="auto"/>
              <w:right w:val="single" w:sz="4" w:space="0" w:color="auto"/>
            </w:tcBorders>
            <w:vAlign w:val="center"/>
          </w:tcPr>
          <w:p w:rsidR="008801E2" w:rsidRDefault="008801E2">
            <w:pPr>
              <w:spacing w:after="0" w:line="240" w:lineRule="auto"/>
              <w:rPr>
                <w:rFonts w:ascii="Arial" w:eastAsia="Times New Roman" w:hAnsi="Arial" w:cs="Arial"/>
                <w:sz w:val="20"/>
                <w:szCs w:val="20"/>
                <w:lang w:eastAsia="en-AU"/>
              </w:rPr>
            </w:pPr>
          </w:p>
        </w:tc>
        <w:tc>
          <w:tcPr>
            <w:tcW w:w="958" w:type="pct"/>
            <w:tcBorders>
              <w:top w:val="single" w:sz="4" w:space="0" w:color="auto"/>
              <w:left w:val="single" w:sz="4" w:space="0" w:color="auto"/>
              <w:bottom w:val="single" w:sz="4" w:space="0" w:color="auto"/>
              <w:right w:val="single" w:sz="4" w:space="0" w:color="auto"/>
            </w:tcBorders>
            <w:vAlign w:val="center"/>
          </w:tcPr>
          <w:p w:rsidR="008801E2" w:rsidRDefault="00904F80">
            <w:pPr>
              <w:spacing w:after="0" w:line="240" w:lineRule="auto"/>
              <w:rPr>
                <w:rFonts w:ascii="Arial" w:eastAsia="Times New Roman" w:hAnsi="Arial" w:cs="Arial"/>
                <w:sz w:val="20"/>
                <w:szCs w:val="20"/>
                <w:lang w:eastAsia="en-AU"/>
              </w:rPr>
            </w:pPr>
            <w:r w:rsidRPr="00904F80">
              <w:rPr>
                <w:rFonts w:ascii="Arial" w:eastAsia="Times New Roman" w:hAnsi="Arial" w:cs="Arial"/>
                <w:sz w:val="20"/>
                <w:szCs w:val="20"/>
                <w:lang w:eastAsia="en-AU"/>
              </w:rPr>
              <w:t>*Maida Vale</w:t>
            </w:r>
          </w:p>
        </w:tc>
      </w:tr>
    </w:tbl>
    <w:p w:rsidR="00904F80" w:rsidRDefault="00904F80" w:rsidP="00904F80">
      <w:pPr>
        <w:spacing w:line="240" w:lineRule="auto"/>
        <w:rPr>
          <w:rFonts w:cs="Times New Roman"/>
          <w:szCs w:val="24"/>
        </w:rPr>
      </w:pPr>
    </w:p>
    <w:p w:rsidR="00904F80" w:rsidRDefault="000660BB" w:rsidP="001724FD">
      <w:pPr>
        <w:spacing w:after="0" w:line="240" w:lineRule="auto"/>
        <w:ind w:right="-188"/>
        <w:rPr>
          <w:rFonts w:cs="Times New Roman"/>
          <w:szCs w:val="24"/>
        </w:rPr>
      </w:pPr>
      <w:r>
        <w:rPr>
          <w:rFonts w:cs="Times New Roman"/>
          <w:szCs w:val="24"/>
        </w:rPr>
        <w:t>An excel worksheet is available at</w:t>
      </w:r>
      <w:r w:rsidR="001724FD">
        <w:rPr>
          <w:rFonts w:cs="Times New Roman"/>
          <w:szCs w:val="24"/>
        </w:rPr>
        <w:t xml:space="preserve"> </w:t>
      </w:r>
      <w:hyperlink r:id="rId13" w:tooltip="Excel worksheet with further information on the proposed changes to the section 151D list of POIs" w:history="1">
        <w:r w:rsidR="001724FD" w:rsidRPr="00042254">
          <w:rPr>
            <w:rStyle w:val="Hyperlink"/>
            <w:rFonts w:cstheme="minorBidi"/>
          </w:rPr>
          <w:t>http://www.accc.gov.au/content/index.phtml/itemId/952292</w:t>
        </w:r>
      </w:hyperlink>
      <w:r>
        <w:rPr>
          <w:rFonts w:cs="Times New Roman"/>
          <w:szCs w:val="24"/>
        </w:rPr>
        <w:t xml:space="preserve"> that provides further </w:t>
      </w:r>
      <w:r w:rsidR="008A62AA">
        <w:rPr>
          <w:rFonts w:cs="Times New Roman"/>
          <w:szCs w:val="24"/>
        </w:rPr>
        <w:t>information on</w:t>
      </w:r>
      <w:r>
        <w:rPr>
          <w:rFonts w:cs="Times New Roman"/>
          <w:szCs w:val="24"/>
        </w:rPr>
        <w:t xml:space="preserve"> the proposed changes.</w:t>
      </w:r>
    </w:p>
    <w:p w:rsidR="00BE5C19" w:rsidRDefault="00BE5C19" w:rsidP="001724FD">
      <w:pPr>
        <w:spacing w:after="0" w:line="240" w:lineRule="auto"/>
        <w:ind w:right="-188"/>
        <w:rPr>
          <w:rFonts w:cs="Times New Roman"/>
          <w:szCs w:val="24"/>
        </w:rPr>
      </w:pPr>
    </w:p>
    <w:p w:rsidR="00904F80" w:rsidRDefault="00946AFC" w:rsidP="00904F80">
      <w:pPr>
        <w:pStyle w:val="Heading1"/>
        <w:spacing w:before="240"/>
      </w:pPr>
      <w:bookmarkStart w:id="6" w:name="_Toc331507471"/>
      <w:r>
        <w:t xml:space="preserve">Public and </w:t>
      </w:r>
      <w:r w:rsidR="00361604">
        <w:t>c</w:t>
      </w:r>
      <w:r>
        <w:t xml:space="preserve">onfidential </w:t>
      </w:r>
      <w:r w:rsidR="00361604">
        <w:t>v</w:t>
      </w:r>
      <w:r w:rsidR="004E4209" w:rsidRPr="000750F4">
        <w:t>ersion</w:t>
      </w:r>
      <w:r>
        <w:t>s</w:t>
      </w:r>
      <w:r w:rsidR="004E4209" w:rsidRPr="000750F4">
        <w:t xml:space="preserve"> of the </w:t>
      </w:r>
      <w:r w:rsidR="00AE00FA">
        <w:t>L</w:t>
      </w:r>
      <w:r w:rsidR="004E4209" w:rsidRPr="000750F4">
        <w:t>ist of POIs</w:t>
      </w:r>
      <w:bookmarkEnd w:id="6"/>
    </w:p>
    <w:p w:rsidR="00904F80" w:rsidRDefault="00705662" w:rsidP="00904F80">
      <w:pPr>
        <w:spacing w:after="0" w:line="240" w:lineRule="auto"/>
        <w:rPr>
          <w:rFonts w:cs="Times New Roman"/>
          <w:szCs w:val="24"/>
        </w:rPr>
      </w:pPr>
      <w:r w:rsidRPr="00B76336">
        <w:rPr>
          <w:rFonts w:cs="Times New Roman"/>
          <w:szCs w:val="24"/>
        </w:rPr>
        <w:t>For the purposes of section 151DA of the CCA, a point of interconnection means a location</w:t>
      </w:r>
      <w:r w:rsidR="00B76336">
        <w:rPr>
          <w:rFonts w:cs="Times New Roman"/>
          <w:szCs w:val="24"/>
        </w:rPr>
        <w:t xml:space="preserve"> </w:t>
      </w:r>
      <w:r w:rsidRPr="00B76336">
        <w:rPr>
          <w:rFonts w:cs="Times New Roman"/>
          <w:szCs w:val="24"/>
        </w:rPr>
        <w:t>for the interconnection of facilities.</w:t>
      </w:r>
      <w:r w:rsidR="00B76336">
        <w:rPr>
          <w:rFonts w:cs="Times New Roman"/>
          <w:szCs w:val="24"/>
        </w:rPr>
        <w:t xml:space="preserve"> </w:t>
      </w:r>
      <w:r w:rsidRPr="00B76336">
        <w:rPr>
          <w:rFonts w:cs="Times New Roman"/>
          <w:szCs w:val="24"/>
        </w:rPr>
        <w:t>As such</w:t>
      </w:r>
      <w:r w:rsidR="008801E2">
        <w:rPr>
          <w:rFonts w:cs="Times New Roman"/>
          <w:szCs w:val="24"/>
        </w:rPr>
        <w:t>,</w:t>
      </w:r>
      <w:r w:rsidRPr="00B76336">
        <w:rPr>
          <w:rFonts w:cs="Times New Roman"/>
          <w:szCs w:val="24"/>
        </w:rPr>
        <w:t xml:space="preserve"> the location of the POI must be publis</w:t>
      </w:r>
      <w:r w:rsidR="00B76336">
        <w:rPr>
          <w:rFonts w:cs="Times New Roman"/>
          <w:szCs w:val="24"/>
        </w:rPr>
        <w:t xml:space="preserve">hed </w:t>
      </w:r>
      <w:r w:rsidR="007E7EEB">
        <w:rPr>
          <w:rFonts w:cs="Times New Roman"/>
          <w:szCs w:val="24"/>
        </w:rPr>
        <w:t>a</w:t>
      </w:r>
      <w:r w:rsidR="00B76336">
        <w:rPr>
          <w:rFonts w:cs="Times New Roman"/>
          <w:szCs w:val="24"/>
        </w:rPr>
        <w:t xml:space="preserve">s part </w:t>
      </w:r>
      <w:r w:rsidR="002A5FAF">
        <w:rPr>
          <w:rFonts w:cs="Times New Roman"/>
          <w:szCs w:val="24"/>
        </w:rPr>
        <w:t xml:space="preserve">of the list </w:t>
      </w:r>
      <w:r w:rsidR="00FB34EC">
        <w:rPr>
          <w:rFonts w:cs="Times New Roman"/>
          <w:szCs w:val="24"/>
        </w:rPr>
        <w:t xml:space="preserve">setting out POIs </w:t>
      </w:r>
      <w:r w:rsidR="002A5FAF">
        <w:rPr>
          <w:rFonts w:cs="Times New Roman"/>
          <w:szCs w:val="24"/>
        </w:rPr>
        <w:t>under</w:t>
      </w:r>
      <w:r w:rsidR="00B76336">
        <w:rPr>
          <w:rFonts w:cs="Times New Roman"/>
          <w:szCs w:val="24"/>
        </w:rPr>
        <w:t xml:space="preserve"> section 151DB</w:t>
      </w:r>
      <w:r w:rsidR="002A16AF">
        <w:rPr>
          <w:rFonts w:cs="Times New Roman"/>
          <w:szCs w:val="24"/>
        </w:rPr>
        <w:t xml:space="preserve"> of the CCA</w:t>
      </w:r>
      <w:r w:rsidR="002A5FAF">
        <w:rPr>
          <w:rFonts w:cs="Times New Roman"/>
          <w:szCs w:val="24"/>
        </w:rPr>
        <w:t>.</w:t>
      </w:r>
    </w:p>
    <w:p w:rsidR="00904F80" w:rsidRDefault="00904F80" w:rsidP="00904F80">
      <w:pPr>
        <w:spacing w:after="0" w:line="240" w:lineRule="auto"/>
        <w:rPr>
          <w:rFonts w:cs="Times New Roman"/>
          <w:szCs w:val="24"/>
        </w:rPr>
      </w:pPr>
    </w:p>
    <w:p w:rsidR="00904F80" w:rsidRDefault="002A16AF" w:rsidP="00904F80">
      <w:pPr>
        <w:spacing w:after="0" w:line="240" w:lineRule="auto"/>
        <w:rPr>
          <w:rFonts w:cs="Times New Roman"/>
          <w:szCs w:val="24"/>
        </w:rPr>
      </w:pPr>
      <w:r>
        <w:rPr>
          <w:rFonts w:cs="Times New Roman"/>
          <w:szCs w:val="24"/>
        </w:rPr>
        <w:t xml:space="preserve">The ACCC </w:t>
      </w:r>
      <w:r w:rsidR="00FB34EC">
        <w:rPr>
          <w:rFonts w:cs="Times New Roman"/>
          <w:szCs w:val="24"/>
        </w:rPr>
        <w:t>proposes to</w:t>
      </w:r>
      <w:r>
        <w:rPr>
          <w:rFonts w:cs="Times New Roman"/>
          <w:szCs w:val="24"/>
        </w:rPr>
        <w:t xml:space="preserve"> publish a public version of the list of </w:t>
      </w:r>
      <w:r w:rsidR="000E1CCA">
        <w:rPr>
          <w:rFonts w:cs="Times New Roman"/>
          <w:szCs w:val="24"/>
        </w:rPr>
        <w:t xml:space="preserve">POIs </w:t>
      </w:r>
      <w:r>
        <w:rPr>
          <w:rFonts w:cs="Times New Roman"/>
          <w:szCs w:val="24"/>
        </w:rPr>
        <w:t>to the NBN.</w:t>
      </w:r>
      <w:r w:rsidR="008A62AA">
        <w:rPr>
          <w:rFonts w:cs="Times New Roman"/>
          <w:szCs w:val="24"/>
        </w:rPr>
        <w:t xml:space="preserve"> </w:t>
      </w:r>
    </w:p>
    <w:p w:rsidR="00904F80" w:rsidRDefault="002A16AF" w:rsidP="00904F80">
      <w:pPr>
        <w:spacing w:after="0" w:line="240" w:lineRule="auto"/>
        <w:rPr>
          <w:rFonts w:cs="Times New Roman"/>
          <w:szCs w:val="24"/>
        </w:rPr>
      </w:pPr>
      <w:r>
        <w:rPr>
          <w:rFonts w:cs="Times New Roman"/>
          <w:szCs w:val="24"/>
        </w:rPr>
        <w:t xml:space="preserve">The ACCC proposes that the public version of </w:t>
      </w:r>
      <w:r w:rsidR="002A5FAF">
        <w:rPr>
          <w:rFonts w:cs="Times New Roman"/>
          <w:szCs w:val="24"/>
        </w:rPr>
        <w:t xml:space="preserve">the </w:t>
      </w:r>
      <w:r w:rsidR="002D11AF">
        <w:rPr>
          <w:rFonts w:cs="Times New Roman"/>
          <w:szCs w:val="24"/>
        </w:rPr>
        <w:t>section</w:t>
      </w:r>
      <w:r w:rsidR="002A5FAF">
        <w:rPr>
          <w:rFonts w:cs="Times New Roman"/>
          <w:szCs w:val="24"/>
        </w:rPr>
        <w:t xml:space="preserve">151DB </w:t>
      </w:r>
      <w:r>
        <w:rPr>
          <w:rFonts w:cs="Times New Roman"/>
          <w:szCs w:val="24"/>
        </w:rPr>
        <w:t xml:space="preserve">list </w:t>
      </w:r>
      <w:r w:rsidR="005F3528">
        <w:rPr>
          <w:rFonts w:cs="Times New Roman"/>
          <w:szCs w:val="24"/>
        </w:rPr>
        <w:t>of POIs</w:t>
      </w:r>
      <w:r>
        <w:rPr>
          <w:rFonts w:cs="Times New Roman"/>
          <w:szCs w:val="24"/>
        </w:rPr>
        <w:t xml:space="preserve"> include: </w:t>
      </w:r>
    </w:p>
    <w:p w:rsidR="00904F80" w:rsidRDefault="004E4209" w:rsidP="00904F80">
      <w:pPr>
        <w:pStyle w:val="ListParagraph"/>
        <w:numPr>
          <w:ilvl w:val="0"/>
          <w:numId w:val="2"/>
        </w:numPr>
        <w:spacing w:after="0" w:line="240" w:lineRule="auto"/>
        <w:rPr>
          <w:rFonts w:cs="Times New Roman"/>
          <w:szCs w:val="24"/>
        </w:rPr>
      </w:pPr>
      <w:r w:rsidRPr="00AB312A">
        <w:rPr>
          <w:rFonts w:cs="Times New Roman"/>
          <w:szCs w:val="24"/>
        </w:rPr>
        <w:t>State</w:t>
      </w:r>
    </w:p>
    <w:p w:rsidR="00904F80" w:rsidRDefault="004E4209" w:rsidP="00904F80">
      <w:pPr>
        <w:pStyle w:val="ListParagraph"/>
        <w:numPr>
          <w:ilvl w:val="0"/>
          <w:numId w:val="2"/>
        </w:numPr>
        <w:spacing w:after="0" w:line="240" w:lineRule="auto"/>
        <w:rPr>
          <w:rFonts w:cs="Times New Roman"/>
          <w:szCs w:val="24"/>
        </w:rPr>
      </w:pPr>
      <w:r w:rsidRPr="00AB312A">
        <w:rPr>
          <w:rFonts w:cs="Times New Roman"/>
          <w:szCs w:val="24"/>
        </w:rPr>
        <w:t>POI name</w:t>
      </w:r>
    </w:p>
    <w:p w:rsidR="00904F80" w:rsidRDefault="004E4209" w:rsidP="00904F80">
      <w:pPr>
        <w:pStyle w:val="ListParagraph"/>
        <w:numPr>
          <w:ilvl w:val="0"/>
          <w:numId w:val="2"/>
        </w:numPr>
        <w:spacing w:after="0" w:line="240" w:lineRule="auto"/>
        <w:rPr>
          <w:rFonts w:cs="Times New Roman"/>
          <w:szCs w:val="24"/>
        </w:rPr>
      </w:pPr>
      <w:r w:rsidRPr="00AB312A">
        <w:rPr>
          <w:rFonts w:cs="Times New Roman"/>
          <w:szCs w:val="24"/>
        </w:rPr>
        <w:t>POI location</w:t>
      </w:r>
    </w:p>
    <w:p w:rsidR="00904F80" w:rsidRDefault="002A5FAF" w:rsidP="00904F80">
      <w:pPr>
        <w:pStyle w:val="ListParagraph"/>
        <w:numPr>
          <w:ilvl w:val="0"/>
          <w:numId w:val="2"/>
        </w:numPr>
        <w:spacing w:after="0" w:line="240" w:lineRule="auto"/>
        <w:rPr>
          <w:rFonts w:cs="Times New Roman"/>
          <w:szCs w:val="24"/>
        </w:rPr>
      </w:pPr>
      <w:r>
        <w:rPr>
          <w:rFonts w:cs="Times New Roman"/>
          <w:szCs w:val="24"/>
        </w:rPr>
        <w:t xml:space="preserve">POI </w:t>
      </w:r>
      <w:r w:rsidR="002D11AF">
        <w:rPr>
          <w:rFonts w:cs="Times New Roman"/>
          <w:szCs w:val="24"/>
        </w:rPr>
        <w:t>t</w:t>
      </w:r>
      <w:r w:rsidR="004E4209" w:rsidRPr="00AB312A">
        <w:rPr>
          <w:rFonts w:cs="Times New Roman"/>
          <w:szCs w:val="24"/>
        </w:rPr>
        <w:t>ype</w:t>
      </w:r>
      <w:r w:rsidR="007E7EEB">
        <w:rPr>
          <w:rFonts w:cs="Times New Roman"/>
          <w:szCs w:val="24"/>
        </w:rPr>
        <w:t xml:space="preserve"> (metro/regional</w:t>
      </w:r>
      <w:r w:rsidR="005F3528">
        <w:rPr>
          <w:rFonts w:cs="Times New Roman"/>
          <w:szCs w:val="24"/>
        </w:rPr>
        <w:t>/outer metro)</w:t>
      </w:r>
    </w:p>
    <w:p w:rsidR="00904F80" w:rsidRDefault="00904F80" w:rsidP="00904F80">
      <w:pPr>
        <w:spacing w:after="0" w:line="240" w:lineRule="auto"/>
        <w:rPr>
          <w:rFonts w:cs="Times New Roman"/>
          <w:szCs w:val="24"/>
        </w:rPr>
      </w:pPr>
    </w:p>
    <w:p w:rsidR="00904F80" w:rsidRDefault="005D3498" w:rsidP="00904F80">
      <w:pPr>
        <w:spacing w:after="0" w:line="240" w:lineRule="auto"/>
        <w:rPr>
          <w:rFonts w:cs="Times New Roman"/>
          <w:szCs w:val="24"/>
        </w:rPr>
      </w:pPr>
      <w:r>
        <w:rPr>
          <w:rFonts w:cs="Times New Roman"/>
          <w:szCs w:val="24"/>
        </w:rPr>
        <w:t xml:space="preserve">The </w:t>
      </w:r>
      <w:r w:rsidR="002A5FAF">
        <w:rPr>
          <w:rFonts w:cs="Times New Roman"/>
          <w:szCs w:val="24"/>
        </w:rPr>
        <w:t xml:space="preserve">draft </w:t>
      </w:r>
      <w:r>
        <w:rPr>
          <w:rFonts w:cs="Times New Roman"/>
          <w:szCs w:val="24"/>
        </w:rPr>
        <w:t>public version of the</w:t>
      </w:r>
      <w:r w:rsidR="002A5FAF">
        <w:rPr>
          <w:rFonts w:cs="Times New Roman"/>
          <w:szCs w:val="24"/>
        </w:rPr>
        <w:t xml:space="preserve"> </w:t>
      </w:r>
      <w:r w:rsidR="002D11AF">
        <w:rPr>
          <w:rFonts w:cs="Times New Roman"/>
          <w:szCs w:val="24"/>
        </w:rPr>
        <w:t>section</w:t>
      </w:r>
      <w:r w:rsidR="002A5FAF">
        <w:rPr>
          <w:rFonts w:cs="Times New Roman"/>
          <w:szCs w:val="24"/>
        </w:rPr>
        <w:t>151DB</w:t>
      </w:r>
      <w:r>
        <w:rPr>
          <w:rFonts w:cs="Times New Roman"/>
          <w:szCs w:val="24"/>
        </w:rPr>
        <w:t xml:space="preserve"> list</w:t>
      </w:r>
      <w:r w:rsidR="002A5FAF">
        <w:rPr>
          <w:rFonts w:cs="Times New Roman"/>
          <w:szCs w:val="24"/>
        </w:rPr>
        <w:t xml:space="preserve"> of</w:t>
      </w:r>
      <w:r>
        <w:rPr>
          <w:rFonts w:cs="Times New Roman"/>
          <w:szCs w:val="24"/>
        </w:rPr>
        <w:t xml:space="preserve"> </w:t>
      </w:r>
      <w:r w:rsidR="006A5604">
        <w:rPr>
          <w:rFonts w:cs="Times New Roman"/>
          <w:szCs w:val="24"/>
        </w:rPr>
        <w:t xml:space="preserve">POIs </w:t>
      </w:r>
      <w:r>
        <w:rPr>
          <w:rFonts w:cs="Times New Roman"/>
          <w:szCs w:val="24"/>
        </w:rPr>
        <w:t xml:space="preserve">is set out in </w:t>
      </w:r>
      <w:r w:rsidR="00904F80" w:rsidRPr="00904F80">
        <w:rPr>
          <w:rFonts w:cs="Times New Roman"/>
          <w:szCs w:val="24"/>
          <w:u w:val="single"/>
        </w:rPr>
        <w:t>Appendix A</w:t>
      </w:r>
      <w:r w:rsidR="002D11AF">
        <w:rPr>
          <w:rFonts w:cs="Times New Roman"/>
          <w:szCs w:val="24"/>
        </w:rPr>
        <w:t>.</w:t>
      </w:r>
    </w:p>
    <w:p w:rsidR="00904F80" w:rsidRDefault="00904F80" w:rsidP="00904F80">
      <w:pPr>
        <w:spacing w:after="0" w:line="240" w:lineRule="auto"/>
        <w:rPr>
          <w:rFonts w:cs="Times New Roman"/>
          <w:szCs w:val="24"/>
        </w:rPr>
      </w:pPr>
    </w:p>
    <w:p w:rsidR="00904F80" w:rsidRDefault="000750F4" w:rsidP="00904F80">
      <w:pPr>
        <w:spacing w:after="0" w:line="240" w:lineRule="auto"/>
        <w:rPr>
          <w:rFonts w:cs="Times New Roman"/>
          <w:szCs w:val="24"/>
        </w:rPr>
      </w:pPr>
      <w:r>
        <w:rPr>
          <w:rFonts w:cs="Times New Roman"/>
          <w:szCs w:val="24"/>
        </w:rPr>
        <w:t xml:space="preserve">Due to concerns </w:t>
      </w:r>
      <w:r w:rsidR="00552C0D">
        <w:rPr>
          <w:rFonts w:cs="Times New Roman"/>
          <w:szCs w:val="24"/>
        </w:rPr>
        <w:t>about</w:t>
      </w:r>
      <w:r>
        <w:rPr>
          <w:rFonts w:cs="Times New Roman"/>
          <w:szCs w:val="24"/>
        </w:rPr>
        <w:t xml:space="preserve"> the security of infrastructure assets, </w:t>
      </w:r>
      <w:r w:rsidR="000E1CCA">
        <w:rPr>
          <w:rFonts w:cs="Times New Roman"/>
          <w:szCs w:val="24"/>
        </w:rPr>
        <w:t xml:space="preserve">it is proposed that </w:t>
      </w:r>
      <w:r>
        <w:rPr>
          <w:rFonts w:cs="Times New Roman"/>
          <w:szCs w:val="24"/>
        </w:rPr>
        <w:t>the physical address</w:t>
      </w:r>
      <w:r w:rsidR="008E5BAF">
        <w:rPr>
          <w:rFonts w:cs="Times New Roman"/>
          <w:szCs w:val="24"/>
        </w:rPr>
        <w:t>es</w:t>
      </w:r>
      <w:r>
        <w:rPr>
          <w:rFonts w:cs="Times New Roman"/>
          <w:szCs w:val="24"/>
        </w:rPr>
        <w:t xml:space="preserve"> </w:t>
      </w:r>
      <w:r w:rsidR="002D11AF">
        <w:rPr>
          <w:rFonts w:cs="Times New Roman"/>
          <w:szCs w:val="24"/>
        </w:rPr>
        <w:t xml:space="preserve">of each POI </w:t>
      </w:r>
      <w:r w:rsidR="000E1CCA">
        <w:rPr>
          <w:rFonts w:cs="Times New Roman"/>
          <w:szCs w:val="24"/>
        </w:rPr>
        <w:t>be</w:t>
      </w:r>
      <w:r>
        <w:rPr>
          <w:rFonts w:cs="Times New Roman"/>
          <w:szCs w:val="24"/>
        </w:rPr>
        <w:t xml:space="preserve"> </w:t>
      </w:r>
      <w:r w:rsidR="002D11AF">
        <w:rPr>
          <w:rFonts w:cs="Times New Roman"/>
          <w:szCs w:val="24"/>
        </w:rPr>
        <w:t>kept</w:t>
      </w:r>
      <w:r>
        <w:rPr>
          <w:rFonts w:cs="Times New Roman"/>
          <w:szCs w:val="24"/>
        </w:rPr>
        <w:t xml:space="preserve"> confidential</w:t>
      </w:r>
      <w:r w:rsidR="002D11AF">
        <w:rPr>
          <w:rFonts w:cs="Times New Roman"/>
          <w:szCs w:val="24"/>
        </w:rPr>
        <w:t>.</w:t>
      </w:r>
      <w:r>
        <w:rPr>
          <w:rFonts w:cs="Times New Roman"/>
          <w:szCs w:val="24"/>
        </w:rPr>
        <w:t xml:space="preserve"> </w:t>
      </w:r>
      <w:r w:rsidR="00731FF0">
        <w:rPr>
          <w:rFonts w:cs="Times New Roman"/>
          <w:szCs w:val="24"/>
        </w:rPr>
        <w:t>Stakeholders</w:t>
      </w:r>
      <w:r>
        <w:rPr>
          <w:rFonts w:cs="Times New Roman"/>
          <w:szCs w:val="24"/>
        </w:rPr>
        <w:t xml:space="preserve"> will need to contact NBN Co directly if they require the specific physical address details of any of the POIs. </w:t>
      </w:r>
    </w:p>
    <w:p w:rsidR="00904F80" w:rsidRDefault="005F3528" w:rsidP="00904F80">
      <w:pPr>
        <w:spacing w:after="0" w:line="240" w:lineRule="auto"/>
        <w:rPr>
          <w:rFonts w:cs="Times New Roman"/>
          <w:szCs w:val="24"/>
        </w:rPr>
      </w:pPr>
      <w:r>
        <w:rPr>
          <w:rFonts w:cs="Times New Roman"/>
          <w:szCs w:val="24"/>
        </w:rPr>
        <w:t>The confidential version of the list includes</w:t>
      </w:r>
      <w:r w:rsidR="004F71F4">
        <w:rPr>
          <w:rFonts w:cs="Times New Roman"/>
          <w:szCs w:val="24"/>
        </w:rPr>
        <w:t>:</w:t>
      </w:r>
      <w:r>
        <w:rPr>
          <w:rFonts w:cs="Times New Roman"/>
          <w:szCs w:val="24"/>
        </w:rPr>
        <w:t xml:space="preserve"> </w:t>
      </w:r>
    </w:p>
    <w:p w:rsidR="00904F80" w:rsidRDefault="005F3528" w:rsidP="00904F80">
      <w:pPr>
        <w:pStyle w:val="ListParagraph"/>
        <w:numPr>
          <w:ilvl w:val="0"/>
          <w:numId w:val="2"/>
        </w:numPr>
        <w:spacing w:after="0" w:line="240" w:lineRule="auto"/>
        <w:rPr>
          <w:rFonts w:cs="Times New Roman"/>
          <w:szCs w:val="24"/>
        </w:rPr>
      </w:pPr>
      <w:r w:rsidRPr="00AB312A">
        <w:rPr>
          <w:rFonts w:cs="Times New Roman"/>
          <w:szCs w:val="24"/>
        </w:rPr>
        <w:t>State</w:t>
      </w:r>
    </w:p>
    <w:p w:rsidR="00904F80" w:rsidRDefault="005F3528" w:rsidP="00904F80">
      <w:pPr>
        <w:pStyle w:val="ListParagraph"/>
        <w:numPr>
          <w:ilvl w:val="0"/>
          <w:numId w:val="2"/>
        </w:numPr>
        <w:spacing w:after="0" w:line="240" w:lineRule="auto"/>
        <w:rPr>
          <w:rFonts w:cs="Times New Roman"/>
          <w:szCs w:val="24"/>
        </w:rPr>
      </w:pPr>
      <w:r w:rsidRPr="00AB312A">
        <w:rPr>
          <w:rFonts w:cs="Times New Roman"/>
          <w:szCs w:val="24"/>
        </w:rPr>
        <w:t>POI name</w:t>
      </w:r>
    </w:p>
    <w:p w:rsidR="00904F80" w:rsidRDefault="005F3528" w:rsidP="00904F80">
      <w:pPr>
        <w:pStyle w:val="ListParagraph"/>
        <w:numPr>
          <w:ilvl w:val="0"/>
          <w:numId w:val="2"/>
        </w:numPr>
        <w:spacing w:after="0" w:line="240" w:lineRule="auto"/>
        <w:rPr>
          <w:rFonts w:cs="Times New Roman"/>
          <w:szCs w:val="24"/>
        </w:rPr>
      </w:pPr>
      <w:r w:rsidRPr="00AB312A">
        <w:rPr>
          <w:rFonts w:cs="Times New Roman"/>
          <w:szCs w:val="24"/>
        </w:rPr>
        <w:t>POI location</w:t>
      </w:r>
    </w:p>
    <w:p w:rsidR="00904F80" w:rsidRDefault="002A5FAF" w:rsidP="00904F80">
      <w:pPr>
        <w:pStyle w:val="ListParagraph"/>
        <w:numPr>
          <w:ilvl w:val="0"/>
          <w:numId w:val="2"/>
        </w:numPr>
        <w:spacing w:after="0" w:line="240" w:lineRule="auto"/>
        <w:rPr>
          <w:rFonts w:cs="Times New Roman"/>
          <w:szCs w:val="24"/>
        </w:rPr>
      </w:pPr>
      <w:r>
        <w:rPr>
          <w:rFonts w:cs="Times New Roman"/>
          <w:szCs w:val="24"/>
        </w:rPr>
        <w:t xml:space="preserve">POI </w:t>
      </w:r>
      <w:r w:rsidR="005F3528" w:rsidRPr="00AB312A">
        <w:rPr>
          <w:rFonts w:cs="Times New Roman"/>
          <w:szCs w:val="24"/>
        </w:rPr>
        <w:t>Type</w:t>
      </w:r>
      <w:r w:rsidR="005F3528">
        <w:rPr>
          <w:rFonts w:cs="Times New Roman"/>
          <w:szCs w:val="24"/>
        </w:rPr>
        <w:t xml:space="preserve"> (metro/regional/outer metro)</w:t>
      </w:r>
    </w:p>
    <w:p w:rsidR="00904F80" w:rsidRDefault="005F3528" w:rsidP="00904F80">
      <w:pPr>
        <w:pStyle w:val="ListParagraph"/>
        <w:numPr>
          <w:ilvl w:val="0"/>
          <w:numId w:val="2"/>
        </w:numPr>
        <w:spacing w:after="0" w:line="240" w:lineRule="auto"/>
        <w:rPr>
          <w:rFonts w:cs="Times New Roman"/>
          <w:szCs w:val="24"/>
        </w:rPr>
      </w:pPr>
      <w:r>
        <w:rPr>
          <w:rFonts w:cs="Times New Roman"/>
          <w:szCs w:val="24"/>
        </w:rPr>
        <w:t>Physical address of the POI premises</w:t>
      </w:r>
    </w:p>
    <w:p w:rsidR="00904F80" w:rsidRDefault="00904F80" w:rsidP="00904F80">
      <w:pPr>
        <w:pStyle w:val="ListParagraph"/>
        <w:spacing w:after="0" w:line="240" w:lineRule="auto"/>
        <w:rPr>
          <w:rFonts w:cs="Times New Roman"/>
          <w:szCs w:val="24"/>
        </w:rPr>
      </w:pPr>
    </w:p>
    <w:p w:rsidR="00904F80" w:rsidRDefault="00731FF0" w:rsidP="00904F80">
      <w:pPr>
        <w:spacing w:after="0" w:line="240" w:lineRule="auto"/>
        <w:rPr>
          <w:rFonts w:cs="Times New Roman"/>
          <w:szCs w:val="24"/>
        </w:rPr>
      </w:pPr>
      <w:r w:rsidRPr="008E5BAF">
        <w:rPr>
          <w:rFonts w:cs="Times New Roman"/>
          <w:szCs w:val="24"/>
        </w:rPr>
        <w:t>Interested parties</w:t>
      </w:r>
      <w:r w:rsidR="009D5982" w:rsidRPr="008E5BAF">
        <w:rPr>
          <w:rFonts w:cs="Times New Roman"/>
          <w:szCs w:val="24"/>
        </w:rPr>
        <w:t xml:space="preserve"> </w:t>
      </w:r>
      <w:r w:rsidRPr="008E5BAF">
        <w:rPr>
          <w:rFonts w:cs="Times New Roman"/>
          <w:szCs w:val="24"/>
        </w:rPr>
        <w:t>will be r</w:t>
      </w:r>
      <w:r>
        <w:rPr>
          <w:rFonts w:cs="Times New Roman"/>
          <w:szCs w:val="24"/>
        </w:rPr>
        <w:t xml:space="preserve">equired to </w:t>
      </w:r>
      <w:r w:rsidR="002A5FAF">
        <w:rPr>
          <w:rFonts w:cs="Times New Roman"/>
          <w:szCs w:val="24"/>
        </w:rPr>
        <w:t xml:space="preserve">enter into </w:t>
      </w:r>
      <w:r>
        <w:rPr>
          <w:rFonts w:cs="Times New Roman"/>
          <w:szCs w:val="24"/>
        </w:rPr>
        <w:t xml:space="preserve">confidentiality agreements with NBN Co in order to gain access to </w:t>
      </w:r>
      <w:r w:rsidR="000E1CCA">
        <w:rPr>
          <w:rFonts w:cs="Times New Roman"/>
          <w:szCs w:val="24"/>
        </w:rPr>
        <w:t xml:space="preserve">the physical </w:t>
      </w:r>
      <w:r w:rsidR="004F71F4">
        <w:rPr>
          <w:rFonts w:cs="Times New Roman"/>
          <w:szCs w:val="24"/>
        </w:rPr>
        <w:t>address</w:t>
      </w:r>
      <w:r>
        <w:rPr>
          <w:rFonts w:cs="Times New Roman"/>
          <w:szCs w:val="24"/>
        </w:rPr>
        <w:t xml:space="preserve"> </w:t>
      </w:r>
      <w:r w:rsidR="00614E25">
        <w:rPr>
          <w:rFonts w:cs="Times New Roman"/>
          <w:szCs w:val="24"/>
        </w:rPr>
        <w:t>and other POI details not included in the public list.</w:t>
      </w:r>
      <w:r>
        <w:rPr>
          <w:rFonts w:cs="Times New Roman"/>
          <w:szCs w:val="24"/>
        </w:rPr>
        <w:t xml:space="preserve"> They </w:t>
      </w:r>
      <w:r w:rsidR="009D5982">
        <w:rPr>
          <w:rFonts w:cs="Times New Roman"/>
          <w:szCs w:val="24"/>
        </w:rPr>
        <w:t xml:space="preserve">should refer to the </w:t>
      </w:r>
      <w:r w:rsidR="001800D3">
        <w:rPr>
          <w:rFonts w:cs="Times New Roman"/>
          <w:szCs w:val="24"/>
        </w:rPr>
        <w:t>link</w:t>
      </w:r>
      <w:r w:rsidR="009D5982">
        <w:rPr>
          <w:rFonts w:cs="Times New Roman"/>
          <w:szCs w:val="24"/>
        </w:rPr>
        <w:t xml:space="preserve"> below:</w:t>
      </w:r>
    </w:p>
    <w:p w:rsidR="00904F80" w:rsidRDefault="00001382" w:rsidP="00904F80">
      <w:pPr>
        <w:spacing w:after="0" w:line="240" w:lineRule="auto"/>
      </w:pPr>
      <w:hyperlink r:id="rId14" w:tooltip="NBN Co - gaining access to physical address and other POI details" w:history="1">
        <w:r w:rsidR="001800D3">
          <w:rPr>
            <w:rStyle w:val="Hyperlink"/>
          </w:rPr>
          <w:t>http://www.nbnco.com.au/getting-connected/service-providers/network-rollout.html</w:t>
        </w:r>
      </w:hyperlink>
    </w:p>
    <w:p w:rsidR="00BE5C19" w:rsidRDefault="00BE5C19" w:rsidP="00904F80">
      <w:pPr>
        <w:spacing w:after="0" w:line="240" w:lineRule="auto"/>
        <w:rPr>
          <w:color w:val="1F497D"/>
        </w:rPr>
      </w:pPr>
    </w:p>
    <w:p w:rsidR="00904F80" w:rsidRDefault="002A16AF" w:rsidP="00904F80">
      <w:pPr>
        <w:pStyle w:val="Heading1"/>
        <w:spacing w:before="240"/>
      </w:pPr>
      <w:bookmarkStart w:id="7" w:name="_Toc330302988"/>
      <w:bookmarkStart w:id="8" w:name="_Toc331507472"/>
      <w:bookmarkEnd w:id="7"/>
      <w:r w:rsidRPr="00731FF0">
        <w:t xml:space="preserve">Scope of the </w:t>
      </w:r>
      <w:r w:rsidR="00A854E5">
        <w:t>c</w:t>
      </w:r>
      <w:r w:rsidRPr="00731FF0">
        <w:t>onsultation</w:t>
      </w:r>
      <w:bookmarkEnd w:id="8"/>
    </w:p>
    <w:p w:rsidR="00904F80" w:rsidRDefault="002A16AF" w:rsidP="00904F80">
      <w:pPr>
        <w:spacing w:after="0" w:line="240" w:lineRule="auto"/>
        <w:rPr>
          <w:rFonts w:cs="Times New Roman"/>
          <w:szCs w:val="24"/>
        </w:rPr>
      </w:pPr>
      <w:r>
        <w:rPr>
          <w:rFonts w:cs="Times New Roman"/>
          <w:szCs w:val="24"/>
        </w:rPr>
        <w:t xml:space="preserve">The ACCC </w:t>
      </w:r>
      <w:r w:rsidR="00552C0D">
        <w:rPr>
          <w:rFonts w:cs="Times New Roman"/>
          <w:szCs w:val="24"/>
        </w:rPr>
        <w:t>has released this</w:t>
      </w:r>
      <w:r>
        <w:rPr>
          <w:rFonts w:cs="Times New Roman"/>
          <w:szCs w:val="24"/>
        </w:rPr>
        <w:t xml:space="preserve"> final </w:t>
      </w:r>
      <w:r w:rsidR="00361604">
        <w:rPr>
          <w:rFonts w:cs="Times New Roman"/>
          <w:szCs w:val="24"/>
        </w:rPr>
        <w:t xml:space="preserve">consultation </w:t>
      </w:r>
      <w:r>
        <w:rPr>
          <w:rFonts w:cs="Times New Roman"/>
          <w:szCs w:val="24"/>
        </w:rPr>
        <w:t xml:space="preserve">paper for stakeholders to better understand  changes to POI locations </w:t>
      </w:r>
      <w:r w:rsidR="000E1CCA">
        <w:rPr>
          <w:rFonts w:cs="Times New Roman"/>
          <w:szCs w:val="24"/>
        </w:rPr>
        <w:t xml:space="preserve">since </w:t>
      </w:r>
      <w:r w:rsidR="003D343F">
        <w:rPr>
          <w:rFonts w:cs="Times New Roman"/>
          <w:szCs w:val="24"/>
        </w:rPr>
        <w:t>the</w:t>
      </w:r>
      <w:r w:rsidR="004F71F4">
        <w:rPr>
          <w:rFonts w:cs="Times New Roman"/>
          <w:szCs w:val="24"/>
        </w:rPr>
        <w:t xml:space="preserve"> list </w:t>
      </w:r>
      <w:r w:rsidR="000E1CCA">
        <w:rPr>
          <w:rFonts w:cs="Times New Roman"/>
          <w:szCs w:val="24"/>
        </w:rPr>
        <w:t xml:space="preserve">was </w:t>
      </w:r>
      <w:r w:rsidR="004F71F4">
        <w:rPr>
          <w:rFonts w:cs="Times New Roman"/>
          <w:szCs w:val="24"/>
        </w:rPr>
        <w:t>published on the ACCC’s website in May</w:t>
      </w:r>
      <w:r w:rsidR="00552C0D">
        <w:rPr>
          <w:rFonts w:cs="Times New Roman"/>
          <w:szCs w:val="24"/>
        </w:rPr>
        <w:t> </w:t>
      </w:r>
      <w:r w:rsidR="004F71F4">
        <w:rPr>
          <w:rFonts w:cs="Times New Roman"/>
          <w:szCs w:val="24"/>
        </w:rPr>
        <w:t xml:space="preserve">2011 </w:t>
      </w:r>
      <w:r>
        <w:rPr>
          <w:rFonts w:cs="Times New Roman"/>
          <w:szCs w:val="24"/>
        </w:rPr>
        <w:t>and</w:t>
      </w:r>
      <w:r w:rsidR="00D0431B">
        <w:rPr>
          <w:rFonts w:cs="Times New Roman"/>
          <w:szCs w:val="24"/>
        </w:rPr>
        <w:t>,</w:t>
      </w:r>
      <w:r>
        <w:rPr>
          <w:rFonts w:cs="Times New Roman"/>
          <w:szCs w:val="24"/>
        </w:rPr>
        <w:t xml:space="preserve"> in particular</w:t>
      </w:r>
      <w:r w:rsidR="00D0431B">
        <w:rPr>
          <w:rFonts w:cs="Times New Roman"/>
          <w:szCs w:val="24"/>
        </w:rPr>
        <w:t>,</w:t>
      </w:r>
      <w:r>
        <w:rPr>
          <w:rFonts w:cs="Times New Roman"/>
          <w:szCs w:val="24"/>
        </w:rPr>
        <w:t xml:space="preserve"> to receive comments on the form of the list.</w:t>
      </w:r>
      <w:r w:rsidR="006A5604">
        <w:rPr>
          <w:rFonts w:cs="Times New Roman"/>
          <w:szCs w:val="24"/>
        </w:rPr>
        <w:t xml:space="preserve"> </w:t>
      </w:r>
      <w:r w:rsidR="00BE3738">
        <w:rPr>
          <w:rFonts w:cs="Times New Roman"/>
          <w:szCs w:val="24"/>
        </w:rPr>
        <w:t>In this regard, the ACCC seek</w:t>
      </w:r>
      <w:r w:rsidR="006A5604">
        <w:rPr>
          <w:rFonts w:cs="Times New Roman"/>
          <w:szCs w:val="24"/>
        </w:rPr>
        <w:t>s</w:t>
      </w:r>
      <w:r w:rsidR="00BE3738">
        <w:rPr>
          <w:rFonts w:cs="Times New Roman"/>
          <w:szCs w:val="24"/>
        </w:rPr>
        <w:t xml:space="preserve"> stakeholders’ comments on </w:t>
      </w:r>
      <w:r w:rsidR="003D343F">
        <w:rPr>
          <w:rFonts w:cs="Times New Roman"/>
          <w:szCs w:val="24"/>
        </w:rPr>
        <w:t>what POI related information should be included in the final list</w:t>
      </w:r>
      <w:r w:rsidR="000E1CCA">
        <w:rPr>
          <w:rFonts w:cs="Times New Roman"/>
          <w:szCs w:val="24"/>
        </w:rPr>
        <w:t xml:space="preserve">, together with </w:t>
      </w:r>
      <w:r w:rsidR="00F761F1">
        <w:rPr>
          <w:rFonts w:cs="Times New Roman"/>
          <w:szCs w:val="24"/>
        </w:rPr>
        <w:t xml:space="preserve">views on </w:t>
      </w:r>
      <w:r w:rsidR="000E1CCA">
        <w:rPr>
          <w:rFonts w:cs="Times New Roman"/>
          <w:szCs w:val="24"/>
        </w:rPr>
        <w:t>the approach set out above in relation to the exclusion of physical addresses from the public list</w:t>
      </w:r>
      <w:r w:rsidR="00BE3738">
        <w:rPr>
          <w:rFonts w:cs="Times New Roman"/>
          <w:szCs w:val="24"/>
        </w:rPr>
        <w:t>.</w:t>
      </w:r>
    </w:p>
    <w:p w:rsidR="00904F80" w:rsidRDefault="00904F80" w:rsidP="00904F80">
      <w:pPr>
        <w:spacing w:after="0" w:line="240" w:lineRule="auto"/>
        <w:rPr>
          <w:rFonts w:cs="Times New Roman"/>
          <w:szCs w:val="24"/>
        </w:rPr>
      </w:pPr>
    </w:p>
    <w:p w:rsidR="00904F80" w:rsidRDefault="002A5FAF" w:rsidP="00904F80">
      <w:pPr>
        <w:spacing w:after="0" w:line="240" w:lineRule="auto"/>
        <w:rPr>
          <w:rFonts w:cs="Times New Roman"/>
          <w:szCs w:val="24"/>
        </w:rPr>
      </w:pPr>
      <w:r>
        <w:rPr>
          <w:rFonts w:cs="Times New Roman"/>
          <w:szCs w:val="24"/>
        </w:rPr>
        <w:t>The ACCC has assessed the changes to the May 2011 list and con</w:t>
      </w:r>
      <w:r w:rsidR="00E46190">
        <w:rPr>
          <w:rFonts w:cs="Times New Roman"/>
          <w:szCs w:val="24"/>
        </w:rPr>
        <w:t>siders</w:t>
      </w:r>
      <w:r>
        <w:rPr>
          <w:rFonts w:cs="Times New Roman"/>
          <w:szCs w:val="24"/>
        </w:rPr>
        <w:t xml:space="preserve"> they meet the </w:t>
      </w:r>
      <w:r w:rsidR="000E1CCA">
        <w:rPr>
          <w:rFonts w:cs="Times New Roman"/>
          <w:szCs w:val="24"/>
        </w:rPr>
        <w:t>C</w:t>
      </w:r>
      <w:r>
        <w:rPr>
          <w:rFonts w:cs="Times New Roman"/>
          <w:szCs w:val="24"/>
        </w:rPr>
        <w:t xml:space="preserve">ompetition </w:t>
      </w:r>
      <w:r w:rsidR="000E1CCA">
        <w:rPr>
          <w:rFonts w:cs="Times New Roman"/>
          <w:szCs w:val="24"/>
        </w:rPr>
        <w:t>C</w:t>
      </w:r>
      <w:r>
        <w:rPr>
          <w:rFonts w:cs="Times New Roman"/>
          <w:szCs w:val="24"/>
        </w:rPr>
        <w:t xml:space="preserve">riteria, network planning and </w:t>
      </w:r>
      <w:r w:rsidR="00E46190">
        <w:rPr>
          <w:rFonts w:cs="Times New Roman"/>
          <w:szCs w:val="24"/>
        </w:rPr>
        <w:t>design rules.</w:t>
      </w:r>
    </w:p>
    <w:p w:rsidR="004B341D" w:rsidRDefault="002D11AF" w:rsidP="00904F80">
      <w:pPr>
        <w:spacing w:after="0" w:line="240" w:lineRule="auto"/>
        <w:rPr>
          <w:rFonts w:cs="Times New Roman"/>
          <w:szCs w:val="24"/>
        </w:rPr>
      </w:pPr>
      <w:r>
        <w:rPr>
          <w:rFonts w:cs="Times New Roman"/>
          <w:szCs w:val="24"/>
        </w:rPr>
        <w:t xml:space="preserve"> </w:t>
      </w:r>
    </w:p>
    <w:p w:rsidR="006244B0" w:rsidRDefault="004B341D" w:rsidP="00904F80">
      <w:pPr>
        <w:spacing w:after="0" w:line="240" w:lineRule="auto"/>
        <w:rPr>
          <w:rFonts w:cs="Times New Roman"/>
          <w:szCs w:val="24"/>
        </w:rPr>
        <w:sectPr w:rsidR="006244B0" w:rsidSect="00C31838">
          <w:footerReference w:type="default" r:id="rId15"/>
          <w:pgSz w:w="11906" w:h="16838"/>
          <w:pgMar w:top="1440" w:right="1440" w:bottom="1440" w:left="1440" w:header="708" w:footer="708" w:gutter="0"/>
          <w:cols w:space="708"/>
          <w:titlePg/>
          <w:docGrid w:linePitch="360"/>
        </w:sectPr>
      </w:pPr>
      <w:r>
        <w:t xml:space="preserve">Given the number and location of POIs has been the subject of previous consultation and </w:t>
      </w:r>
      <w:r w:rsidR="00EE61F3">
        <w:t>that any changes to the location of POIs since the May 2011 list result in POIs which are (in all cases except one) in either the same or an adjacent exchange serving area,</w:t>
      </w:r>
      <w:r>
        <w:t xml:space="preserve"> the ACCC is not </w:t>
      </w:r>
      <w:r w:rsidR="00F761F1">
        <w:t>seeking further</w:t>
      </w:r>
      <w:r>
        <w:t xml:space="preserve"> submissions on the</w:t>
      </w:r>
      <w:r w:rsidR="00EE026D">
        <w:t xml:space="preserve"> location of individual POI</w:t>
      </w:r>
      <w:r>
        <w:t>s</w:t>
      </w:r>
      <w:r w:rsidR="00F761F1">
        <w:t>.</w:t>
      </w:r>
      <w:r w:rsidR="00EE026D">
        <w:t xml:space="preserve"> The ACCC notes that i</w:t>
      </w:r>
      <w:r w:rsidR="00EE61F3">
        <w:t xml:space="preserve">n the one case </w:t>
      </w:r>
      <w:r w:rsidR="00EE026D">
        <w:t xml:space="preserve">(the relocation of the Maida Vaile POI to Bentley) </w:t>
      </w:r>
      <w:r w:rsidR="00EE61F3">
        <w:t>where a relocated POI is not in the same or an adjacent ESA, the new location is within a short distance</w:t>
      </w:r>
      <w:r w:rsidR="00EE026D">
        <w:t>, is in close proximity to existing fibre providers</w:t>
      </w:r>
      <w:r w:rsidR="00EE61F3">
        <w:t xml:space="preserve"> and meets the relevant competition and planning criteria.</w:t>
      </w:r>
      <w:r>
        <w:rPr>
          <w:rFonts w:cs="Times New Roman"/>
          <w:szCs w:val="24"/>
        </w:rPr>
        <w:t xml:space="preserve"> </w:t>
      </w:r>
    </w:p>
    <w:p w:rsidR="004A54B2" w:rsidRDefault="00C31838" w:rsidP="00145FF8">
      <w:pPr>
        <w:pStyle w:val="Heading1"/>
        <w:numPr>
          <w:ilvl w:val="0"/>
          <w:numId w:val="0"/>
        </w:numPr>
      </w:pPr>
      <w:bookmarkStart w:id="9" w:name="_Toc331507473"/>
      <w:r w:rsidRPr="00B30C3E">
        <w:t>A</w:t>
      </w:r>
      <w:r>
        <w:t xml:space="preserve">ppendix </w:t>
      </w:r>
      <w:r w:rsidR="006F3168">
        <w:t>A</w:t>
      </w:r>
      <w:bookmarkEnd w:id="9"/>
    </w:p>
    <w:p w:rsidR="005D266B" w:rsidRDefault="005D266B" w:rsidP="005D266B">
      <w:pPr>
        <w:jc w:val="center"/>
        <w:rPr>
          <w:szCs w:val="24"/>
        </w:rPr>
      </w:pPr>
    </w:p>
    <w:p w:rsidR="005D266B" w:rsidRDefault="005D266B" w:rsidP="005D266B">
      <w:r>
        <w:rPr>
          <w:noProof/>
          <w:lang w:eastAsia="en-AU"/>
        </w:rPr>
        <w:drawing>
          <wp:inline distT="0" distB="0" distL="0" distR="0">
            <wp:extent cx="5743575" cy="1438275"/>
            <wp:effectExtent l="19050" t="0" r="9525" b="0"/>
            <wp:docPr id="3" name="Picture 1" descr="http://intranet.accc.gov.au/content/item.phtml?itemId=448240&amp;nodeId=cccc0c66c82f87ad2c92362743035045&amp;fn=logo_60x15-300dp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ccc.gov.au/content/item.phtml?itemId=448240&amp;nodeId=cccc0c66c82f87ad2c92362743035045&amp;fn=logo_60x15-300dpi_BW.jpg"/>
                    <pic:cNvPicPr>
                      <a:picLocks noChangeAspect="1" noChangeArrowheads="1"/>
                    </pic:cNvPicPr>
                  </pic:nvPicPr>
                  <pic:blipFill>
                    <a:blip r:embed="rId16" cstate="print"/>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p w:rsidR="005D266B" w:rsidRDefault="005D266B" w:rsidP="005D266B"/>
    <w:p w:rsidR="005D266B" w:rsidRDefault="005D266B" w:rsidP="005D266B"/>
    <w:p w:rsidR="005D266B" w:rsidRDefault="005D266B" w:rsidP="005D266B"/>
    <w:p w:rsidR="005D266B" w:rsidRPr="00503C76" w:rsidRDefault="005D266B" w:rsidP="005D266B">
      <w:pPr>
        <w:rPr>
          <w:b/>
          <w:sz w:val="36"/>
          <w:szCs w:val="36"/>
        </w:rPr>
      </w:pPr>
      <w:r w:rsidRPr="00503C76">
        <w:rPr>
          <w:b/>
          <w:sz w:val="36"/>
          <w:szCs w:val="36"/>
        </w:rPr>
        <w:t>Listed Points of Interconnection – NBN Corporation</w:t>
      </w:r>
    </w:p>
    <w:p w:rsidR="005D266B" w:rsidRPr="00503C76" w:rsidRDefault="005D266B" w:rsidP="005D266B">
      <w:pPr>
        <w:pBdr>
          <w:bottom w:val="single" w:sz="4" w:space="1" w:color="auto"/>
        </w:pBdr>
        <w:rPr>
          <w:szCs w:val="24"/>
        </w:rPr>
      </w:pPr>
      <w:r w:rsidRPr="00503C76">
        <w:rPr>
          <w:i/>
          <w:szCs w:val="24"/>
        </w:rPr>
        <w:t xml:space="preserve">Competition and Consumer Act 2010 </w:t>
      </w:r>
    </w:p>
    <w:p w:rsidR="005D266B" w:rsidRPr="00503C76" w:rsidRDefault="005D266B" w:rsidP="005D266B">
      <w:pPr>
        <w:rPr>
          <w:szCs w:val="24"/>
        </w:rPr>
      </w:pPr>
      <w:r w:rsidRPr="00503C76">
        <w:rPr>
          <w:szCs w:val="24"/>
        </w:rPr>
        <w:t xml:space="preserve">The AUSTRALIAN COMPETITON AND CONSUMER COMMISSION has prepared this list setting out points of interconnection under section 151DB of the </w:t>
      </w:r>
      <w:r w:rsidRPr="00503C76">
        <w:rPr>
          <w:i/>
          <w:szCs w:val="24"/>
        </w:rPr>
        <w:t>Competition and Consumer Act 2010</w:t>
      </w:r>
      <w:r w:rsidRPr="00503C76">
        <w:rPr>
          <w:szCs w:val="24"/>
        </w:rPr>
        <w:t>. This list is a list in force under sub-section 151DB (1).</w:t>
      </w:r>
    </w:p>
    <w:p w:rsidR="005D266B" w:rsidRPr="00503C76" w:rsidRDefault="005D266B" w:rsidP="005D266B">
      <w:pPr>
        <w:rPr>
          <w:szCs w:val="24"/>
        </w:rPr>
      </w:pPr>
      <w:r w:rsidRPr="00503C76">
        <w:rPr>
          <w:szCs w:val="24"/>
        </w:rPr>
        <w:t xml:space="preserve">Date of list:    </w:t>
      </w:r>
      <w:r w:rsidRPr="00503C76">
        <w:rPr>
          <w:szCs w:val="24"/>
          <w:highlight w:val="yellow"/>
        </w:rPr>
        <w:t>[Date of Commission decision]</w:t>
      </w:r>
    </w:p>
    <w:p w:rsidR="005D266B" w:rsidRPr="00503C76" w:rsidRDefault="005D266B" w:rsidP="005D266B">
      <w:pPr>
        <w:rPr>
          <w:szCs w:val="24"/>
        </w:rPr>
      </w:pPr>
    </w:p>
    <w:p w:rsidR="005D266B" w:rsidRPr="00503C76" w:rsidRDefault="005D266B" w:rsidP="005D266B">
      <w:pPr>
        <w:rPr>
          <w:szCs w:val="24"/>
        </w:rPr>
      </w:pPr>
    </w:p>
    <w:p w:rsidR="005D266B" w:rsidRPr="00503C76" w:rsidRDefault="005D266B" w:rsidP="005D266B">
      <w:pPr>
        <w:rPr>
          <w:szCs w:val="24"/>
        </w:rPr>
      </w:pPr>
    </w:p>
    <w:p w:rsidR="005D266B" w:rsidRPr="00503C76" w:rsidRDefault="005D266B" w:rsidP="005D266B">
      <w:pPr>
        <w:rPr>
          <w:szCs w:val="24"/>
        </w:rPr>
      </w:pPr>
      <w:r w:rsidRPr="00503C76">
        <w:rPr>
          <w:szCs w:val="24"/>
        </w:rPr>
        <w:t>..............................................</w:t>
      </w:r>
    </w:p>
    <w:p w:rsidR="005D266B" w:rsidRPr="00503C76" w:rsidRDefault="005D266B" w:rsidP="005D266B">
      <w:pPr>
        <w:rPr>
          <w:szCs w:val="24"/>
        </w:rPr>
      </w:pPr>
      <w:r w:rsidRPr="00503C76">
        <w:rPr>
          <w:szCs w:val="24"/>
        </w:rPr>
        <w:t>Rod Sims</w:t>
      </w:r>
      <w:r w:rsidRPr="00503C76">
        <w:rPr>
          <w:szCs w:val="24"/>
        </w:rPr>
        <w:br/>
        <w:t>Chairman</w:t>
      </w:r>
      <w:r w:rsidRPr="00503C76">
        <w:rPr>
          <w:szCs w:val="24"/>
        </w:rPr>
        <w:br/>
        <w:t>Australian Competition and Consumer Commission</w:t>
      </w:r>
    </w:p>
    <w:p w:rsidR="005D266B" w:rsidRPr="00503C76" w:rsidRDefault="005D266B" w:rsidP="005D266B">
      <w:pPr>
        <w:rPr>
          <w:szCs w:val="24"/>
        </w:rPr>
      </w:pPr>
    </w:p>
    <w:p w:rsidR="005D266B" w:rsidRDefault="005D266B" w:rsidP="005D266B"/>
    <w:p w:rsidR="005D266B" w:rsidRDefault="005D266B" w:rsidP="005D266B"/>
    <w:p w:rsidR="005D266B" w:rsidRDefault="005D266B" w:rsidP="005D266B"/>
    <w:p w:rsidR="005D266B" w:rsidRDefault="005D266B" w:rsidP="005D266B"/>
    <w:p w:rsidR="0042689B" w:rsidRDefault="0042689B" w:rsidP="0042689B">
      <w:pPr>
        <w:autoSpaceDE w:val="0"/>
        <w:autoSpaceDN w:val="0"/>
        <w:adjustRightInd w:val="0"/>
        <w:spacing w:after="0" w:line="240" w:lineRule="auto"/>
        <w:rPr>
          <w:rFonts w:ascii="Arial" w:hAnsi="Arial" w:cs="Arial"/>
          <w:bCs/>
          <w:lang w:eastAsia="en-AU"/>
        </w:rPr>
      </w:pPr>
      <w:r>
        <w:rPr>
          <w:rFonts w:ascii="Arial" w:hAnsi="Arial" w:cs="Arial"/>
          <w:b/>
          <w:bCs/>
          <w:lang w:eastAsia="en-AU"/>
        </w:rPr>
        <w:t xml:space="preserve">List of points of interconnection to the National Broadband Network </w:t>
      </w:r>
      <w:r>
        <w:rPr>
          <w:rFonts w:ascii="Arial" w:hAnsi="Arial" w:cs="Arial"/>
          <w:bCs/>
          <w:lang w:eastAsia="en-AU"/>
        </w:rPr>
        <w:t>[date 2012]</w:t>
      </w:r>
    </w:p>
    <w:p w:rsidR="0042689B" w:rsidRDefault="0042689B" w:rsidP="0042689B">
      <w:pPr>
        <w:autoSpaceDE w:val="0"/>
        <w:autoSpaceDN w:val="0"/>
        <w:adjustRightInd w:val="0"/>
        <w:spacing w:after="0" w:line="240" w:lineRule="auto"/>
        <w:rPr>
          <w:rFonts w:ascii="Arial" w:hAnsi="Arial" w:cs="Arial"/>
          <w:bCs/>
          <w:lang w:eastAsia="en-AU"/>
        </w:rPr>
      </w:pPr>
    </w:p>
    <w:tbl>
      <w:tblPr>
        <w:tblW w:w="8237" w:type="dxa"/>
        <w:tblInd w:w="93" w:type="dxa"/>
        <w:tblLook w:val="04A0"/>
      </w:tblPr>
      <w:tblGrid>
        <w:gridCol w:w="582"/>
        <w:gridCol w:w="851"/>
        <w:gridCol w:w="2588"/>
        <w:gridCol w:w="2203"/>
        <w:gridCol w:w="2013"/>
      </w:tblGrid>
      <w:tr w:rsidR="0042689B" w:rsidRPr="005E0D80" w:rsidTr="00D60B88">
        <w:trPr>
          <w:cantSplit/>
          <w:trHeight w:val="48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b/>
                <w:bCs/>
                <w:sz w:val="18"/>
                <w:szCs w:val="18"/>
                <w:lang w:eastAsia="en-AU"/>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rPr>
                <w:rFonts w:ascii="Arial" w:eastAsia="Times New Roman" w:hAnsi="Arial" w:cs="Arial"/>
                <w:b/>
                <w:bCs/>
                <w:sz w:val="18"/>
                <w:szCs w:val="18"/>
                <w:lang w:eastAsia="en-AU"/>
              </w:rPr>
            </w:pPr>
            <w:r w:rsidRPr="005E0D80">
              <w:rPr>
                <w:rFonts w:ascii="Arial" w:eastAsia="Times New Roman" w:hAnsi="Arial" w:cs="Arial"/>
                <w:b/>
                <w:bCs/>
                <w:sz w:val="18"/>
                <w:szCs w:val="18"/>
                <w:lang w:eastAsia="en-AU"/>
              </w:rPr>
              <w:t>State</w:t>
            </w:r>
          </w:p>
        </w:tc>
        <w:tc>
          <w:tcPr>
            <w:tcW w:w="2588" w:type="dxa"/>
            <w:tcBorders>
              <w:top w:val="single" w:sz="4" w:space="0" w:color="auto"/>
              <w:left w:val="nil"/>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rPr>
                <w:rFonts w:ascii="Arial" w:eastAsia="Times New Roman" w:hAnsi="Arial" w:cs="Arial"/>
                <w:b/>
                <w:bCs/>
                <w:sz w:val="18"/>
                <w:szCs w:val="18"/>
                <w:lang w:eastAsia="en-AU"/>
              </w:rPr>
            </w:pPr>
            <w:r w:rsidRPr="005E0D80">
              <w:rPr>
                <w:rFonts w:ascii="Arial" w:eastAsia="Times New Roman" w:hAnsi="Arial" w:cs="Arial"/>
                <w:b/>
                <w:bCs/>
                <w:sz w:val="18"/>
                <w:szCs w:val="18"/>
                <w:lang w:eastAsia="en-AU"/>
              </w:rPr>
              <w:t xml:space="preserve">POI name </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rPr>
                <w:rFonts w:ascii="Arial" w:eastAsia="Times New Roman" w:hAnsi="Arial" w:cs="Arial"/>
                <w:b/>
                <w:bCs/>
                <w:sz w:val="18"/>
                <w:szCs w:val="18"/>
                <w:lang w:eastAsia="en-AU"/>
              </w:rPr>
            </w:pPr>
            <w:r w:rsidRPr="005E0D80">
              <w:rPr>
                <w:rFonts w:ascii="Arial" w:eastAsia="Times New Roman" w:hAnsi="Arial" w:cs="Arial"/>
                <w:b/>
                <w:bCs/>
                <w:sz w:val="18"/>
                <w:szCs w:val="18"/>
                <w:lang w:eastAsia="en-AU"/>
              </w:rPr>
              <w:t>POI location</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rPr>
                <w:rFonts w:ascii="Arial" w:eastAsia="Times New Roman" w:hAnsi="Arial" w:cs="Arial"/>
                <w:b/>
                <w:bCs/>
                <w:sz w:val="18"/>
                <w:szCs w:val="18"/>
                <w:lang w:eastAsia="en-AU"/>
              </w:rPr>
            </w:pPr>
            <w:r w:rsidRPr="005E0D80">
              <w:rPr>
                <w:rFonts w:ascii="Arial" w:eastAsia="Times New Roman" w:hAnsi="Arial" w:cs="Arial"/>
                <w:b/>
                <w:bCs/>
                <w:sz w:val="18"/>
                <w:szCs w:val="18"/>
                <w:lang w:eastAsia="en-AU"/>
              </w:rPr>
              <w:t>Type</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ACT</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Civic</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Braddon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ACT</w:t>
            </w:r>
            <w:r>
              <w:rPr>
                <w:rStyle w:val="FootnoteReference"/>
                <w:rFonts w:ascii="Arial" w:eastAsia="Times New Roman" w:hAnsi="Arial" w:cs="Arial"/>
                <w:sz w:val="18"/>
                <w:szCs w:val="18"/>
                <w:lang w:eastAsia="en-AU"/>
              </w:rPr>
              <w:footnoteReference w:id="5"/>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Queanbeyan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Queanbeyan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Albury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Albury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Asquith*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Hornsby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Berkeley Vale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Berkeley Vale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Blacktown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Blacktown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Campbelltown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Campbelltown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Campsie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Campsie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Metro </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Carramar</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Carramar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Castle Hill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Castle Hill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Chatswood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Chatswood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City South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Sydney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Coffs Harbour</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Coffs Harbour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Dalley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Sydney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Dubbo</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Dubbo</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Eastern Creek*</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Eastern Creek</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Edgecliff</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Edgecliff</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Frenchs Forest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Frenchs Forest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Glebe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Glebe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Gosford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Gosford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Grafton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Grafton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Hamilton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Hamilton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Kensington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Kensington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Lakemba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Lakemba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Lidcombe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Lidcombe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Liverpool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Liverpool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Maitland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East Maitland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Mayfield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Mayfield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29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Miranda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Miranda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Mosman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Mosman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Newtown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Newtown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Nowra-Bomaderry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Nowra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Parramatta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Parramatta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Peakhurst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Peakhurst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Pendle Hill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Pendle Hill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Penrith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Penrith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Rockdale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Rockdale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Ryde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Ryde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39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Leonards</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Leonards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Tamworth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Tamworth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Wagga Wagga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Wagga Wagga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Windsor</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Windsor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NSW</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Wollongong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Wollongong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NT</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Darwin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Darwin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Acacia Ridge* </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Acacia Ridge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904F80" w:rsidP="00361604">
            <w:pPr>
              <w:spacing w:after="0" w:line="240" w:lineRule="auto"/>
              <w:rPr>
                <w:rFonts w:ascii="Arial" w:eastAsia="Times New Roman" w:hAnsi="Arial" w:cs="Arial"/>
                <w:sz w:val="18"/>
                <w:szCs w:val="18"/>
                <w:lang w:eastAsia="en-AU"/>
              </w:rPr>
            </w:pPr>
            <w:r w:rsidRPr="00FF2636">
              <w:rPr>
                <w:rFonts w:ascii="Arial" w:eastAsia="Times New Roman" w:hAnsi="Arial" w:cs="Arial"/>
                <w:sz w:val="18"/>
                <w:szCs w:val="18"/>
                <w:lang w:eastAsia="en-AU"/>
              </w:rPr>
              <w:t>Aspley</w:t>
            </w:r>
            <w:r w:rsidR="00B565B1">
              <w:rPr>
                <w:rFonts w:ascii="Arial" w:eastAsia="Times New Roman" w:hAnsi="Arial" w:cs="Arial"/>
                <w:sz w:val="18"/>
                <w:szCs w:val="18"/>
                <w:lang w:eastAsia="en-AU"/>
              </w:rPr>
              <w:t xml:space="preserve"> Depot</w:t>
            </w:r>
            <w:r w:rsidRPr="00FF2636">
              <w:rPr>
                <w:rFonts w:ascii="Arial" w:eastAsia="Times New Roman" w:hAnsi="Arial" w:cs="Arial"/>
                <w:sz w:val="18"/>
                <w:szCs w:val="18"/>
                <w:lang w:eastAsia="en-AU"/>
              </w:rPr>
              <w: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Aspley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Aspley </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Aspley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Bundaberg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Bundaberg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49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Bundamba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Bundamba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Caboolture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Caboolture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Cairns</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Cairns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 Hill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Camp Hill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Eight Mile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Eight Mile</w:t>
            </w:r>
            <w:r w:rsidR="00E54FE0">
              <w:rPr>
                <w:rFonts w:ascii="Arial" w:eastAsia="Times New Roman" w:hAnsi="Arial" w:cs="Arial"/>
                <w:sz w:val="18"/>
                <w:szCs w:val="18"/>
                <w:lang w:eastAsia="en-AU"/>
              </w:rPr>
              <w:t xml:space="preserve"> Plains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Goodna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Goodna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Ipswich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Ipswich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Mackay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Mackay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Merrimac</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Merrimac</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Nambour</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Nambour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59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Nerang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Nerang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Petrie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Petrie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Rockhampton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Rockhampton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Slacks Creek</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Logan Central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Southport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Southport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Toowoomba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Toowoomba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Townsville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Townsville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QLD</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Woolloongabba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Kangaroo Point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Edwardstown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Glandore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Elizabeth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Elizabeth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69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Greenfields* </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Greenfields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Lonsdale*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Lonsdale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Modbury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Modbury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Port Augusta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Port Augusta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Prospect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Prospect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Marys</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Daw Park</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Stirling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Stirling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TAS</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Hobart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Hobart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TAS</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Launceston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Launceston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Ballarat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Ballarat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79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Bendigo</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Bendigo</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Caulfield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Caulfield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Cheltenham</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Cheltenham</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Cranbourne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Cranbourne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Dandenong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Dandenong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Exhibition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Melbourne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Footscray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Footscray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Geelong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Geelong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Hawthorn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Hawthorn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Horsham</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Horsham</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89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Karingal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Frankston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Kew</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Kew</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Keysborough</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Keysborough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Kings Park</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Albans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Lilydale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Lilydale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Mount Eliza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Mt Eliza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North Balwyn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Balwyn North</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Nunawading*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Nunawading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Port Melbourne*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Port Melbourne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Reservoir</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Reservoir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99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Ringwood</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Ringwood</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Shepparton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Shepparton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South Morang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Mill Park</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Kilda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St Kilda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Thornbury</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Thornbury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Traralgon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Traralgon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Tullamarine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Tullamarine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Werribee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Werribee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VIC</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Wheelers Hill</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Wheelers Hill</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Applecross</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Applecross</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109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Bassendean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Bassendean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Bentley* </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Bentley</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Cannington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Cannington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112</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Doubleview</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Doubleview</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113</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Geraldton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Geraldton</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114</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Hilton</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O'Connor</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115</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Katanning</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Katanning</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116</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Kelmscott</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Kelmscott</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117</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Mullaloo</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Craigie</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Outer 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118</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Pinjarra</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Pinjarra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119</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South Coogee</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Wattleup</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Regional</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120</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Subiaco</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Subiaco</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r w:rsidR="0042689B" w:rsidRPr="005E0D80" w:rsidTr="0036160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2689B" w:rsidRPr="005E0D80" w:rsidRDefault="0042689B" w:rsidP="00361604">
            <w:pPr>
              <w:spacing w:after="0" w:line="240" w:lineRule="auto"/>
              <w:jc w:val="center"/>
              <w:rPr>
                <w:rFonts w:ascii="Arial" w:eastAsia="Times New Roman" w:hAnsi="Arial" w:cs="Arial"/>
                <w:sz w:val="18"/>
                <w:szCs w:val="18"/>
                <w:lang w:eastAsia="en-AU"/>
              </w:rPr>
            </w:pPr>
            <w:r w:rsidRPr="005E0D80">
              <w:rPr>
                <w:rFonts w:ascii="Arial" w:eastAsia="Times New Roman" w:hAnsi="Arial" w:cs="Arial"/>
                <w:sz w:val="18"/>
                <w:szCs w:val="18"/>
                <w:lang w:eastAsia="en-AU"/>
              </w:rPr>
              <w:t>121</w:t>
            </w:r>
          </w:p>
        </w:tc>
        <w:tc>
          <w:tcPr>
            <w:tcW w:w="851"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w:t>
            </w:r>
          </w:p>
        </w:tc>
        <w:tc>
          <w:tcPr>
            <w:tcW w:w="2588"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 xml:space="preserve">Wangara* </w:t>
            </w:r>
          </w:p>
        </w:tc>
        <w:tc>
          <w:tcPr>
            <w:tcW w:w="220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Wangara</w:t>
            </w:r>
          </w:p>
        </w:tc>
        <w:tc>
          <w:tcPr>
            <w:tcW w:w="2013" w:type="dxa"/>
            <w:tcBorders>
              <w:top w:val="nil"/>
              <w:left w:val="nil"/>
              <w:bottom w:val="single" w:sz="4" w:space="0" w:color="auto"/>
              <w:right w:val="single" w:sz="4" w:space="0" w:color="auto"/>
            </w:tcBorders>
            <w:shd w:val="clear" w:color="auto" w:fill="auto"/>
            <w:noWrap/>
            <w:vAlign w:val="bottom"/>
            <w:hideMark/>
          </w:tcPr>
          <w:p w:rsidR="0042689B" w:rsidRPr="005E0D80" w:rsidRDefault="0042689B" w:rsidP="00361604">
            <w:pPr>
              <w:spacing w:after="0" w:line="240" w:lineRule="auto"/>
              <w:rPr>
                <w:rFonts w:ascii="Arial" w:eastAsia="Times New Roman" w:hAnsi="Arial" w:cs="Arial"/>
                <w:sz w:val="18"/>
                <w:szCs w:val="18"/>
                <w:lang w:eastAsia="en-AU"/>
              </w:rPr>
            </w:pPr>
            <w:r w:rsidRPr="005E0D80">
              <w:rPr>
                <w:rFonts w:ascii="Arial" w:eastAsia="Times New Roman" w:hAnsi="Arial" w:cs="Arial"/>
                <w:sz w:val="18"/>
                <w:szCs w:val="18"/>
                <w:lang w:eastAsia="en-AU"/>
              </w:rPr>
              <w:t>Metro</w:t>
            </w:r>
          </w:p>
        </w:tc>
      </w:tr>
    </w:tbl>
    <w:p w:rsidR="0042689B" w:rsidRDefault="0042689B" w:rsidP="0042689B">
      <w:pPr>
        <w:autoSpaceDE w:val="0"/>
        <w:autoSpaceDN w:val="0"/>
        <w:adjustRightInd w:val="0"/>
        <w:spacing w:after="0" w:line="240" w:lineRule="auto"/>
        <w:rPr>
          <w:szCs w:val="24"/>
        </w:rPr>
      </w:pPr>
    </w:p>
    <w:p w:rsidR="00904F80" w:rsidRDefault="00DA1524" w:rsidP="00904F80">
      <w:pPr>
        <w:spacing w:line="240" w:lineRule="auto"/>
        <w:rPr>
          <w:sz w:val="20"/>
          <w:szCs w:val="20"/>
        </w:rPr>
      </w:pPr>
      <w:r w:rsidRPr="00614E25">
        <w:rPr>
          <w:sz w:val="20"/>
          <w:szCs w:val="20"/>
        </w:rPr>
        <w:t xml:space="preserve">* Indicates </w:t>
      </w:r>
      <w:r w:rsidR="009E4CFE">
        <w:rPr>
          <w:sz w:val="20"/>
          <w:szCs w:val="20"/>
        </w:rPr>
        <w:t xml:space="preserve">an </w:t>
      </w:r>
      <w:r w:rsidRPr="00614E25">
        <w:rPr>
          <w:sz w:val="20"/>
          <w:szCs w:val="20"/>
        </w:rPr>
        <w:t>NBN Co built POI</w:t>
      </w:r>
    </w:p>
    <w:p w:rsidR="00AA7E52" w:rsidRDefault="00AA7E52">
      <w:pPr>
        <w:rPr>
          <w:sz w:val="20"/>
          <w:szCs w:val="20"/>
        </w:rPr>
      </w:pPr>
      <w:r>
        <w:rPr>
          <w:sz w:val="20"/>
          <w:szCs w:val="20"/>
        </w:rPr>
        <w:br w:type="page"/>
      </w:r>
    </w:p>
    <w:p w:rsidR="00AA7E52" w:rsidRPr="00DE4CDE" w:rsidRDefault="00AA7E52" w:rsidP="00AA7E52">
      <w:pPr>
        <w:autoSpaceDE w:val="0"/>
        <w:autoSpaceDN w:val="0"/>
        <w:adjustRightInd w:val="0"/>
        <w:spacing w:after="0" w:line="240" w:lineRule="auto"/>
        <w:rPr>
          <w:b/>
          <w:i/>
          <w:sz w:val="40"/>
          <w:szCs w:val="40"/>
        </w:rPr>
      </w:pPr>
      <w:r w:rsidRPr="00DE4CDE">
        <w:rPr>
          <w:b/>
          <w:i/>
          <w:sz w:val="40"/>
          <w:szCs w:val="40"/>
        </w:rPr>
        <w:t>Confidential</w:t>
      </w:r>
      <w:r>
        <w:rPr>
          <w:b/>
          <w:i/>
          <w:sz w:val="40"/>
          <w:szCs w:val="40"/>
        </w:rPr>
        <w:t xml:space="preserve"> Annexure</w:t>
      </w:r>
    </w:p>
    <w:p w:rsidR="00AA7E52" w:rsidRDefault="00AA7E52" w:rsidP="00AA7E52">
      <w:pPr>
        <w:autoSpaceDE w:val="0"/>
        <w:autoSpaceDN w:val="0"/>
        <w:adjustRightInd w:val="0"/>
        <w:spacing w:after="0" w:line="240" w:lineRule="auto"/>
        <w:rPr>
          <w:i/>
        </w:rPr>
      </w:pPr>
    </w:p>
    <w:p w:rsidR="00AA7E52" w:rsidRDefault="00AA7E52" w:rsidP="00AA7E52">
      <w:pPr>
        <w:autoSpaceDE w:val="0"/>
        <w:autoSpaceDN w:val="0"/>
        <w:adjustRightInd w:val="0"/>
        <w:spacing w:after="0" w:line="240" w:lineRule="auto"/>
        <w:rPr>
          <w:rFonts w:ascii="Arial" w:hAnsi="Arial" w:cs="Arial"/>
          <w:bCs/>
          <w:lang w:eastAsia="en-AU"/>
        </w:rPr>
      </w:pPr>
      <w:r>
        <w:rPr>
          <w:rFonts w:ascii="Arial" w:hAnsi="Arial" w:cs="Arial"/>
          <w:b/>
          <w:bCs/>
          <w:lang w:eastAsia="en-AU"/>
        </w:rPr>
        <w:t xml:space="preserve">Confidential Table: Addresses of points of interconnection to the National Broadband Network </w:t>
      </w:r>
      <w:r w:rsidRPr="00824D84">
        <w:rPr>
          <w:rFonts w:ascii="Arial" w:hAnsi="Arial" w:cs="Arial"/>
          <w:bCs/>
          <w:highlight w:val="yellow"/>
          <w:lang w:eastAsia="en-AU"/>
        </w:rPr>
        <w:t>[date 2012]</w:t>
      </w:r>
    </w:p>
    <w:p w:rsidR="00AA7E52" w:rsidRDefault="00AA7E52" w:rsidP="00904F80">
      <w:pPr>
        <w:spacing w:line="240" w:lineRule="auto"/>
        <w:rPr>
          <w:rFonts w:ascii="Arial" w:hAnsi="Arial" w:cs="Arial"/>
          <w:b/>
          <w:sz w:val="20"/>
          <w:szCs w:val="20"/>
        </w:rPr>
      </w:pPr>
    </w:p>
    <w:sectPr w:rsidR="00AA7E52" w:rsidSect="00C31838">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BB" w:rsidRDefault="001E67BB" w:rsidP="00790A90">
      <w:pPr>
        <w:spacing w:after="0" w:line="240" w:lineRule="auto"/>
      </w:pPr>
      <w:r>
        <w:separator/>
      </w:r>
    </w:p>
  </w:endnote>
  <w:endnote w:type="continuationSeparator" w:id="0">
    <w:p w:rsidR="001E67BB" w:rsidRDefault="001E67BB" w:rsidP="00790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Humanist777BT-LightItalic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564908"/>
      <w:docPartObj>
        <w:docPartGallery w:val="Page Numbers (Bottom of Page)"/>
        <w:docPartUnique/>
      </w:docPartObj>
    </w:sdtPr>
    <w:sdtEndPr>
      <w:rPr>
        <w:rFonts w:cs="Times New Roman"/>
      </w:rPr>
    </w:sdtEndPr>
    <w:sdtContent>
      <w:p w:rsidR="00D60B88" w:rsidRDefault="00001382">
        <w:pPr>
          <w:pStyle w:val="Footer"/>
          <w:jc w:val="right"/>
        </w:pPr>
        <w:r w:rsidRPr="00C31838">
          <w:rPr>
            <w:rFonts w:cs="Times New Roman"/>
          </w:rPr>
          <w:fldChar w:fldCharType="begin"/>
        </w:r>
        <w:r w:rsidR="00D60B88" w:rsidRPr="00F76A79">
          <w:rPr>
            <w:rFonts w:cs="Times New Roman"/>
          </w:rPr>
          <w:instrText xml:space="preserve"> PAGE   \* MERGEFORMAT </w:instrText>
        </w:r>
        <w:r w:rsidRPr="00C31838">
          <w:rPr>
            <w:rFonts w:cs="Times New Roman"/>
          </w:rPr>
          <w:fldChar w:fldCharType="separate"/>
        </w:r>
        <w:r w:rsidR="00B107BD">
          <w:rPr>
            <w:rFonts w:cs="Times New Roman"/>
            <w:noProof/>
          </w:rPr>
          <w:t>3</w:t>
        </w:r>
        <w:r w:rsidRPr="00C31838">
          <w:rPr>
            <w:rFonts w:cs="Times New Roman"/>
          </w:rPr>
          <w:fldChar w:fldCharType="end"/>
        </w:r>
      </w:p>
    </w:sdtContent>
  </w:sdt>
  <w:p w:rsidR="00D60B88" w:rsidRDefault="00D60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BB" w:rsidRDefault="001E67BB" w:rsidP="00790A90">
      <w:pPr>
        <w:spacing w:after="0" w:line="240" w:lineRule="auto"/>
      </w:pPr>
      <w:r>
        <w:separator/>
      </w:r>
    </w:p>
  </w:footnote>
  <w:footnote w:type="continuationSeparator" w:id="0">
    <w:p w:rsidR="001E67BB" w:rsidRDefault="001E67BB" w:rsidP="00790A90">
      <w:pPr>
        <w:spacing w:after="0" w:line="240" w:lineRule="auto"/>
      </w:pPr>
      <w:r>
        <w:continuationSeparator/>
      </w:r>
    </w:p>
  </w:footnote>
  <w:footnote w:id="1">
    <w:p w:rsidR="00D60B88" w:rsidRDefault="00D60B88">
      <w:pPr>
        <w:pStyle w:val="FootnoteText"/>
      </w:pPr>
      <w:r>
        <w:rPr>
          <w:rStyle w:val="FootnoteReference"/>
        </w:rPr>
        <w:footnoteRef/>
      </w:r>
      <w:r>
        <w:t xml:space="preserve"> Subsection 151DB (2A)</w:t>
      </w:r>
    </w:p>
  </w:footnote>
  <w:footnote w:id="2">
    <w:p w:rsidR="00D60B88" w:rsidRDefault="00D60B88" w:rsidP="00436476">
      <w:pPr>
        <w:pStyle w:val="FootnoteText"/>
      </w:pPr>
      <w:r>
        <w:rPr>
          <w:rStyle w:val="FootnoteReference"/>
        </w:rPr>
        <w:footnoteRef/>
      </w:r>
      <w:r>
        <w:t xml:space="preserve"> 151DA (2) </w:t>
      </w:r>
    </w:p>
  </w:footnote>
  <w:footnote w:id="3">
    <w:p w:rsidR="00D60B88" w:rsidRDefault="00D60B88">
      <w:pPr>
        <w:pStyle w:val="FootnoteText"/>
      </w:pPr>
      <w:r>
        <w:rPr>
          <w:rStyle w:val="FootnoteReference"/>
        </w:rPr>
        <w:footnoteRef/>
      </w:r>
      <w:r>
        <w:t xml:space="preserve"> In addition the competitors should deliver wholesale transmission services suitable for service providers who wish to connect to NBN at that location; and there must exist evidence that the particular route is, or is likely to become, effectively competitive.</w:t>
      </w:r>
    </w:p>
  </w:footnote>
  <w:footnote w:id="4">
    <w:p w:rsidR="00D60B88" w:rsidRDefault="00D60B88" w:rsidP="006F3168">
      <w:pPr>
        <w:pStyle w:val="FootnoteText"/>
      </w:pPr>
      <w:r>
        <w:rPr>
          <w:rStyle w:val="FootnoteReference"/>
        </w:rPr>
        <w:footnoteRef/>
      </w:r>
      <w:r>
        <w:t xml:space="preserve"> This POI will be an NBN Co built POI</w:t>
      </w:r>
    </w:p>
  </w:footnote>
  <w:footnote w:id="5">
    <w:p w:rsidR="00D60B88" w:rsidRPr="009E1D14" w:rsidRDefault="00D60B88" w:rsidP="0042689B">
      <w:pPr>
        <w:pStyle w:val="FootnoteText"/>
        <w:rPr>
          <w:rFonts w:ascii="Arial" w:hAnsi="Arial" w:cs="Arial"/>
          <w:sz w:val="18"/>
          <w:szCs w:val="18"/>
        </w:rPr>
      </w:pPr>
      <w:r>
        <w:rPr>
          <w:rStyle w:val="FootnoteReference"/>
        </w:rPr>
        <w:footnoteRef/>
      </w:r>
      <w:r>
        <w:t xml:space="preserve"> </w:t>
      </w:r>
      <w:r w:rsidRPr="009E1D14">
        <w:rPr>
          <w:rFonts w:ascii="Arial" w:hAnsi="Arial" w:cs="Arial"/>
          <w:sz w:val="18"/>
          <w:szCs w:val="18"/>
        </w:rPr>
        <w:t>The Queanbeyan POI will be located in NSW but will predominantly serve premises in the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564926"/>
      <w:docPartObj>
        <w:docPartGallery w:val="Watermarks"/>
        <w:docPartUnique/>
      </w:docPartObj>
    </w:sdtPr>
    <w:sdtContent>
      <w:p w:rsidR="00D60B88" w:rsidRDefault="00001382" w:rsidP="00442AB4">
        <w:pPr>
          <w:pStyle w:val="Header"/>
        </w:pPr>
        <w:r w:rsidRPr="0000138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D60B88" w:rsidRPr="00442AB4" w:rsidRDefault="00D60B88" w:rsidP="00442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564935"/>
      <w:docPartObj>
        <w:docPartGallery w:val="Watermarks"/>
        <w:docPartUnique/>
      </w:docPartObj>
    </w:sdtPr>
    <w:sdtContent>
      <w:p w:rsidR="00D60B88" w:rsidRDefault="00001382">
        <w:pPr>
          <w:pStyle w:val="Header"/>
        </w:pPr>
        <w:r w:rsidRPr="0000138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190"/>
    <w:multiLevelType w:val="hybridMultilevel"/>
    <w:tmpl w:val="9C329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202C7F"/>
    <w:multiLevelType w:val="hybridMultilevel"/>
    <w:tmpl w:val="87CE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4050D7"/>
    <w:multiLevelType w:val="hybridMultilevel"/>
    <w:tmpl w:val="36DE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A03567"/>
    <w:multiLevelType w:val="hybridMultilevel"/>
    <w:tmpl w:val="FC2258C0"/>
    <w:lvl w:ilvl="0" w:tplc="FF8C415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F8F5AA7"/>
    <w:multiLevelType w:val="hybridMultilevel"/>
    <w:tmpl w:val="215E7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4"/>
  <w:documentProtection w:edit="readOnly" w:enforcement="0"/>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docVars>
    <w:docVar w:name="currentname" w:val="\\cbrvpwxfs01\home$\lmart\Documents to upload POI consultation\D12 97933  TFA - POIs - Consultation Paper Accompanying the List in Force - 2 July 2012.docx"/>
  </w:docVars>
  <w:rsids>
    <w:rsidRoot w:val="007142AA"/>
    <w:rsid w:val="00001382"/>
    <w:rsid w:val="000069B0"/>
    <w:rsid w:val="000126DA"/>
    <w:rsid w:val="000176D4"/>
    <w:rsid w:val="00022683"/>
    <w:rsid w:val="00023A22"/>
    <w:rsid w:val="00026D88"/>
    <w:rsid w:val="000276D3"/>
    <w:rsid w:val="00044BC4"/>
    <w:rsid w:val="0004760D"/>
    <w:rsid w:val="000503B8"/>
    <w:rsid w:val="00061522"/>
    <w:rsid w:val="00064CD2"/>
    <w:rsid w:val="00065DCB"/>
    <w:rsid w:val="000660BB"/>
    <w:rsid w:val="00066D03"/>
    <w:rsid w:val="00067EAD"/>
    <w:rsid w:val="000750F4"/>
    <w:rsid w:val="0007649A"/>
    <w:rsid w:val="00091F6D"/>
    <w:rsid w:val="00094062"/>
    <w:rsid w:val="000A187F"/>
    <w:rsid w:val="000A3773"/>
    <w:rsid w:val="000A4023"/>
    <w:rsid w:val="000A4C0B"/>
    <w:rsid w:val="000A4F3A"/>
    <w:rsid w:val="000A54DD"/>
    <w:rsid w:val="000B2129"/>
    <w:rsid w:val="000B520A"/>
    <w:rsid w:val="000B5C33"/>
    <w:rsid w:val="000B7F50"/>
    <w:rsid w:val="000D7CDB"/>
    <w:rsid w:val="000E1CCA"/>
    <w:rsid w:val="000E3BC2"/>
    <w:rsid w:val="000E46A7"/>
    <w:rsid w:val="00100E54"/>
    <w:rsid w:val="00102FCF"/>
    <w:rsid w:val="00106193"/>
    <w:rsid w:val="0010707E"/>
    <w:rsid w:val="00117432"/>
    <w:rsid w:val="00123C15"/>
    <w:rsid w:val="00124BC8"/>
    <w:rsid w:val="00124DEE"/>
    <w:rsid w:val="00130BCE"/>
    <w:rsid w:val="00130BF7"/>
    <w:rsid w:val="00131372"/>
    <w:rsid w:val="0013448C"/>
    <w:rsid w:val="00140D4D"/>
    <w:rsid w:val="00142FDB"/>
    <w:rsid w:val="00144FC6"/>
    <w:rsid w:val="00145FF8"/>
    <w:rsid w:val="00153349"/>
    <w:rsid w:val="001643BF"/>
    <w:rsid w:val="00171156"/>
    <w:rsid w:val="00171401"/>
    <w:rsid w:val="001724FD"/>
    <w:rsid w:val="00174B46"/>
    <w:rsid w:val="0017550B"/>
    <w:rsid w:val="001770CC"/>
    <w:rsid w:val="001800D3"/>
    <w:rsid w:val="00181557"/>
    <w:rsid w:val="00182470"/>
    <w:rsid w:val="00185916"/>
    <w:rsid w:val="001869BC"/>
    <w:rsid w:val="00191D04"/>
    <w:rsid w:val="00192EF5"/>
    <w:rsid w:val="00197064"/>
    <w:rsid w:val="001A362D"/>
    <w:rsid w:val="001C28E7"/>
    <w:rsid w:val="001C67AA"/>
    <w:rsid w:val="001D10C8"/>
    <w:rsid w:val="001D13A7"/>
    <w:rsid w:val="001D5DD6"/>
    <w:rsid w:val="001E35DE"/>
    <w:rsid w:val="001E4932"/>
    <w:rsid w:val="001E67BB"/>
    <w:rsid w:val="001E7C80"/>
    <w:rsid w:val="001F0AD1"/>
    <w:rsid w:val="001F4C07"/>
    <w:rsid w:val="001F5E8A"/>
    <w:rsid w:val="00211DA6"/>
    <w:rsid w:val="00213FCB"/>
    <w:rsid w:val="002153DE"/>
    <w:rsid w:val="0021688A"/>
    <w:rsid w:val="00230CCA"/>
    <w:rsid w:val="00231F06"/>
    <w:rsid w:val="002440A3"/>
    <w:rsid w:val="0025018A"/>
    <w:rsid w:val="00250625"/>
    <w:rsid w:val="00255B24"/>
    <w:rsid w:val="0026273E"/>
    <w:rsid w:val="002713C5"/>
    <w:rsid w:val="0027213A"/>
    <w:rsid w:val="002749B6"/>
    <w:rsid w:val="00293DBE"/>
    <w:rsid w:val="00296D0E"/>
    <w:rsid w:val="002A16AF"/>
    <w:rsid w:val="002A252D"/>
    <w:rsid w:val="002A5FAF"/>
    <w:rsid w:val="002B0BE4"/>
    <w:rsid w:val="002B7548"/>
    <w:rsid w:val="002C2F32"/>
    <w:rsid w:val="002D11AF"/>
    <w:rsid w:val="002E5713"/>
    <w:rsid w:val="002F276E"/>
    <w:rsid w:val="00300479"/>
    <w:rsid w:val="003121E5"/>
    <w:rsid w:val="00314BE1"/>
    <w:rsid w:val="00314EA4"/>
    <w:rsid w:val="00314FD2"/>
    <w:rsid w:val="0031540D"/>
    <w:rsid w:val="003211AC"/>
    <w:rsid w:val="003518F5"/>
    <w:rsid w:val="003610F1"/>
    <w:rsid w:val="00361604"/>
    <w:rsid w:val="00367DB5"/>
    <w:rsid w:val="0037073B"/>
    <w:rsid w:val="00373937"/>
    <w:rsid w:val="00377641"/>
    <w:rsid w:val="00384A75"/>
    <w:rsid w:val="003933D4"/>
    <w:rsid w:val="00393874"/>
    <w:rsid w:val="00393FB1"/>
    <w:rsid w:val="0039472C"/>
    <w:rsid w:val="003A2310"/>
    <w:rsid w:val="003A4D90"/>
    <w:rsid w:val="003B3C5A"/>
    <w:rsid w:val="003B4D70"/>
    <w:rsid w:val="003B590E"/>
    <w:rsid w:val="003C11E0"/>
    <w:rsid w:val="003C1441"/>
    <w:rsid w:val="003C3720"/>
    <w:rsid w:val="003C60C5"/>
    <w:rsid w:val="003C69F5"/>
    <w:rsid w:val="003C7D4F"/>
    <w:rsid w:val="003D2B8B"/>
    <w:rsid w:val="003D343F"/>
    <w:rsid w:val="003D347B"/>
    <w:rsid w:val="003D6600"/>
    <w:rsid w:val="003E0BC9"/>
    <w:rsid w:val="003E5C91"/>
    <w:rsid w:val="003E749B"/>
    <w:rsid w:val="003F2D04"/>
    <w:rsid w:val="00405512"/>
    <w:rsid w:val="00411C47"/>
    <w:rsid w:val="00417037"/>
    <w:rsid w:val="00423310"/>
    <w:rsid w:val="004243BE"/>
    <w:rsid w:val="0042689B"/>
    <w:rsid w:val="00431315"/>
    <w:rsid w:val="00434A4D"/>
    <w:rsid w:val="00434EFF"/>
    <w:rsid w:val="00436476"/>
    <w:rsid w:val="00436AC8"/>
    <w:rsid w:val="00437160"/>
    <w:rsid w:val="004402AE"/>
    <w:rsid w:val="00442AB4"/>
    <w:rsid w:val="00443F83"/>
    <w:rsid w:val="004502F2"/>
    <w:rsid w:val="0045621A"/>
    <w:rsid w:val="00477CA3"/>
    <w:rsid w:val="00486087"/>
    <w:rsid w:val="004972E5"/>
    <w:rsid w:val="004A54B2"/>
    <w:rsid w:val="004A6545"/>
    <w:rsid w:val="004B341D"/>
    <w:rsid w:val="004C6143"/>
    <w:rsid w:val="004C7760"/>
    <w:rsid w:val="004C7960"/>
    <w:rsid w:val="004D4A20"/>
    <w:rsid w:val="004D4C3E"/>
    <w:rsid w:val="004D787D"/>
    <w:rsid w:val="004E4209"/>
    <w:rsid w:val="004E5DC8"/>
    <w:rsid w:val="004E7CCE"/>
    <w:rsid w:val="004F67ED"/>
    <w:rsid w:val="004F71F4"/>
    <w:rsid w:val="00500070"/>
    <w:rsid w:val="00500751"/>
    <w:rsid w:val="00502F73"/>
    <w:rsid w:val="00504FA5"/>
    <w:rsid w:val="005062FA"/>
    <w:rsid w:val="005110B8"/>
    <w:rsid w:val="00521DD8"/>
    <w:rsid w:val="00522F5D"/>
    <w:rsid w:val="005276F8"/>
    <w:rsid w:val="0054076A"/>
    <w:rsid w:val="00540C3B"/>
    <w:rsid w:val="0055206E"/>
    <w:rsid w:val="00552C0D"/>
    <w:rsid w:val="00553BA1"/>
    <w:rsid w:val="005556FB"/>
    <w:rsid w:val="005633D4"/>
    <w:rsid w:val="00564EDF"/>
    <w:rsid w:val="005735EB"/>
    <w:rsid w:val="005821D8"/>
    <w:rsid w:val="0058456E"/>
    <w:rsid w:val="005846CF"/>
    <w:rsid w:val="00585927"/>
    <w:rsid w:val="00587F83"/>
    <w:rsid w:val="00590056"/>
    <w:rsid w:val="00590DE3"/>
    <w:rsid w:val="00596380"/>
    <w:rsid w:val="005966F2"/>
    <w:rsid w:val="005A2C7B"/>
    <w:rsid w:val="005A3AEC"/>
    <w:rsid w:val="005A3FCB"/>
    <w:rsid w:val="005A4AE4"/>
    <w:rsid w:val="005A581F"/>
    <w:rsid w:val="005B2D4F"/>
    <w:rsid w:val="005B3863"/>
    <w:rsid w:val="005C0BAC"/>
    <w:rsid w:val="005C11AE"/>
    <w:rsid w:val="005C145F"/>
    <w:rsid w:val="005C235F"/>
    <w:rsid w:val="005C5DA6"/>
    <w:rsid w:val="005D266B"/>
    <w:rsid w:val="005D3498"/>
    <w:rsid w:val="005D5244"/>
    <w:rsid w:val="005D6F94"/>
    <w:rsid w:val="005E6656"/>
    <w:rsid w:val="005F1438"/>
    <w:rsid w:val="005F2483"/>
    <w:rsid w:val="005F3528"/>
    <w:rsid w:val="005F6803"/>
    <w:rsid w:val="006036BC"/>
    <w:rsid w:val="00611317"/>
    <w:rsid w:val="0061168F"/>
    <w:rsid w:val="00612247"/>
    <w:rsid w:val="006122AA"/>
    <w:rsid w:val="00612E0D"/>
    <w:rsid w:val="00614E25"/>
    <w:rsid w:val="00617022"/>
    <w:rsid w:val="00620C12"/>
    <w:rsid w:val="006244B0"/>
    <w:rsid w:val="00627382"/>
    <w:rsid w:val="00630427"/>
    <w:rsid w:val="00631669"/>
    <w:rsid w:val="0064314F"/>
    <w:rsid w:val="00643AD8"/>
    <w:rsid w:val="00652404"/>
    <w:rsid w:val="00655F66"/>
    <w:rsid w:val="006575E5"/>
    <w:rsid w:val="00657F67"/>
    <w:rsid w:val="00663475"/>
    <w:rsid w:val="00667035"/>
    <w:rsid w:val="006674EE"/>
    <w:rsid w:val="00670145"/>
    <w:rsid w:val="006A5604"/>
    <w:rsid w:val="006B2B07"/>
    <w:rsid w:val="006B7E72"/>
    <w:rsid w:val="006C071C"/>
    <w:rsid w:val="006C1B65"/>
    <w:rsid w:val="006C44BE"/>
    <w:rsid w:val="006C6190"/>
    <w:rsid w:val="006C7153"/>
    <w:rsid w:val="006C74D0"/>
    <w:rsid w:val="006D328F"/>
    <w:rsid w:val="006D4A16"/>
    <w:rsid w:val="006E22D9"/>
    <w:rsid w:val="006E34A6"/>
    <w:rsid w:val="006F2320"/>
    <w:rsid w:val="006F3168"/>
    <w:rsid w:val="006F3E26"/>
    <w:rsid w:val="006F6A53"/>
    <w:rsid w:val="006F77C9"/>
    <w:rsid w:val="00705662"/>
    <w:rsid w:val="00711A10"/>
    <w:rsid w:val="00713699"/>
    <w:rsid w:val="007142AA"/>
    <w:rsid w:val="00716614"/>
    <w:rsid w:val="00717A2E"/>
    <w:rsid w:val="00722CD4"/>
    <w:rsid w:val="0073071A"/>
    <w:rsid w:val="00731FF0"/>
    <w:rsid w:val="00737732"/>
    <w:rsid w:val="0074640D"/>
    <w:rsid w:val="00746A51"/>
    <w:rsid w:val="007473F6"/>
    <w:rsid w:val="00752513"/>
    <w:rsid w:val="00754FC0"/>
    <w:rsid w:val="00760AA1"/>
    <w:rsid w:val="00762BB4"/>
    <w:rsid w:val="00763CC7"/>
    <w:rsid w:val="00765B6C"/>
    <w:rsid w:val="00774BD1"/>
    <w:rsid w:val="0077505D"/>
    <w:rsid w:val="00776718"/>
    <w:rsid w:val="00780500"/>
    <w:rsid w:val="00781AA1"/>
    <w:rsid w:val="0078409C"/>
    <w:rsid w:val="00790A90"/>
    <w:rsid w:val="00793803"/>
    <w:rsid w:val="00794BF3"/>
    <w:rsid w:val="0079598E"/>
    <w:rsid w:val="00796513"/>
    <w:rsid w:val="0079663C"/>
    <w:rsid w:val="007970B9"/>
    <w:rsid w:val="007A02E4"/>
    <w:rsid w:val="007A1F85"/>
    <w:rsid w:val="007A2793"/>
    <w:rsid w:val="007A28E1"/>
    <w:rsid w:val="007A3950"/>
    <w:rsid w:val="007B3EA3"/>
    <w:rsid w:val="007B5536"/>
    <w:rsid w:val="007B6293"/>
    <w:rsid w:val="007C0215"/>
    <w:rsid w:val="007C0DE9"/>
    <w:rsid w:val="007C50BB"/>
    <w:rsid w:val="007D7A26"/>
    <w:rsid w:val="007D7BD2"/>
    <w:rsid w:val="007E4160"/>
    <w:rsid w:val="007E7321"/>
    <w:rsid w:val="007E7EEB"/>
    <w:rsid w:val="007F6499"/>
    <w:rsid w:val="007F74D5"/>
    <w:rsid w:val="00801388"/>
    <w:rsid w:val="00816F6D"/>
    <w:rsid w:val="008313A6"/>
    <w:rsid w:val="008403B6"/>
    <w:rsid w:val="00845210"/>
    <w:rsid w:val="008453DF"/>
    <w:rsid w:val="00845A52"/>
    <w:rsid w:val="00850106"/>
    <w:rsid w:val="00861FC5"/>
    <w:rsid w:val="00865F03"/>
    <w:rsid w:val="00866E81"/>
    <w:rsid w:val="00867557"/>
    <w:rsid w:val="008702A5"/>
    <w:rsid w:val="00872F05"/>
    <w:rsid w:val="00873696"/>
    <w:rsid w:val="00873F5A"/>
    <w:rsid w:val="008801E2"/>
    <w:rsid w:val="00881EAB"/>
    <w:rsid w:val="008840CA"/>
    <w:rsid w:val="00890925"/>
    <w:rsid w:val="008A2C74"/>
    <w:rsid w:val="008A3899"/>
    <w:rsid w:val="008A3A82"/>
    <w:rsid w:val="008A4772"/>
    <w:rsid w:val="008A62AA"/>
    <w:rsid w:val="008C0C59"/>
    <w:rsid w:val="008C3A18"/>
    <w:rsid w:val="008C4DF1"/>
    <w:rsid w:val="008D0BED"/>
    <w:rsid w:val="008E06CC"/>
    <w:rsid w:val="008E5BAF"/>
    <w:rsid w:val="008F1A5A"/>
    <w:rsid w:val="008F6727"/>
    <w:rsid w:val="009015BA"/>
    <w:rsid w:val="00902E17"/>
    <w:rsid w:val="00904F80"/>
    <w:rsid w:val="0091137F"/>
    <w:rsid w:val="00912798"/>
    <w:rsid w:val="009132AB"/>
    <w:rsid w:val="00916550"/>
    <w:rsid w:val="00921590"/>
    <w:rsid w:val="00932628"/>
    <w:rsid w:val="00933270"/>
    <w:rsid w:val="00937B4A"/>
    <w:rsid w:val="009406F8"/>
    <w:rsid w:val="00944D31"/>
    <w:rsid w:val="0094603B"/>
    <w:rsid w:val="00946AFC"/>
    <w:rsid w:val="0095571B"/>
    <w:rsid w:val="009572E0"/>
    <w:rsid w:val="00961E30"/>
    <w:rsid w:val="00965685"/>
    <w:rsid w:val="00971B3C"/>
    <w:rsid w:val="009750A2"/>
    <w:rsid w:val="0099775A"/>
    <w:rsid w:val="009A3987"/>
    <w:rsid w:val="009A3E94"/>
    <w:rsid w:val="009A55D3"/>
    <w:rsid w:val="009A6DA2"/>
    <w:rsid w:val="009B04B0"/>
    <w:rsid w:val="009B3853"/>
    <w:rsid w:val="009C6586"/>
    <w:rsid w:val="009D5982"/>
    <w:rsid w:val="009D7BED"/>
    <w:rsid w:val="009E4CFE"/>
    <w:rsid w:val="009F3034"/>
    <w:rsid w:val="009F6F52"/>
    <w:rsid w:val="00A1335E"/>
    <w:rsid w:val="00A1459D"/>
    <w:rsid w:val="00A14B27"/>
    <w:rsid w:val="00A161A8"/>
    <w:rsid w:val="00A17F35"/>
    <w:rsid w:val="00A43045"/>
    <w:rsid w:val="00A51CB2"/>
    <w:rsid w:val="00A629C3"/>
    <w:rsid w:val="00A62BD5"/>
    <w:rsid w:val="00A6402C"/>
    <w:rsid w:val="00A64084"/>
    <w:rsid w:val="00A70ADA"/>
    <w:rsid w:val="00A72004"/>
    <w:rsid w:val="00A81CB1"/>
    <w:rsid w:val="00A82347"/>
    <w:rsid w:val="00A84525"/>
    <w:rsid w:val="00A84A5F"/>
    <w:rsid w:val="00A854E5"/>
    <w:rsid w:val="00AA078D"/>
    <w:rsid w:val="00AA1467"/>
    <w:rsid w:val="00AA2861"/>
    <w:rsid w:val="00AA6CC6"/>
    <w:rsid w:val="00AA7E52"/>
    <w:rsid w:val="00AB312A"/>
    <w:rsid w:val="00AB3B09"/>
    <w:rsid w:val="00AC7CAF"/>
    <w:rsid w:val="00AD1E44"/>
    <w:rsid w:val="00AD2669"/>
    <w:rsid w:val="00AD622C"/>
    <w:rsid w:val="00AD6741"/>
    <w:rsid w:val="00AE00FA"/>
    <w:rsid w:val="00AE12F9"/>
    <w:rsid w:val="00AF5071"/>
    <w:rsid w:val="00AF5A72"/>
    <w:rsid w:val="00B055A6"/>
    <w:rsid w:val="00B06615"/>
    <w:rsid w:val="00B107BD"/>
    <w:rsid w:val="00B12E56"/>
    <w:rsid w:val="00B157A4"/>
    <w:rsid w:val="00B30C3E"/>
    <w:rsid w:val="00B30D81"/>
    <w:rsid w:val="00B43BC1"/>
    <w:rsid w:val="00B46648"/>
    <w:rsid w:val="00B56484"/>
    <w:rsid w:val="00B565B1"/>
    <w:rsid w:val="00B650B0"/>
    <w:rsid w:val="00B666B4"/>
    <w:rsid w:val="00B76336"/>
    <w:rsid w:val="00B81606"/>
    <w:rsid w:val="00B85645"/>
    <w:rsid w:val="00B91238"/>
    <w:rsid w:val="00BA229F"/>
    <w:rsid w:val="00BA3A8A"/>
    <w:rsid w:val="00BB1926"/>
    <w:rsid w:val="00BB3250"/>
    <w:rsid w:val="00BB3F8A"/>
    <w:rsid w:val="00BD54A6"/>
    <w:rsid w:val="00BD5593"/>
    <w:rsid w:val="00BE0512"/>
    <w:rsid w:val="00BE3738"/>
    <w:rsid w:val="00BE52FC"/>
    <w:rsid w:val="00BE5C19"/>
    <w:rsid w:val="00C05883"/>
    <w:rsid w:val="00C10D13"/>
    <w:rsid w:val="00C201D0"/>
    <w:rsid w:val="00C23410"/>
    <w:rsid w:val="00C24BBF"/>
    <w:rsid w:val="00C30654"/>
    <w:rsid w:val="00C31838"/>
    <w:rsid w:val="00C32F73"/>
    <w:rsid w:val="00C35E37"/>
    <w:rsid w:val="00C408E4"/>
    <w:rsid w:val="00C46D92"/>
    <w:rsid w:val="00C52890"/>
    <w:rsid w:val="00C56C64"/>
    <w:rsid w:val="00C66FE8"/>
    <w:rsid w:val="00C70E2C"/>
    <w:rsid w:val="00C75260"/>
    <w:rsid w:val="00C811D8"/>
    <w:rsid w:val="00C835B8"/>
    <w:rsid w:val="00C8625F"/>
    <w:rsid w:val="00C97D40"/>
    <w:rsid w:val="00CA15A0"/>
    <w:rsid w:val="00CA4757"/>
    <w:rsid w:val="00CB088C"/>
    <w:rsid w:val="00CC383F"/>
    <w:rsid w:val="00CC4E3C"/>
    <w:rsid w:val="00CC7144"/>
    <w:rsid w:val="00CD04D2"/>
    <w:rsid w:val="00CE2DB5"/>
    <w:rsid w:val="00CE6F40"/>
    <w:rsid w:val="00CE7F24"/>
    <w:rsid w:val="00CF36E3"/>
    <w:rsid w:val="00D0046F"/>
    <w:rsid w:val="00D0431B"/>
    <w:rsid w:val="00D15596"/>
    <w:rsid w:val="00D24F91"/>
    <w:rsid w:val="00D26B2F"/>
    <w:rsid w:val="00D31AE1"/>
    <w:rsid w:val="00D37056"/>
    <w:rsid w:val="00D50B98"/>
    <w:rsid w:val="00D53564"/>
    <w:rsid w:val="00D53587"/>
    <w:rsid w:val="00D54B68"/>
    <w:rsid w:val="00D60B88"/>
    <w:rsid w:val="00D61299"/>
    <w:rsid w:val="00D627DC"/>
    <w:rsid w:val="00DA1524"/>
    <w:rsid w:val="00DA215A"/>
    <w:rsid w:val="00DB4309"/>
    <w:rsid w:val="00DB4F95"/>
    <w:rsid w:val="00DD0ACB"/>
    <w:rsid w:val="00DD33D3"/>
    <w:rsid w:val="00DD5104"/>
    <w:rsid w:val="00DD6B57"/>
    <w:rsid w:val="00DD76E1"/>
    <w:rsid w:val="00DE22FF"/>
    <w:rsid w:val="00DE56B5"/>
    <w:rsid w:val="00DF1521"/>
    <w:rsid w:val="00E01CED"/>
    <w:rsid w:val="00E04ACC"/>
    <w:rsid w:val="00E11338"/>
    <w:rsid w:val="00E12293"/>
    <w:rsid w:val="00E139A4"/>
    <w:rsid w:val="00E14D4E"/>
    <w:rsid w:val="00E25ACC"/>
    <w:rsid w:val="00E26CD2"/>
    <w:rsid w:val="00E31F7B"/>
    <w:rsid w:val="00E32CBA"/>
    <w:rsid w:val="00E32F1B"/>
    <w:rsid w:val="00E33EBA"/>
    <w:rsid w:val="00E35EBA"/>
    <w:rsid w:val="00E46190"/>
    <w:rsid w:val="00E54FE0"/>
    <w:rsid w:val="00E57FE9"/>
    <w:rsid w:val="00E604D0"/>
    <w:rsid w:val="00E707B8"/>
    <w:rsid w:val="00E71363"/>
    <w:rsid w:val="00E71DB3"/>
    <w:rsid w:val="00E72679"/>
    <w:rsid w:val="00E756B7"/>
    <w:rsid w:val="00E75788"/>
    <w:rsid w:val="00E75E28"/>
    <w:rsid w:val="00E80878"/>
    <w:rsid w:val="00E82982"/>
    <w:rsid w:val="00E942F0"/>
    <w:rsid w:val="00E9736A"/>
    <w:rsid w:val="00EA321B"/>
    <w:rsid w:val="00EA453A"/>
    <w:rsid w:val="00EA653D"/>
    <w:rsid w:val="00EB13D1"/>
    <w:rsid w:val="00EB26F9"/>
    <w:rsid w:val="00EB5416"/>
    <w:rsid w:val="00EC0B87"/>
    <w:rsid w:val="00EC0FE6"/>
    <w:rsid w:val="00ED10C8"/>
    <w:rsid w:val="00EE026D"/>
    <w:rsid w:val="00EE2240"/>
    <w:rsid w:val="00EE2A6C"/>
    <w:rsid w:val="00EE468D"/>
    <w:rsid w:val="00EE61F3"/>
    <w:rsid w:val="00EF0486"/>
    <w:rsid w:val="00EF0501"/>
    <w:rsid w:val="00F0314F"/>
    <w:rsid w:val="00F2160F"/>
    <w:rsid w:val="00F23A6F"/>
    <w:rsid w:val="00F25B2C"/>
    <w:rsid w:val="00F31DB2"/>
    <w:rsid w:val="00F33470"/>
    <w:rsid w:val="00F4005F"/>
    <w:rsid w:val="00F40778"/>
    <w:rsid w:val="00F420B9"/>
    <w:rsid w:val="00F4220C"/>
    <w:rsid w:val="00F43B27"/>
    <w:rsid w:val="00F46798"/>
    <w:rsid w:val="00F53535"/>
    <w:rsid w:val="00F54CFF"/>
    <w:rsid w:val="00F54EAC"/>
    <w:rsid w:val="00F5592E"/>
    <w:rsid w:val="00F6063E"/>
    <w:rsid w:val="00F61761"/>
    <w:rsid w:val="00F71FD8"/>
    <w:rsid w:val="00F7341F"/>
    <w:rsid w:val="00F75DE6"/>
    <w:rsid w:val="00F761F1"/>
    <w:rsid w:val="00F76A79"/>
    <w:rsid w:val="00F77BC0"/>
    <w:rsid w:val="00F80F1A"/>
    <w:rsid w:val="00F83D7F"/>
    <w:rsid w:val="00FA3CDA"/>
    <w:rsid w:val="00FA5E37"/>
    <w:rsid w:val="00FB34EC"/>
    <w:rsid w:val="00FB710C"/>
    <w:rsid w:val="00FC70AF"/>
    <w:rsid w:val="00FD2655"/>
    <w:rsid w:val="00FD6FA7"/>
    <w:rsid w:val="00FE4A7F"/>
    <w:rsid w:val="00FE62F7"/>
    <w:rsid w:val="00FF2636"/>
    <w:rsid w:val="00FF5A96"/>
    <w:rsid w:val="00FF5B54"/>
    <w:rsid w:val="00FF6BF6"/>
    <w:rsid w:val="00FF76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6C"/>
    <w:rPr>
      <w:rFonts w:ascii="Times New Roman" w:hAnsi="Times New Roman"/>
      <w:sz w:val="24"/>
    </w:rPr>
  </w:style>
  <w:style w:type="paragraph" w:styleId="Heading1">
    <w:name w:val="heading 1"/>
    <w:basedOn w:val="Normal"/>
    <w:next w:val="Normal"/>
    <w:link w:val="Heading1Char"/>
    <w:uiPriority w:val="9"/>
    <w:qFormat/>
    <w:rsid w:val="00765B6C"/>
    <w:pPr>
      <w:keepNext/>
      <w:keepLines/>
      <w:numPr>
        <w:numId w:val="5"/>
      </w:numPr>
      <w:spacing w:before="480" w:after="240" w:line="240" w:lineRule="auto"/>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65B6C"/>
    <w:pPr>
      <w:keepNext/>
      <w:keepLines/>
      <w:spacing w:before="200" w:after="24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A90"/>
    <w:rPr>
      <w:sz w:val="20"/>
      <w:szCs w:val="20"/>
    </w:rPr>
  </w:style>
  <w:style w:type="character" w:styleId="FootnoteReference">
    <w:name w:val="footnote reference"/>
    <w:basedOn w:val="DefaultParagraphFont"/>
    <w:uiPriority w:val="99"/>
    <w:semiHidden/>
    <w:unhideWhenUsed/>
    <w:rsid w:val="00790A90"/>
    <w:rPr>
      <w:vertAlign w:val="superscript"/>
    </w:rPr>
  </w:style>
  <w:style w:type="paragraph" w:styleId="Header">
    <w:name w:val="header"/>
    <w:basedOn w:val="Normal"/>
    <w:link w:val="HeaderChar"/>
    <w:uiPriority w:val="99"/>
    <w:unhideWhenUsed/>
    <w:rsid w:val="00231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F06"/>
  </w:style>
  <w:style w:type="paragraph" w:styleId="Footer">
    <w:name w:val="footer"/>
    <w:basedOn w:val="Normal"/>
    <w:link w:val="FooterChar"/>
    <w:uiPriority w:val="99"/>
    <w:unhideWhenUsed/>
    <w:rsid w:val="00231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F06"/>
  </w:style>
  <w:style w:type="paragraph" w:styleId="ListParagraph">
    <w:name w:val="List Paragraph"/>
    <w:basedOn w:val="Normal"/>
    <w:uiPriority w:val="34"/>
    <w:qFormat/>
    <w:rsid w:val="00737732"/>
    <w:pPr>
      <w:ind w:left="720"/>
      <w:contextualSpacing/>
    </w:pPr>
  </w:style>
  <w:style w:type="character" w:styleId="Hyperlink">
    <w:name w:val="Hyperlink"/>
    <w:basedOn w:val="DefaultParagraphFont"/>
    <w:uiPriority w:val="99"/>
    <w:rsid w:val="008453DF"/>
    <w:rPr>
      <w:rFonts w:cs="Times New Roman"/>
      <w:color w:val="0000FF"/>
      <w:u w:val="single"/>
    </w:rPr>
  </w:style>
  <w:style w:type="character" w:styleId="PageNumber">
    <w:name w:val="page number"/>
    <w:basedOn w:val="DefaultParagraphFont"/>
    <w:rsid w:val="008453DF"/>
    <w:rPr>
      <w:rFonts w:cs="Times New Roman"/>
    </w:rPr>
  </w:style>
  <w:style w:type="paragraph" w:styleId="TOC1">
    <w:name w:val="toc 1"/>
    <w:basedOn w:val="Normal"/>
    <w:next w:val="Normal"/>
    <w:autoRedefine/>
    <w:uiPriority w:val="39"/>
    <w:rsid w:val="008453DF"/>
    <w:pPr>
      <w:spacing w:before="120" w:after="120" w:line="240" w:lineRule="auto"/>
    </w:pPr>
    <w:rPr>
      <w:rFonts w:eastAsia="Times New Roman" w:cs="Times New Roman"/>
      <w:b/>
      <w:szCs w:val="24"/>
      <w:lang w:eastAsia="en-AU"/>
    </w:rPr>
  </w:style>
  <w:style w:type="paragraph" w:styleId="BalloonText">
    <w:name w:val="Balloon Text"/>
    <w:basedOn w:val="Normal"/>
    <w:link w:val="BalloonTextChar"/>
    <w:uiPriority w:val="99"/>
    <w:semiHidden/>
    <w:unhideWhenUsed/>
    <w:rsid w:val="0084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DF"/>
    <w:rPr>
      <w:rFonts w:ascii="Tahoma" w:hAnsi="Tahoma" w:cs="Tahoma"/>
      <w:sz w:val="16"/>
      <w:szCs w:val="16"/>
    </w:rPr>
  </w:style>
  <w:style w:type="character" w:styleId="CommentReference">
    <w:name w:val="annotation reference"/>
    <w:basedOn w:val="DefaultParagraphFont"/>
    <w:uiPriority w:val="99"/>
    <w:semiHidden/>
    <w:unhideWhenUsed/>
    <w:rsid w:val="005A2C7B"/>
    <w:rPr>
      <w:sz w:val="16"/>
      <w:szCs w:val="16"/>
    </w:rPr>
  </w:style>
  <w:style w:type="paragraph" w:styleId="CommentText">
    <w:name w:val="annotation text"/>
    <w:basedOn w:val="Normal"/>
    <w:link w:val="CommentTextChar"/>
    <w:uiPriority w:val="99"/>
    <w:semiHidden/>
    <w:unhideWhenUsed/>
    <w:rsid w:val="005A2C7B"/>
    <w:pPr>
      <w:spacing w:line="240" w:lineRule="auto"/>
    </w:pPr>
    <w:rPr>
      <w:sz w:val="20"/>
      <w:szCs w:val="20"/>
    </w:rPr>
  </w:style>
  <w:style w:type="character" w:customStyle="1" w:styleId="CommentTextChar">
    <w:name w:val="Comment Text Char"/>
    <w:basedOn w:val="DefaultParagraphFont"/>
    <w:link w:val="CommentText"/>
    <w:uiPriority w:val="99"/>
    <w:semiHidden/>
    <w:rsid w:val="005A2C7B"/>
    <w:rPr>
      <w:sz w:val="20"/>
      <w:szCs w:val="20"/>
    </w:rPr>
  </w:style>
  <w:style w:type="paragraph" w:styleId="CommentSubject">
    <w:name w:val="annotation subject"/>
    <w:basedOn w:val="CommentText"/>
    <w:next w:val="CommentText"/>
    <w:link w:val="CommentSubjectChar"/>
    <w:uiPriority w:val="99"/>
    <w:semiHidden/>
    <w:unhideWhenUsed/>
    <w:rsid w:val="005A2C7B"/>
    <w:rPr>
      <w:b/>
      <w:bCs/>
    </w:rPr>
  </w:style>
  <w:style w:type="character" w:customStyle="1" w:styleId="CommentSubjectChar">
    <w:name w:val="Comment Subject Char"/>
    <w:basedOn w:val="CommentTextChar"/>
    <w:link w:val="CommentSubject"/>
    <w:uiPriority w:val="99"/>
    <w:semiHidden/>
    <w:rsid w:val="005A2C7B"/>
    <w:rPr>
      <w:b/>
      <w:bCs/>
    </w:rPr>
  </w:style>
  <w:style w:type="character" w:customStyle="1" w:styleId="Heading1Char">
    <w:name w:val="Heading 1 Char"/>
    <w:basedOn w:val="DefaultParagraphFont"/>
    <w:link w:val="Heading1"/>
    <w:uiPriority w:val="9"/>
    <w:rsid w:val="00765B6C"/>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F5592E"/>
    <w:pPr>
      <w:outlineLvl w:val="9"/>
    </w:pPr>
    <w:rPr>
      <w:lang w:val="en-US"/>
    </w:rPr>
  </w:style>
  <w:style w:type="paragraph" w:styleId="Revision">
    <w:name w:val="Revision"/>
    <w:hidden/>
    <w:uiPriority w:val="99"/>
    <w:semiHidden/>
    <w:rsid w:val="006F3168"/>
    <w:pPr>
      <w:spacing w:after="0" w:line="240" w:lineRule="auto"/>
    </w:pPr>
  </w:style>
  <w:style w:type="character" w:customStyle="1" w:styleId="Heading2Char">
    <w:name w:val="Heading 2 Char"/>
    <w:basedOn w:val="DefaultParagraphFont"/>
    <w:link w:val="Heading2"/>
    <w:uiPriority w:val="9"/>
    <w:rsid w:val="00765B6C"/>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C31838"/>
    <w:pPr>
      <w:spacing w:after="100"/>
      <w:ind w:left="220"/>
    </w:pPr>
  </w:style>
  <w:style w:type="paragraph" w:styleId="Title">
    <w:name w:val="Title"/>
    <w:basedOn w:val="Normal"/>
    <w:next w:val="Normal"/>
    <w:link w:val="TitleChar"/>
    <w:uiPriority w:val="10"/>
    <w:qFormat/>
    <w:rsid w:val="00765B6C"/>
    <w:pPr>
      <w:spacing w:after="300" w:line="240" w:lineRule="auto"/>
      <w:contextualSpacing/>
    </w:pPr>
    <w:rPr>
      <w:rFonts w:ascii="Times New Roman Bold" w:eastAsiaTheme="majorEastAsia" w:hAnsi="Times New Roman Bold" w:cstheme="majorBidi"/>
      <w:b/>
      <w:spacing w:val="5"/>
      <w:kern w:val="28"/>
      <w:sz w:val="48"/>
      <w:szCs w:val="52"/>
    </w:rPr>
  </w:style>
  <w:style w:type="character" w:customStyle="1" w:styleId="TitleChar">
    <w:name w:val="Title Char"/>
    <w:basedOn w:val="DefaultParagraphFont"/>
    <w:link w:val="Title"/>
    <w:uiPriority w:val="10"/>
    <w:rsid w:val="00765B6C"/>
    <w:rPr>
      <w:rFonts w:ascii="Times New Roman Bold" w:eastAsiaTheme="majorEastAsia" w:hAnsi="Times New Roman Bold" w:cstheme="majorBidi"/>
      <w:b/>
      <w:spacing w:val="5"/>
      <w:kern w:val="28"/>
      <w:sz w:val="48"/>
      <w:szCs w:val="52"/>
    </w:rPr>
  </w:style>
  <w:style w:type="paragraph" w:styleId="Subtitle">
    <w:name w:val="Subtitle"/>
    <w:basedOn w:val="Normal"/>
    <w:next w:val="Normal"/>
    <w:link w:val="SubtitleChar"/>
    <w:uiPriority w:val="11"/>
    <w:qFormat/>
    <w:rsid w:val="006C44BE"/>
    <w:pPr>
      <w:numPr>
        <w:ilvl w:val="1"/>
      </w:numPr>
      <w:jc w:val="center"/>
    </w:pPr>
    <w:rPr>
      <w:rFonts w:ascii="Times New Roman Bold" w:eastAsiaTheme="majorEastAsia" w:hAnsi="Times New Roman Bold" w:cstheme="majorBidi"/>
      <w:b/>
      <w:iCs/>
      <w:sz w:val="28"/>
      <w:szCs w:val="24"/>
    </w:rPr>
  </w:style>
  <w:style w:type="character" w:customStyle="1" w:styleId="SubtitleChar">
    <w:name w:val="Subtitle Char"/>
    <w:basedOn w:val="DefaultParagraphFont"/>
    <w:link w:val="Subtitle"/>
    <w:uiPriority w:val="11"/>
    <w:rsid w:val="006C44BE"/>
    <w:rPr>
      <w:rFonts w:ascii="Times New Roman Bold" w:eastAsiaTheme="majorEastAsia" w:hAnsi="Times New Roman Bold" w:cstheme="majorBidi"/>
      <w:b/>
      <w:iCs/>
      <w:sz w:val="28"/>
      <w:szCs w:val="24"/>
    </w:rPr>
  </w:style>
  <w:style w:type="character" w:styleId="Emphasis">
    <w:name w:val="Emphasis"/>
    <w:basedOn w:val="DefaultParagraphFont"/>
    <w:uiPriority w:val="20"/>
    <w:qFormat/>
    <w:rsid w:val="00765B6C"/>
    <w:rPr>
      <w:i/>
      <w:iCs/>
    </w:rPr>
  </w:style>
  <w:style w:type="character" w:styleId="FollowedHyperlink">
    <w:name w:val="FollowedHyperlink"/>
    <w:basedOn w:val="DefaultParagraphFont"/>
    <w:uiPriority w:val="99"/>
    <w:semiHidden/>
    <w:unhideWhenUsed/>
    <w:rsid w:val="004A54B2"/>
    <w:rPr>
      <w:color w:val="800080"/>
      <w:u w:val="single"/>
    </w:rPr>
  </w:style>
  <w:style w:type="paragraph" w:customStyle="1" w:styleId="font5">
    <w:name w:val="font5"/>
    <w:basedOn w:val="Normal"/>
    <w:rsid w:val="004A54B2"/>
    <w:pPr>
      <w:spacing w:before="100" w:beforeAutospacing="1" w:after="100" w:afterAutospacing="1" w:line="240" w:lineRule="auto"/>
    </w:pPr>
    <w:rPr>
      <w:rFonts w:ascii="Arial" w:eastAsia="Times New Roman" w:hAnsi="Arial" w:cs="Arial"/>
      <w:sz w:val="18"/>
      <w:szCs w:val="18"/>
      <w:lang w:eastAsia="en-AU"/>
    </w:rPr>
  </w:style>
  <w:style w:type="paragraph" w:customStyle="1" w:styleId="xl119">
    <w:name w:val="xl119"/>
    <w:basedOn w:val="Normal"/>
    <w:rsid w:val="004A5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120">
    <w:name w:val="xl120"/>
    <w:basedOn w:val="Normal"/>
    <w:rsid w:val="004A5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21">
    <w:name w:val="xl121"/>
    <w:basedOn w:val="Normal"/>
    <w:rsid w:val="004A5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AU"/>
    </w:rPr>
  </w:style>
  <w:style w:type="paragraph" w:customStyle="1" w:styleId="xl122">
    <w:name w:val="xl122"/>
    <w:basedOn w:val="Normal"/>
    <w:rsid w:val="004A5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23">
    <w:name w:val="xl123"/>
    <w:basedOn w:val="Normal"/>
    <w:rsid w:val="004A54B2"/>
    <w:pPr>
      <w:pBdr>
        <w:lef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24">
    <w:name w:val="xl124"/>
    <w:basedOn w:val="Normal"/>
    <w:rsid w:val="004A54B2"/>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25">
    <w:name w:val="xl125"/>
    <w:basedOn w:val="Normal"/>
    <w:rsid w:val="004A54B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styleId="NoSpacing">
    <w:name w:val="No Spacing"/>
    <w:link w:val="NoSpacingChar"/>
    <w:uiPriority w:val="1"/>
    <w:qFormat/>
    <w:rsid w:val="005D266B"/>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D266B"/>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92179194">
      <w:bodyDiv w:val="1"/>
      <w:marLeft w:val="0"/>
      <w:marRight w:val="0"/>
      <w:marTop w:val="0"/>
      <w:marBottom w:val="0"/>
      <w:divBdr>
        <w:top w:val="none" w:sz="0" w:space="0" w:color="auto"/>
        <w:left w:val="none" w:sz="0" w:space="0" w:color="auto"/>
        <w:bottom w:val="none" w:sz="0" w:space="0" w:color="auto"/>
        <w:right w:val="none" w:sz="0" w:space="0" w:color="auto"/>
      </w:divBdr>
    </w:div>
    <w:div w:id="347369016">
      <w:bodyDiv w:val="1"/>
      <w:marLeft w:val="0"/>
      <w:marRight w:val="0"/>
      <w:marTop w:val="0"/>
      <w:marBottom w:val="0"/>
      <w:divBdr>
        <w:top w:val="none" w:sz="0" w:space="0" w:color="auto"/>
        <w:left w:val="none" w:sz="0" w:space="0" w:color="auto"/>
        <w:bottom w:val="none" w:sz="0" w:space="0" w:color="auto"/>
        <w:right w:val="none" w:sz="0" w:space="0" w:color="auto"/>
      </w:divBdr>
    </w:div>
    <w:div w:id="976300837">
      <w:bodyDiv w:val="1"/>
      <w:marLeft w:val="0"/>
      <w:marRight w:val="0"/>
      <w:marTop w:val="0"/>
      <w:marBottom w:val="0"/>
      <w:divBdr>
        <w:top w:val="none" w:sz="0" w:space="0" w:color="auto"/>
        <w:left w:val="none" w:sz="0" w:space="0" w:color="auto"/>
        <w:bottom w:val="none" w:sz="0" w:space="0" w:color="auto"/>
        <w:right w:val="none" w:sz="0" w:space="0" w:color="auto"/>
      </w:divBdr>
    </w:div>
    <w:div w:id="1545945265">
      <w:bodyDiv w:val="1"/>
      <w:marLeft w:val="0"/>
      <w:marRight w:val="0"/>
      <w:marTop w:val="0"/>
      <w:marBottom w:val="0"/>
      <w:divBdr>
        <w:top w:val="none" w:sz="0" w:space="0" w:color="auto"/>
        <w:left w:val="none" w:sz="0" w:space="0" w:color="auto"/>
        <w:bottom w:val="none" w:sz="0" w:space="0" w:color="auto"/>
        <w:right w:val="none" w:sz="0" w:space="0" w:color="auto"/>
      </w:divBdr>
    </w:div>
    <w:div w:id="1665468354">
      <w:bodyDiv w:val="1"/>
      <w:marLeft w:val="0"/>
      <w:marRight w:val="0"/>
      <w:marTop w:val="0"/>
      <w:marBottom w:val="0"/>
      <w:divBdr>
        <w:top w:val="none" w:sz="0" w:space="0" w:color="auto"/>
        <w:left w:val="none" w:sz="0" w:space="0" w:color="auto"/>
        <w:bottom w:val="none" w:sz="0" w:space="0" w:color="auto"/>
        <w:right w:val="none" w:sz="0" w:space="0" w:color="auto"/>
      </w:divBdr>
    </w:div>
    <w:div w:id="1877161874">
      <w:bodyDiv w:val="1"/>
      <w:marLeft w:val="0"/>
      <w:marRight w:val="0"/>
      <w:marTop w:val="0"/>
      <w:marBottom w:val="0"/>
      <w:divBdr>
        <w:top w:val="none" w:sz="0" w:space="0" w:color="auto"/>
        <w:left w:val="none" w:sz="0" w:space="0" w:color="auto"/>
        <w:bottom w:val="none" w:sz="0" w:space="0" w:color="auto"/>
        <w:right w:val="none" w:sz="0" w:space="0" w:color="auto"/>
      </w:divBdr>
    </w:div>
    <w:div w:id="21415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c.gov.au/content/index.phtml/itemId/95229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hame.Oleary@acc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Martinez@acc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tranet.accc.gov.au/content/item.phtml?itemId=448246&amp;nodeId=file3ffa3047bfa21&amp;fn=logo_72dpi-web.gif" TargetMode="External"/><Relationship Id="rId14" Type="http://schemas.openxmlformats.org/officeDocument/2006/relationships/hyperlink" Target="http://www.nbnco.com.au/getting-connected/service-providers/network-roll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4C01-9180-49E7-8FBD-8AFDE317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2291</Words>
  <Characters>13061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2012-08-06T05:58:00Z</dcterms:created>
  <dcterms:modified xsi:type="dcterms:W3CDTF">2012-08-06T05:59:00Z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\\cbrvpwxfs01\home$\lmart\Documents to upload POI consultation\D12 97933  TFA - POIs - Consultation Paper Accompanying the List in Force - 2 July 2012.docx</vt:lpwstr>
  </property>
  <property fmtid="{D5CDD505-2E9C-101B-9397-08002B2CF9AE}" pid="3" name="URI">
    <vt:lpwstr>1</vt:lpwstr>
  </property>
</Properties>
</file>