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Default="00E40C46" w:rsidP="00E40C46">
      <w:r>
        <w:rPr>
          <w:noProof/>
          <w:lang w:eastAsia="en-AU"/>
        </w:rPr>
        <w:drawing>
          <wp:inline distT="0" distB="0" distL="0" distR="0" wp14:anchorId="7B1093B7" wp14:editId="45FFBBEE">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FE7DF0" w:rsidRDefault="00FE7DF0" w:rsidP="00E40C46">
      <w:pPr>
        <w:pStyle w:val="ACCCreporttitle1"/>
      </w:pPr>
      <w:r>
        <w:t xml:space="preserve">Final </w:t>
      </w:r>
      <w:r w:rsidR="008B1F26">
        <w:t xml:space="preserve">Decision </w:t>
      </w:r>
    </w:p>
    <w:p w:rsidR="00E40C46" w:rsidRPr="00487257" w:rsidRDefault="008B1F26" w:rsidP="00E40C46">
      <w:pPr>
        <w:pStyle w:val="ACCCreporttitle1"/>
        <w:rPr>
          <w:b w:val="0"/>
        </w:rPr>
      </w:pPr>
      <w:proofErr w:type="gramStart"/>
      <w:r w:rsidRPr="00487257">
        <w:rPr>
          <w:b w:val="0"/>
        </w:rPr>
        <w:t>to</w:t>
      </w:r>
      <w:proofErr w:type="gramEnd"/>
      <w:r w:rsidRPr="00487257">
        <w:rPr>
          <w:b w:val="0"/>
        </w:rPr>
        <w:t xml:space="preserve"> accept</w:t>
      </w:r>
    </w:p>
    <w:p w:rsidR="00E40C46" w:rsidRDefault="008B1F26" w:rsidP="00E40C46">
      <w:pPr>
        <w:pStyle w:val="ACCCreporttitle2"/>
      </w:pPr>
      <w:proofErr w:type="spellStart"/>
      <w:r>
        <w:t>Viterra</w:t>
      </w:r>
      <w:proofErr w:type="spellEnd"/>
      <w:r>
        <w:t xml:space="preserve"> Operations Limited’s Application to extend and vary 2011 Port Terminal Services Access Undertaking</w:t>
      </w:r>
    </w:p>
    <w:p w:rsidR="00487257" w:rsidRDefault="00487257" w:rsidP="00E40C46">
      <w:pPr>
        <w:pStyle w:val="ACCCreporttitle2"/>
      </w:pPr>
    </w:p>
    <w:p w:rsidR="00487257" w:rsidRDefault="00487257" w:rsidP="00E40C46">
      <w:pPr>
        <w:pStyle w:val="ACCCreporttitle2"/>
      </w:pPr>
    </w:p>
    <w:p w:rsidR="00487257" w:rsidRDefault="00487257" w:rsidP="00E40C46">
      <w:pPr>
        <w:pStyle w:val="ACCCreporttitle2"/>
      </w:pPr>
    </w:p>
    <w:p w:rsidR="00487257" w:rsidRDefault="00487257" w:rsidP="00E40C46">
      <w:pPr>
        <w:pStyle w:val="ACCCreporttitle2"/>
      </w:pPr>
    </w:p>
    <w:p w:rsidR="00487257" w:rsidRDefault="00487257" w:rsidP="00E40C46">
      <w:pPr>
        <w:pStyle w:val="ACCCreporttitle2"/>
      </w:pPr>
    </w:p>
    <w:p w:rsidR="00487257" w:rsidRDefault="00487257" w:rsidP="00E40C46">
      <w:pPr>
        <w:pStyle w:val="ACCCreporttitle2"/>
      </w:pPr>
    </w:p>
    <w:p w:rsidR="00487257" w:rsidRPr="00487257" w:rsidRDefault="00487257" w:rsidP="00E40C46">
      <w:pPr>
        <w:pStyle w:val="ACCCreporttitle2"/>
        <w:rPr>
          <w:sz w:val="30"/>
          <w:szCs w:val="30"/>
        </w:rPr>
      </w:pPr>
      <w:r>
        <w:rPr>
          <w:sz w:val="30"/>
          <w:szCs w:val="30"/>
        </w:rPr>
        <w:t>30 January 2014</w:t>
      </w:r>
    </w:p>
    <w:p w:rsidR="00CE389D" w:rsidRDefault="00CE389D" w:rsidP="00E40C46">
      <w:pPr>
        <w:pStyle w:val="ACCCreportdate"/>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5F5AA2" w:rsidRDefault="008B1F26" w:rsidP="008B1F26">
      <w:pPr>
        <w:spacing w:after="0"/>
        <w:rPr>
          <w:rFonts w:eastAsia="Calibri" w:cs="Arial"/>
          <w:noProof/>
          <w:lang w:eastAsia="en-AU"/>
        </w:rPr>
      </w:pPr>
    </w:p>
    <w:p w:rsidR="008B1F26" w:rsidRPr="00DB41A6" w:rsidRDefault="008B1F26" w:rsidP="008B1F26">
      <w:pPr>
        <w:spacing w:after="0"/>
        <w:rPr>
          <w:rFonts w:eastAsia="Calibri" w:cs="Arial"/>
        </w:rPr>
      </w:pPr>
      <w:r>
        <w:rPr>
          <w:rFonts w:eastAsia="Calibri" w:cs="Arial"/>
          <w:noProof/>
          <w:color w:val="0000FF"/>
          <w:lang w:eastAsia="en-AU"/>
        </w:rPr>
        <w:drawing>
          <wp:inline distT="0" distB="0" distL="0" distR="0" wp14:anchorId="45F008D4" wp14:editId="248F99D0">
            <wp:extent cx="11811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p w:rsidR="008B1F26" w:rsidRPr="00DB41A6" w:rsidRDefault="008B1F26" w:rsidP="008B1F26">
      <w:pPr>
        <w:spacing w:after="0"/>
        <w:rPr>
          <w:rFonts w:eastAsia="Calibri" w:cs="Arial"/>
        </w:rPr>
      </w:pPr>
    </w:p>
    <w:p w:rsidR="008B1F26" w:rsidRPr="00DB41A6" w:rsidRDefault="008B1F26" w:rsidP="008B1F26">
      <w:pPr>
        <w:spacing w:after="0"/>
        <w:rPr>
          <w:rFonts w:eastAsia="Times New Roman" w:cs="Arial"/>
          <w:sz w:val="24"/>
          <w:szCs w:val="24"/>
        </w:rPr>
      </w:pPr>
      <w:r w:rsidRPr="00DB41A6">
        <w:rPr>
          <w:rFonts w:eastAsia="Times New Roman" w:cs="Arial"/>
          <w:sz w:val="24"/>
          <w:szCs w:val="24"/>
        </w:rPr>
        <w:t>Australian Competition and Consumer Commission</w:t>
      </w:r>
      <w:r w:rsidRPr="00DB41A6">
        <w:rPr>
          <w:rFonts w:eastAsia="Times New Roman" w:cs="Arial"/>
          <w:sz w:val="24"/>
          <w:szCs w:val="24"/>
        </w:rPr>
        <w:br/>
        <w:t>23 Marcus Clarke Street, Canberra, Australian Capital Territory, 2601</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First published by the ACCC 2013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10 9 8 7 6 5 4 3 2 1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 Commonwealth of Australia 2013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This work is copyright. In addition to any use permitted under the Copyright Act 1968, all material contained within this work is provided under a Creative Commons Attribution 3.0 Australia license, with the exception of the Commonwealth Coat of Arms and the ACCC logos.</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The details of the relevant license conditions are available on the Creative Commons website, as is the full legal code for the CC BY 3.0 AU license.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Requests and inquiries concerning reproduction and rights should be addressed to the Director Publishing, ACCC, GPO Box 3131, Canberra ACT 2601, or </w:t>
      </w:r>
      <w:hyperlink r:id="rId11" w:history="1">
        <w:r w:rsidRPr="00DB41A6">
          <w:rPr>
            <w:rFonts w:eastAsia="Times New Roman" w:cs="Arial"/>
            <w:szCs w:val="20"/>
            <w:lang w:eastAsia="en-AU"/>
          </w:rPr>
          <w:t>publishing.unit@accc.gov.au</w:t>
        </w:r>
      </w:hyperlink>
      <w:r w:rsidRPr="00DB41A6">
        <w:rPr>
          <w:rFonts w:eastAsia="Times New Roman" w:cs="Arial"/>
          <w:szCs w:val="20"/>
          <w:lang w:eastAsia="en-AU"/>
        </w:rPr>
        <w:t>.</w:t>
      </w:r>
    </w:p>
    <w:p w:rsidR="008B1F26" w:rsidRPr="00DB41A6" w:rsidRDefault="008B1F26" w:rsidP="008B1F26">
      <w:pPr>
        <w:spacing w:before="120" w:after="120"/>
        <w:rPr>
          <w:rFonts w:eastAsia="Times New Roman" w:cs="Arial"/>
          <w:b/>
          <w:bCs/>
          <w:szCs w:val="20"/>
          <w:lang w:eastAsia="en-AU"/>
        </w:rPr>
      </w:pPr>
      <w:r w:rsidRPr="00DB41A6">
        <w:rPr>
          <w:rFonts w:eastAsia="Times New Roman" w:cs="Arial"/>
          <w:b/>
          <w:bCs/>
          <w:szCs w:val="20"/>
          <w:lang w:eastAsia="en-AU"/>
        </w:rPr>
        <w:t xml:space="preserve">Important notice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The ACCC has made every reasonable effort to provide current and accurate information, but it does not make any guarantees regarding the accuracy, currency or completeness of that information. </w:t>
      </w:r>
    </w:p>
    <w:p w:rsidR="008B1F26" w:rsidRPr="00DB41A6" w:rsidRDefault="008B1F26" w:rsidP="008B1F26">
      <w:pPr>
        <w:spacing w:before="120" w:after="120"/>
        <w:rPr>
          <w:rFonts w:eastAsia="Times New Roman" w:cs="Arial"/>
          <w:szCs w:val="20"/>
          <w:lang w:eastAsia="en-AU"/>
        </w:rPr>
      </w:pPr>
      <w:r w:rsidRPr="00DB41A6">
        <w:rPr>
          <w:rFonts w:eastAsia="Times New Roman" w:cs="Arial"/>
          <w:szCs w:val="20"/>
          <w:lang w:eastAsia="en-AU"/>
        </w:rPr>
        <w:t xml:space="preserve">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w:t>
      </w:r>
      <w:hyperlink r:id="rId12" w:history="1">
        <w:r w:rsidRPr="00DB41A6">
          <w:rPr>
            <w:rFonts w:eastAsia="Times New Roman" w:cs="Arial"/>
            <w:szCs w:val="20"/>
            <w:lang w:eastAsia="en-AU"/>
          </w:rPr>
          <w:t>publishing.unit@accc.gov.au</w:t>
        </w:r>
      </w:hyperlink>
      <w:r w:rsidRPr="00DB41A6">
        <w:rPr>
          <w:rFonts w:eastAsia="Times New Roman" w:cs="Arial"/>
          <w:szCs w:val="20"/>
          <w:lang w:eastAsia="en-AU"/>
        </w:rPr>
        <w:t>.</w:t>
      </w:r>
    </w:p>
    <w:p w:rsidR="00E40C46" w:rsidRPr="008B1F26" w:rsidRDefault="008B1F26" w:rsidP="008B1F26">
      <w:pPr>
        <w:spacing w:before="120" w:after="120"/>
        <w:rPr>
          <w:rFonts w:eastAsia="Times New Roman" w:cs="Arial"/>
          <w:szCs w:val="20"/>
          <w:lang w:eastAsia="en-AU"/>
        </w:rPr>
      </w:pPr>
      <w:r w:rsidRPr="00DB41A6">
        <w:rPr>
          <w:rFonts w:eastAsia="Times New Roman" w:cs="Arial"/>
          <w:szCs w:val="20"/>
          <w:lang w:eastAsia="en-AU"/>
        </w:rPr>
        <w:t>www.accc.gov.au</w:t>
      </w:r>
    </w:p>
    <w:p w:rsidR="002862E8" w:rsidRDefault="002862E8" w:rsidP="00B74EE5">
      <w:pPr>
        <w:pStyle w:val="Glossaryheading"/>
        <w:sectPr w:rsidR="002862E8" w:rsidSect="00E40C46">
          <w:pgSz w:w="11906" w:h="16838"/>
          <w:pgMar w:top="1440" w:right="1729" w:bottom="1582" w:left="1729" w:header="709" w:footer="709" w:gutter="0"/>
          <w:cols w:space="708"/>
          <w:docGrid w:linePitch="360"/>
        </w:sectPr>
      </w:pPr>
      <w:bookmarkStart w:id="0" w:name="_Toc374969764"/>
      <w:bookmarkStart w:id="1" w:name="_Toc352671883"/>
    </w:p>
    <w:p w:rsidR="00A70A39" w:rsidRDefault="00A70A39" w:rsidP="00B74EE5">
      <w:pPr>
        <w:pStyle w:val="Glossaryheading"/>
      </w:pPr>
      <w:bookmarkStart w:id="2" w:name="_Toc378322922"/>
      <w:r>
        <w:lastRenderedPageBreak/>
        <w:t>Contents</w:t>
      </w:r>
      <w:bookmarkEnd w:id="2"/>
      <w:r>
        <w:t xml:space="preserve"> </w:t>
      </w:r>
      <w:bookmarkEnd w:id="0"/>
    </w:p>
    <w:p w:rsidR="001B45FB" w:rsidRDefault="00474608">
      <w:pPr>
        <w:pStyle w:val="TOC1"/>
        <w:rPr>
          <w:rFonts w:asciiTheme="minorHAnsi" w:eastAsiaTheme="minorEastAsia" w:hAnsiTheme="minorHAnsi"/>
          <w:b w:val="0"/>
          <w:sz w:val="22"/>
          <w:lang w:eastAsia="en-AU"/>
        </w:rPr>
      </w:pPr>
      <w:r>
        <w:fldChar w:fldCharType="begin"/>
      </w:r>
      <w:r w:rsidR="00A20E5A">
        <w:instrText xml:space="preserve"> TOC \h \z \t "Numbered heading 1,1,Numbered heading 2,2,Non-numbered heading 1,1,Non-numbered heading 2,2,Contents heading,1,Glossary heading,1,Summary heading,1,Appendix heading 1,1,Appendix heading 2,2" </w:instrText>
      </w:r>
      <w:r>
        <w:fldChar w:fldCharType="separate"/>
      </w:r>
      <w:hyperlink w:anchor="_Toc378322922" w:history="1">
        <w:r w:rsidR="001B45FB" w:rsidRPr="009855BB">
          <w:rPr>
            <w:rStyle w:val="Hyperlink"/>
          </w:rPr>
          <w:t>Contents</w:t>
        </w:r>
        <w:r w:rsidR="001B45FB">
          <w:rPr>
            <w:webHidden/>
          </w:rPr>
          <w:tab/>
        </w:r>
        <w:r w:rsidR="001B45FB">
          <w:rPr>
            <w:webHidden/>
          </w:rPr>
          <w:fldChar w:fldCharType="begin"/>
        </w:r>
        <w:r w:rsidR="001B45FB">
          <w:rPr>
            <w:webHidden/>
          </w:rPr>
          <w:instrText xml:space="preserve"> PAGEREF _Toc378322922 \h </w:instrText>
        </w:r>
        <w:r w:rsidR="001B45FB">
          <w:rPr>
            <w:webHidden/>
          </w:rPr>
        </w:r>
        <w:r w:rsidR="001B45FB">
          <w:rPr>
            <w:webHidden/>
          </w:rPr>
          <w:fldChar w:fldCharType="separate"/>
        </w:r>
        <w:r w:rsidR="00A968BD">
          <w:rPr>
            <w:webHidden/>
          </w:rPr>
          <w:t>i</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23" w:history="1">
        <w:r w:rsidR="001B45FB" w:rsidRPr="009855BB">
          <w:rPr>
            <w:rStyle w:val="Hyperlink"/>
          </w:rPr>
          <w:t>Glossary of terms and abbreviations</w:t>
        </w:r>
        <w:r w:rsidR="001B45FB">
          <w:rPr>
            <w:webHidden/>
          </w:rPr>
          <w:tab/>
        </w:r>
        <w:r w:rsidR="001B45FB">
          <w:rPr>
            <w:webHidden/>
          </w:rPr>
          <w:fldChar w:fldCharType="begin"/>
        </w:r>
        <w:r w:rsidR="001B45FB">
          <w:rPr>
            <w:webHidden/>
          </w:rPr>
          <w:instrText xml:space="preserve"> PAGEREF _Toc378322923 \h </w:instrText>
        </w:r>
        <w:r w:rsidR="001B45FB">
          <w:rPr>
            <w:webHidden/>
          </w:rPr>
        </w:r>
        <w:r w:rsidR="001B45FB">
          <w:rPr>
            <w:webHidden/>
          </w:rPr>
          <w:fldChar w:fldCharType="separate"/>
        </w:r>
        <w:r w:rsidR="00A968BD">
          <w:rPr>
            <w:webHidden/>
          </w:rPr>
          <w:t>ii</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24" w:history="1">
        <w:r w:rsidR="001B45FB" w:rsidRPr="009855BB">
          <w:rPr>
            <w:rStyle w:val="Hyperlink"/>
          </w:rPr>
          <w:t>Summary</w:t>
        </w:r>
        <w:r w:rsidR="001B45FB">
          <w:rPr>
            <w:webHidden/>
          </w:rPr>
          <w:tab/>
        </w:r>
        <w:r w:rsidR="001B45FB">
          <w:rPr>
            <w:webHidden/>
          </w:rPr>
          <w:fldChar w:fldCharType="begin"/>
        </w:r>
        <w:r w:rsidR="001B45FB">
          <w:rPr>
            <w:webHidden/>
          </w:rPr>
          <w:instrText xml:space="preserve"> PAGEREF _Toc378322924 \h </w:instrText>
        </w:r>
        <w:r w:rsidR="001B45FB">
          <w:rPr>
            <w:webHidden/>
          </w:rPr>
        </w:r>
        <w:r w:rsidR="001B45FB">
          <w:rPr>
            <w:webHidden/>
          </w:rPr>
          <w:fldChar w:fldCharType="separate"/>
        </w:r>
        <w:r w:rsidR="00A968BD">
          <w:rPr>
            <w:webHidden/>
          </w:rPr>
          <w:t>iii</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25" w:history="1">
        <w:r w:rsidR="001B45FB" w:rsidRPr="009855BB">
          <w:rPr>
            <w:rStyle w:val="Hyperlink"/>
          </w:rPr>
          <w:t>1</w:t>
        </w:r>
        <w:r w:rsidR="001B45FB">
          <w:rPr>
            <w:rFonts w:asciiTheme="minorHAnsi" w:eastAsiaTheme="minorEastAsia" w:hAnsiTheme="minorHAnsi"/>
            <w:b w:val="0"/>
            <w:sz w:val="22"/>
            <w:lang w:eastAsia="en-AU"/>
          </w:rPr>
          <w:tab/>
        </w:r>
        <w:r w:rsidR="001B45FB" w:rsidRPr="009855BB">
          <w:rPr>
            <w:rStyle w:val="Hyperlink"/>
          </w:rPr>
          <w:t>Introduction</w:t>
        </w:r>
        <w:r w:rsidR="001B45FB">
          <w:rPr>
            <w:webHidden/>
          </w:rPr>
          <w:tab/>
        </w:r>
        <w:r w:rsidR="001B45FB">
          <w:rPr>
            <w:webHidden/>
          </w:rPr>
          <w:fldChar w:fldCharType="begin"/>
        </w:r>
        <w:r w:rsidR="001B45FB">
          <w:rPr>
            <w:webHidden/>
          </w:rPr>
          <w:instrText xml:space="preserve"> PAGEREF _Toc378322925 \h </w:instrText>
        </w:r>
        <w:r w:rsidR="001B45FB">
          <w:rPr>
            <w:webHidden/>
          </w:rPr>
        </w:r>
        <w:r w:rsidR="001B45FB">
          <w:rPr>
            <w:webHidden/>
          </w:rPr>
          <w:fldChar w:fldCharType="separate"/>
        </w:r>
        <w:r w:rsidR="00A968BD">
          <w:rPr>
            <w:webHidden/>
          </w:rPr>
          <w:t>1</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26" w:history="1">
        <w:r w:rsidR="001B45FB" w:rsidRPr="009855BB">
          <w:rPr>
            <w:rStyle w:val="Hyperlink"/>
          </w:rPr>
          <w:t>1.1</w:t>
        </w:r>
        <w:r w:rsidR="001B45FB">
          <w:rPr>
            <w:rFonts w:asciiTheme="minorHAnsi" w:eastAsiaTheme="minorEastAsia" w:hAnsiTheme="minorHAnsi"/>
            <w:sz w:val="22"/>
            <w:lang w:eastAsia="en-AU"/>
          </w:rPr>
          <w:tab/>
        </w:r>
        <w:r w:rsidR="001B45FB" w:rsidRPr="009855BB">
          <w:rPr>
            <w:rStyle w:val="Hyperlink"/>
          </w:rPr>
          <w:t>Background</w:t>
        </w:r>
        <w:r w:rsidR="001B45FB">
          <w:rPr>
            <w:webHidden/>
          </w:rPr>
          <w:tab/>
        </w:r>
        <w:r w:rsidR="001B45FB">
          <w:rPr>
            <w:webHidden/>
          </w:rPr>
          <w:fldChar w:fldCharType="begin"/>
        </w:r>
        <w:r w:rsidR="001B45FB">
          <w:rPr>
            <w:webHidden/>
          </w:rPr>
          <w:instrText xml:space="preserve"> PAGEREF _Toc378322926 \h </w:instrText>
        </w:r>
        <w:r w:rsidR="001B45FB">
          <w:rPr>
            <w:webHidden/>
          </w:rPr>
        </w:r>
        <w:r w:rsidR="001B45FB">
          <w:rPr>
            <w:webHidden/>
          </w:rPr>
          <w:fldChar w:fldCharType="separate"/>
        </w:r>
        <w:r w:rsidR="00A968BD">
          <w:rPr>
            <w:webHidden/>
          </w:rPr>
          <w:t>1</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27" w:history="1">
        <w:r w:rsidR="001B45FB" w:rsidRPr="009855BB">
          <w:rPr>
            <w:rStyle w:val="Hyperlink"/>
          </w:rPr>
          <w:t>1.2</w:t>
        </w:r>
        <w:r w:rsidR="001B45FB">
          <w:rPr>
            <w:rFonts w:asciiTheme="minorHAnsi" w:eastAsiaTheme="minorEastAsia" w:hAnsiTheme="minorHAnsi"/>
            <w:sz w:val="22"/>
            <w:lang w:eastAsia="en-AU"/>
          </w:rPr>
          <w:tab/>
        </w:r>
        <w:r w:rsidR="001B45FB" w:rsidRPr="009855BB">
          <w:rPr>
            <w:rStyle w:val="Hyperlink"/>
          </w:rPr>
          <w:t>Process leading to the Final Decision</w:t>
        </w:r>
        <w:r w:rsidR="001B45FB">
          <w:rPr>
            <w:webHidden/>
          </w:rPr>
          <w:tab/>
        </w:r>
        <w:r w:rsidR="001B45FB">
          <w:rPr>
            <w:webHidden/>
          </w:rPr>
          <w:fldChar w:fldCharType="begin"/>
        </w:r>
        <w:r w:rsidR="001B45FB">
          <w:rPr>
            <w:webHidden/>
          </w:rPr>
          <w:instrText xml:space="preserve"> PAGEREF _Toc378322927 \h </w:instrText>
        </w:r>
        <w:r w:rsidR="001B45FB">
          <w:rPr>
            <w:webHidden/>
          </w:rPr>
        </w:r>
        <w:r w:rsidR="001B45FB">
          <w:rPr>
            <w:webHidden/>
          </w:rPr>
          <w:fldChar w:fldCharType="separate"/>
        </w:r>
        <w:r w:rsidR="00A968BD">
          <w:rPr>
            <w:webHidden/>
          </w:rPr>
          <w:t>3</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28" w:history="1">
        <w:r w:rsidR="001B45FB" w:rsidRPr="009855BB">
          <w:rPr>
            <w:rStyle w:val="Hyperlink"/>
          </w:rPr>
          <w:t>1.3</w:t>
        </w:r>
        <w:r w:rsidR="001B45FB">
          <w:rPr>
            <w:rFonts w:asciiTheme="minorHAnsi" w:eastAsiaTheme="minorEastAsia" w:hAnsiTheme="minorHAnsi"/>
            <w:sz w:val="22"/>
            <w:lang w:eastAsia="en-AU"/>
          </w:rPr>
          <w:tab/>
        </w:r>
        <w:r w:rsidR="001B45FB" w:rsidRPr="009855BB">
          <w:rPr>
            <w:rStyle w:val="Hyperlink"/>
          </w:rPr>
          <w:t>Viterra’s extension of its 2011 Undertaking</w:t>
        </w:r>
        <w:r w:rsidR="001B45FB">
          <w:rPr>
            <w:webHidden/>
          </w:rPr>
          <w:tab/>
        </w:r>
        <w:r w:rsidR="001B45FB">
          <w:rPr>
            <w:webHidden/>
          </w:rPr>
          <w:fldChar w:fldCharType="begin"/>
        </w:r>
        <w:r w:rsidR="001B45FB">
          <w:rPr>
            <w:webHidden/>
          </w:rPr>
          <w:instrText xml:space="preserve"> PAGEREF _Toc378322928 \h </w:instrText>
        </w:r>
        <w:r w:rsidR="001B45FB">
          <w:rPr>
            <w:webHidden/>
          </w:rPr>
        </w:r>
        <w:r w:rsidR="001B45FB">
          <w:rPr>
            <w:webHidden/>
          </w:rPr>
          <w:fldChar w:fldCharType="separate"/>
        </w:r>
        <w:r w:rsidR="00A968BD">
          <w:rPr>
            <w:webHidden/>
          </w:rPr>
          <w:t>5</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29" w:history="1">
        <w:r w:rsidR="001B45FB" w:rsidRPr="009855BB">
          <w:rPr>
            <w:rStyle w:val="Hyperlink"/>
          </w:rPr>
          <w:t>1.4</w:t>
        </w:r>
        <w:r w:rsidR="001B45FB">
          <w:rPr>
            <w:rFonts w:asciiTheme="minorHAnsi" w:eastAsiaTheme="minorEastAsia" w:hAnsiTheme="minorHAnsi"/>
            <w:sz w:val="22"/>
            <w:lang w:eastAsia="en-AU"/>
          </w:rPr>
          <w:tab/>
        </w:r>
        <w:r w:rsidR="001B45FB" w:rsidRPr="009855BB">
          <w:rPr>
            <w:rStyle w:val="Hyperlink"/>
          </w:rPr>
          <w:t>Viterra’s variation of its 2011 Undertaking</w:t>
        </w:r>
        <w:r w:rsidR="001B45FB">
          <w:rPr>
            <w:webHidden/>
          </w:rPr>
          <w:tab/>
        </w:r>
        <w:r w:rsidR="001B45FB">
          <w:rPr>
            <w:webHidden/>
          </w:rPr>
          <w:fldChar w:fldCharType="begin"/>
        </w:r>
        <w:r w:rsidR="001B45FB">
          <w:rPr>
            <w:webHidden/>
          </w:rPr>
          <w:instrText xml:space="preserve"> PAGEREF _Toc378322929 \h </w:instrText>
        </w:r>
        <w:r w:rsidR="001B45FB">
          <w:rPr>
            <w:webHidden/>
          </w:rPr>
        </w:r>
        <w:r w:rsidR="001B45FB">
          <w:rPr>
            <w:webHidden/>
          </w:rPr>
          <w:fldChar w:fldCharType="separate"/>
        </w:r>
        <w:r w:rsidR="00A968BD">
          <w:rPr>
            <w:webHidden/>
          </w:rPr>
          <w:t>5</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0" w:history="1">
        <w:r w:rsidR="001B45FB" w:rsidRPr="009855BB">
          <w:rPr>
            <w:rStyle w:val="Hyperlink"/>
          </w:rPr>
          <w:t>1.5</w:t>
        </w:r>
        <w:r w:rsidR="001B45FB">
          <w:rPr>
            <w:rFonts w:asciiTheme="minorHAnsi" w:eastAsiaTheme="minorEastAsia" w:hAnsiTheme="minorHAnsi"/>
            <w:sz w:val="22"/>
            <w:lang w:eastAsia="en-AU"/>
          </w:rPr>
          <w:tab/>
        </w:r>
        <w:r w:rsidR="001B45FB" w:rsidRPr="009855BB">
          <w:rPr>
            <w:rStyle w:val="Hyperlink"/>
          </w:rPr>
          <w:t>ACCC assessment</w:t>
        </w:r>
        <w:r w:rsidR="001B45FB">
          <w:rPr>
            <w:webHidden/>
          </w:rPr>
          <w:tab/>
        </w:r>
        <w:r w:rsidR="001B45FB">
          <w:rPr>
            <w:webHidden/>
          </w:rPr>
          <w:fldChar w:fldCharType="begin"/>
        </w:r>
        <w:r w:rsidR="001B45FB">
          <w:rPr>
            <w:webHidden/>
          </w:rPr>
          <w:instrText xml:space="preserve"> PAGEREF _Toc378322930 \h </w:instrText>
        </w:r>
        <w:r w:rsidR="001B45FB">
          <w:rPr>
            <w:webHidden/>
          </w:rPr>
        </w:r>
        <w:r w:rsidR="001B45FB">
          <w:rPr>
            <w:webHidden/>
          </w:rPr>
          <w:fldChar w:fldCharType="separate"/>
        </w:r>
        <w:r w:rsidR="00A968BD">
          <w:rPr>
            <w:webHidden/>
          </w:rPr>
          <w:t>6</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1" w:history="1">
        <w:r w:rsidR="001B45FB" w:rsidRPr="009855BB">
          <w:rPr>
            <w:rStyle w:val="Hyperlink"/>
          </w:rPr>
          <w:t>1.6</w:t>
        </w:r>
        <w:r w:rsidR="001B45FB">
          <w:rPr>
            <w:rFonts w:asciiTheme="minorHAnsi" w:eastAsiaTheme="minorEastAsia" w:hAnsiTheme="minorHAnsi"/>
            <w:sz w:val="22"/>
            <w:lang w:eastAsia="en-AU"/>
          </w:rPr>
          <w:tab/>
        </w:r>
        <w:r w:rsidR="001B45FB" w:rsidRPr="009855BB">
          <w:rPr>
            <w:rStyle w:val="Hyperlink"/>
          </w:rPr>
          <w:t>Where to find further information</w:t>
        </w:r>
        <w:r w:rsidR="001B45FB">
          <w:rPr>
            <w:webHidden/>
          </w:rPr>
          <w:tab/>
        </w:r>
        <w:r w:rsidR="001B45FB">
          <w:rPr>
            <w:webHidden/>
          </w:rPr>
          <w:fldChar w:fldCharType="begin"/>
        </w:r>
        <w:r w:rsidR="001B45FB">
          <w:rPr>
            <w:webHidden/>
          </w:rPr>
          <w:instrText xml:space="preserve"> PAGEREF _Toc378322931 \h </w:instrText>
        </w:r>
        <w:r w:rsidR="001B45FB">
          <w:rPr>
            <w:webHidden/>
          </w:rPr>
        </w:r>
        <w:r w:rsidR="001B45FB">
          <w:rPr>
            <w:webHidden/>
          </w:rPr>
          <w:fldChar w:fldCharType="separate"/>
        </w:r>
        <w:r w:rsidR="00A968BD">
          <w:rPr>
            <w:webHidden/>
          </w:rPr>
          <w:t>6</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32" w:history="1">
        <w:r w:rsidR="001B45FB" w:rsidRPr="009855BB">
          <w:rPr>
            <w:rStyle w:val="Hyperlink"/>
          </w:rPr>
          <w:t>2</w:t>
        </w:r>
        <w:r w:rsidR="001B45FB">
          <w:rPr>
            <w:rFonts w:asciiTheme="minorHAnsi" w:eastAsiaTheme="minorEastAsia" w:hAnsiTheme="minorHAnsi"/>
            <w:b w:val="0"/>
            <w:sz w:val="22"/>
            <w:lang w:eastAsia="en-AU"/>
          </w:rPr>
          <w:tab/>
        </w:r>
        <w:r w:rsidR="001B45FB" w:rsidRPr="009855BB">
          <w:rPr>
            <w:rStyle w:val="Hyperlink"/>
          </w:rPr>
          <w:t>Decision making framework</w:t>
        </w:r>
        <w:r w:rsidR="001B45FB">
          <w:rPr>
            <w:webHidden/>
          </w:rPr>
          <w:tab/>
        </w:r>
        <w:r w:rsidR="001B45FB">
          <w:rPr>
            <w:webHidden/>
          </w:rPr>
          <w:fldChar w:fldCharType="begin"/>
        </w:r>
        <w:r w:rsidR="001B45FB">
          <w:rPr>
            <w:webHidden/>
          </w:rPr>
          <w:instrText xml:space="preserve"> PAGEREF _Toc378322932 \h </w:instrText>
        </w:r>
        <w:r w:rsidR="001B45FB">
          <w:rPr>
            <w:webHidden/>
          </w:rPr>
        </w:r>
        <w:r w:rsidR="001B45FB">
          <w:rPr>
            <w:webHidden/>
          </w:rPr>
          <w:fldChar w:fldCharType="separate"/>
        </w:r>
        <w:r w:rsidR="00A968BD">
          <w:rPr>
            <w:webHidden/>
          </w:rPr>
          <w:t>8</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3" w:history="1">
        <w:r w:rsidR="001B45FB" w:rsidRPr="009855BB">
          <w:rPr>
            <w:rStyle w:val="Hyperlink"/>
          </w:rPr>
          <w:t>2.1</w:t>
        </w:r>
        <w:r w:rsidR="001B45FB">
          <w:rPr>
            <w:rFonts w:asciiTheme="minorHAnsi" w:eastAsiaTheme="minorEastAsia" w:hAnsiTheme="minorHAnsi"/>
            <w:sz w:val="22"/>
            <w:lang w:eastAsia="en-AU"/>
          </w:rPr>
          <w:tab/>
        </w:r>
        <w:r w:rsidR="001B45FB" w:rsidRPr="009855BB">
          <w:rPr>
            <w:rStyle w:val="Hyperlink"/>
          </w:rPr>
          <w:t>Legal framework</w:t>
        </w:r>
        <w:r w:rsidR="001B45FB">
          <w:rPr>
            <w:webHidden/>
          </w:rPr>
          <w:tab/>
        </w:r>
        <w:r w:rsidR="001B45FB">
          <w:rPr>
            <w:webHidden/>
          </w:rPr>
          <w:fldChar w:fldCharType="begin"/>
        </w:r>
        <w:r w:rsidR="001B45FB">
          <w:rPr>
            <w:webHidden/>
          </w:rPr>
          <w:instrText xml:space="preserve"> PAGEREF _Toc378322933 \h </w:instrText>
        </w:r>
        <w:r w:rsidR="001B45FB">
          <w:rPr>
            <w:webHidden/>
          </w:rPr>
        </w:r>
        <w:r w:rsidR="001B45FB">
          <w:rPr>
            <w:webHidden/>
          </w:rPr>
          <w:fldChar w:fldCharType="separate"/>
        </w:r>
        <w:r w:rsidR="00A968BD">
          <w:rPr>
            <w:webHidden/>
          </w:rPr>
          <w:t>8</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34" w:history="1">
        <w:r w:rsidR="001B45FB" w:rsidRPr="009855BB">
          <w:rPr>
            <w:rStyle w:val="Hyperlink"/>
          </w:rPr>
          <w:t>3</w:t>
        </w:r>
        <w:r w:rsidR="001B45FB">
          <w:rPr>
            <w:rFonts w:asciiTheme="minorHAnsi" w:eastAsiaTheme="minorEastAsia" w:hAnsiTheme="minorHAnsi"/>
            <w:b w:val="0"/>
            <w:sz w:val="22"/>
            <w:lang w:eastAsia="en-AU"/>
          </w:rPr>
          <w:tab/>
        </w:r>
        <w:r w:rsidR="001B45FB" w:rsidRPr="009855BB">
          <w:rPr>
            <w:rStyle w:val="Hyperlink"/>
          </w:rPr>
          <w:t>Assessment of Viterra’s application to extend the 2011 Undertaking</w:t>
        </w:r>
        <w:r w:rsidR="001B45FB">
          <w:rPr>
            <w:webHidden/>
          </w:rPr>
          <w:tab/>
        </w:r>
        <w:r w:rsidR="001B45FB">
          <w:rPr>
            <w:webHidden/>
          </w:rPr>
          <w:fldChar w:fldCharType="begin"/>
        </w:r>
        <w:r w:rsidR="001B45FB">
          <w:rPr>
            <w:webHidden/>
          </w:rPr>
          <w:instrText xml:space="preserve"> PAGEREF _Toc378322934 \h </w:instrText>
        </w:r>
        <w:r w:rsidR="001B45FB">
          <w:rPr>
            <w:webHidden/>
          </w:rPr>
        </w:r>
        <w:r w:rsidR="001B45FB">
          <w:rPr>
            <w:webHidden/>
          </w:rPr>
          <w:fldChar w:fldCharType="separate"/>
        </w:r>
        <w:r w:rsidR="00A968BD">
          <w:rPr>
            <w:webHidden/>
          </w:rPr>
          <w:t>12</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5" w:history="1">
        <w:r w:rsidR="001B45FB" w:rsidRPr="009855BB">
          <w:rPr>
            <w:rStyle w:val="Hyperlink"/>
          </w:rPr>
          <w:t>3.1</w:t>
        </w:r>
        <w:r w:rsidR="001B45FB">
          <w:rPr>
            <w:rFonts w:asciiTheme="minorHAnsi" w:eastAsiaTheme="minorEastAsia" w:hAnsiTheme="minorHAnsi"/>
            <w:sz w:val="22"/>
            <w:lang w:eastAsia="en-AU"/>
          </w:rPr>
          <w:tab/>
        </w:r>
        <w:r w:rsidR="001B45FB" w:rsidRPr="009855BB">
          <w:rPr>
            <w:rStyle w:val="Hyperlink"/>
          </w:rPr>
          <w:t>Continuation of existing arrangements under Viterra’s 2011 access undertaking</w:t>
        </w:r>
        <w:r w:rsidR="001B45FB">
          <w:rPr>
            <w:webHidden/>
          </w:rPr>
          <w:tab/>
        </w:r>
        <w:r w:rsidR="001B45FB">
          <w:rPr>
            <w:webHidden/>
          </w:rPr>
          <w:fldChar w:fldCharType="begin"/>
        </w:r>
        <w:r w:rsidR="001B45FB">
          <w:rPr>
            <w:webHidden/>
          </w:rPr>
          <w:instrText xml:space="preserve"> PAGEREF _Toc378322935 \h </w:instrText>
        </w:r>
        <w:r w:rsidR="001B45FB">
          <w:rPr>
            <w:webHidden/>
          </w:rPr>
        </w:r>
        <w:r w:rsidR="001B45FB">
          <w:rPr>
            <w:webHidden/>
          </w:rPr>
          <w:fldChar w:fldCharType="separate"/>
        </w:r>
        <w:r w:rsidR="00A968BD">
          <w:rPr>
            <w:webHidden/>
          </w:rPr>
          <w:t>12</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6" w:history="1">
        <w:r w:rsidR="001B45FB" w:rsidRPr="009855BB">
          <w:rPr>
            <w:rStyle w:val="Hyperlink"/>
          </w:rPr>
          <w:t>3.2</w:t>
        </w:r>
        <w:r w:rsidR="001B45FB">
          <w:rPr>
            <w:rFonts w:asciiTheme="minorHAnsi" w:eastAsiaTheme="minorEastAsia" w:hAnsiTheme="minorHAnsi"/>
            <w:sz w:val="22"/>
            <w:lang w:eastAsia="en-AU"/>
          </w:rPr>
          <w:tab/>
        </w:r>
        <w:r w:rsidR="001B45FB" w:rsidRPr="009855BB">
          <w:rPr>
            <w:rStyle w:val="Hyperlink"/>
          </w:rPr>
          <w:t>Variation of term and expiry</w:t>
        </w:r>
        <w:r w:rsidR="001B45FB">
          <w:rPr>
            <w:webHidden/>
          </w:rPr>
          <w:tab/>
        </w:r>
        <w:r w:rsidR="001B45FB">
          <w:rPr>
            <w:webHidden/>
          </w:rPr>
          <w:fldChar w:fldCharType="begin"/>
        </w:r>
        <w:r w:rsidR="001B45FB">
          <w:rPr>
            <w:webHidden/>
          </w:rPr>
          <w:instrText xml:space="preserve"> PAGEREF _Toc378322936 \h </w:instrText>
        </w:r>
        <w:r w:rsidR="001B45FB">
          <w:rPr>
            <w:webHidden/>
          </w:rPr>
        </w:r>
        <w:r w:rsidR="001B45FB">
          <w:rPr>
            <w:webHidden/>
          </w:rPr>
          <w:fldChar w:fldCharType="separate"/>
        </w:r>
        <w:r w:rsidR="00A968BD">
          <w:rPr>
            <w:webHidden/>
          </w:rPr>
          <w:t>15</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37" w:history="1">
        <w:r w:rsidR="001B45FB" w:rsidRPr="009855BB">
          <w:rPr>
            <w:rStyle w:val="Hyperlink"/>
          </w:rPr>
          <w:t>4</w:t>
        </w:r>
        <w:r w:rsidR="001B45FB">
          <w:rPr>
            <w:rFonts w:asciiTheme="minorHAnsi" w:eastAsiaTheme="minorEastAsia" w:hAnsiTheme="minorHAnsi"/>
            <w:b w:val="0"/>
            <w:sz w:val="22"/>
            <w:lang w:eastAsia="en-AU"/>
          </w:rPr>
          <w:tab/>
        </w:r>
        <w:r w:rsidR="001B45FB" w:rsidRPr="009855BB">
          <w:rPr>
            <w:rStyle w:val="Hyperlink"/>
          </w:rPr>
          <w:t>Assessment of Viterra’s application to vary the 2011 Undertaking</w:t>
        </w:r>
        <w:r w:rsidR="001B45FB">
          <w:rPr>
            <w:webHidden/>
          </w:rPr>
          <w:tab/>
        </w:r>
        <w:r w:rsidR="001B45FB">
          <w:rPr>
            <w:webHidden/>
          </w:rPr>
          <w:fldChar w:fldCharType="begin"/>
        </w:r>
        <w:r w:rsidR="001B45FB">
          <w:rPr>
            <w:webHidden/>
          </w:rPr>
          <w:instrText xml:space="preserve"> PAGEREF _Toc378322937 \h </w:instrText>
        </w:r>
        <w:r w:rsidR="001B45FB">
          <w:rPr>
            <w:webHidden/>
          </w:rPr>
        </w:r>
        <w:r w:rsidR="001B45FB">
          <w:rPr>
            <w:webHidden/>
          </w:rPr>
          <w:fldChar w:fldCharType="separate"/>
        </w:r>
        <w:r w:rsidR="00A968BD">
          <w:rPr>
            <w:webHidden/>
          </w:rPr>
          <w:t>17</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8" w:history="1">
        <w:r w:rsidR="001B45FB" w:rsidRPr="009855BB">
          <w:rPr>
            <w:rStyle w:val="Hyperlink"/>
          </w:rPr>
          <w:t>4.1</w:t>
        </w:r>
        <w:r w:rsidR="001B45FB">
          <w:rPr>
            <w:rFonts w:asciiTheme="minorHAnsi" w:eastAsiaTheme="minorEastAsia" w:hAnsiTheme="minorHAnsi"/>
            <w:sz w:val="22"/>
            <w:lang w:eastAsia="en-AU"/>
          </w:rPr>
          <w:tab/>
        </w:r>
        <w:r w:rsidR="001B45FB" w:rsidRPr="009855BB">
          <w:rPr>
            <w:rStyle w:val="Hyperlink"/>
          </w:rPr>
          <w:t>Force Majeure</w:t>
        </w:r>
        <w:r w:rsidR="001B45FB">
          <w:rPr>
            <w:webHidden/>
          </w:rPr>
          <w:tab/>
        </w:r>
        <w:r w:rsidR="001B45FB">
          <w:rPr>
            <w:webHidden/>
          </w:rPr>
          <w:fldChar w:fldCharType="begin"/>
        </w:r>
        <w:r w:rsidR="001B45FB">
          <w:rPr>
            <w:webHidden/>
          </w:rPr>
          <w:instrText xml:space="preserve"> PAGEREF _Toc378322938 \h </w:instrText>
        </w:r>
        <w:r w:rsidR="001B45FB">
          <w:rPr>
            <w:webHidden/>
          </w:rPr>
        </w:r>
        <w:r w:rsidR="001B45FB">
          <w:rPr>
            <w:webHidden/>
          </w:rPr>
          <w:fldChar w:fldCharType="separate"/>
        </w:r>
        <w:r w:rsidR="00A968BD">
          <w:rPr>
            <w:webHidden/>
          </w:rPr>
          <w:t>17</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39" w:history="1">
        <w:r w:rsidR="001B45FB" w:rsidRPr="009855BB">
          <w:rPr>
            <w:rStyle w:val="Hyperlink"/>
          </w:rPr>
          <w:t>4.2</w:t>
        </w:r>
        <w:r w:rsidR="001B45FB">
          <w:rPr>
            <w:rFonts w:asciiTheme="minorHAnsi" w:eastAsiaTheme="minorEastAsia" w:hAnsiTheme="minorHAnsi"/>
            <w:sz w:val="22"/>
            <w:lang w:eastAsia="en-AU"/>
          </w:rPr>
          <w:tab/>
        </w:r>
        <w:r w:rsidR="001B45FB" w:rsidRPr="009855BB">
          <w:rPr>
            <w:rStyle w:val="Hyperlink"/>
          </w:rPr>
          <w:t>Auction timetable</w:t>
        </w:r>
        <w:r w:rsidR="001B45FB">
          <w:rPr>
            <w:webHidden/>
          </w:rPr>
          <w:tab/>
        </w:r>
        <w:r w:rsidR="001B45FB">
          <w:rPr>
            <w:webHidden/>
          </w:rPr>
          <w:fldChar w:fldCharType="begin"/>
        </w:r>
        <w:r w:rsidR="001B45FB">
          <w:rPr>
            <w:webHidden/>
          </w:rPr>
          <w:instrText xml:space="preserve"> PAGEREF _Toc378322939 \h </w:instrText>
        </w:r>
        <w:r w:rsidR="001B45FB">
          <w:rPr>
            <w:webHidden/>
          </w:rPr>
        </w:r>
        <w:r w:rsidR="001B45FB">
          <w:rPr>
            <w:webHidden/>
          </w:rPr>
          <w:fldChar w:fldCharType="separate"/>
        </w:r>
        <w:r w:rsidR="00A968BD">
          <w:rPr>
            <w:webHidden/>
          </w:rPr>
          <w:t>19</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0" w:history="1">
        <w:r w:rsidR="001B45FB" w:rsidRPr="009855BB">
          <w:rPr>
            <w:rStyle w:val="Hyperlink"/>
          </w:rPr>
          <w:t>4.3</w:t>
        </w:r>
        <w:r w:rsidR="001B45FB">
          <w:rPr>
            <w:rFonts w:asciiTheme="minorHAnsi" w:eastAsiaTheme="minorEastAsia" w:hAnsiTheme="minorHAnsi"/>
            <w:sz w:val="22"/>
            <w:lang w:eastAsia="en-AU"/>
          </w:rPr>
          <w:tab/>
        </w:r>
        <w:r w:rsidR="001B45FB" w:rsidRPr="009855BB">
          <w:rPr>
            <w:rStyle w:val="Hyperlink"/>
          </w:rPr>
          <w:t>First in, first served bookings</w:t>
        </w:r>
        <w:r w:rsidR="001B45FB">
          <w:rPr>
            <w:webHidden/>
          </w:rPr>
          <w:tab/>
        </w:r>
        <w:r w:rsidR="001B45FB">
          <w:rPr>
            <w:webHidden/>
          </w:rPr>
          <w:fldChar w:fldCharType="begin"/>
        </w:r>
        <w:r w:rsidR="001B45FB">
          <w:rPr>
            <w:webHidden/>
          </w:rPr>
          <w:instrText xml:space="preserve"> PAGEREF _Toc378322940 \h </w:instrText>
        </w:r>
        <w:r w:rsidR="001B45FB">
          <w:rPr>
            <w:webHidden/>
          </w:rPr>
        </w:r>
        <w:r w:rsidR="001B45FB">
          <w:rPr>
            <w:webHidden/>
          </w:rPr>
          <w:fldChar w:fldCharType="separate"/>
        </w:r>
        <w:r w:rsidR="00A968BD">
          <w:rPr>
            <w:webHidden/>
          </w:rPr>
          <w:t>20</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1" w:history="1">
        <w:r w:rsidR="001B45FB" w:rsidRPr="009855BB">
          <w:rPr>
            <w:rStyle w:val="Hyperlink"/>
          </w:rPr>
          <w:t>4.4</w:t>
        </w:r>
        <w:r w:rsidR="001B45FB">
          <w:rPr>
            <w:rFonts w:asciiTheme="minorHAnsi" w:eastAsiaTheme="minorEastAsia" w:hAnsiTheme="minorHAnsi"/>
            <w:sz w:val="22"/>
            <w:lang w:eastAsia="en-AU"/>
          </w:rPr>
          <w:tab/>
        </w:r>
        <w:r w:rsidR="001B45FB" w:rsidRPr="009855BB">
          <w:rPr>
            <w:rStyle w:val="Hyperlink"/>
          </w:rPr>
          <w:t>Tolerance</w:t>
        </w:r>
        <w:r w:rsidR="001B45FB">
          <w:rPr>
            <w:webHidden/>
          </w:rPr>
          <w:tab/>
        </w:r>
        <w:r w:rsidR="001B45FB">
          <w:rPr>
            <w:webHidden/>
          </w:rPr>
          <w:fldChar w:fldCharType="begin"/>
        </w:r>
        <w:r w:rsidR="001B45FB">
          <w:rPr>
            <w:webHidden/>
          </w:rPr>
          <w:instrText xml:space="preserve"> PAGEREF _Toc378322941 \h </w:instrText>
        </w:r>
        <w:r w:rsidR="001B45FB">
          <w:rPr>
            <w:webHidden/>
          </w:rPr>
        </w:r>
        <w:r w:rsidR="001B45FB">
          <w:rPr>
            <w:webHidden/>
          </w:rPr>
          <w:fldChar w:fldCharType="separate"/>
        </w:r>
        <w:r w:rsidR="00A968BD">
          <w:rPr>
            <w:webHidden/>
          </w:rPr>
          <w:t>25</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2" w:history="1">
        <w:r w:rsidR="001B45FB" w:rsidRPr="009855BB">
          <w:rPr>
            <w:rStyle w:val="Hyperlink"/>
          </w:rPr>
          <w:t>4.5</w:t>
        </w:r>
        <w:r w:rsidR="001B45FB">
          <w:rPr>
            <w:rFonts w:asciiTheme="minorHAnsi" w:eastAsiaTheme="minorEastAsia" w:hAnsiTheme="minorHAnsi"/>
            <w:sz w:val="22"/>
            <w:lang w:eastAsia="en-AU"/>
          </w:rPr>
          <w:tab/>
        </w:r>
        <w:r w:rsidR="001B45FB" w:rsidRPr="009855BB">
          <w:rPr>
            <w:rStyle w:val="Hyperlink"/>
          </w:rPr>
          <w:t>Two port loading</w:t>
        </w:r>
        <w:r w:rsidR="001B45FB">
          <w:rPr>
            <w:webHidden/>
          </w:rPr>
          <w:tab/>
        </w:r>
        <w:r w:rsidR="001B45FB">
          <w:rPr>
            <w:webHidden/>
          </w:rPr>
          <w:fldChar w:fldCharType="begin"/>
        </w:r>
        <w:r w:rsidR="001B45FB">
          <w:rPr>
            <w:webHidden/>
          </w:rPr>
          <w:instrText xml:space="preserve"> PAGEREF _Toc378322942 \h </w:instrText>
        </w:r>
        <w:r w:rsidR="001B45FB">
          <w:rPr>
            <w:webHidden/>
          </w:rPr>
        </w:r>
        <w:r w:rsidR="001B45FB">
          <w:rPr>
            <w:webHidden/>
          </w:rPr>
          <w:fldChar w:fldCharType="separate"/>
        </w:r>
        <w:r w:rsidR="00A968BD">
          <w:rPr>
            <w:webHidden/>
          </w:rPr>
          <w:t>26</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3" w:history="1">
        <w:r w:rsidR="001B45FB" w:rsidRPr="009855BB">
          <w:rPr>
            <w:rStyle w:val="Hyperlink"/>
          </w:rPr>
          <w:t>4.6</w:t>
        </w:r>
        <w:r w:rsidR="001B45FB">
          <w:rPr>
            <w:rFonts w:asciiTheme="minorHAnsi" w:eastAsiaTheme="minorEastAsia" w:hAnsiTheme="minorHAnsi"/>
            <w:sz w:val="22"/>
            <w:lang w:eastAsia="en-AU"/>
          </w:rPr>
          <w:tab/>
        </w:r>
        <w:r w:rsidR="001B45FB" w:rsidRPr="009855BB">
          <w:rPr>
            <w:rStyle w:val="Hyperlink"/>
          </w:rPr>
          <w:t>Movement of first in, first served bookings</w:t>
        </w:r>
        <w:r w:rsidR="001B45FB">
          <w:rPr>
            <w:webHidden/>
          </w:rPr>
          <w:tab/>
        </w:r>
        <w:r w:rsidR="001B45FB">
          <w:rPr>
            <w:webHidden/>
          </w:rPr>
          <w:fldChar w:fldCharType="begin"/>
        </w:r>
        <w:r w:rsidR="001B45FB">
          <w:rPr>
            <w:webHidden/>
          </w:rPr>
          <w:instrText xml:space="preserve"> PAGEREF _Toc378322943 \h </w:instrText>
        </w:r>
        <w:r w:rsidR="001B45FB">
          <w:rPr>
            <w:webHidden/>
          </w:rPr>
        </w:r>
        <w:r w:rsidR="001B45FB">
          <w:rPr>
            <w:webHidden/>
          </w:rPr>
          <w:fldChar w:fldCharType="separate"/>
        </w:r>
        <w:r w:rsidR="00A968BD">
          <w:rPr>
            <w:webHidden/>
          </w:rPr>
          <w:t>28</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4" w:history="1">
        <w:r w:rsidR="001B45FB" w:rsidRPr="009855BB">
          <w:rPr>
            <w:rStyle w:val="Hyperlink"/>
          </w:rPr>
          <w:t>4.7</w:t>
        </w:r>
        <w:r w:rsidR="001B45FB">
          <w:rPr>
            <w:rFonts w:asciiTheme="minorHAnsi" w:eastAsiaTheme="minorEastAsia" w:hAnsiTheme="minorHAnsi"/>
            <w:sz w:val="22"/>
            <w:lang w:eastAsia="en-AU"/>
          </w:rPr>
          <w:tab/>
        </w:r>
        <w:r w:rsidR="001B45FB" w:rsidRPr="009855BB">
          <w:rPr>
            <w:rStyle w:val="Hyperlink"/>
          </w:rPr>
          <w:t>Movement of bookings between Inner Harbour and Outer Harbor</w:t>
        </w:r>
        <w:r w:rsidR="001B45FB">
          <w:rPr>
            <w:webHidden/>
          </w:rPr>
          <w:tab/>
        </w:r>
        <w:r w:rsidR="001B45FB">
          <w:rPr>
            <w:webHidden/>
          </w:rPr>
          <w:fldChar w:fldCharType="begin"/>
        </w:r>
        <w:r w:rsidR="001B45FB">
          <w:rPr>
            <w:webHidden/>
          </w:rPr>
          <w:instrText xml:space="preserve"> PAGEREF _Toc378322944 \h </w:instrText>
        </w:r>
        <w:r w:rsidR="001B45FB">
          <w:rPr>
            <w:webHidden/>
          </w:rPr>
        </w:r>
        <w:r w:rsidR="001B45FB">
          <w:rPr>
            <w:webHidden/>
          </w:rPr>
          <w:fldChar w:fldCharType="separate"/>
        </w:r>
        <w:r w:rsidR="00A968BD">
          <w:rPr>
            <w:webHidden/>
          </w:rPr>
          <w:t>29</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5" w:history="1">
        <w:r w:rsidR="001B45FB" w:rsidRPr="009855BB">
          <w:rPr>
            <w:rStyle w:val="Hyperlink"/>
          </w:rPr>
          <w:t>4.8</w:t>
        </w:r>
        <w:r w:rsidR="001B45FB">
          <w:rPr>
            <w:rFonts w:asciiTheme="minorHAnsi" w:eastAsiaTheme="minorEastAsia" w:hAnsiTheme="minorHAnsi"/>
            <w:sz w:val="22"/>
            <w:lang w:eastAsia="en-AU"/>
          </w:rPr>
          <w:tab/>
        </w:r>
        <w:r w:rsidR="001B45FB" w:rsidRPr="009855BB">
          <w:rPr>
            <w:rStyle w:val="Hyperlink"/>
          </w:rPr>
          <w:t>Transferring bookings</w:t>
        </w:r>
        <w:r w:rsidR="001B45FB">
          <w:rPr>
            <w:webHidden/>
          </w:rPr>
          <w:tab/>
        </w:r>
        <w:r w:rsidR="001B45FB">
          <w:rPr>
            <w:webHidden/>
          </w:rPr>
          <w:fldChar w:fldCharType="begin"/>
        </w:r>
        <w:r w:rsidR="001B45FB">
          <w:rPr>
            <w:webHidden/>
          </w:rPr>
          <w:instrText xml:space="preserve"> PAGEREF _Toc378322945 \h </w:instrText>
        </w:r>
        <w:r w:rsidR="001B45FB">
          <w:rPr>
            <w:webHidden/>
          </w:rPr>
        </w:r>
        <w:r w:rsidR="001B45FB">
          <w:rPr>
            <w:webHidden/>
          </w:rPr>
          <w:fldChar w:fldCharType="separate"/>
        </w:r>
        <w:r w:rsidR="00A968BD">
          <w:rPr>
            <w:webHidden/>
          </w:rPr>
          <w:t>31</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6" w:history="1">
        <w:r w:rsidR="001B45FB" w:rsidRPr="009855BB">
          <w:rPr>
            <w:rStyle w:val="Hyperlink"/>
          </w:rPr>
          <w:t>4.9</w:t>
        </w:r>
        <w:r w:rsidR="001B45FB">
          <w:rPr>
            <w:rFonts w:asciiTheme="minorHAnsi" w:eastAsiaTheme="minorEastAsia" w:hAnsiTheme="minorHAnsi"/>
            <w:sz w:val="22"/>
            <w:lang w:eastAsia="en-AU"/>
          </w:rPr>
          <w:tab/>
        </w:r>
        <w:r w:rsidR="001B45FB" w:rsidRPr="009855BB">
          <w:rPr>
            <w:rStyle w:val="Hyperlink"/>
          </w:rPr>
          <w:t>Standard terms</w:t>
        </w:r>
        <w:r w:rsidR="001B45FB">
          <w:rPr>
            <w:webHidden/>
          </w:rPr>
          <w:tab/>
        </w:r>
        <w:r w:rsidR="001B45FB">
          <w:rPr>
            <w:webHidden/>
          </w:rPr>
          <w:fldChar w:fldCharType="begin"/>
        </w:r>
        <w:r w:rsidR="001B45FB">
          <w:rPr>
            <w:webHidden/>
          </w:rPr>
          <w:instrText xml:space="preserve"> PAGEREF _Toc378322946 \h </w:instrText>
        </w:r>
        <w:r w:rsidR="001B45FB">
          <w:rPr>
            <w:webHidden/>
          </w:rPr>
        </w:r>
        <w:r w:rsidR="001B45FB">
          <w:rPr>
            <w:webHidden/>
          </w:rPr>
          <w:fldChar w:fldCharType="separate"/>
        </w:r>
        <w:r w:rsidR="00A968BD">
          <w:rPr>
            <w:webHidden/>
          </w:rPr>
          <w:t>31</w:t>
        </w:r>
        <w:r w:rsidR="001B45FB">
          <w:rPr>
            <w:webHidden/>
          </w:rPr>
          <w:fldChar w:fldCharType="end"/>
        </w:r>
      </w:hyperlink>
    </w:p>
    <w:p w:rsidR="001B45FB" w:rsidRDefault="000133A6">
      <w:pPr>
        <w:pStyle w:val="TOC2"/>
        <w:rPr>
          <w:rFonts w:asciiTheme="minorHAnsi" w:eastAsiaTheme="minorEastAsia" w:hAnsiTheme="minorHAnsi"/>
          <w:sz w:val="22"/>
          <w:lang w:eastAsia="en-AU"/>
        </w:rPr>
      </w:pPr>
      <w:hyperlink w:anchor="_Toc378322947" w:history="1">
        <w:r w:rsidR="001B45FB" w:rsidRPr="009855BB">
          <w:rPr>
            <w:rStyle w:val="Hyperlink"/>
          </w:rPr>
          <w:t>4.10</w:t>
        </w:r>
        <w:r w:rsidR="001B45FB">
          <w:rPr>
            <w:rFonts w:asciiTheme="minorHAnsi" w:eastAsiaTheme="minorEastAsia" w:hAnsiTheme="minorHAnsi"/>
            <w:sz w:val="22"/>
            <w:lang w:eastAsia="en-AU"/>
          </w:rPr>
          <w:tab/>
        </w:r>
        <w:r w:rsidR="001B45FB" w:rsidRPr="009855BB">
          <w:rPr>
            <w:rStyle w:val="Hyperlink"/>
          </w:rPr>
          <w:t>Other variations</w:t>
        </w:r>
        <w:r w:rsidR="001B45FB">
          <w:rPr>
            <w:webHidden/>
          </w:rPr>
          <w:tab/>
        </w:r>
        <w:r w:rsidR="001B45FB">
          <w:rPr>
            <w:webHidden/>
          </w:rPr>
          <w:fldChar w:fldCharType="begin"/>
        </w:r>
        <w:r w:rsidR="001B45FB">
          <w:rPr>
            <w:webHidden/>
          </w:rPr>
          <w:instrText xml:space="preserve"> PAGEREF _Toc378322947 \h </w:instrText>
        </w:r>
        <w:r w:rsidR="001B45FB">
          <w:rPr>
            <w:webHidden/>
          </w:rPr>
        </w:r>
        <w:r w:rsidR="001B45FB">
          <w:rPr>
            <w:webHidden/>
          </w:rPr>
          <w:fldChar w:fldCharType="separate"/>
        </w:r>
        <w:r w:rsidR="00A968BD">
          <w:rPr>
            <w:webHidden/>
          </w:rPr>
          <w:t>33</w:t>
        </w:r>
        <w:r w:rsidR="001B45FB">
          <w:rPr>
            <w:webHidden/>
          </w:rPr>
          <w:fldChar w:fldCharType="end"/>
        </w:r>
      </w:hyperlink>
    </w:p>
    <w:p w:rsidR="001B45FB" w:rsidRDefault="000133A6">
      <w:pPr>
        <w:pStyle w:val="TOC1"/>
        <w:rPr>
          <w:rFonts w:asciiTheme="minorHAnsi" w:eastAsiaTheme="minorEastAsia" w:hAnsiTheme="minorHAnsi"/>
          <w:b w:val="0"/>
          <w:sz w:val="22"/>
          <w:lang w:eastAsia="en-AU"/>
        </w:rPr>
      </w:pPr>
      <w:hyperlink w:anchor="_Toc378322948" w:history="1">
        <w:r w:rsidR="001B45FB" w:rsidRPr="009855BB">
          <w:rPr>
            <w:rStyle w:val="Hyperlink"/>
          </w:rPr>
          <w:t>5</w:t>
        </w:r>
        <w:r w:rsidR="001B45FB">
          <w:rPr>
            <w:rFonts w:asciiTheme="minorHAnsi" w:eastAsiaTheme="minorEastAsia" w:hAnsiTheme="minorHAnsi"/>
            <w:b w:val="0"/>
            <w:sz w:val="22"/>
            <w:lang w:eastAsia="en-AU"/>
          </w:rPr>
          <w:tab/>
        </w:r>
        <w:r w:rsidR="001B45FB" w:rsidRPr="009855BB">
          <w:rPr>
            <w:rStyle w:val="Hyperlink"/>
          </w:rPr>
          <w:t>Decision</w:t>
        </w:r>
        <w:r w:rsidR="001B45FB">
          <w:rPr>
            <w:webHidden/>
          </w:rPr>
          <w:tab/>
        </w:r>
        <w:r w:rsidR="001B45FB">
          <w:rPr>
            <w:webHidden/>
          </w:rPr>
          <w:fldChar w:fldCharType="begin"/>
        </w:r>
        <w:r w:rsidR="001B45FB">
          <w:rPr>
            <w:webHidden/>
          </w:rPr>
          <w:instrText xml:space="preserve"> PAGEREF _Toc378322948 \h </w:instrText>
        </w:r>
        <w:r w:rsidR="001B45FB">
          <w:rPr>
            <w:webHidden/>
          </w:rPr>
        </w:r>
        <w:r w:rsidR="001B45FB">
          <w:rPr>
            <w:webHidden/>
          </w:rPr>
          <w:fldChar w:fldCharType="separate"/>
        </w:r>
        <w:r w:rsidR="00A968BD">
          <w:rPr>
            <w:webHidden/>
          </w:rPr>
          <w:t>34</w:t>
        </w:r>
        <w:r w:rsidR="001B45FB">
          <w:rPr>
            <w:webHidden/>
          </w:rPr>
          <w:fldChar w:fldCharType="end"/>
        </w:r>
      </w:hyperlink>
    </w:p>
    <w:p w:rsidR="00A20E5A" w:rsidRDefault="00474608" w:rsidP="00A20E5A">
      <w:r>
        <w:fldChar w:fldCharType="end"/>
      </w:r>
    </w:p>
    <w:p w:rsidR="0098633C" w:rsidRDefault="0098633C" w:rsidP="00A20E5A"/>
    <w:p w:rsidR="0098633C" w:rsidRDefault="0098633C" w:rsidP="00A20E5A"/>
    <w:p w:rsidR="0067580A" w:rsidRDefault="00A70A39" w:rsidP="00644100">
      <w:pPr>
        <w:pStyle w:val="Glossaryheading"/>
      </w:pPr>
      <w:bookmarkStart w:id="3" w:name="_Toc378322923"/>
      <w:r>
        <w:lastRenderedPageBreak/>
        <w:t xml:space="preserve">Glossary </w:t>
      </w:r>
      <w:r w:rsidR="008B1F26">
        <w:t>of terms and abbreviations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498"/>
      </w:tblGrid>
      <w:tr w:rsidR="0067580A" w:rsidTr="0067580A">
        <w:trPr>
          <w:trHeight w:val="43"/>
        </w:trPr>
        <w:tc>
          <w:tcPr>
            <w:tcW w:w="2166" w:type="dxa"/>
          </w:tcPr>
          <w:p w:rsidR="0067580A" w:rsidRPr="00626A49" w:rsidRDefault="008B1F26" w:rsidP="0067580A">
            <w:pPr>
              <w:pStyle w:val="Tabletextleft"/>
              <w:rPr>
                <w:sz w:val="20"/>
                <w:szCs w:val="20"/>
              </w:rPr>
            </w:pPr>
            <w:r>
              <w:rPr>
                <w:sz w:val="20"/>
                <w:szCs w:val="20"/>
              </w:rPr>
              <w:t>2009 Undertaking</w:t>
            </w:r>
          </w:p>
        </w:tc>
        <w:tc>
          <w:tcPr>
            <w:tcW w:w="6498" w:type="dxa"/>
          </w:tcPr>
          <w:p w:rsidR="0067580A" w:rsidRPr="008B1F26" w:rsidRDefault="008B1F26" w:rsidP="0067580A">
            <w:pPr>
              <w:pStyle w:val="Tabletextleft"/>
              <w:rPr>
                <w:sz w:val="20"/>
                <w:szCs w:val="20"/>
              </w:rPr>
            </w:pPr>
            <w:r>
              <w:rPr>
                <w:sz w:val="20"/>
                <w:szCs w:val="20"/>
              </w:rPr>
              <w:t xml:space="preserve">The Port Terminal Services Access Undertaking submitted by </w:t>
            </w:r>
            <w:proofErr w:type="spellStart"/>
            <w:r>
              <w:rPr>
                <w:sz w:val="20"/>
                <w:szCs w:val="20"/>
              </w:rPr>
              <w:t>Viterra</w:t>
            </w:r>
            <w:proofErr w:type="spellEnd"/>
            <w:r>
              <w:rPr>
                <w:sz w:val="20"/>
                <w:szCs w:val="20"/>
              </w:rPr>
              <w:t xml:space="preserve"> Operations Limited on 24 September 2009, and accepted by the ACCC under Part IIIA of the </w:t>
            </w:r>
            <w:r>
              <w:rPr>
                <w:i/>
                <w:sz w:val="20"/>
                <w:szCs w:val="20"/>
              </w:rPr>
              <w:t xml:space="preserve">Competition and Consumer Act 2010 </w:t>
            </w:r>
            <w:r>
              <w:rPr>
                <w:sz w:val="20"/>
                <w:szCs w:val="20"/>
              </w:rPr>
              <w:t>on 29 September 2009</w:t>
            </w:r>
          </w:p>
        </w:tc>
      </w:tr>
      <w:tr w:rsidR="0067580A" w:rsidTr="0067580A">
        <w:trPr>
          <w:trHeight w:val="37"/>
        </w:trPr>
        <w:tc>
          <w:tcPr>
            <w:tcW w:w="2166" w:type="dxa"/>
          </w:tcPr>
          <w:p w:rsidR="0067580A" w:rsidRPr="00626A49" w:rsidRDefault="008B1F26" w:rsidP="0067580A">
            <w:pPr>
              <w:pStyle w:val="Tabletextleft"/>
              <w:rPr>
                <w:sz w:val="20"/>
                <w:szCs w:val="20"/>
              </w:rPr>
            </w:pPr>
            <w:r>
              <w:rPr>
                <w:sz w:val="20"/>
                <w:szCs w:val="20"/>
              </w:rPr>
              <w:t>2011 Undertaking</w:t>
            </w:r>
          </w:p>
        </w:tc>
        <w:tc>
          <w:tcPr>
            <w:tcW w:w="6498" w:type="dxa"/>
          </w:tcPr>
          <w:p w:rsidR="0067580A" w:rsidRPr="008B1F26" w:rsidRDefault="008B1F26" w:rsidP="0067580A">
            <w:pPr>
              <w:pStyle w:val="Tabletextleft"/>
              <w:rPr>
                <w:sz w:val="20"/>
                <w:szCs w:val="20"/>
              </w:rPr>
            </w:pPr>
            <w:r>
              <w:rPr>
                <w:sz w:val="20"/>
                <w:szCs w:val="20"/>
              </w:rPr>
              <w:t xml:space="preserve">The Port Terminal Services Access Undertaking submitted by </w:t>
            </w:r>
            <w:proofErr w:type="spellStart"/>
            <w:r>
              <w:rPr>
                <w:sz w:val="20"/>
                <w:szCs w:val="20"/>
              </w:rPr>
              <w:t>Viterra</w:t>
            </w:r>
            <w:proofErr w:type="spellEnd"/>
            <w:r>
              <w:rPr>
                <w:sz w:val="20"/>
                <w:szCs w:val="20"/>
              </w:rPr>
              <w:t xml:space="preserve"> Operations Limited on 22 September 2011, and accepted by the ACCC under Part IIIA of the </w:t>
            </w:r>
            <w:r>
              <w:rPr>
                <w:i/>
                <w:sz w:val="20"/>
                <w:szCs w:val="20"/>
              </w:rPr>
              <w:t xml:space="preserve">Competition and Consumer Act 2010 </w:t>
            </w:r>
            <w:r>
              <w:rPr>
                <w:sz w:val="20"/>
                <w:szCs w:val="20"/>
              </w:rPr>
              <w:t>on 28 September 2011</w:t>
            </w:r>
          </w:p>
        </w:tc>
      </w:tr>
      <w:tr w:rsidR="0067580A" w:rsidTr="0067580A">
        <w:trPr>
          <w:trHeight w:val="37"/>
        </w:trPr>
        <w:tc>
          <w:tcPr>
            <w:tcW w:w="2166" w:type="dxa"/>
          </w:tcPr>
          <w:p w:rsidR="0067580A" w:rsidRPr="00626A49" w:rsidRDefault="008B1F26" w:rsidP="0067580A">
            <w:pPr>
              <w:pStyle w:val="Tabletextleft"/>
              <w:rPr>
                <w:sz w:val="20"/>
                <w:szCs w:val="20"/>
              </w:rPr>
            </w:pPr>
            <w:r>
              <w:rPr>
                <w:sz w:val="20"/>
                <w:szCs w:val="20"/>
              </w:rPr>
              <w:t xml:space="preserve">ACCC </w:t>
            </w:r>
          </w:p>
        </w:tc>
        <w:tc>
          <w:tcPr>
            <w:tcW w:w="6498" w:type="dxa"/>
          </w:tcPr>
          <w:p w:rsidR="0067580A" w:rsidRPr="00626A49" w:rsidRDefault="008B1F26" w:rsidP="0067580A">
            <w:pPr>
              <w:pStyle w:val="Tabletextleft"/>
              <w:rPr>
                <w:sz w:val="20"/>
                <w:szCs w:val="20"/>
              </w:rPr>
            </w:pPr>
            <w:r>
              <w:rPr>
                <w:sz w:val="20"/>
                <w:szCs w:val="20"/>
              </w:rPr>
              <w:t>Australian Competition and Consumer Commission</w:t>
            </w:r>
          </w:p>
        </w:tc>
      </w:tr>
      <w:tr w:rsidR="0067580A" w:rsidTr="0067580A">
        <w:trPr>
          <w:trHeight w:val="37"/>
        </w:trPr>
        <w:tc>
          <w:tcPr>
            <w:tcW w:w="2166" w:type="dxa"/>
          </w:tcPr>
          <w:p w:rsidR="0067580A" w:rsidRPr="00626A49" w:rsidRDefault="00AD4640" w:rsidP="0067580A">
            <w:pPr>
              <w:pStyle w:val="Tabletextleft"/>
              <w:rPr>
                <w:sz w:val="20"/>
                <w:szCs w:val="20"/>
              </w:rPr>
            </w:pPr>
            <w:r>
              <w:rPr>
                <w:sz w:val="20"/>
                <w:szCs w:val="20"/>
              </w:rPr>
              <w:t xml:space="preserve">Original </w:t>
            </w:r>
            <w:r w:rsidR="00E8055D">
              <w:rPr>
                <w:sz w:val="20"/>
                <w:szCs w:val="20"/>
              </w:rPr>
              <w:t>a</w:t>
            </w:r>
            <w:r w:rsidR="008B1F26">
              <w:rPr>
                <w:sz w:val="20"/>
                <w:szCs w:val="20"/>
              </w:rPr>
              <w:t>pplication to extend and vary</w:t>
            </w:r>
          </w:p>
        </w:tc>
        <w:tc>
          <w:tcPr>
            <w:tcW w:w="6498" w:type="dxa"/>
          </w:tcPr>
          <w:p w:rsidR="0067580A" w:rsidRPr="00626A49" w:rsidRDefault="008B1F26" w:rsidP="00E8055D">
            <w:pPr>
              <w:pStyle w:val="Tabletextleft"/>
              <w:rPr>
                <w:sz w:val="20"/>
                <w:szCs w:val="20"/>
              </w:rPr>
            </w:pPr>
            <w:r>
              <w:rPr>
                <w:sz w:val="20"/>
                <w:szCs w:val="20"/>
              </w:rPr>
              <w:t xml:space="preserve">The application lodged </w:t>
            </w:r>
            <w:r w:rsidR="00644100">
              <w:rPr>
                <w:sz w:val="20"/>
                <w:szCs w:val="20"/>
              </w:rPr>
              <w:t xml:space="preserve">by </w:t>
            </w:r>
            <w:proofErr w:type="spellStart"/>
            <w:r w:rsidR="00644100">
              <w:rPr>
                <w:sz w:val="20"/>
                <w:szCs w:val="20"/>
              </w:rPr>
              <w:t>Viterra</w:t>
            </w:r>
            <w:proofErr w:type="spellEnd"/>
            <w:r w:rsidR="00644100">
              <w:rPr>
                <w:sz w:val="20"/>
                <w:szCs w:val="20"/>
              </w:rPr>
              <w:t xml:space="preserve"> Operations Limited on 25 July 2013 to </w:t>
            </w:r>
            <w:r w:rsidR="00E8055D">
              <w:rPr>
                <w:sz w:val="20"/>
                <w:szCs w:val="20"/>
              </w:rPr>
              <w:t>extend and vary</w:t>
            </w:r>
            <w:r w:rsidR="00644100">
              <w:rPr>
                <w:sz w:val="20"/>
                <w:szCs w:val="20"/>
              </w:rPr>
              <w:t xml:space="preserve"> the operation of its 2011 Undertaking</w:t>
            </w:r>
            <w:r w:rsidR="00B03020">
              <w:rPr>
                <w:sz w:val="20"/>
                <w:szCs w:val="20"/>
              </w:rPr>
              <w:t xml:space="preserve">. </w:t>
            </w:r>
            <w:proofErr w:type="spellStart"/>
            <w:r w:rsidR="00B03020">
              <w:rPr>
                <w:sz w:val="20"/>
                <w:szCs w:val="20"/>
              </w:rPr>
              <w:t>Viterra</w:t>
            </w:r>
            <w:proofErr w:type="spellEnd"/>
            <w:r w:rsidR="00B03020">
              <w:rPr>
                <w:sz w:val="20"/>
                <w:szCs w:val="20"/>
              </w:rPr>
              <w:t xml:space="preserve"> withdrew this </w:t>
            </w:r>
            <w:r w:rsidR="001B45FB">
              <w:rPr>
                <w:sz w:val="20"/>
                <w:szCs w:val="20"/>
              </w:rPr>
              <w:t>application on 12 December 2013</w:t>
            </w:r>
          </w:p>
        </w:tc>
      </w:tr>
      <w:tr w:rsidR="008F4532" w:rsidTr="0067580A">
        <w:trPr>
          <w:trHeight w:val="37"/>
        </w:trPr>
        <w:tc>
          <w:tcPr>
            <w:tcW w:w="2166" w:type="dxa"/>
          </w:tcPr>
          <w:p w:rsidR="008F4532" w:rsidRDefault="008F4532" w:rsidP="0067580A">
            <w:pPr>
              <w:pStyle w:val="Tabletextleft"/>
              <w:rPr>
                <w:sz w:val="20"/>
                <w:szCs w:val="20"/>
              </w:rPr>
            </w:pPr>
            <w:r>
              <w:rPr>
                <w:sz w:val="20"/>
                <w:szCs w:val="20"/>
              </w:rPr>
              <w:t>Draft Decision</w:t>
            </w:r>
          </w:p>
        </w:tc>
        <w:tc>
          <w:tcPr>
            <w:tcW w:w="6498" w:type="dxa"/>
          </w:tcPr>
          <w:p w:rsidR="008F4532" w:rsidRDefault="008F4532" w:rsidP="0067580A">
            <w:pPr>
              <w:pStyle w:val="Tabletextleft"/>
              <w:rPr>
                <w:sz w:val="20"/>
                <w:szCs w:val="20"/>
              </w:rPr>
            </w:pPr>
            <w:r>
              <w:rPr>
                <w:sz w:val="20"/>
                <w:szCs w:val="20"/>
              </w:rPr>
              <w:t xml:space="preserve">The ACCC’s draft decision on </w:t>
            </w:r>
            <w:proofErr w:type="spellStart"/>
            <w:r>
              <w:rPr>
                <w:sz w:val="20"/>
                <w:szCs w:val="20"/>
              </w:rPr>
              <w:t>Viterra’s</w:t>
            </w:r>
            <w:proofErr w:type="spellEnd"/>
            <w:r>
              <w:rPr>
                <w:sz w:val="20"/>
                <w:szCs w:val="20"/>
              </w:rPr>
              <w:t xml:space="preserve"> </w:t>
            </w:r>
            <w:r w:rsidR="00372BB9">
              <w:rPr>
                <w:sz w:val="20"/>
                <w:szCs w:val="20"/>
              </w:rPr>
              <w:t>original a</w:t>
            </w:r>
            <w:r>
              <w:rPr>
                <w:sz w:val="20"/>
                <w:szCs w:val="20"/>
              </w:rPr>
              <w:t xml:space="preserve">pplication to extend and vary, published on 21 November 2013 </w:t>
            </w:r>
          </w:p>
        </w:tc>
      </w:tr>
      <w:tr w:rsidR="00E8055D" w:rsidTr="0067580A">
        <w:trPr>
          <w:trHeight w:val="37"/>
        </w:trPr>
        <w:tc>
          <w:tcPr>
            <w:tcW w:w="2166" w:type="dxa"/>
          </w:tcPr>
          <w:p w:rsidR="00E8055D" w:rsidRDefault="00475237" w:rsidP="0067580A">
            <w:pPr>
              <w:pStyle w:val="Tabletextleft"/>
              <w:rPr>
                <w:sz w:val="20"/>
                <w:szCs w:val="20"/>
              </w:rPr>
            </w:pPr>
            <w:r>
              <w:rPr>
                <w:sz w:val="20"/>
                <w:szCs w:val="20"/>
              </w:rPr>
              <w:t xml:space="preserve">Amended </w:t>
            </w:r>
            <w:r w:rsidR="00E8055D">
              <w:rPr>
                <w:sz w:val="20"/>
                <w:szCs w:val="20"/>
              </w:rPr>
              <w:t>application to extend and vary</w:t>
            </w:r>
          </w:p>
        </w:tc>
        <w:tc>
          <w:tcPr>
            <w:tcW w:w="6498" w:type="dxa"/>
          </w:tcPr>
          <w:p w:rsidR="00E8055D" w:rsidRDefault="00E8055D" w:rsidP="0067580A">
            <w:pPr>
              <w:pStyle w:val="Tabletextleft"/>
              <w:rPr>
                <w:sz w:val="20"/>
                <w:szCs w:val="20"/>
              </w:rPr>
            </w:pPr>
            <w:r>
              <w:rPr>
                <w:sz w:val="20"/>
                <w:szCs w:val="20"/>
              </w:rPr>
              <w:t xml:space="preserve">The application lodged by </w:t>
            </w:r>
            <w:proofErr w:type="spellStart"/>
            <w:r>
              <w:rPr>
                <w:sz w:val="20"/>
                <w:szCs w:val="20"/>
              </w:rPr>
              <w:t>Viterra</w:t>
            </w:r>
            <w:proofErr w:type="spellEnd"/>
            <w:r>
              <w:rPr>
                <w:sz w:val="20"/>
                <w:szCs w:val="20"/>
              </w:rPr>
              <w:t xml:space="preserve"> Operations Limited on 12 December 2013 to extend and vary the operation of its 2011 Undertaking</w:t>
            </w:r>
            <w:r w:rsidR="00372BB9">
              <w:rPr>
                <w:sz w:val="20"/>
                <w:szCs w:val="20"/>
              </w:rPr>
              <w:t>,</w:t>
            </w:r>
            <w:r>
              <w:rPr>
                <w:sz w:val="20"/>
                <w:szCs w:val="20"/>
              </w:rPr>
              <w:t xml:space="preserve"> incorporating variations to </w:t>
            </w:r>
            <w:proofErr w:type="spellStart"/>
            <w:r>
              <w:rPr>
                <w:sz w:val="20"/>
                <w:szCs w:val="20"/>
              </w:rPr>
              <w:t>Viterra’s</w:t>
            </w:r>
            <w:proofErr w:type="spellEnd"/>
            <w:r>
              <w:rPr>
                <w:sz w:val="20"/>
                <w:szCs w:val="20"/>
              </w:rPr>
              <w:t xml:space="preserve"> P</w:t>
            </w:r>
            <w:r w:rsidR="00372BB9">
              <w:rPr>
                <w:sz w:val="20"/>
                <w:szCs w:val="20"/>
              </w:rPr>
              <w:t xml:space="preserve">ort </w:t>
            </w:r>
            <w:r>
              <w:rPr>
                <w:sz w:val="20"/>
                <w:szCs w:val="20"/>
              </w:rPr>
              <w:t>L</w:t>
            </w:r>
            <w:r w:rsidR="00372BB9">
              <w:rPr>
                <w:sz w:val="20"/>
                <w:szCs w:val="20"/>
              </w:rPr>
              <w:t xml:space="preserve">oading </w:t>
            </w:r>
            <w:r>
              <w:rPr>
                <w:sz w:val="20"/>
                <w:szCs w:val="20"/>
              </w:rPr>
              <w:t>P</w:t>
            </w:r>
            <w:r w:rsidR="00372BB9">
              <w:rPr>
                <w:sz w:val="20"/>
                <w:szCs w:val="20"/>
              </w:rPr>
              <w:t>rotocol</w:t>
            </w:r>
            <w:r>
              <w:rPr>
                <w:sz w:val="20"/>
                <w:szCs w:val="20"/>
              </w:rPr>
              <w:t xml:space="preserve">s made pursuant to clause 9.3 of </w:t>
            </w:r>
            <w:proofErr w:type="spellStart"/>
            <w:r>
              <w:rPr>
                <w:sz w:val="20"/>
                <w:szCs w:val="20"/>
              </w:rPr>
              <w:t>Viterra’s</w:t>
            </w:r>
            <w:proofErr w:type="spellEnd"/>
            <w:r>
              <w:rPr>
                <w:sz w:val="20"/>
                <w:szCs w:val="20"/>
              </w:rPr>
              <w:t xml:space="preserve"> 2011 Undertaking</w:t>
            </w:r>
            <w:r w:rsidR="00372BB9">
              <w:rPr>
                <w:sz w:val="20"/>
                <w:szCs w:val="20"/>
              </w:rPr>
              <w:t xml:space="preserve"> and two minor changes to </w:t>
            </w:r>
            <w:proofErr w:type="spellStart"/>
            <w:r w:rsidR="00372BB9">
              <w:rPr>
                <w:sz w:val="20"/>
                <w:szCs w:val="20"/>
              </w:rPr>
              <w:t>Viterra’s</w:t>
            </w:r>
            <w:proofErr w:type="spellEnd"/>
            <w:r w:rsidR="00372BB9">
              <w:rPr>
                <w:sz w:val="20"/>
                <w:szCs w:val="20"/>
              </w:rPr>
              <w:t xml:space="preserve"> Port Terminal Services Agreement</w:t>
            </w:r>
          </w:p>
        </w:tc>
      </w:tr>
      <w:tr w:rsidR="0067580A" w:rsidTr="0067580A">
        <w:trPr>
          <w:trHeight w:val="37"/>
        </w:trPr>
        <w:tc>
          <w:tcPr>
            <w:tcW w:w="2166" w:type="dxa"/>
          </w:tcPr>
          <w:p w:rsidR="0067580A" w:rsidRPr="00626A49" w:rsidRDefault="00644100" w:rsidP="0067580A">
            <w:pPr>
              <w:pStyle w:val="Tabletextleft"/>
              <w:rPr>
                <w:sz w:val="20"/>
                <w:szCs w:val="20"/>
              </w:rPr>
            </w:pPr>
            <w:r>
              <w:rPr>
                <w:sz w:val="20"/>
                <w:szCs w:val="20"/>
              </w:rPr>
              <w:t>PLPs</w:t>
            </w:r>
          </w:p>
        </w:tc>
        <w:tc>
          <w:tcPr>
            <w:tcW w:w="6498" w:type="dxa"/>
          </w:tcPr>
          <w:p w:rsidR="0067580A" w:rsidRPr="00626A49" w:rsidRDefault="00644100" w:rsidP="00CE389D">
            <w:pPr>
              <w:pStyle w:val="Tabletextleft"/>
              <w:rPr>
                <w:sz w:val="20"/>
                <w:szCs w:val="20"/>
              </w:rPr>
            </w:pPr>
            <w:proofErr w:type="spellStart"/>
            <w:r>
              <w:rPr>
                <w:sz w:val="20"/>
                <w:szCs w:val="20"/>
              </w:rPr>
              <w:t>Viterra’s</w:t>
            </w:r>
            <w:proofErr w:type="spellEnd"/>
            <w:r>
              <w:rPr>
                <w:sz w:val="20"/>
                <w:szCs w:val="20"/>
              </w:rPr>
              <w:t xml:space="preserve"> Port Loading Protocols – attached as a schedule to </w:t>
            </w:r>
            <w:proofErr w:type="spellStart"/>
            <w:r>
              <w:rPr>
                <w:sz w:val="20"/>
                <w:szCs w:val="20"/>
              </w:rPr>
              <w:t>Viterra’s</w:t>
            </w:r>
            <w:proofErr w:type="spellEnd"/>
            <w:r>
              <w:rPr>
                <w:sz w:val="20"/>
                <w:szCs w:val="20"/>
              </w:rPr>
              <w:t xml:space="preserve"> 2011 Undertaking</w:t>
            </w:r>
          </w:p>
        </w:tc>
      </w:tr>
      <w:tr w:rsidR="0067580A" w:rsidTr="0067580A">
        <w:trPr>
          <w:trHeight w:val="37"/>
        </w:trPr>
        <w:tc>
          <w:tcPr>
            <w:tcW w:w="2166" w:type="dxa"/>
          </w:tcPr>
          <w:p w:rsidR="0067580A" w:rsidRPr="00626A49" w:rsidRDefault="00644100" w:rsidP="0067580A">
            <w:pPr>
              <w:pStyle w:val="Tabletextleft"/>
              <w:rPr>
                <w:sz w:val="20"/>
                <w:szCs w:val="20"/>
              </w:rPr>
            </w:pPr>
            <w:r>
              <w:rPr>
                <w:sz w:val="20"/>
                <w:szCs w:val="20"/>
              </w:rPr>
              <w:t>Standard Terms</w:t>
            </w:r>
          </w:p>
        </w:tc>
        <w:tc>
          <w:tcPr>
            <w:tcW w:w="6498" w:type="dxa"/>
          </w:tcPr>
          <w:p w:rsidR="0067580A" w:rsidRPr="00626A49" w:rsidRDefault="00644100" w:rsidP="00CE389D">
            <w:pPr>
              <w:pStyle w:val="Tabletextleft"/>
              <w:rPr>
                <w:sz w:val="20"/>
                <w:szCs w:val="20"/>
              </w:rPr>
            </w:pPr>
            <w:proofErr w:type="spellStart"/>
            <w:r>
              <w:rPr>
                <w:sz w:val="20"/>
                <w:szCs w:val="20"/>
              </w:rPr>
              <w:t>Viterra’s</w:t>
            </w:r>
            <w:proofErr w:type="spellEnd"/>
            <w:r>
              <w:rPr>
                <w:sz w:val="20"/>
                <w:szCs w:val="20"/>
              </w:rPr>
              <w:t xml:space="preserve"> Port Terminal Services Agreement – attached as a schedule</w:t>
            </w:r>
            <w:r w:rsidR="00CE389D">
              <w:rPr>
                <w:sz w:val="20"/>
                <w:szCs w:val="20"/>
              </w:rPr>
              <w:t xml:space="preserve"> </w:t>
            </w:r>
            <w:r>
              <w:rPr>
                <w:sz w:val="20"/>
                <w:szCs w:val="20"/>
              </w:rPr>
              <w:t>t</w:t>
            </w:r>
            <w:r w:rsidR="00475237">
              <w:rPr>
                <w:sz w:val="20"/>
                <w:szCs w:val="20"/>
              </w:rPr>
              <w:t>o</w:t>
            </w:r>
            <w:r>
              <w:rPr>
                <w:sz w:val="20"/>
                <w:szCs w:val="20"/>
              </w:rPr>
              <w:t xml:space="preserve"> </w:t>
            </w:r>
            <w:proofErr w:type="spellStart"/>
            <w:r>
              <w:rPr>
                <w:sz w:val="20"/>
                <w:szCs w:val="20"/>
              </w:rPr>
              <w:t>Viterra’s</w:t>
            </w:r>
            <w:proofErr w:type="spellEnd"/>
            <w:r>
              <w:rPr>
                <w:sz w:val="20"/>
                <w:szCs w:val="20"/>
              </w:rPr>
              <w:t xml:space="preserve"> 2011 Undertaking</w:t>
            </w:r>
          </w:p>
        </w:tc>
      </w:tr>
      <w:tr w:rsidR="0067580A" w:rsidTr="0067580A">
        <w:trPr>
          <w:trHeight w:val="37"/>
        </w:trPr>
        <w:tc>
          <w:tcPr>
            <w:tcW w:w="2166" w:type="dxa"/>
          </w:tcPr>
          <w:p w:rsidR="0067580A" w:rsidRPr="00626A49" w:rsidRDefault="00644100" w:rsidP="0067580A">
            <w:pPr>
              <w:pStyle w:val="Tabletextleft"/>
              <w:rPr>
                <w:sz w:val="20"/>
                <w:szCs w:val="20"/>
              </w:rPr>
            </w:pPr>
            <w:proofErr w:type="spellStart"/>
            <w:r>
              <w:rPr>
                <w:sz w:val="20"/>
                <w:szCs w:val="20"/>
              </w:rPr>
              <w:t>Viterra</w:t>
            </w:r>
            <w:proofErr w:type="spellEnd"/>
          </w:p>
        </w:tc>
        <w:tc>
          <w:tcPr>
            <w:tcW w:w="6498" w:type="dxa"/>
          </w:tcPr>
          <w:p w:rsidR="0067580A" w:rsidRPr="00626A49" w:rsidRDefault="00644100" w:rsidP="0067580A">
            <w:pPr>
              <w:pStyle w:val="Tabletextleft"/>
              <w:rPr>
                <w:sz w:val="20"/>
                <w:szCs w:val="20"/>
              </w:rPr>
            </w:pPr>
            <w:proofErr w:type="spellStart"/>
            <w:r>
              <w:rPr>
                <w:sz w:val="20"/>
                <w:szCs w:val="20"/>
              </w:rPr>
              <w:t>Viterra</w:t>
            </w:r>
            <w:proofErr w:type="spellEnd"/>
            <w:r>
              <w:rPr>
                <w:sz w:val="20"/>
                <w:szCs w:val="20"/>
              </w:rPr>
              <w:t xml:space="preserve"> Operations Limited</w:t>
            </w:r>
          </w:p>
        </w:tc>
      </w:tr>
      <w:tr w:rsidR="0067580A" w:rsidTr="0067580A">
        <w:trPr>
          <w:trHeight w:val="37"/>
        </w:trPr>
        <w:tc>
          <w:tcPr>
            <w:tcW w:w="2166" w:type="dxa"/>
          </w:tcPr>
          <w:p w:rsidR="0067580A" w:rsidRPr="00626A49" w:rsidRDefault="00644100" w:rsidP="0067580A">
            <w:pPr>
              <w:pStyle w:val="Tabletextleft"/>
              <w:rPr>
                <w:sz w:val="20"/>
                <w:szCs w:val="20"/>
              </w:rPr>
            </w:pPr>
            <w:r>
              <w:rPr>
                <w:sz w:val="20"/>
                <w:szCs w:val="20"/>
              </w:rPr>
              <w:t>WEMA</w:t>
            </w:r>
          </w:p>
        </w:tc>
        <w:tc>
          <w:tcPr>
            <w:tcW w:w="6498" w:type="dxa"/>
          </w:tcPr>
          <w:p w:rsidR="0067580A" w:rsidRPr="00644100" w:rsidRDefault="00644100" w:rsidP="0067580A">
            <w:pPr>
              <w:pStyle w:val="Tabletextleft"/>
              <w:rPr>
                <w:sz w:val="20"/>
                <w:szCs w:val="20"/>
              </w:rPr>
            </w:pPr>
            <w:r>
              <w:rPr>
                <w:i/>
                <w:sz w:val="20"/>
                <w:szCs w:val="20"/>
              </w:rPr>
              <w:t xml:space="preserve">Wheat Export Marketing Act 2008 </w:t>
            </w:r>
            <w:r>
              <w:rPr>
                <w:sz w:val="20"/>
                <w:szCs w:val="20"/>
              </w:rPr>
              <w:t>(</w:t>
            </w:r>
            <w:proofErr w:type="spellStart"/>
            <w:r>
              <w:rPr>
                <w:sz w:val="20"/>
                <w:szCs w:val="20"/>
              </w:rPr>
              <w:t>Cth</w:t>
            </w:r>
            <w:proofErr w:type="spellEnd"/>
            <w:r>
              <w:rPr>
                <w:sz w:val="20"/>
                <w:szCs w:val="20"/>
              </w:rPr>
              <w:t>)</w:t>
            </w:r>
          </w:p>
        </w:tc>
      </w:tr>
    </w:tbl>
    <w:p w:rsidR="00644100" w:rsidRDefault="00644100" w:rsidP="00644100">
      <w:pPr>
        <w:rPr>
          <w:rFonts w:eastAsia="Calibri" w:cs="Times New Roman"/>
        </w:rPr>
      </w:pPr>
    </w:p>
    <w:p w:rsidR="00644100" w:rsidRPr="00644100" w:rsidRDefault="00644100" w:rsidP="00644100">
      <w:pPr>
        <w:rPr>
          <w:rFonts w:eastAsia="Calibri" w:cs="Times New Roman"/>
        </w:rPr>
      </w:pPr>
      <w:r w:rsidRPr="00644100">
        <w:rPr>
          <w:rFonts w:eastAsia="Calibri" w:cs="Times New Roman"/>
        </w:rPr>
        <w:t xml:space="preserve">Capitalised terms used in this </w:t>
      </w:r>
      <w:r w:rsidR="008F4532">
        <w:rPr>
          <w:rFonts w:eastAsia="Calibri" w:cs="Times New Roman"/>
        </w:rPr>
        <w:t xml:space="preserve">Final Decision </w:t>
      </w:r>
      <w:r w:rsidRPr="00644100">
        <w:rPr>
          <w:rFonts w:eastAsia="Calibri" w:cs="Times New Roman"/>
        </w:rPr>
        <w:t xml:space="preserve">and not defined in this glossary or the body of this document are terms defined in section 13 of </w:t>
      </w:r>
      <w:proofErr w:type="spellStart"/>
      <w:r w:rsidRPr="00644100">
        <w:rPr>
          <w:rFonts w:eastAsia="Calibri" w:cs="Times New Roman"/>
        </w:rPr>
        <w:t>Viterra’s</w:t>
      </w:r>
      <w:proofErr w:type="spellEnd"/>
      <w:r w:rsidRPr="00644100">
        <w:rPr>
          <w:rFonts w:eastAsia="Calibri" w:cs="Times New Roman"/>
        </w:rPr>
        <w:t xml:space="preserve"> Port Terminal Services Agreement or section 16 of </w:t>
      </w:r>
      <w:proofErr w:type="spellStart"/>
      <w:r w:rsidRPr="00644100">
        <w:rPr>
          <w:rFonts w:eastAsia="Calibri" w:cs="Times New Roman"/>
        </w:rPr>
        <w:t>Viterra’s</w:t>
      </w:r>
      <w:proofErr w:type="spellEnd"/>
      <w:r w:rsidRPr="00644100">
        <w:rPr>
          <w:rFonts w:eastAsia="Calibri" w:cs="Times New Roman"/>
        </w:rPr>
        <w:t xml:space="preserve"> Port Loading Protocols.</w:t>
      </w:r>
    </w:p>
    <w:p w:rsidR="00644100" w:rsidRDefault="00644100" w:rsidP="00644100"/>
    <w:p w:rsidR="00A70A39" w:rsidRDefault="00A70A39" w:rsidP="00837A98">
      <w:pPr>
        <w:pStyle w:val="Summaryheading"/>
      </w:pPr>
      <w:bookmarkStart w:id="4" w:name="_Toc378322924"/>
      <w:r>
        <w:lastRenderedPageBreak/>
        <w:t>Summary</w:t>
      </w:r>
      <w:bookmarkEnd w:id="4"/>
      <w:r>
        <w:t xml:space="preserve"> </w:t>
      </w:r>
    </w:p>
    <w:p w:rsidR="007B3878" w:rsidRPr="00B03020" w:rsidRDefault="00475237" w:rsidP="007B3878">
      <w:pPr>
        <w:rPr>
          <w:b/>
        </w:rPr>
      </w:pPr>
      <w:r>
        <w:t>The Australian Competition and Consumer Commission (</w:t>
      </w:r>
      <w:r w:rsidRPr="00AD4640">
        <w:rPr>
          <w:b/>
        </w:rPr>
        <w:t>ACCC</w:t>
      </w:r>
      <w:r>
        <w:t>)</w:t>
      </w:r>
      <w:r w:rsidR="00FE7DF0">
        <w:t>, on 28 September 2011,</w:t>
      </w:r>
      <w:r w:rsidR="007B3878">
        <w:t xml:space="preserve"> </w:t>
      </w:r>
      <w:r w:rsidR="00FE7DF0">
        <w:t xml:space="preserve">accepted </w:t>
      </w:r>
      <w:r w:rsidR="00151905">
        <w:t xml:space="preserve">a </w:t>
      </w:r>
      <w:r w:rsidR="00FE7DF0">
        <w:t xml:space="preserve">Port Terminal Services Access Undertaking submitted by </w:t>
      </w:r>
      <w:proofErr w:type="spellStart"/>
      <w:r w:rsidR="00FE7DF0">
        <w:t>Viterra</w:t>
      </w:r>
      <w:proofErr w:type="spellEnd"/>
      <w:r w:rsidR="00FE7DF0">
        <w:t xml:space="preserve"> Operations Limited (</w:t>
      </w:r>
      <w:r w:rsidR="00FE7DF0" w:rsidRPr="00487257">
        <w:rPr>
          <w:b/>
        </w:rPr>
        <w:t>2011 Undertaking</w:t>
      </w:r>
      <w:r w:rsidR="00FE7DF0">
        <w:t xml:space="preserve">). The ACCC </w:t>
      </w:r>
      <w:r w:rsidR="00625983">
        <w:t xml:space="preserve">now </w:t>
      </w:r>
      <w:r>
        <w:t xml:space="preserve">consents to </w:t>
      </w:r>
      <w:proofErr w:type="spellStart"/>
      <w:r w:rsidR="003E67D5">
        <w:t>Viterra</w:t>
      </w:r>
      <w:proofErr w:type="spellEnd"/>
      <w:r w:rsidR="003E67D5">
        <w:t xml:space="preserve"> Operations Limited’s (</w:t>
      </w:r>
      <w:proofErr w:type="spellStart"/>
      <w:r w:rsidR="003E67D5">
        <w:rPr>
          <w:b/>
        </w:rPr>
        <w:t>Viterra</w:t>
      </w:r>
      <w:proofErr w:type="spellEnd"/>
      <w:r w:rsidR="003E67D5">
        <w:t xml:space="preserve">) </w:t>
      </w:r>
      <w:r w:rsidR="00FE7DF0">
        <w:t>a</w:t>
      </w:r>
      <w:r w:rsidR="00930B40">
        <w:t xml:space="preserve">mended application to extend and vary its </w:t>
      </w:r>
      <w:r w:rsidR="00151905">
        <w:t>2011</w:t>
      </w:r>
      <w:r w:rsidR="00930B40">
        <w:t xml:space="preserve"> Undertaking</w:t>
      </w:r>
      <w:r w:rsidR="00625983">
        <w:t>,</w:t>
      </w:r>
      <w:r w:rsidR="00B03020">
        <w:t xml:space="preserve"> as provided on 12 December 2013</w:t>
      </w:r>
      <w:r w:rsidR="00930B40">
        <w:t xml:space="preserve"> (</w:t>
      </w:r>
      <w:r w:rsidR="00930B40">
        <w:rPr>
          <w:b/>
        </w:rPr>
        <w:t>Amended application to extend and vary</w:t>
      </w:r>
      <w:r w:rsidR="00930B40">
        <w:t>)</w:t>
      </w:r>
      <w:r w:rsidR="00930B40">
        <w:rPr>
          <w:b/>
        </w:rPr>
        <w:t xml:space="preserve">, </w:t>
      </w:r>
      <w:r>
        <w:t xml:space="preserve">pursuant to sections </w:t>
      </w:r>
      <w:r w:rsidR="007237F9">
        <w:t>44ZZBB and 44ZZA(7)</w:t>
      </w:r>
      <w:r>
        <w:t xml:space="preserve"> of the </w:t>
      </w:r>
      <w:r>
        <w:rPr>
          <w:i/>
        </w:rPr>
        <w:t>Competition and Consumer Act 2010</w:t>
      </w:r>
      <w:r>
        <w:t xml:space="preserve"> (</w:t>
      </w:r>
      <w:r w:rsidRPr="00A968BD">
        <w:rPr>
          <w:b/>
        </w:rPr>
        <w:t>CCA</w:t>
      </w:r>
      <w:r>
        <w:t>).</w:t>
      </w:r>
      <w:r w:rsidR="00B03020">
        <w:t xml:space="preserve"> The Amended application to extend and vary replaced the application to extend and vary</w:t>
      </w:r>
      <w:r w:rsidR="00FE7DF0">
        <w:t xml:space="preserve"> that was lodged by </w:t>
      </w:r>
      <w:proofErr w:type="spellStart"/>
      <w:r w:rsidR="00FE7DF0">
        <w:t>Viterra</w:t>
      </w:r>
      <w:proofErr w:type="spellEnd"/>
      <w:r w:rsidR="00FE7DF0">
        <w:t xml:space="preserve"> on 25 July 2013 (</w:t>
      </w:r>
      <w:r w:rsidR="00FE7DF0">
        <w:rPr>
          <w:b/>
        </w:rPr>
        <w:t>Original application to extend and vary</w:t>
      </w:r>
      <w:r w:rsidR="00FE7DF0">
        <w:t>)</w:t>
      </w:r>
      <w:r w:rsidR="00151905">
        <w:t>. The Original application</w:t>
      </w:r>
      <w:r w:rsidR="00B03020">
        <w:t xml:space="preserve"> was </w:t>
      </w:r>
      <w:r w:rsidR="00EA1C66">
        <w:t>withdrawn on 12 December 2013.</w:t>
      </w:r>
    </w:p>
    <w:p w:rsidR="005F49E8" w:rsidRDefault="00674E54" w:rsidP="00674E54">
      <w:r>
        <w:t>On 21 November 2013 the ACCC released a Draft Decision</w:t>
      </w:r>
      <w:r w:rsidR="00372BB9">
        <w:t xml:space="preserve"> on </w:t>
      </w:r>
      <w:proofErr w:type="spellStart"/>
      <w:r w:rsidR="00372BB9">
        <w:t>Viterra’s</w:t>
      </w:r>
      <w:proofErr w:type="spellEnd"/>
      <w:r w:rsidR="00372BB9">
        <w:t xml:space="preserve"> Original application to extend and vary</w:t>
      </w:r>
      <w:r w:rsidR="00EA1C66">
        <w:t>. The Draft Decision</w:t>
      </w:r>
      <w:r>
        <w:t xml:space="preserve"> sought public submissions on the ACCC’s preliminary view that it would be appropriate to accept </w:t>
      </w:r>
      <w:r w:rsidR="007E301C">
        <w:t xml:space="preserve">the </w:t>
      </w:r>
      <w:r w:rsidR="00FE7DF0">
        <w:t xml:space="preserve">Original </w:t>
      </w:r>
      <w:r w:rsidR="007E301C">
        <w:t xml:space="preserve">application </w:t>
      </w:r>
      <w:r>
        <w:t>to extend and vary</w:t>
      </w:r>
      <w:r w:rsidR="007E301C">
        <w:t xml:space="preserve"> submitted by </w:t>
      </w:r>
      <w:proofErr w:type="spellStart"/>
      <w:r w:rsidR="007E301C">
        <w:t>Viterra</w:t>
      </w:r>
      <w:proofErr w:type="spellEnd"/>
      <w:r w:rsidR="007E301C">
        <w:t xml:space="preserve"> on 25 July 2013</w:t>
      </w:r>
      <w:r>
        <w:t xml:space="preserve">. No submissions were received in response. </w:t>
      </w:r>
    </w:p>
    <w:p w:rsidR="00674E54" w:rsidRDefault="007E301C" w:rsidP="00674E54">
      <w:r>
        <w:t xml:space="preserve">On 12 December 2013 </w:t>
      </w:r>
      <w:proofErr w:type="spellStart"/>
      <w:r>
        <w:t>Viterra</w:t>
      </w:r>
      <w:proofErr w:type="spellEnd"/>
      <w:r>
        <w:t xml:space="preserve"> submitted an Amended ap</w:t>
      </w:r>
      <w:r w:rsidR="00876A65">
        <w:t>plication to extend and vary</w:t>
      </w:r>
      <w:r w:rsidR="00372BB9">
        <w:t>. Other than to incorporate</w:t>
      </w:r>
      <w:r w:rsidR="00876A65">
        <w:t xml:space="preserve"> changes to </w:t>
      </w:r>
      <w:proofErr w:type="spellStart"/>
      <w:r w:rsidR="00876A65">
        <w:t>Viterra’s</w:t>
      </w:r>
      <w:proofErr w:type="spellEnd"/>
      <w:r w:rsidR="00876A65">
        <w:t xml:space="preserve"> Port Loading Protocols (</w:t>
      </w:r>
      <w:r w:rsidR="00876A65" w:rsidRPr="00876A65">
        <w:rPr>
          <w:b/>
        </w:rPr>
        <w:t>PLPs</w:t>
      </w:r>
      <w:r w:rsidR="00876A65">
        <w:t>)</w:t>
      </w:r>
      <w:r w:rsidR="00372BB9">
        <w:t xml:space="preserve"> made </w:t>
      </w:r>
      <w:r w:rsidR="00876A65">
        <w:t xml:space="preserve">pursuant to its 2011 </w:t>
      </w:r>
      <w:proofErr w:type="gramStart"/>
      <w:r w:rsidR="00FE7DF0">
        <w:t>U</w:t>
      </w:r>
      <w:r w:rsidR="00876A65">
        <w:t>ndertaking</w:t>
      </w:r>
      <w:proofErr w:type="gramEnd"/>
      <w:r w:rsidR="00372BB9">
        <w:t>,</w:t>
      </w:r>
      <w:r w:rsidR="00876A65">
        <w:t xml:space="preserve"> and two further minor changes to its </w:t>
      </w:r>
      <w:r w:rsidR="00504C78">
        <w:t>Port Terminal Services Agreement (</w:t>
      </w:r>
      <w:r w:rsidR="00504C78" w:rsidRPr="00504C78">
        <w:rPr>
          <w:b/>
        </w:rPr>
        <w:t>S</w:t>
      </w:r>
      <w:r w:rsidR="00876A65" w:rsidRPr="00504C78">
        <w:rPr>
          <w:b/>
        </w:rPr>
        <w:t xml:space="preserve">tandard </w:t>
      </w:r>
      <w:r w:rsidR="00504C78" w:rsidRPr="00504C78">
        <w:rPr>
          <w:b/>
        </w:rPr>
        <w:t>T</w:t>
      </w:r>
      <w:r w:rsidR="00876A65" w:rsidRPr="00504C78">
        <w:rPr>
          <w:b/>
        </w:rPr>
        <w:t>erms</w:t>
      </w:r>
      <w:r w:rsidR="00504C78">
        <w:t>)</w:t>
      </w:r>
      <w:r w:rsidR="00876A65">
        <w:t>,</w:t>
      </w:r>
      <w:r w:rsidR="00372BB9">
        <w:t xml:space="preserve"> </w:t>
      </w:r>
      <w:proofErr w:type="spellStart"/>
      <w:r w:rsidR="00372BB9">
        <w:t>Viterra’s</w:t>
      </w:r>
      <w:proofErr w:type="spellEnd"/>
      <w:r w:rsidR="00372BB9">
        <w:t xml:space="preserve"> amended application</w:t>
      </w:r>
      <w:r w:rsidR="00876A65">
        <w:t xml:space="preserve"> is identical in terms to </w:t>
      </w:r>
      <w:r w:rsidR="00372BB9">
        <w:t xml:space="preserve">its </w:t>
      </w:r>
      <w:r w:rsidR="00876A65">
        <w:t>original application</w:t>
      </w:r>
      <w:r w:rsidR="000A31A3">
        <w:t>.</w:t>
      </w:r>
      <w:r w:rsidR="00876A65">
        <w:t xml:space="preserve"> </w:t>
      </w:r>
      <w:r w:rsidR="00674E54">
        <w:t xml:space="preserve">Accordingly, </w:t>
      </w:r>
      <w:r w:rsidR="00A85D8A">
        <w:t xml:space="preserve">aside from </w:t>
      </w:r>
      <w:r w:rsidR="00DA4F83">
        <w:t xml:space="preserve">new </w:t>
      </w:r>
      <w:r w:rsidR="00A85D8A">
        <w:t>views on the two additional changes to the Standard Terms</w:t>
      </w:r>
      <w:r w:rsidR="000A31A3">
        <w:t xml:space="preserve"> set out at </w:t>
      </w:r>
      <w:r w:rsidR="00372BB9">
        <w:t>c</w:t>
      </w:r>
      <w:r w:rsidR="000A31A3">
        <w:t>hapter 4.9</w:t>
      </w:r>
      <w:r w:rsidR="00A85D8A">
        <w:t xml:space="preserve">, </w:t>
      </w:r>
      <w:r w:rsidR="00674E54">
        <w:t xml:space="preserve">the ACCC’s views </w:t>
      </w:r>
      <w:r w:rsidR="00A85D8A">
        <w:t xml:space="preserve">on </w:t>
      </w:r>
      <w:proofErr w:type="spellStart"/>
      <w:r w:rsidR="00A85D8A">
        <w:t>Viterra’s</w:t>
      </w:r>
      <w:proofErr w:type="spellEnd"/>
      <w:r w:rsidR="00A85D8A">
        <w:t xml:space="preserve"> application </w:t>
      </w:r>
      <w:r w:rsidR="00674E54">
        <w:t xml:space="preserve">at </w:t>
      </w:r>
      <w:r w:rsidR="00962282">
        <w:t xml:space="preserve">chapters </w:t>
      </w:r>
      <w:r w:rsidR="00674E54">
        <w:t>3 and 4 of this Final Decision are consistent with the views expressed in the ACCC’s Draft Decision.</w:t>
      </w:r>
      <w:r w:rsidR="00876A65">
        <w:t xml:space="preserve"> </w:t>
      </w:r>
      <w:r w:rsidR="000A31A3">
        <w:t xml:space="preserve">A summary of the changes made </w:t>
      </w:r>
      <w:r w:rsidR="005F49E8">
        <w:t xml:space="preserve">by </w:t>
      </w:r>
      <w:proofErr w:type="spellStart"/>
      <w:r w:rsidR="005F49E8">
        <w:t>Viterra</w:t>
      </w:r>
      <w:proofErr w:type="spellEnd"/>
      <w:r w:rsidR="005F49E8">
        <w:t xml:space="preserve"> </w:t>
      </w:r>
      <w:r w:rsidR="000A31A3">
        <w:t xml:space="preserve">to its PLPs through a separate process is at </w:t>
      </w:r>
      <w:r w:rsidR="00372BB9">
        <w:t>c</w:t>
      </w:r>
      <w:r w:rsidR="00876A65" w:rsidRPr="00EA1C66">
        <w:t>hapter 1.2.</w:t>
      </w:r>
      <w:r w:rsidR="00EA1C66" w:rsidRPr="00EA1C66">
        <w:t>2</w:t>
      </w:r>
      <w:r w:rsidR="00876A65" w:rsidRPr="00EA1C66">
        <w:t>.</w:t>
      </w:r>
      <w:r w:rsidR="004C5C36">
        <w:t xml:space="preserve"> </w:t>
      </w:r>
    </w:p>
    <w:p w:rsidR="00EA1C66" w:rsidRDefault="00372BB9" w:rsidP="00674E54">
      <w:r>
        <w:t xml:space="preserve">Regarding the specifics of </w:t>
      </w:r>
      <w:proofErr w:type="spellStart"/>
      <w:r>
        <w:t>Viterra’s</w:t>
      </w:r>
      <w:proofErr w:type="spellEnd"/>
      <w:r>
        <w:t xml:space="preserve"> application, </w:t>
      </w:r>
      <w:proofErr w:type="spellStart"/>
      <w:r w:rsidR="00EA1C66">
        <w:t>Viterra</w:t>
      </w:r>
      <w:proofErr w:type="spellEnd"/>
      <w:r w:rsidR="00EA1C66">
        <w:t xml:space="preserve"> propose</w:t>
      </w:r>
      <w:r>
        <w:t>s</w:t>
      </w:r>
      <w:r w:rsidR="00EA1C66">
        <w:t xml:space="preserve"> to extend the operation of its 2011 Undertaking until the earlier of 30 September 2015 or such a time as it is no longer required to have an access undertaking accepted by the ACCC (for instance, upon the anticipated commencement of a mandatory code of conduct on 1 October 2014). </w:t>
      </w:r>
    </w:p>
    <w:p w:rsidR="00240C8A" w:rsidRDefault="007B3878" w:rsidP="007B3878">
      <w:r>
        <w:t>It is the</w:t>
      </w:r>
      <w:r w:rsidR="00B26DA7">
        <w:t xml:space="preserve"> ACCC’s </w:t>
      </w:r>
      <w:r>
        <w:t xml:space="preserve">decision that it is appropriate to extend the operation of the 2011 </w:t>
      </w:r>
      <w:proofErr w:type="gramStart"/>
      <w:r>
        <w:t>Undertaking</w:t>
      </w:r>
      <w:proofErr w:type="gramEnd"/>
      <w:r>
        <w:t xml:space="preserve"> as propose</w:t>
      </w:r>
      <w:r w:rsidR="00DA4F83">
        <w:t>d</w:t>
      </w:r>
      <w:r>
        <w:t xml:space="preserve"> by </w:t>
      </w:r>
      <w:proofErr w:type="spellStart"/>
      <w:r>
        <w:t>Viterra</w:t>
      </w:r>
      <w:proofErr w:type="spellEnd"/>
      <w:r w:rsidR="00AF0080">
        <w:t>. The ACCC considers that the extension provides certainty in terms of the regulatory arrangements that will govern</w:t>
      </w:r>
      <w:r>
        <w:t xml:space="preserve"> the allocation of capacity</w:t>
      </w:r>
      <w:r w:rsidR="004C5C36">
        <w:t xml:space="preserve"> for the 2014/15 harvest year. </w:t>
      </w:r>
      <w:r>
        <w:t xml:space="preserve">Further, the ACCC is of the view that the inclusion of clauses that cause the </w:t>
      </w:r>
      <w:r w:rsidR="00625983">
        <w:t xml:space="preserve">conditional </w:t>
      </w:r>
      <w:r w:rsidR="00B7617E">
        <w:t xml:space="preserve">early </w:t>
      </w:r>
      <w:r>
        <w:t>expiry of the 2011 Undertaking are appropriate having regard to the changing regulatory environment.</w:t>
      </w:r>
      <w:r w:rsidR="00475237">
        <w:t xml:space="preserve"> </w:t>
      </w:r>
    </w:p>
    <w:p w:rsidR="007B3878" w:rsidRDefault="007B3878" w:rsidP="007B3878">
      <w:proofErr w:type="spellStart"/>
      <w:r>
        <w:t>Viterra</w:t>
      </w:r>
      <w:proofErr w:type="spellEnd"/>
      <w:r>
        <w:t xml:space="preserve"> also </w:t>
      </w:r>
      <w:r w:rsidR="00B26DA7">
        <w:t>propose</w:t>
      </w:r>
      <w:r w:rsidR="00372BB9">
        <w:t>s</w:t>
      </w:r>
      <w:r>
        <w:t xml:space="preserve"> a number of variations to its 2011 </w:t>
      </w:r>
      <w:proofErr w:type="gramStart"/>
      <w:r>
        <w:t>Undertaking</w:t>
      </w:r>
      <w:proofErr w:type="gramEnd"/>
      <w:r>
        <w:t>. Key changes include</w:t>
      </w:r>
      <w:r w:rsidR="00B26DA7">
        <w:t>d</w:t>
      </w:r>
      <w:r>
        <w:t>:</w:t>
      </w:r>
    </w:p>
    <w:p w:rsidR="007B3878" w:rsidRDefault="007B3878" w:rsidP="000F6832">
      <w:pPr>
        <w:pStyle w:val="ListParagraph"/>
        <w:numPr>
          <w:ilvl w:val="0"/>
          <w:numId w:val="16"/>
        </w:numPr>
        <w:ind w:left="714" w:hanging="357"/>
        <w:contextualSpacing w:val="0"/>
      </w:pPr>
      <w:r>
        <w:t xml:space="preserve">an ability to make temporary amendments to its </w:t>
      </w:r>
      <w:r w:rsidRPr="00AD24BF">
        <w:t>PLPs</w:t>
      </w:r>
      <w:r w:rsidR="00AD24BF">
        <w:t xml:space="preserve"> during periods of force majeure</w:t>
      </w:r>
    </w:p>
    <w:p w:rsidR="007B3878" w:rsidRDefault="007B3878" w:rsidP="000F6832">
      <w:pPr>
        <w:pStyle w:val="ListParagraph"/>
        <w:numPr>
          <w:ilvl w:val="0"/>
          <w:numId w:val="16"/>
        </w:numPr>
        <w:ind w:left="714" w:hanging="357"/>
        <w:contextualSpacing w:val="0"/>
      </w:pPr>
      <w:r>
        <w:t>amendments to the limitations on the use of the First In First Served (</w:t>
      </w:r>
      <w:r w:rsidRPr="005A2DC4">
        <w:rPr>
          <w:b/>
        </w:rPr>
        <w:t>FIFS</w:t>
      </w:r>
      <w:r>
        <w:t>) booking system, including the use of ‘associated entities’ and agents to circumvent the purpose of the limitations, being to encourage exporters to acquire capacity through the auction system</w:t>
      </w:r>
    </w:p>
    <w:p w:rsidR="007B3878" w:rsidRDefault="007B3878" w:rsidP="000F6832">
      <w:pPr>
        <w:pStyle w:val="ListParagraph"/>
        <w:numPr>
          <w:ilvl w:val="0"/>
          <w:numId w:val="16"/>
        </w:numPr>
        <w:ind w:left="714" w:hanging="357"/>
        <w:contextualSpacing w:val="0"/>
      </w:pPr>
      <w:r>
        <w:t xml:space="preserve">providing </w:t>
      </w:r>
      <w:proofErr w:type="spellStart"/>
      <w:r>
        <w:t>Viterra</w:t>
      </w:r>
      <w:proofErr w:type="spellEnd"/>
      <w:r>
        <w:t xml:space="preserve"> with the discretion to load up to an additional 1000 tonnes above existing tolerance levels</w:t>
      </w:r>
    </w:p>
    <w:p w:rsidR="007B3878" w:rsidRDefault="007B3878" w:rsidP="000F6832">
      <w:pPr>
        <w:pStyle w:val="ListParagraph"/>
        <w:numPr>
          <w:ilvl w:val="0"/>
          <w:numId w:val="16"/>
        </w:numPr>
        <w:ind w:left="714" w:hanging="357"/>
        <w:contextualSpacing w:val="0"/>
      </w:pPr>
      <w:proofErr w:type="gramStart"/>
      <w:r>
        <w:t>an</w:t>
      </w:r>
      <w:proofErr w:type="gramEnd"/>
      <w:r>
        <w:t xml:space="preserve"> ability for </w:t>
      </w:r>
      <w:proofErr w:type="spellStart"/>
      <w:r>
        <w:t>Viterra</w:t>
      </w:r>
      <w:proofErr w:type="spellEnd"/>
      <w:r>
        <w:t xml:space="preserve"> to move bookings between Inner Harbour and Outer Harbor for the purpose of increasing efficiency.</w:t>
      </w:r>
    </w:p>
    <w:p w:rsidR="007B3878" w:rsidRDefault="007B3878" w:rsidP="007B3878">
      <w:r>
        <w:t>It</w:t>
      </w:r>
      <w:r w:rsidR="00B26DA7">
        <w:t xml:space="preserve"> is the ACCC’s decision </w:t>
      </w:r>
      <w:r>
        <w:t>that the var</w:t>
      </w:r>
      <w:r w:rsidR="00674E54">
        <w:t xml:space="preserve">iations proposed by </w:t>
      </w:r>
      <w:proofErr w:type="spellStart"/>
      <w:r w:rsidR="00674E54">
        <w:t>Viterra</w:t>
      </w:r>
      <w:proofErr w:type="spellEnd"/>
      <w:r w:rsidR="00674E54">
        <w:t xml:space="preserve"> </w:t>
      </w:r>
      <w:r>
        <w:t xml:space="preserve">are in the legitimate business interests of </w:t>
      </w:r>
      <w:proofErr w:type="spellStart"/>
      <w:r>
        <w:t>Viterra</w:t>
      </w:r>
      <w:proofErr w:type="spellEnd"/>
      <w:r>
        <w:t>, and are in the</w:t>
      </w:r>
      <w:r w:rsidR="00674E54">
        <w:t xml:space="preserve"> interests of access seeker</w:t>
      </w:r>
      <w:r w:rsidR="004C5C36">
        <w:t xml:space="preserve">s. </w:t>
      </w:r>
      <w:r w:rsidR="00674E54">
        <w:t>Specifically</w:t>
      </w:r>
      <w:r>
        <w:t>, the variations regarding the FIFS system, tolerance, and the movement of bookings</w:t>
      </w:r>
      <w:r w:rsidR="00487257">
        <w:t xml:space="preserve"> are expected to </w:t>
      </w:r>
      <w:r>
        <w:t xml:space="preserve">increase </w:t>
      </w:r>
      <w:r>
        <w:lastRenderedPageBreak/>
        <w:t xml:space="preserve">the efficiency of the port terminals operated by </w:t>
      </w:r>
      <w:proofErr w:type="spellStart"/>
      <w:r>
        <w:t>Viterra</w:t>
      </w:r>
      <w:proofErr w:type="spellEnd"/>
      <w:r>
        <w:t xml:space="preserve">. The ACCC accordingly considers that these, and the other variations proposed by </w:t>
      </w:r>
      <w:proofErr w:type="spellStart"/>
      <w:r>
        <w:t>Viterra</w:t>
      </w:r>
      <w:proofErr w:type="spellEnd"/>
      <w:r>
        <w:t>, are appropriate.</w:t>
      </w:r>
      <w:r w:rsidR="004C5C36">
        <w:t xml:space="preserve"> </w:t>
      </w:r>
    </w:p>
    <w:p w:rsidR="0091615D" w:rsidRDefault="0091615D" w:rsidP="0091615D">
      <w:r>
        <w:t>This Final Decision document represents a comprehensive statement of the ACCC’s reasons for consent</w:t>
      </w:r>
      <w:r w:rsidR="005F49E8">
        <w:t>ing</w:t>
      </w:r>
      <w:r>
        <w:t xml:space="preserve"> to </w:t>
      </w:r>
      <w:proofErr w:type="spellStart"/>
      <w:r>
        <w:t>Viterra’s</w:t>
      </w:r>
      <w:proofErr w:type="spellEnd"/>
      <w:r>
        <w:t xml:space="preserve"> Amended application to extend and vary. The reasons in this Final Decision are the product of the ACCC’s assessment of </w:t>
      </w:r>
      <w:proofErr w:type="spellStart"/>
      <w:r>
        <w:t>Viterra’s</w:t>
      </w:r>
      <w:proofErr w:type="spellEnd"/>
      <w:r>
        <w:t xml:space="preserve"> application</w:t>
      </w:r>
      <w:r w:rsidR="00C44353">
        <w:t xml:space="preserve"> </w:t>
      </w:r>
      <w:r w:rsidR="005F49E8">
        <w:t>following</w:t>
      </w:r>
      <w:r>
        <w:t xml:space="preserve"> consideration of stakeholder submissions. Submissions received in response to the ACCC’s Issues Paper on </w:t>
      </w:r>
      <w:proofErr w:type="spellStart"/>
      <w:r>
        <w:t>Viterra’s</w:t>
      </w:r>
      <w:proofErr w:type="spellEnd"/>
      <w:r>
        <w:t xml:space="preserve"> original application informed the reasons set out in the ACCC Draft Decision</w:t>
      </w:r>
      <w:r w:rsidR="00B7617E">
        <w:t xml:space="preserve"> which,</w:t>
      </w:r>
      <w:r w:rsidR="005F49E8">
        <w:t xml:space="preserve"> </w:t>
      </w:r>
      <w:r w:rsidR="00B7617E">
        <w:t>a</w:t>
      </w:r>
      <w:r w:rsidR="005F49E8">
        <w:t>s noted,</w:t>
      </w:r>
      <w:r w:rsidR="00B7617E">
        <w:t xml:space="preserve"> </w:t>
      </w:r>
      <w:r>
        <w:t xml:space="preserve">are consistent with the ACCC’s reasons </w:t>
      </w:r>
      <w:r w:rsidR="00F747D2">
        <w:t>contained</w:t>
      </w:r>
      <w:r>
        <w:t xml:space="preserve"> in this Final Decision. Accordingly, references to these submissions are </w:t>
      </w:r>
      <w:r w:rsidR="00B7617E">
        <w:t>included in this Final Decision</w:t>
      </w:r>
      <w:r w:rsidR="00F747D2">
        <w:t>.</w:t>
      </w:r>
      <w:r w:rsidR="005F49E8">
        <w:t xml:space="preserve"> As noted, no submissions were received in response to the Draft Decision.</w:t>
      </w:r>
    </w:p>
    <w:p w:rsidR="007B3878" w:rsidRPr="00C320BB" w:rsidRDefault="00B26DA7" w:rsidP="007B3878">
      <w:pPr>
        <w:rPr>
          <w:rFonts w:cs="Arial"/>
          <w:szCs w:val="20"/>
        </w:rPr>
      </w:pPr>
      <w:r>
        <w:rPr>
          <w:rFonts w:cs="Arial"/>
          <w:szCs w:val="20"/>
        </w:rPr>
        <w:t xml:space="preserve">In summary, </w:t>
      </w:r>
      <w:r w:rsidR="00B81D03" w:rsidRPr="00C320BB">
        <w:rPr>
          <w:rFonts w:cs="Arial"/>
          <w:szCs w:val="20"/>
        </w:rPr>
        <w:t>having regard to the matters listed in subsection 44ZZA(3) of the CCA</w:t>
      </w:r>
      <w:r w:rsidR="00B81D03">
        <w:rPr>
          <w:rFonts w:cs="Arial"/>
          <w:szCs w:val="20"/>
        </w:rPr>
        <w:t>, overall</w:t>
      </w:r>
      <w:r w:rsidR="00B81D03" w:rsidRPr="00C320BB">
        <w:rPr>
          <w:rFonts w:cs="Arial"/>
          <w:szCs w:val="20"/>
        </w:rPr>
        <w:t xml:space="preserve"> </w:t>
      </w:r>
      <w:r w:rsidR="00B81D03">
        <w:rPr>
          <w:rFonts w:cs="Arial"/>
          <w:szCs w:val="20"/>
        </w:rPr>
        <w:t xml:space="preserve">the ACCC considers </w:t>
      </w:r>
      <w:r w:rsidR="00EA1C66">
        <w:rPr>
          <w:rFonts w:cs="Arial"/>
          <w:szCs w:val="20"/>
        </w:rPr>
        <w:t xml:space="preserve">that </w:t>
      </w:r>
      <w:proofErr w:type="spellStart"/>
      <w:r w:rsidR="00EA1C66">
        <w:rPr>
          <w:rFonts w:cs="Arial"/>
          <w:szCs w:val="20"/>
        </w:rPr>
        <w:t>Viterra’s</w:t>
      </w:r>
      <w:proofErr w:type="spellEnd"/>
      <w:r w:rsidR="00EA1C66">
        <w:rPr>
          <w:rFonts w:cs="Arial"/>
          <w:szCs w:val="20"/>
        </w:rPr>
        <w:t xml:space="preserve"> Amended application to extend and vary is </w:t>
      </w:r>
      <w:r w:rsidR="00B81D03">
        <w:rPr>
          <w:rFonts w:cs="Arial"/>
          <w:szCs w:val="20"/>
        </w:rPr>
        <w:t>appropriate</w:t>
      </w:r>
      <w:r w:rsidR="00E31818">
        <w:rPr>
          <w:rFonts w:cs="Arial"/>
          <w:szCs w:val="20"/>
        </w:rPr>
        <w:t>,</w:t>
      </w:r>
      <w:r w:rsidR="00B81D03">
        <w:rPr>
          <w:rFonts w:cs="Arial"/>
          <w:szCs w:val="20"/>
        </w:rPr>
        <w:t xml:space="preserve"> and</w:t>
      </w:r>
      <w:r w:rsidR="00B81D03" w:rsidRPr="00C320BB">
        <w:rPr>
          <w:rFonts w:cs="Arial"/>
          <w:szCs w:val="20"/>
        </w:rPr>
        <w:t xml:space="preserve"> </w:t>
      </w:r>
      <w:r w:rsidR="005F5AA2">
        <w:rPr>
          <w:rFonts w:cs="Arial"/>
          <w:szCs w:val="20"/>
        </w:rPr>
        <w:t xml:space="preserve">consents to </w:t>
      </w:r>
      <w:r w:rsidR="00EA1C66">
        <w:rPr>
          <w:rFonts w:cs="Arial"/>
          <w:szCs w:val="20"/>
        </w:rPr>
        <w:t>that application as submitted on 12 December 2013.</w:t>
      </w:r>
    </w:p>
    <w:p w:rsidR="00A70A39" w:rsidRPr="00A70A39" w:rsidRDefault="00A70A39" w:rsidP="00A70A39"/>
    <w:bookmarkEnd w:id="1"/>
    <w:p w:rsidR="002862E8" w:rsidRDefault="002862E8" w:rsidP="00837A98">
      <w:pPr>
        <w:pStyle w:val="Numberedheading1"/>
        <w:sectPr w:rsidR="002862E8" w:rsidSect="002862E8">
          <w:footerReference w:type="default" r:id="rId13"/>
          <w:pgSz w:w="11906" w:h="16838"/>
          <w:pgMar w:top="1440" w:right="1729" w:bottom="1582" w:left="1729" w:header="709" w:footer="709" w:gutter="0"/>
          <w:pgNumType w:fmt="lowerRoman" w:start="1"/>
          <w:cols w:space="708"/>
          <w:docGrid w:linePitch="360"/>
        </w:sectPr>
      </w:pPr>
    </w:p>
    <w:p w:rsidR="00ED14CE" w:rsidRDefault="00020F0C" w:rsidP="00837A98">
      <w:pPr>
        <w:pStyle w:val="Numberedheading1"/>
      </w:pPr>
      <w:bookmarkStart w:id="5" w:name="_Toc378322925"/>
      <w:r>
        <w:lastRenderedPageBreak/>
        <w:t>Introduction</w:t>
      </w:r>
      <w:bookmarkEnd w:id="5"/>
      <w:r>
        <w:t xml:space="preserve"> </w:t>
      </w:r>
    </w:p>
    <w:p w:rsidR="007237F9" w:rsidRPr="00EE752C" w:rsidRDefault="00020F0C" w:rsidP="00020F0C">
      <w:r>
        <w:t xml:space="preserve">This document sets </w:t>
      </w:r>
      <w:r w:rsidR="00674E54">
        <w:t>out the reasons for the ACCC’s Final D</w:t>
      </w:r>
      <w:r>
        <w:t xml:space="preserve">ecision regarding </w:t>
      </w:r>
      <w:proofErr w:type="spellStart"/>
      <w:r w:rsidR="00B7617E">
        <w:t>Viterra’s</w:t>
      </w:r>
      <w:proofErr w:type="spellEnd"/>
      <w:r w:rsidR="00B7617E">
        <w:t xml:space="preserve"> Amended application to extend and vary</w:t>
      </w:r>
      <w:r>
        <w:t xml:space="preserve"> its </w:t>
      </w:r>
      <w:r w:rsidR="00542345">
        <w:t>2011 Undertaking</w:t>
      </w:r>
      <w:r w:rsidR="00EC0A80">
        <w:t xml:space="preserve">, submitted to the ACCC on </w:t>
      </w:r>
      <w:r w:rsidR="007237F9">
        <w:t>12 December</w:t>
      </w:r>
      <w:r w:rsidR="00EC0A80">
        <w:t xml:space="preserve"> 2013. </w:t>
      </w:r>
      <w:r w:rsidR="00FF646B">
        <w:t>The A</w:t>
      </w:r>
      <w:r w:rsidR="00EE752C">
        <w:t xml:space="preserve">mended application </w:t>
      </w:r>
      <w:r w:rsidR="00FF646B">
        <w:t xml:space="preserve">to extend and vary </w:t>
      </w:r>
      <w:r w:rsidR="00EE752C">
        <w:t xml:space="preserve">replicates the </w:t>
      </w:r>
      <w:r w:rsidR="00FF646B">
        <w:t>Original application to extend and vary</w:t>
      </w:r>
      <w:r w:rsidR="00EE752C">
        <w:t>, but also includes the updat</w:t>
      </w:r>
      <w:r w:rsidR="00A961E9">
        <w:t xml:space="preserve">ed </w:t>
      </w:r>
      <w:r w:rsidR="00B7617E">
        <w:t>PLPs</w:t>
      </w:r>
      <w:r w:rsidR="00A961E9">
        <w:t xml:space="preserve"> (varied in October 2013 pursuant to clause 9.3 of the 2011 Undertaking</w:t>
      </w:r>
      <w:r w:rsidR="00542345">
        <w:t>)</w:t>
      </w:r>
      <w:r w:rsidR="00A961E9">
        <w:t xml:space="preserve"> and two further minor amendments</w:t>
      </w:r>
      <w:r w:rsidR="00542345">
        <w:t xml:space="preserve"> to </w:t>
      </w:r>
      <w:proofErr w:type="spellStart"/>
      <w:r w:rsidR="00542345">
        <w:t>Viterra’s</w:t>
      </w:r>
      <w:proofErr w:type="spellEnd"/>
      <w:r w:rsidR="00B7617E">
        <w:t xml:space="preserve"> </w:t>
      </w:r>
      <w:r w:rsidR="00542345" w:rsidRPr="001B45FB">
        <w:t>Standard Terms</w:t>
      </w:r>
      <w:r w:rsidR="00A961E9">
        <w:t>.</w:t>
      </w:r>
      <w:r w:rsidR="00210C72">
        <w:rPr>
          <w:rStyle w:val="FootnoteReference"/>
        </w:rPr>
        <w:footnoteReference w:id="1"/>
      </w:r>
      <w:r w:rsidR="004C5C36">
        <w:t xml:space="preserve">  </w:t>
      </w:r>
    </w:p>
    <w:p w:rsidR="00475237" w:rsidRDefault="00EF7011" w:rsidP="00020F0C">
      <w:r>
        <w:t xml:space="preserve">Where </w:t>
      </w:r>
      <w:proofErr w:type="spellStart"/>
      <w:r>
        <w:t>Viterra’s</w:t>
      </w:r>
      <w:proofErr w:type="spellEnd"/>
      <w:r>
        <w:t xml:space="preserve"> </w:t>
      </w:r>
      <w:proofErr w:type="gramStart"/>
      <w:r>
        <w:t>Amended</w:t>
      </w:r>
      <w:proofErr w:type="gramEnd"/>
      <w:r>
        <w:t xml:space="preserve"> application to extend and vary remains identical to the Original application to extend and vary, </w:t>
      </w:r>
      <w:r w:rsidR="00F105A1">
        <w:t>the ACCC’s r</w:t>
      </w:r>
      <w:r w:rsidR="00A968BD">
        <w:t>easoning remains valid for the a</w:t>
      </w:r>
      <w:r w:rsidR="00F105A1">
        <w:t>mended application</w:t>
      </w:r>
      <w:r w:rsidR="00826CE3">
        <w:t>. The ACCC’s consent applies to the amended application</w:t>
      </w:r>
      <w:r>
        <w:t>, inclusive of the updated PLPs and two minor changes to the Standard Terms</w:t>
      </w:r>
      <w:r w:rsidR="00826CE3">
        <w:t>.</w:t>
      </w:r>
    </w:p>
    <w:p w:rsidR="00020F0C" w:rsidRDefault="00020F0C" w:rsidP="00020F0C">
      <w:proofErr w:type="spellStart"/>
      <w:r>
        <w:t>Viterra’s</w:t>
      </w:r>
      <w:proofErr w:type="spellEnd"/>
      <w:r>
        <w:t xml:space="preserve"> 2011 Undertaking was accepted by the </w:t>
      </w:r>
      <w:r w:rsidR="00674E54">
        <w:t xml:space="preserve">ACCC on 28 September 2011 </w:t>
      </w:r>
      <w:r w:rsidR="00E31818">
        <w:t>with an expiry date of</w:t>
      </w:r>
      <w:r>
        <w:t xml:space="preserve"> 30 September 2014. </w:t>
      </w:r>
    </w:p>
    <w:p w:rsidR="00C01DCB" w:rsidRDefault="00C01DCB" w:rsidP="00020F0C">
      <w:r>
        <w:t xml:space="preserve">The ACCC released an Issues Paper and Draft Decision that invited </w:t>
      </w:r>
      <w:r w:rsidR="00C32025">
        <w:t xml:space="preserve">stakeholder comment on </w:t>
      </w:r>
      <w:proofErr w:type="spellStart"/>
      <w:r>
        <w:t>Viterra’s</w:t>
      </w:r>
      <w:proofErr w:type="spellEnd"/>
      <w:r w:rsidR="00826CE3">
        <w:t xml:space="preserve"> </w:t>
      </w:r>
      <w:r w:rsidR="00C32025">
        <w:t>Original a</w:t>
      </w:r>
      <w:r>
        <w:t xml:space="preserve">pplication to extend and vary. The Issues Paper (including responses to it) and Draft Decision (which received </w:t>
      </w:r>
      <w:r w:rsidRPr="00A159CA">
        <w:t>no</w:t>
      </w:r>
      <w:r>
        <w:t xml:space="preserve"> responses)</w:t>
      </w:r>
      <w:r w:rsidR="005B0C00">
        <w:t xml:space="preserve"> are available on the ACCC’s website at </w:t>
      </w:r>
      <w:hyperlink r:id="rId14" w:history="1">
        <w:r w:rsidR="005B0C00" w:rsidRPr="00D66C16">
          <w:rPr>
            <w:rStyle w:val="Hyperlink"/>
          </w:rPr>
          <w:t>www.accc.gov.au</w:t>
        </w:r>
      </w:hyperlink>
      <w:r w:rsidR="005B0C00">
        <w:t xml:space="preserve"> &gt; Regulated Infrastructure &gt; Wheat &gt; </w:t>
      </w:r>
      <w:proofErr w:type="spellStart"/>
      <w:r w:rsidR="005B0C00">
        <w:t>Viterra</w:t>
      </w:r>
      <w:proofErr w:type="spellEnd"/>
      <w:r w:rsidR="005B0C00">
        <w:t>.</w:t>
      </w:r>
      <w:r w:rsidR="005B0C00">
        <w:rPr>
          <w:rStyle w:val="FootnoteReference"/>
        </w:rPr>
        <w:footnoteReference w:id="2"/>
      </w:r>
    </w:p>
    <w:p w:rsidR="00ED14CE" w:rsidRDefault="005B0C00" w:rsidP="00ED14CE">
      <w:pPr>
        <w:pStyle w:val="Numberedheading2"/>
      </w:pPr>
      <w:bookmarkStart w:id="6" w:name="_Toc378322926"/>
      <w:r>
        <w:t>Background</w:t>
      </w:r>
      <w:bookmarkEnd w:id="6"/>
    </w:p>
    <w:p w:rsidR="00A159CA" w:rsidRPr="003320B6" w:rsidRDefault="00A159CA" w:rsidP="00A159CA">
      <w:pPr>
        <w:pStyle w:val="AERbodytext"/>
        <w:rPr>
          <w:rFonts w:ascii="Arial" w:hAnsi="Arial" w:cs="Arial"/>
          <w:sz w:val="20"/>
          <w:szCs w:val="20"/>
        </w:rPr>
      </w:pPr>
      <w:r w:rsidRPr="003320B6">
        <w:rPr>
          <w:rFonts w:ascii="Arial" w:hAnsi="Arial" w:cs="Arial"/>
          <w:sz w:val="20"/>
          <w:szCs w:val="20"/>
        </w:rPr>
        <w:t xml:space="preserve">The </w:t>
      </w:r>
      <w:r w:rsidRPr="000D3091">
        <w:rPr>
          <w:rFonts w:ascii="Arial" w:hAnsi="Arial" w:cs="Arial"/>
          <w:sz w:val="20"/>
          <w:szCs w:val="20"/>
        </w:rPr>
        <w:t>ACCC</w:t>
      </w:r>
      <w:r w:rsidRPr="003320B6">
        <w:rPr>
          <w:rFonts w:ascii="Arial" w:hAnsi="Arial" w:cs="Arial"/>
          <w:sz w:val="20"/>
          <w:szCs w:val="20"/>
        </w:rPr>
        <w:t xml:space="preserve"> may accept an undertaking under Part IIIA of the </w:t>
      </w:r>
      <w:r w:rsidRPr="00F935B1">
        <w:rPr>
          <w:rFonts w:ascii="Arial" w:hAnsi="Arial" w:cs="Arial"/>
          <w:sz w:val="20"/>
          <w:szCs w:val="20"/>
        </w:rPr>
        <w:t>CCA</w:t>
      </w:r>
      <w:r w:rsidRPr="003320B6">
        <w:rPr>
          <w:rFonts w:ascii="Arial" w:hAnsi="Arial" w:cs="Arial"/>
          <w:sz w:val="20"/>
          <w:szCs w:val="20"/>
        </w:rPr>
        <w:t>, from a person who is, or expects to be, the provider of a service, in connection with the provision of access to that service.</w:t>
      </w:r>
      <w:r>
        <w:rPr>
          <w:rStyle w:val="FootnoteReference"/>
          <w:rFonts w:ascii="Arial" w:hAnsi="Arial" w:cs="Arial"/>
          <w:szCs w:val="20"/>
        </w:rPr>
        <w:footnoteReference w:id="3"/>
      </w:r>
      <w:r w:rsidRPr="003320B6">
        <w:rPr>
          <w:rFonts w:ascii="Arial" w:hAnsi="Arial" w:cs="Arial"/>
          <w:sz w:val="20"/>
          <w:szCs w:val="20"/>
        </w:rPr>
        <w:t xml:space="preserve"> The CCA allows a provider of an access undertaking to apply to the ACCC for an extension of the period </w:t>
      </w:r>
      <w:r>
        <w:rPr>
          <w:rFonts w:ascii="Arial" w:hAnsi="Arial" w:cs="Arial"/>
          <w:sz w:val="20"/>
          <w:szCs w:val="20"/>
        </w:rPr>
        <w:t>for</w:t>
      </w:r>
      <w:r w:rsidRPr="003320B6">
        <w:rPr>
          <w:rFonts w:ascii="Arial" w:hAnsi="Arial" w:cs="Arial"/>
          <w:sz w:val="20"/>
          <w:szCs w:val="20"/>
        </w:rPr>
        <w:t xml:space="preserve"> which it is in operation.</w:t>
      </w:r>
      <w:r w:rsidRPr="003320B6">
        <w:rPr>
          <w:rStyle w:val="FootnoteReference"/>
          <w:rFonts w:ascii="Arial" w:hAnsi="Arial" w:cs="Arial"/>
          <w:szCs w:val="20"/>
        </w:rPr>
        <w:footnoteReference w:id="4"/>
      </w:r>
      <w:r w:rsidR="004C5C36">
        <w:rPr>
          <w:rFonts w:ascii="Arial" w:hAnsi="Arial" w:cs="Arial"/>
          <w:sz w:val="20"/>
          <w:szCs w:val="20"/>
        </w:rPr>
        <w:t xml:space="preserve"> </w:t>
      </w:r>
      <w:r w:rsidRPr="003320B6">
        <w:rPr>
          <w:rFonts w:ascii="Arial" w:hAnsi="Arial" w:cs="Arial"/>
          <w:sz w:val="20"/>
          <w:szCs w:val="20"/>
        </w:rPr>
        <w:t>The CCA also allows the provider of an access undertaking to vary that undertaking at any time after it has been accepted by the ACCC, but only with the ACCC’s consent.</w:t>
      </w:r>
      <w:r w:rsidRPr="003320B6">
        <w:rPr>
          <w:rStyle w:val="FootnoteReference"/>
          <w:rFonts w:ascii="Arial" w:hAnsi="Arial" w:cs="Arial"/>
          <w:szCs w:val="20"/>
        </w:rPr>
        <w:footnoteReference w:id="5"/>
      </w:r>
    </w:p>
    <w:p w:rsidR="007D04C5" w:rsidRDefault="007D04C5" w:rsidP="007D04C5">
      <w:pPr>
        <w:rPr>
          <w:rFonts w:cs="Arial"/>
          <w:szCs w:val="20"/>
        </w:rPr>
      </w:pPr>
      <w:r w:rsidRPr="003320B6">
        <w:rPr>
          <w:rFonts w:cs="Arial"/>
          <w:szCs w:val="20"/>
        </w:rPr>
        <w:t>On 28 September 2011, the ACCC accepted</w:t>
      </w:r>
      <w:r>
        <w:rPr>
          <w:rFonts w:cs="Arial"/>
          <w:szCs w:val="20"/>
        </w:rPr>
        <w:t xml:space="preserve"> from </w:t>
      </w:r>
      <w:proofErr w:type="spellStart"/>
      <w:r w:rsidRPr="00A512C8">
        <w:rPr>
          <w:rFonts w:cs="Arial"/>
          <w:szCs w:val="20"/>
        </w:rPr>
        <w:t>Viterra</w:t>
      </w:r>
      <w:proofErr w:type="spellEnd"/>
      <w:r w:rsidRPr="003320B6">
        <w:rPr>
          <w:rFonts w:cs="Arial"/>
          <w:szCs w:val="20"/>
        </w:rPr>
        <w:t xml:space="preserve">, an access undertaking in relation to port terminal services. </w:t>
      </w:r>
      <w:r w:rsidRPr="003320B6">
        <w:rPr>
          <w:rFonts w:cs="Arial"/>
          <w:szCs w:val="20"/>
          <w:lang w:eastAsia="en-AU"/>
        </w:rPr>
        <w:t xml:space="preserve">The </w:t>
      </w:r>
      <w:r>
        <w:rPr>
          <w:rFonts w:cs="Arial"/>
          <w:szCs w:val="20"/>
          <w:lang w:eastAsia="en-AU"/>
        </w:rPr>
        <w:t xml:space="preserve">2011 </w:t>
      </w:r>
      <w:r w:rsidRPr="003320B6">
        <w:rPr>
          <w:rFonts w:cs="Arial"/>
          <w:szCs w:val="20"/>
          <w:lang w:eastAsia="en-AU"/>
        </w:rPr>
        <w:t xml:space="preserve">Undertaking relates to the provision of access to services for bulk wheat export at the six bulk wheat terminals operated by </w:t>
      </w:r>
      <w:proofErr w:type="spellStart"/>
      <w:r w:rsidRPr="003320B6">
        <w:rPr>
          <w:rFonts w:cs="Arial"/>
          <w:szCs w:val="20"/>
          <w:lang w:eastAsia="en-AU"/>
        </w:rPr>
        <w:t>Viterra</w:t>
      </w:r>
      <w:proofErr w:type="spellEnd"/>
      <w:r w:rsidRPr="003320B6">
        <w:rPr>
          <w:rFonts w:cs="Arial"/>
          <w:szCs w:val="20"/>
          <w:lang w:eastAsia="en-AU"/>
        </w:rPr>
        <w:t xml:space="preserve"> in South Australia: </w:t>
      </w:r>
      <w:r w:rsidRPr="003320B6">
        <w:rPr>
          <w:rFonts w:cs="Arial"/>
          <w:szCs w:val="20"/>
        </w:rPr>
        <w:t>Port Adelaide: Inner Harbour; Port Adelaide: Outer Harbor; Port Giles, Wallaroo, Port Lincoln and Thevenard.</w:t>
      </w:r>
    </w:p>
    <w:p w:rsidR="00A159CA" w:rsidRPr="003320B6" w:rsidRDefault="00A159CA" w:rsidP="00A159CA">
      <w:pPr>
        <w:autoSpaceDE w:val="0"/>
        <w:autoSpaceDN w:val="0"/>
        <w:adjustRightInd w:val="0"/>
        <w:rPr>
          <w:rFonts w:cs="Arial"/>
          <w:szCs w:val="20"/>
        </w:rPr>
      </w:pPr>
      <w:proofErr w:type="spellStart"/>
      <w:r w:rsidRPr="003320B6">
        <w:rPr>
          <w:rFonts w:cs="Arial"/>
          <w:szCs w:val="20"/>
        </w:rPr>
        <w:t>Viterra</w:t>
      </w:r>
      <w:proofErr w:type="spellEnd"/>
      <w:r w:rsidRPr="003320B6">
        <w:rPr>
          <w:rFonts w:cs="Arial"/>
          <w:szCs w:val="20"/>
        </w:rPr>
        <w:t xml:space="preserve"> provided its </w:t>
      </w:r>
      <w:r>
        <w:rPr>
          <w:rFonts w:cs="Arial"/>
          <w:szCs w:val="20"/>
        </w:rPr>
        <w:t xml:space="preserve">2011 </w:t>
      </w:r>
      <w:proofErr w:type="gramStart"/>
      <w:r w:rsidRPr="003320B6">
        <w:rPr>
          <w:rFonts w:cs="Arial"/>
          <w:szCs w:val="20"/>
        </w:rPr>
        <w:t>Undertaking</w:t>
      </w:r>
      <w:proofErr w:type="gramEnd"/>
      <w:r w:rsidRPr="003320B6">
        <w:rPr>
          <w:rFonts w:cs="Arial"/>
          <w:szCs w:val="20"/>
        </w:rPr>
        <w:t xml:space="preserve"> in order to meet the access test prescribed by the </w:t>
      </w:r>
      <w:r w:rsidRPr="003320B6">
        <w:rPr>
          <w:rFonts w:cs="Arial"/>
          <w:i/>
          <w:szCs w:val="20"/>
        </w:rPr>
        <w:t xml:space="preserve">Wheat Export Marketing Act 2008 </w:t>
      </w:r>
      <w:r w:rsidRPr="003320B6">
        <w:rPr>
          <w:rFonts w:cs="Arial"/>
          <w:szCs w:val="20"/>
        </w:rPr>
        <w:t>(</w:t>
      </w:r>
      <w:r w:rsidRPr="006E23FA">
        <w:rPr>
          <w:rFonts w:cs="Arial"/>
          <w:b/>
          <w:szCs w:val="20"/>
        </w:rPr>
        <w:t>WEMA</w:t>
      </w:r>
      <w:r w:rsidR="004C5C36">
        <w:rPr>
          <w:rFonts w:cs="Arial"/>
          <w:szCs w:val="20"/>
        </w:rPr>
        <w:t xml:space="preserve">). </w:t>
      </w:r>
      <w:r w:rsidRPr="003320B6">
        <w:rPr>
          <w:rFonts w:cs="Arial"/>
          <w:szCs w:val="20"/>
        </w:rPr>
        <w:t xml:space="preserve">The access test, in part, can be met if port terminal operators that also export bulk </w:t>
      </w:r>
      <w:proofErr w:type="gramStart"/>
      <w:r w:rsidRPr="003320B6">
        <w:rPr>
          <w:rFonts w:cs="Arial"/>
          <w:szCs w:val="20"/>
        </w:rPr>
        <w:t>wheat</w:t>
      </w:r>
      <w:r>
        <w:rPr>
          <w:rFonts w:cs="Arial"/>
          <w:szCs w:val="20"/>
        </w:rPr>
        <w:t>,</w:t>
      </w:r>
      <w:proofErr w:type="gramEnd"/>
      <w:r w:rsidRPr="003320B6">
        <w:rPr>
          <w:rFonts w:cs="Arial"/>
          <w:szCs w:val="20"/>
        </w:rPr>
        <w:t xml:space="preserve"> have an access u</w:t>
      </w:r>
      <w:r w:rsidR="004C5C36">
        <w:rPr>
          <w:rFonts w:cs="Arial"/>
          <w:szCs w:val="20"/>
        </w:rPr>
        <w:t>ndertaking accepted by the ACCC.</w:t>
      </w:r>
      <w:r w:rsidRPr="003320B6">
        <w:rPr>
          <w:rFonts w:cs="Arial"/>
          <w:szCs w:val="20"/>
        </w:rPr>
        <w:t xml:space="preserve"> The </w:t>
      </w:r>
      <w:r>
        <w:rPr>
          <w:rFonts w:cs="Arial"/>
          <w:szCs w:val="20"/>
        </w:rPr>
        <w:t xml:space="preserve">2011 </w:t>
      </w:r>
      <w:r w:rsidRPr="003320B6">
        <w:rPr>
          <w:rFonts w:cs="Arial"/>
          <w:szCs w:val="20"/>
        </w:rPr>
        <w:t xml:space="preserve">Undertaking commenced on the expiry of </w:t>
      </w:r>
      <w:proofErr w:type="spellStart"/>
      <w:r w:rsidRPr="003320B6">
        <w:rPr>
          <w:rFonts w:cs="Arial"/>
          <w:szCs w:val="20"/>
        </w:rPr>
        <w:t>Viterra’s</w:t>
      </w:r>
      <w:proofErr w:type="spellEnd"/>
      <w:r w:rsidRPr="003320B6">
        <w:rPr>
          <w:rFonts w:cs="Arial"/>
          <w:szCs w:val="20"/>
        </w:rPr>
        <w:t xml:space="preserve"> </w:t>
      </w:r>
      <w:r>
        <w:rPr>
          <w:rFonts w:cs="Arial"/>
          <w:szCs w:val="20"/>
        </w:rPr>
        <w:t xml:space="preserve">2009 </w:t>
      </w:r>
      <w:proofErr w:type="gramStart"/>
      <w:r>
        <w:rPr>
          <w:rFonts w:cs="Arial"/>
          <w:szCs w:val="20"/>
        </w:rPr>
        <w:t>Undertaking</w:t>
      </w:r>
      <w:proofErr w:type="gramEnd"/>
      <w:r w:rsidRPr="003320B6">
        <w:rPr>
          <w:rFonts w:cs="Arial"/>
          <w:szCs w:val="20"/>
        </w:rPr>
        <w:t>.</w:t>
      </w:r>
    </w:p>
    <w:p w:rsidR="00A159CA" w:rsidRPr="003320B6" w:rsidRDefault="00A159CA" w:rsidP="00A159CA">
      <w:pPr>
        <w:autoSpaceDE w:val="0"/>
        <w:autoSpaceDN w:val="0"/>
        <w:adjustRightInd w:val="0"/>
        <w:rPr>
          <w:rFonts w:cs="Arial"/>
          <w:szCs w:val="20"/>
        </w:rPr>
      </w:pPr>
      <w:r w:rsidRPr="003320B6">
        <w:rPr>
          <w:rFonts w:cs="Arial"/>
          <w:szCs w:val="20"/>
        </w:rPr>
        <w:t>In November 2012, amendments to the WEMA were introduced which stipulate that the access test will be repealed on 1 October 2014, subject to there being in place a mandatory code of conduct.</w:t>
      </w:r>
      <w:r w:rsidRPr="003320B6">
        <w:rPr>
          <w:rStyle w:val="FootnoteReference"/>
          <w:rFonts w:cs="Arial"/>
          <w:szCs w:val="20"/>
        </w:rPr>
        <w:footnoteReference w:id="6"/>
      </w:r>
      <w:r w:rsidRPr="003320B6">
        <w:rPr>
          <w:rFonts w:cs="Arial"/>
          <w:szCs w:val="20"/>
        </w:rPr>
        <w:t xml:space="preserve"> The code must (among other things):</w:t>
      </w:r>
    </w:p>
    <w:p w:rsidR="00A159CA" w:rsidRPr="003320B6" w:rsidRDefault="00A159CA" w:rsidP="000F6832">
      <w:pPr>
        <w:pStyle w:val="Listbullet1"/>
        <w:numPr>
          <w:ilvl w:val="0"/>
          <w:numId w:val="18"/>
        </w:numPr>
        <w:spacing w:before="0"/>
        <w:ind w:left="714" w:hanging="357"/>
        <w:rPr>
          <w:rFonts w:cs="Arial"/>
          <w:szCs w:val="20"/>
        </w:rPr>
      </w:pPr>
      <w:r w:rsidRPr="003320B6">
        <w:rPr>
          <w:rFonts w:cs="Arial"/>
          <w:szCs w:val="20"/>
        </w:rPr>
        <w:t>deal with the fair and transparent provision to wheat exporters of access to port terminal services by the providers of port terminal services</w:t>
      </w:r>
    </w:p>
    <w:p w:rsidR="00BC293F" w:rsidRPr="00BC293F" w:rsidRDefault="00A159CA" w:rsidP="000F6832">
      <w:pPr>
        <w:pStyle w:val="Listbullet1"/>
        <w:numPr>
          <w:ilvl w:val="0"/>
          <w:numId w:val="18"/>
        </w:numPr>
        <w:spacing w:before="0"/>
        <w:ind w:left="714" w:hanging="357"/>
        <w:rPr>
          <w:rFonts w:cs="Arial"/>
          <w:szCs w:val="20"/>
        </w:rPr>
      </w:pPr>
      <w:proofErr w:type="gramStart"/>
      <w:r w:rsidRPr="003320B6">
        <w:rPr>
          <w:rFonts w:cs="Arial"/>
          <w:szCs w:val="20"/>
        </w:rPr>
        <w:lastRenderedPageBreak/>
        <w:t>be</w:t>
      </w:r>
      <w:proofErr w:type="gramEnd"/>
      <w:r w:rsidRPr="003320B6">
        <w:rPr>
          <w:rFonts w:cs="Arial"/>
          <w:szCs w:val="20"/>
        </w:rPr>
        <w:t xml:space="preserve"> consistent with the operation of an efficient and profitable wheat export marketing industry that supports the competitiveness of all sectors through the supply chain.</w:t>
      </w:r>
      <w:r w:rsidRPr="003320B6">
        <w:rPr>
          <w:rStyle w:val="FootnoteReference"/>
          <w:rFonts w:cs="Arial"/>
          <w:szCs w:val="20"/>
        </w:rPr>
        <w:footnoteReference w:id="7"/>
      </w:r>
    </w:p>
    <w:p w:rsidR="00BC293F" w:rsidRDefault="00BC293F" w:rsidP="00BC293F">
      <w:pPr>
        <w:autoSpaceDE w:val="0"/>
        <w:autoSpaceDN w:val="0"/>
        <w:adjustRightInd w:val="0"/>
        <w:rPr>
          <w:rFonts w:cs="Arial"/>
          <w:szCs w:val="20"/>
        </w:rPr>
      </w:pPr>
      <w:r w:rsidRPr="003320B6">
        <w:rPr>
          <w:rFonts w:cs="Arial"/>
          <w:szCs w:val="20"/>
        </w:rPr>
        <w:t xml:space="preserve">On 25 July 2013, </w:t>
      </w:r>
      <w:proofErr w:type="spellStart"/>
      <w:r w:rsidRPr="003320B6">
        <w:rPr>
          <w:rFonts w:cs="Arial"/>
          <w:szCs w:val="20"/>
        </w:rPr>
        <w:t>Viterra</w:t>
      </w:r>
      <w:proofErr w:type="spellEnd"/>
      <w:r w:rsidRPr="003320B6">
        <w:rPr>
          <w:rFonts w:cs="Arial"/>
          <w:szCs w:val="20"/>
        </w:rPr>
        <w:t xml:space="preserve"> applied to</w:t>
      </w:r>
      <w:r w:rsidR="00EF1904">
        <w:rPr>
          <w:rFonts w:cs="Arial"/>
          <w:szCs w:val="20"/>
        </w:rPr>
        <w:t xml:space="preserve"> vary and</w:t>
      </w:r>
      <w:r w:rsidRPr="003320B6">
        <w:rPr>
          <w:rFonts w:cs="Arial"/>
          <w:szCs w:val="20"/>
        </w:rPr>
        <w:t xml:space="preserve"> extend the operation of its </w:t>
      </w:r>
      <w:r>
        <w:rPr>
          <w:rFonts w:cs="Arial"/>
          <w:szCs w:val="20"/>
        </w:rPr>
        <w:t xml:space="preserve">2011 </w:t>
      </w:r>
      <w:r w:rsidRPr="003320B6">
        <w:rPr>
          <w:rFonts w:cs="Arial"/>
          <w:szCs w:val="20"/>
        </w:rPr>
        <w:t xml:space="preserve">Undertaking pursuant to subsections 44ZZBB and 44ZZA(7) of the CCA. </w:t>
      </w:r>
      <w:r>
        <w:rPr>
          <w:rFonts w:cs="Arial"/>
          <w:szCs w:val="20"/>
        </w:rPr>
        <w:t xml:space="preserve">On 3 September 2013, the ACCC published an Issues Paper seeking stakeholder views on </w:t>
      </w:r>
      <w:proofErr w:type="spellStart"/>
      <w:r>
        <w:rPr>
          <w:rFonts w:cs="Arial"/>
          <w:szCs w:val="20"/>
        </w:rPr>
        <w:t>Viterra’s</w:t>
      </w:r>
      <w:proofErr w:type="spellEnd"/>
      <w:r>
        <w:rPr>
          <w:rFonts w:cs="Arial"/>
          <w:szCs w:val="20"/>
        </w:rPr>
        <w:t xml:space="preserve"> applica</w:t>
      </w:r>
      <w:r w:rsidR="00906DB5">
        <w:rPr>
          <w:rFonts w:cs="Arial"/>
          <w:szCs w:val="20"/>
        </w:rPr>
        <w:t xml:space="preserve">tion. </w:t>
      </w:r>
      <w:r w:rsidR="000D3091">
        <w:rPr>
          <w:rFonts w:cs="Arial"/>
          <w:szCs w:val="20"/>
        </w:rPr>
        <w:t>This was followed by a Draft Decision, published by the ACCC on 21 November 2013.</w:t>
      </w:r>
      <w:r w:rsidR="00906DB5">
        <w:rPr>
          <w:rFonts w:cs="Arial"/>
          <w:szCs w:val="20"/>
        </w:rPr>
        <w:t xml:space="preserve"> The ACCC has now made a Final D</w:t>
      </w:r>
      <w:r>
        <w:rPr>
          <w:rFonts w:cs="Arial"/>
          <w:szCs w:val="20"/>
        </w:rPr>
        <w:t xml:space="preserve">ecision with respect to </w:t>
      </w:r>
      <w:proofErr w:type="spellStart"/>
      <w:r>
        <w:rPr>
          <w:rFonts w:cs="Arial"/>
          <w:szCs w:val="20"/>
        </w:rPr>
        <w:t>Viterra’s</w:t>
      </w:r>
      <w:proofErr w:type="spellEnd"/>
      <w:r w:rsidR="00826CE3">
        <w:rPr>
          <w:rFonts w:cs="Arial"/>
          <w:szCs w:val="20"/>
        </w:rPr>
        <w:t xml:space="preserve"> Amended</w:t>
      </w:r>
      <w:r w:rsidR="00AF127C">
        <w:rPr>
          <w:rFonts w:cs="Arial"/>
          <w:szCs w:val="20"/>
        </w:rPr>
        <w:t xml:space="preserve"> </w:t>
      </w:r>
      <w:r w:rsidR="00826CE3">
        <w:rPr>
          <w:rFonts w:cs="Arial"/>
          <w:szCs w:val="20"/>
        </w:rPr>
        <w:t>a</w:t>
      </w:r>
      <w:r>
        <w:rPr>
          <w:rFonts w:cs="Arial"/>
          <w:szCs w:val="20"/>
        </w:rPr>
        <w:t>pplication to extend and vary. Details on the ACCC’s assessment process are</w:t>
      </w:r>
      <w:r w:rsidR="00E0360A">
        <w:rPr>
          <w:rFonts w:cs="Arial"/>
          <w:szCs w:val="20"/>
        </w:rPr>
        <w:t xml:space="preserve"> set out in chapter </w:t>
      </w:r>
      <w:r w:rsidRPr="00906DB5">
        <w:rPr>
          <w:rFonts w:cs="Arial"/>
          <w:szCs w:val="20"/>
        </w:rPr>
        <w:t>1.5</w:t>
      </w:r>
      <w:r w:rsidR="00906DB5">
        <w:rPr>
          <w:rFonts w:cs="Arial"/>
          <w:szCs w:val="20"/>
        </w:rPr>
        <w:t xml:space="preserve"> of this Final D</w:t>
      </w:r>
      <w:r>
        <w:rPr>
          <w:rFonts w:cs="Arial"/>
          <w:szCs w:val="20"/>
        </w:rPr>
        <w:t>ecision.</w:t>
      </w:r>
    </w:p>
    <w:p w:rsidR="00A159CA" w:rsidRDefault="00906DB5" w:rsidP="00A159CA">
      <w:pPr>
        <w:autoSpaceDE w:val="0"/>
        <w:autoSpaceDN w:val="0"/>
        <w:adjustRightInd w:val="0"/>
        <w:rPr>
          <w:rFonts w:cs="Arial"/>
          <w:szCs w:val="20"/>
        </w:rPr>
      </w:pPr>
      <w:proofErr w:type="spellStart"/>
      <w:r>
        <w:rPr>
          <w:rFonts w:cs="Arial"/>
          <w:szCs w:val="20"/>
        </w:rPr>
        <w:t>Viterra</w:t>
      </w:r>
      <w:proofErr w:type="spellEnd"/>
      <w:r>
        <w:rPr>
          <w:rFonts w:cs="Arial"/>
          <w:szCs w:val="20"/>
        </w:rPr>
        <w:t xml:space="preserve"> </w:t>
      </w:r>
      <w:r w:rsidR="00A159CA" w:rsidRPr="003320B6">
        <w:rPr>
          <w:rFonts w:cs="Arial"/>
          <w:szCs w:val="20"/>
        </w:rPr>
        <w:t xml:space="preserve">applied to the ACCC to extend the operation of its </w:t>
      </w:r>
      <w:r w:rsidR="00EF1904">
        <w:rPr>
          <w:rFonts w:cs="Arial"/>
          <w:szCs w:val="20"/>
        </w:rPr>
        <w:t xml:space="preserve">2011 </w:t>
      </w:r>
      <w:proofErr w:type="gramStart"/>
      <w:r w:rsidR="00A159CA" w:rsidRPr="003320B6">
        <w:rPr>
          <w:rFonts w:cs="Arial"/>
          <w:szCs w:val="20"/>
        </w:rPr>
        <w:t>Undertaking</w:t>
      </w:r>
      <w:proofErr w:type="gramEnd"/>
      <w:r w:rsidR="00A159CA" w:rsidRPr="003320B6">
        <w:rPr>
          <w:rFonts w:cs="Arial"/>
          <w:szCs w:val="20"/>
        </w:rPr>
        <w:t xml:space="preserve"> past</w:t>
      </w:r>
      <w:r w:rsidR="00AF127C">
        <w:rPr>
          <w:rFonts w:cs="Arial"/>
          <w:szCs w:val="20"/>
        </w:rPr>
        <w:t xml:space="preserve"> </w:t>
      </w:r>
      <w:r w:rsidR="00A159CA" w:rsidRPr="003320B6">
        <w:rPr>
          <w:rFonts w:cs="Arial"/>
          <w:szCs w:val="20"/>
        </w:rPr>
        <w:t>1 October 2014</w:t>
      </w:r>
      <w:r w:rsidR="000D3091">
        <w:rPr>
          <w:rFonts w:cs="Arial"/>
          <w:szCs w:val="20"/>
        </w:rPr>
        <w:t xml:space="preserve">. </w:t>
      </w:r>
      <w:proofErr w:type="spellStart"/>
      <w:r>
        <w:rPr>
          <w:rFonts w:cs="Arial"/>
          <w:szCs w:val="20"/>
        </w:rPr>
        <w:t>Viterra</w:t>
      </w:r>
      <w:proofErr w:type="spellEnd"/>
      <w:r>
        <w:rPr>
          <w:rFonts w:cs="Arial"/>
          <w:szCs w:val="20"/>
        </w:rPr>
        <w:t xml:space="preserve"> </w:t>
      </w:r>
      <w:r w:rsidR="00A159CA">
        <w:rPr>
          <w:rFonts w:cs="Arial"/>
          <w:szCs w:val="20"/>
        </w:rPr>
        <w:t>also applied to vary a number of provisions in the 2011 Undertaking</w:t>
      </w:r>
      <w:r w:rsidR="00FA026A">
        <w:rPr>
          <w:rFonts w:cs="Arial"/>
          <w:szCs w:val="20"/>
        </w:rPr>
        <w:t xml:space="preserve">, Standard Terms and </w:t>
      </w:r>
      <w:r w:rsidR="00A159CA" w:rsidRPr="00DB1962">
        <w:rPr>
          <w:rFonts w:cs="Arial"/>
          <w:szCs w:val="20"/>
        </w:rPr>
        <w:t>PLPs</w:t>
      </w:r>
      <w:r w:rsidR="00DB1962">
        <w:rPr>
          <w:rFonts w:cs="Arial"/>
          <w:szCs w:val="20"/>
        </w:rPr>
        <w:t xml:space="preserve">. </w:t>
      </w:r>
      <w:r w:rsidR="00A159CA">
        <w:rPr>
          <w:rFonts w:cs="Arial"/>
          <w:szCs w:val="20"/>
        </w:rPr>
        <w:t>These are outlined in more detail below and</w:t>
      </w:r>
      <w:r w:rsidR="00764519">
        <w:rPr>
          <w:rFonts w:cs="Arial"/>
          <w:szCs w:val="20"/>
        </w:rPr>
        <w:t xml:space="preserve"> ass</w:t>
      </w:r>
      <w:r w:rsidR="000D3091">
        <w:rPr>
          <w:rFonts w:cs="Arial"/>
          <w:szCs w:val="20"/>
        </w:rPr>
        <w:t xml:space="preserve">essed in </w:t>
      </w:r>
      <w:r w:rsidR="00372BB9">
        <w:rPr>
          <w:rFonts w:cs="Arial"/>
          <w:szCs w:val="20"/>
        </w:rPr>
        <w:t>c</w:t>
      </w:r>
      <w:r w:rsidR="000D3091">
        <w:rPr>
          <w:rFonts w:cs="Arial"/>
          <w:szCs w:val="20"/>
        </w:rPr>
        <w:t>hapter 4 of this Final</w:t>
      </w:r>
      <w:r w:rsidR="00764519">
        <w:rPr>
          <w:rFonts w:cs="Arial"/>
          <w:szCs w:val="20"/>
        </w:rPr>
        <w:t xml:space="preserve"> D</w:t>
      </w:r>
      <w:r w:rsidR="00A159CA">
        <w:rPr>
          <w:rFonts w:cs="Arial"/>
          <w:szCs w:val="20"/>
        </w:rPr>
        <w:t>ecision.</w:t>
      </w:r>
    </w:p>
    <w:p w:rsidR="000D3091" w:rsidRPr="000D3091" w:rsidRDefault="000D3091" w:rsidP="000D3091">
      <w:r>
        <w:t>The Amended application to extend and vary is substantively the same as the Original application to extend and vary. Accordingly, the ACCC is of the view that consultation carried out with respect to the original application is relevant to th</w:t>
      </w:r>
      <w:r w:rsidR="004C5C36">
        <w:t xml:space="preserve">e amended application. </w:t>
      </w:r>
      <w:r>
        <w:t xml:space="preserve">The ACCC is further of the view that the minor alterations to </w:t>
      </w:r>
      <w:proofErr w:type="spellStart"/>
      <w:r>
        <w:t>Viterra’s</w:t>
      </w:r>
      <w:proofErr w:type="spellEnd"/>
      <w:r>
        <w:t xml:space="preserve"> Standard Terms specified in the amended application do not require a separate consultation process.</w:t>
      </w:r>
      <w:r w:rsidR="00487257">
        <w:t xml:space="preserve"> The ACCC’s views on these minor alterations are at</w:t>
      </w:r>
      <w:r w:rsidR="00FB7FED">
        <w:t xml:space="preserve"> chapter</w:t>
      </w:r>
      <w:r w:rsidR="00487257">
        <w:t xml:space="preserve"> 4.9.1 of this Final Decision.</w:t>
      </w:r>
    </w:p>
    <w:p w:rsidR="00A159CA" w:rsidRPr="003320B6" w:rsidRDefault="00A159CA" w:rsidP="00A159CA">
      <w:pPr>
        <w:pStyle w:val="AERbodytext"/>
        <w:rPr>
          <w:rFonts w:ascii="Arial" w:hAnsi="Arial" w:cs="Arial"/>
          <w:sz w:val="20"/>
          <w:szCs w:val="20"/>
        </w:rPr>
      </w:pPr>
      <w:r w:rsidRPr="003320B6">
        <w:rPr>
          <w:rFonts w:ascii="Arial" w:hAnsi="Arial" w:cs="Arial"/>
          <w:sz w:val="20"/>
          <w:szCs w:val="20"/>
        </w:rPr>
        <w:t xml:space="preserve">The </w:t>
      </w:r>
      <w:r w:rsidR="00763673">
        <w:rPr>
          <w:rFonts w:ascii="Arial" w:hAnsi="Arial" w:cs="Arial"/>
          <w:sz w:val="20"/>
          <w:szCs w:val="20"/>
        </w:rPr>
        <w:t>Amended a</w:t>
      </w:r>
      <w:r>
        <w:rPr>
          <w:rFonts w:ascii="Arial" w:hAnsi="Arial" w:cs="Arial"/>
          <w:sz w:val="20"/>
          <w:szCs w:val="20"/>
        </w:rPr>
        <w:t xml:space="preserve">pplication to extend and vary, </w:t>
      </w:r>
      <w:r w:rsidRPr="003320B6">
        <w:rPr>
          <w:rFonts w:ascii="Arial" w:hAnsi="Arial" w:cs="Arial"/>
          <w:sz w:val="20"/>
          <w:szCs w:val="20"/>
        </w:rPr>
        <w:t xml:space="preserve">and associated </w:t>
      </w:r>
      <w:proofErr w:type="gramStart"/>
      <w:r w:rsidRPr="003320B6">
        <w:rPr>
          <w:rFonts w:ascii="Arial" w:hAnsi="Arial" w:cs="Arial"/>
          <w:sz w:val="20"/>
          <w:szCs w:val="20"/>
        </w:rPr>
        <w:t>documents</w:t>
      </w:r>
      <w:r>
        <w:rPr>
          <w:rFonts w:ascii="Arial" w:hAnsi="Arial" w:cs="Arial"/>
          <w:sz w:val="20"/>
          <w:szCs w:val="20"/>
        </w:rPr>
        <w:t>,</w:t>
      </w:r>
      <w:proofErr w:type="gramEnd"/>
      <w:r w:rsidRPr="003320B6">
        <w:rPr>
          <w:rFonts w:ascii="Arial" w:hAnsi="Arial" w:cs="Arial"/>
          <w:sz w:val="20"/>
          <w:szCs w:val="20"/>
        </w:rPr>
        <w:t xml:space="preserve"> are available on the ACCC’s website and include:</w:t>
      </w:r>
    </w:p>
    <w:p w:rsidR="00A159CA" w:rsidRPr="003320B6" w:rsidRDefault="00A159CA" w:rsidP="000F6832">
      <w:pPr>
        <w:pStyle w:val="AERbodytext"/>
        <w:numPr>
          <w:ilvl w:val="0"/>
          <w:numId w:val="17"/>
        </w:numPr>
        <w:rPr>
          <w:rFonts w:ascii="Arial" w:hAnsi="Arial" w:cs="Arial"/>
          <w:sz w:val="20"/>
          <w:szCs w:val="20"/>
        </w:rPr>
      </w:pPr>
      <w:r w:rsidRPr="003320B6">
        <w:rPr>
          <w:rFonts w:ascii="Arial" w:hAnsi="Arial" w:cs="Arial"/>
          <w:sz w:val="20"/>
          <w:szCs w:val="20"/>
        </w:rPr>
        <w:t>Port Terminal Services Access Undertaking - with the variations marked up</w:t>
      </w:r>
    </w:p>
    <w:p w:rsidR="00A159CA" w:rsidRPr="003320B6" w:rsidRDefault="00FB7FED" w:rsidP="000F6832">
      <w:pPr>
        <w:pStyle w:val="AERbodytext"/>
        <w:numPr>
          <w:ilvl w:val="0"/>
          <w:numId w:val="17"/>
        </w:numPr>
        <w:rPr>
          <w:rFonts w:ascii="Arial" w:hAnsi="Arial" w:cs="Arial"/>
          <w:sz w:val="20"/>
          <w:szCs w:val="20"/>
        </w:rPr>
      </w:pPr>
      <w:r>
        <w:rPr>
          <w:rFonts w:ascii="Arial" w:hAnsi="Arial" w:cs="Arial"/>
          <w:sz w:val="20"/>
          <w:szCs w:val="20"/>
        </w:rPr>
        <w:t>PLPs</w:t>
      </w:r>
      <w:r w:rsidR="00A159CA" w:rsidRPr="003320B6">
        <w:rPr>
          <w:rFonts w:ascii="Arial" w:hAnsi="Arial" w:cs="Arial"/>
          <w:sz w:val="20"/>
          <w:szCs w:val="20"/>
        </w:rPr>
        <w:t xml:space="preserve"> - with the variations marked up</w:t>
      </w:r>
    </w:p>
    <w:p w:rsidR="00A159CA" w:rsidRPr="003320B6" w:rsidRDefault="00FB7FED" w:rsidP="000F6832">
      <w:pPr>
        <w:pStyle w:val="AERbodytext"/>
        <w:numPr>
          <w:ilvl w:val="0"/>
          <w:numId w:val="17"/>
        </w:numPr>
        <w:rPr>
          <w:rFonts w:ascii="Arial" w:hAnsi="Arial" w:cs="Arial"/>
          <w:sz w:val="20"/>
          <w:szCs w:val="20"/>
        </w:rPr>
      </w:pPr>
      <w:r>
        <w:rPr>
          <w:rFonts w:ascii="Arial" w:hAnsi="Arial" w:cs="Arial"/>
          <w:sz w:val="20"/>
          <w:szCs w:val="20"/>
        </w:rPr>
        <w:t>Standard Terms</w:t>
      </w:r>
      <w:r w:rsidR="00A159CA" w:rsidRPr="003320B6">
        <w:rPr>
          <w:rFonts w:ascii="Arial" w:hAnsi="Arial" w:cs="Arial"/>
          <w:sz w:val="20"/>
          <w:szCs w:val="20"/>
        </w:rPr>
        <w:t xml:space="preserve"> - with the variations marked up</w:t>
      </w:r>
    </w:p>
    <w:p w:rsidR="00A159CA" w:rsidRDefault="00A159CA" w:rsidP="000F6832">
      <w:pPr>
        <w:pStyle w:val="AERbodytext"/>
        <w:numPr>
          <w:ilvl w:val="0"/>
          <w:numId w:val="17"/>
        </w:numPr>
        <w:rPr>
          <w:rFonts w:ascii="Arial" w:hAnsi="Arial" w:cs="Arial"/>
          <w:sz w:val="20"/>
          <w:szCs w:val="20"/>
        </w:rPr>
      </w:pPr>
      <w:r w:rsidRPr="003320B6">
        <w:rPr>
          <w:rFonts w:ascii="Arial" w:hAnsi="Arial" w:cs="Arial"/>
          <w:sz w:val="20"/>
          <w:szCs w:val="20"/>
        </w:rPr>
        <w:t xml:space="preserve">supporting submission </w:t>
      </w:r>
    </w:p>
    <w:p w:rsidR="00C9556B" w:rsidRPr="003320B6" w:rsidRDefault="00C9556B" w:rsidP="000F6832">
      <w:pPr>
        <w:pStyle w:val="AERbodytext"/>
        <w:numPr>
          <w:ilvl w:val="0"/>
          <w:numId w:val="17"/>
        </w:numPr>
        <w:rPr>
          <w:rFonts w:ascii="Arial" w:hAnsi="Arial" w:cs="Arial"/>
          <w:sz w:val="20"/>
          <w:szCs w:val="20"/>
        </w:rPr>
      </w:pPr>
      <w:r>
        <w:rPr>
          <w:rFonts w:ascii="Arial" w:hAnsi="Arial" w:cs="Arial"/>
          <w:sz w:val="20"/>
          <w:szCs w:val="20"/>
        </w:rPr>
        <w:t xml:space="preserve">Letter from </w:t>
      </w:r>
      <w:proofErr w:type="spellStart"/>
      <w:r>
        <w:rPr>
          <w:rFonts w:ascii="Arial" w:hAnsi="Arial" w:cs="Arial"/>
          <w:sz w:val="20"/>
          <w:szCs w:val="20"/>
        </w:rPr>
        <w:t>Viterra</w:t>
      </w:r>
      <w:proofErr w:type="spellEnd"/>
      <w:r>
        <w:rPr>
          <w:rFonts w:ascii="Arial" w:hAnsi="Arial" w:cs="Arial"/>
          <w:sz w:val="20"/>
          <w:szCs w:val="20"/>
        </w:rPr>
        <w:t xml:space="preserve"> setting out two additional minor changes</w:t>
      </w:r>
      <w:r w:rsidR="00763673">
        <w:rPr>
          <w:rFonts w:ascii="Arial" w:hAnsi="Arial" w:cs="Arial"/>
          <w:sz w:val="20"/>
          <w:szCs w:val="20"/>
        </w:rPr>
        <w:t xml:space="preserve"> to </w:t>
      </w:r>
      <w:proofErr w:type="spellStart"/>
      <w:r w:rsidR="00763673">
        <w:rPr>
          <w:rFonts w:ascii="Arial" w:hAnsi="Arial" w:cs="Arial"/>
          <w:sz w:val="20"/>
          <w:szCs w:val="20"/>
        </w:rPr>
        <w:t>Viterra’s</w:t>
      </w:r>
      <w:proofErr w:type="spellEnd"/>
      <w:r w:rsidR="00763673">
        <w:rPr>
          <w:rFonts w:ascii="Arial" w:hAnsi="Arial" w:cs="Arial"/>
          <w:sz w:val="20"/>
          <w:szCs w:val="20"/>
        </w:rPr>
        <w:t xml:space="preserve"> Standard Terms</w:t>
      </w:r>
      <w:r>
        <w:rPr>
          <w:rFonts w:ascii="Arial" w:hAnsi="Arial" w:cs="Arial"/>
          <w:sz w:val="20"/>
          <w:szCs w:val="20"/>
        </w:rPr>
        <w:t xml:space="preserve"> that are not included in the original </w:t>
      </w:r>
      <w:r w:rsidR="00FB7FED">
        <w:rPr>
          <w:rFonts w:ascii="Arial" w:hAnsi="Arial" w:cs="Arial"/>
          <w:sz w:val="20"/>
          <w:szCs w:val="20"/>
        </w:rPr>
        <w:t>application</w:t>
      </w:r>
      <w:r>
        <w:rPr>
          <w:rFonts w:ascii="Arial" w:hAnsi="Arial" w:cs="Arial"/>
          <w:sz w:val="20"/>
          <w:szCs w:val="20"/>
        </w:rPr>
        <w:t xml:space="preserve">. </w:t>
      </w:r>
    </w:p>
    <w:p w:rsidR="00A159CA" w:rsidRDefault="00A159CA" w:rsidP="00A159CA">
      <w:pPr>
        <w:pStyle w:val="AERbodytext"/>
        <w:rPr>
          <w:rFonts w:ascii="Arial" w:hAnsi="Arial" w:cs="Arial"/>
          <w:sz w:val="20"/>
          <w:szCs w:val="20"/>
        </w:rPr>
      </w:pPr>
      <w:r w:rsidRPr="003320B6">
        <w:rPr>
          <w:rFonts w:ascii="Arial" w:hAnsi="Arial" w:cs="Arial"/>
          <w:sz w:val="20"/>
          <w:szCs w:val="20"/>
        </w:rPr>
        <w:t>The</w:t>
      </w:r>
      <w:r w:rsidR="000D3091">
        <w:rPr>
          <w:rFonts w:ascii="Arial" w:hAnsi="Arial" w:cs="Arial"/>
          <w:sz w:val="20"/>
          <w:szCs w:val="20"/>
        </w:rPr>
        <w:t>se</w:t>
      </w:r>
      <w:r w:rsidRPr="003320B6">
        <w:rPr>
          <w:rFonts w:ascii="Arial" w:hAnsi="Arial" w:cs="Arial"/>
          <w:sz w:val="20"/>
          <w:szCs w:val="20"/>
        </w:rPr>
        <w:t xml:space="preserve"> documents</w:t>
      </w:r>
      <w:r w:rsidR="000D3091">
        <w:rPr>
          <w:rFonts w:ascii="Arial" w:hAnsi="Arial" w:cs="Arial"/>
          <w:sz w:val="20"/>
          <w:szCs w:val="20"/>
        </w:rPr>
        <w:t xml:space="preserve">, </w:t>
      </w:r>
      <w:proofErr w:type="spellStart"/>
      <w:r w:rsidR="000D3091">
        <w:rPr>
          <w:rFonts w:ascii="Arial" w:hAnsi="Arial" w:cs="Arial"/>
          <w:sz w:val="20"/>
          <w:szCs w:val="20"/>
        </w:rPr>
        <w:t>Viterra’s</w:t>
      </w:r>
      <w:proofErr w:type="spellEnd"/>
      <w:r w:rsidR="000D3091">
        <w:rPr>
          <w:rFonts w:ascii="Arial" w:hAnsi="Arial" w:cs="Arial"/>
          <w:sz w:val="20"/>
          <w:szCs w:val="20"/>
        </w:rPr>
        <w:t xml:space="preserve"> Original Application to extend and vary and the ACCC’s Issues Paper and Draft Decision</w:t>
      </w:r>
      <w:r w:rsidRPr="003320B6">
        <w:rPr>
          <w:rFonts w:ascii="Arial" w:hAnsi="Arial" w:cs="Arial"/>
          <w:sz w:val="20"/>
          <w:szCs w:val="20"/>
        </w:rPr>
        <w:t xml:space="preserve"> can be accessed by visiting to the ACCC’s website at </w:t>
      </w:r>
      <w:hyperlink r:id="rId15" w:history="1">
        <w:r w:rsidRPr="00E93BC7">
          <w:rPr>
            <w:rStyle w:val="Hyperlink"/>
            <w:rFonts w:ascii="Arial" w:hAnsi="Arial" w:cs="Arial"/>
            <w:sz w:val="20"/>
            <w:szCs w:val="20"/>
          </w:rPr>
          <w:t>www.accc.gov.au/wheat</w:t>
        </w:r>
      </w:hyperlink>
      <w:r w:rsidRPr="003320B6">
        <w:rPr>
          <w:rStyle w:val="Hyperlink"/>
          <w:rFonts w:ascii="Arial" w:hAnsi="Arial" w:cs="Arial"/>
          <w:sz w:val="20"/>
          <w:szCs w:val="20"/>
        </w:rPr>
        <w:t>.</w:t>
      </w:r>
      <w:r w:rsidRPr="003320B6">
        <w:rPr>
          <w:rFonts w:ascii="Arial" w:hAnsi="Arial" w:cs="Arial"/>
          <w:sz w:val="20"/>
          <w:szCs w:val="20"/>
        </w:rPr>
        <w:t xml:space="preserve"> </w:t>
      </w:r>
    </w:p>
    <w:p w:rsidR="007D04C5" w:rsidRDefault="0080411F" w:rsidP="005B0C00">
      <w:r>
        <w:t>P</w:t>
      </w:r>
      <w:r w:rsidR="00FB7FED">
        <w:t xml:space="preserve">ursuant to subsection </w:t>
      </w:r>
      <w:proofErr w:type="gramStart"/>
      <w:r w:rsidR="00FB7FED">
        <w:t>44ZZBE(</w:t>
      </w:r>
      <w:proofErr w:type="gramEnd"/>
      <w:r w:rsidR="00FB7FED">
        <w:t xml:space="preserve">1) </w:t>
      </w:r>
      <w:r>
        <w:t xml:space="preserve">of the CCA, the purpose of this document is to set out the ACCC’s decision to </w:t>
      </w:r>
      <w:r w:rsidR="00763673">
        <w:t xml:space="preserve">consent to </w:t>
      </w:r>
      <w:proofErr w:type="spellStart"/>
      <w:r>
        <w:t>Viterra’s</w:t>
      </w:r>
      <w:proofErr w:type="spellEnd"/>
      <w:r>
        <w:t xml:space="preserve"> </w:t>
      </w:r>
      <w:r w:rsidR="00826CE3">
        <w:t xml:space="preserve">Amended </w:t>
      </w:r>
      <w:r w:rsidR="00763673">
        <w:t>a</w:t>
      </w:r>
      <w:r>
        <w:t xml:space="preserve">pplication to </w:t>
      </w:r>
      <w:r w:rsidR="00DC21EF">
        <w:t xml:space="preserve">extend and vary, including the reasons for that decision. </w:t>
      </w:r>
    </w:p>
    <w:p w:rsidR="00BC293F" w:rsidRDefault="00BC293F" w:rsidP="005B0C00"/>
    <w:p w:rsidR="00DC21EF" w:rsidRDefault="00DC21EF" w:rsidP="00DC21EF">
      <w:pPr>
        <w:pStyle w:val="Numberedheading2"/>
      </w:pPr>
      <w:bookmarkStart w:id="7" w:name="_Toc378322927"/>
      <w:r>
        <w:t>Process leading to the Final Decision</w:t>
      </w:r>
      <w:bookmarkEnd w:id="7"/>
    </w:p>
    <w:p w:rsidR="00BE5AD7" w:rsidRDefault="0016493D" w:rsidP="005B0C00">
      <w:r>
        <w:t xml:space="preserve">The ACCC’s Final Decision on </w:t>
      </w:r>
      <w:proofErr w:type="spellStart"/>
      <w:r>
        <w:t>Viterra’s</w:t>
      </w:r>
      <w:proofErr w:type="spellEnd"/>
      <w:r>
        <w:t xml:space="preserve"> application follows public consultation on the ACCC Issues Paper and Draft Decision, and </w:t>
      </w:r>
      <w:proofErr w:type="spellStart"/>
      <w:r>
        <w:t>Viterra’s</w:t>
      </w:r>
      <w:proofErr w:type="spellEnd"/>
      <w:r>
        <w:t xml:space="preserve"> </w:t>
      </w:r>
      <w:r w:rsidR="00DB1962">
        <w:t xml:space="preserve">subsequent </w:t>
      </w:r>
      <w:r>
        <w:t xml:space="preserve">submission of </w:t>
      </w:r>
      <w:r w:rsidR="000D3091">
        <w:t>the</w:t>
      </w:r>
      <w:r w:rsidR="00BE5AD7">
        <w:t xml:space="preserve"> Amended</w:t>
      </w:r>
      <w:r>
        <w:t xml:space="preserve"> </w:t>
      </w:r>
      <w:r w:rsidR="008321A0">
        <w:t>application to extend and vary</w:t>
      </w:r>
      <w:r w:rsidR="00F86A45">
        <w:t>.</w:t>
      </w:r>
      <w:r w:rsidR="008321A0">
        <w:t xml:space="preserve"> </w:t>
      </w:r>
    </w:p>
    <w:p w:rsidR="00F96E0E" w:rsidRDefault="00F96E0E" w:rsidP="00F96E0E">
      <w:pPr>
        <w:pStyle w:val="Numberedheading3"/>
      </w:pPr>
      <w:r>
        <w:t xml:space="preserve">Public consultation undertaken </w:t>
      </w:r>
    </w:p>
    <w:p w:rsidR="00F96E0E" w:rsidRDefault="00F96E0E" w:rsidP="00F96E0E">
      <w:r>
        <w:t>The CCA provides that the ACCC may invite public submissions on an access undertaking application.</w:t>
      </w:r>
      <w:r>
        <w:rPr>
          <w:rStyle w:val="FootnoteReference"/>
        </w:rPr>
        <w:footnoteReference w:id="8"/>
      </w:r>
      <w:r>
        <w:t xml:space="preserve"> Accordingly, the ACCC published an Issues Paper on 3 September 2013 and a </w:t>
      </w:r>
      <w:r>
        <w:lastRenderedPageBreak/>
        <w:t xml:space="preserve">Draft Decision on 21 November 2013 inviting submissions on </w:t>
      </w:r>
      <w:proofErr w:type="spellStart"/>
      <w:r>
        <w:t>Viterra’s</w:t>
      </w:r>
      <w:proofErr w:type="spellEnd"/>
      <w:r>
        <w:t xml:space="preserve"> </w:t>
      </w:r>
      <w:r w:rsidR="00F86A45">
        <w:t>Original</w:t>
      </w:r>
      <w:r w:rsidR="00BE5AD7">
        <w:t xml:space="preserve"> </w:t>
      </w:r>
      <w:r w:rsidR="00F86A45">
        <w:t>a</w:t>
      </w:r>
      <w:r>
        <w:t xml:space="preserve">pplication to extend and vary respectively. The ACCC also published </w:t>
      </w:r>
      <w:proofErr w:type="spellStart"/>
      <w:r>
        <w:t>Viterra’s</w:t>
      </w:r>
      <w:proofErr w:type="spellEnd"/>
      <w:r>
        <w:t xml:space="preserve"> suppo</w:t>
      </w:r>
      <w:r w:rsidR="008321A0">
        <w:t xml:space="preserve">rting submission, its </w:t>
      </w:r>
      <w:r w:rsidR="00F86A45">
        <w:t>Original</w:t>
      </w:r>
      <w:r w:rsidR="008321A0" w:rsidRPr="00B81D03">
        <w:t xml:space="preserve"> a</w:t>
      </w:r>
      <w:r w:rsidRPr="00B81D03">
        <w:t>pplication to</w:t>
      </w:r>
      <w:r w:rsidR="008321A0" w:rsidRPr="00B81D03">
        <w:t xml:space="preserve"> extend and vary</w:t>
      </w:r>
      <w:r w:rsidR="006266AC">
        <w:t>,</w:t>
      </w:r>
      <w:r w:rsidR="008321A0" w:rsidRPr="00B81D03">
        <w:t xml:space="preserve"> </w:t>
      </w:r>
      <w:r>
        <w:t xml:space="preserve">and directly emailed copies of the Issues Paper and Draft Decision to relevant parties including wheat exporters, grain growers, farming organisations and state regulatory bodies. </w:t>
      </w:r>
    </w:p>
    <w:p w:rsidR="00F96E0E" w:rsidRDefault="00F96E0E" w:rsidP="00F96E0E">
      <w:r>
        <w:t xml:space="preserve">In response to its Issues Paper, the ACCC received public submissions from </w:t>
      </w:r>
      <w:proofErr w:type="spellStart"/>
      <w:r>
        <w:t>Alfed</w:t>
      </w:r>
      <w:proofErr w:type="spellEnd"/>
      <w:r>
        <w:t xml:space="preserve"> C. </w:t>
      </w:r>
      <w:proofErr w:type="spellStart"/>
      <w:r>
        <w:t>Toepfer</w:t>
      </w:r>
      <w:proofErr w:type="spellEnd"/>
      <w:r>
        <w:t xml:space="preserve"> International Australia (</w:t>
      </w:r>
      <w:proofErr w:type="spellStart"/>
      <w:r w:rsidRPr="00EC46DE">
        <w:rPr>
          <w:b/>
        </w:rPr>
        <w:t>Toepfer</w:t>
      </w:r>
      <w:proofErr w:type="spellEnd"/>
      <w:r>
        <w:t>), and Cargill Australia Limited (</w:t>
      </w:r>
      <w:r>
        <w:rPr>
          <w:b/>
        </w:rPr>
        <w:t>Cargill</w:t>
      </w:r>
      <w:r>
        <w:t>).</w:t>
      </w:r>
      <w:r>
        <w:rPr>
          <w:rStyle w:val="FootnoteReference"/>
        </w:rPr>
        <w:footnoteReference w:id="9"/>
      </w:r>
    </w:p>
    <w:p w:rsidR="00F96E0E" w:rsidRPr="00F96E0E" w:rsidRDefault="00F96E0E" w:rsidP="00F96E0E">
      <w:r w:rsidRPr="00F96E0E">
        <w:t>The ACCC did not receive any submissions in response to its Draft Decision</w:t>
      </w:r>
      <w:r w:rsidR="00BE5AD7">
        <w:t xml:space="preserve"> to consent to the </w:t>
      </w:r>
      <w:r w:rsidR="00DB1962">
        <w:t>o</w:t>
      </w:r>
      <w:r w:rsidR="00F86A45">
        <w:t>riginal</w:t>
      </w:r>
      <w:r w:rsidR="00BE5AD7">
        <w:t xml:space="preserve"> </w:t>
      </w:r>
      <w:r w:rsidR="00F86A45">
        <w:t>a</w:t>
      </w:r>
      <w:r w:rsidR="00BE5AD7">
        <w:t>pplication</w:t>
      </w:r>
      <w:r w:rsidRPr="00F96E0E">
        <w:t xml:space="preserve">. </w:t>
      </w:r>
      <w:r w:rsidR="000D3091">
        <w:t>As noted above, the ACCC does not consider that there is a need for additional consultation on the Amended application to extend and vary.</w:t>
      </w:r>
    </w:p>
    <w:p w:rsidR="00F96E0E" w:rsidRPr="00A94027" w:rsidRDefault="00F96E0E" w:rsidP="005B0C00">
      <w:r>
        <w:t xml:space="preserve">All of the above mentioned documents are available on the ACCC’s website at </w:t>
      </w:r>
      <w:hyperlink r:id="rId16" w:history="1">
        <w:r w:rsidRPr="00D66C16">
          <w:rPr>
            <w:rStyle w:val="Hyperlink"/>
          </w:rPr>
          <w:t>www.accc.gov.au/wheat</w:t>
        </w:r>
      </w:hyperlink>
      <w:r w:rsidR="00BC3C8F">
        <w:t>.</w:t>
      </w:r>
    </w:p>
    <w:p w:rsidR="000B05BF" w:rsidRDefault="00D43A6A" w:rsidP="000B05BF">
      <w:pPr>
        <w:pStyle w:val="Numberedheading3"/>
      </w:pPr>
      <w:r>
        <w:t xml:space="preserve">Separate process to vary </w:t>
      </w:r>
      <w:proofErr w:type="spellStart"/>
      <w:r>
        <w:t>Viterra’s</w:t>
      </w:r>
      <w:proofErr w:type="spellEnd"/>
      <w:r>
        <w:t xml:space="preserve"> Port Loading Protocols</w:t>
      </w:r>
    </w:p>
    <w:p w:rsidR="006906A4" w:rsidRDefault="006906A4" w:rsidP="0051013C">
      <w:r>
        <w:t>On 18 Oc</w:t>
      </w:r>
      <w:r w:rsidR="008321A0">
        <w:t xml:space="preserve">tober 2013 </w:t>
      </w:r>
      <w:proofErr w:type="spellStart"/>
      <w:r w:rsidR="008321A0">
        <w:t>Viterra</w:t>
      </w:r>
      <w:proofErr w:type="spellEnd"/>
      <w:r w:rsidR="008321A0">
        <w:t xml:space="preserve"> published a Variation N</w:t>
      </w:r>
      <w:r>
        <w:t xml:space="preserve">otice under clause 9.3(b) of its 2011 </w:t>
      </w:r>
      <w:proofErr w:type="gramStart"/>
      <w:r>
        <w:t>Undertak</w:t>
      </w:r>
      <w:r w:rsidR="00FB20B1">
        <w:t>ing</w:t>
      </w:r>
      <w:proofErr w:type="gramEnd"/>
      <w:r w:rsidR="00FB20B1">
        <w:t xml:space="preserve"> proposing to vary its PLPs</w:t>
      </w:r>
      <w:r>
        <w:t>. The Variation Notice followed an</w:t>
      </w:r>
      <w:r w:rsidR="00EB6E0F">
        <w:t xml:space="preserve"> industry consultation process that commenced by way of a Consultation Notice, published by </w:t>
      </w:r>
      <w:proofErr w:type="spellStart"/>
      <w:r w:rsidR="00EB6E0F">
        <w:t>Viterra</w:t>
      </w:r>
      <w:proofErr w:type="spellEnd"/>
      <w:r w:rsidR="00EB6E0F">
        <w:t xml:space="preserve"> on 2 October 2013. </w:t>
      </w:r>
    </w:p>
    <w:p w:rsidR="00EB6E0F" w:rsidRDefault="00EB6E0F" w:rsidP="0051013C">
      <w:r>
        <w:t xml:space="preserve">The changes make it clear that if </w:t>
      </w:r>
      <w:proofErr w:type="spellStart"/>
      <w:r>
        <w:t>Viterra</w:t>
      </w:r>
      <w:proofErr w:type="spellEnd"/>
      <w:r>
        <w:t xml:space="preserve"> holds any additional auctions</w:t>
      </w:r>
      <w:r>
        <w:rPr>
          <w:rStyle w:val="FootnoteReference"/>
        </w:rPr>
        <w:footnoteReference w:id="10"/>
      </w:r>
      <w:r>
        <w:t xml:space="preserve"> pursuant to clause 2.2(e) of its PLPs with respect to additional capacity that is made available</w:t>
      </w:r>
      <w:r w:rsidR="00EF1904">
        <w:t>,</w:t>
      </w:r>
      <w:r>
        <w:t xml:space="preserve"> that:</w:t>
      </w:r>
    </w:p>
    <w:p w:rsidR="00EB6E0F" w:rsidRDefault="00EB6E0F" w:rsidP="000F6832">
      <w:pPr>
        <w:pStyle w:val="ListParagraph"/>
        <w:numPr>
          <w:ilvl w:val="0"/>
          <w:numId w:val="5"/>
        </w:numPr>
        <w:ind w:left="714" w:hanging="357"/>
        <w:contextualSpacing w:val="0"/>
      </w:pPr>
      <w:r>
        <w:t>the auction premiums payable in respect of any of those additional auctions will be included in the existing rebate pool for the relevant port terminal for that year, and</w:t>
      </w:r>
    </w:p>
    <w:p w:rsidR="00EB6E0F" w:rsidRPr="006906A4" w:rsidRDefault="00EB6E0F" w:rsidP="000F6832">
      <w:pPr>
        <w:pStyle w:val="ListParagraph"/>
        <w:numPr>
          <w:ilvl w:val="0"/>
          <w:numId w:val="5"/>
        </w:numPr>
        <w:ind w:left="714" w:hanging="357"/>
        <w:contextualSpacing w:val="0"/>
      </w:pPr>
      <w:proofErr w:type="gramStart"/>
      <w:r>
        <w:t>the</w:t>
      </w:r>
      <w:proofErr w:type="gramEnd"/>
      <w:r>
        <w:t xml:space="preserve"> rebate per tonne for slots in all auctions held during the year (and therefore any auction premium rebate payable to clients) will be affected by the level of demand for slots offered in those additional auctions</w:t>
      </w:r>
      <w:r w:rsidR="00986989">
        <w:t>.</w:t>
      </w:r>
    </w:p>
    <w:p w:rsidR="0051013C" w:rsidRDefault="003F0C57" w:rsidP="0051013C">
      <w:r>
        <w:t>In addition to those clarifi</w:t>
      </w:r>
      <w:r w:rsidR="006266AC">
        <w:t xml:space="preserve">cations, </w:t>
      </w:r>
      <w:proofErr w:type="spellStart"/>
      <w:r w:rsidR="006266AC">
        <w:t>Viterra</w:t>
      </w:r>
      <w:proofErr w:type="spellEnd"/>
      <w:r w:rsidR="006266AC">
        <w:t xml:space="preserve"> also varied its</w:t>
      </w:r>
      <w:r>
        <w:t xml:space="preserve"> PLPs to provide that where </w:t>
      </w:r>
      <w:proofErr w:type="spellStart"/>
      <w:r>
        <w:t>Viterra</w:t>
      </w:r>
      <w:proofErr w:type="spellEnd"/>
      <w:r>
        <w:t xml:space="preserve"> offers an Additional Capacity by auction, </w:t>
      </w:r>
      <w:proofErr w:type="spellStart"/>
      <w:r>
        <w:t>Viterra</w:t>
      </w:r>
      <w:proofErr w:type="spellEnd"/>
      <w:r>
        <w:t xml:space="preserve"> may notify clients that the auction will be a Declared Auction and clients will be required to pay a Declared Auction Fee in</w:t>
      </w:r>
      <w:r w:rsidR="00DB1962">
        <w:t xml:space="preserve"> place of the standard Auction F</w:t>
      </w:r>
      <w:r>
        <w:t>ee.</w:t>
      </w:r>
    </w:p>
    <w:p w:rsidR="00D43A6A" w:rsidRPr="00E02051" w:rsidRDefault="00D43A6A" w:rsidP="00D43A6A">
      <w:pPr>
        <w:rPr>
          <w:rFonts w:eastAsiaTheme="majorEastAsia" w:cs="Arial"/>
          <w:szCs w:val="20"/>
        </w:rPr>
      </w:pPr>
      <w:proofErr w:type="spellStart"/>
      <w:r>
        <w:rPr>
          <w:rFonts w:eastAsiaTheme="majorEastAsia" w:cs="Arial"/>
          <w:szCs w:val="20"/>
        </w:rPr>
        <w:t>Viterra</w:t>
      </w:r>
      <w:proofErr w:type="spellEnd"/>
      <w:r>
        <w:rPr>
          <w:rFonts w:eastAsiaTheme="majorEastAsia" w:cs="Arial"/>
          <w:szCs w:val="20"/>
        </w:rPr>
        <w:t xml:space="preserve"> submitted</w:t>
      </w:r>
      <w:r w:rsidRPr="00E02051">
        <w:rPr>
          <w:rFonts w:eastAsiaTheme="majorEastAsia" w:cs="Arial"/>
          <w:szCs w:val="20"/>
        </w:rPr>
        <w:t xml:space="preserve"> in relation to this separate variation process:</w:t>
      </w:r>
    </w:p>
    <w:p w:rsidR="00D43A6A" w:rsidRPr="00A533A3" w:rsidRDefault="00D43A6A" w:rsidP="00D43A6A">
      <w:pPr>
        <w:ind w:left="720"/>
        <w:rPr>
          <w:rFonts w:eastAsiaTheme="majorEastAsia" w:cs="Arial"/>
          <w:sz w:val="18"/>
          <w:szCs w:val="18"/>
        </w:rPr>
      </w:pPr>
      <w:r w:rsidRPr="006E23FA">
        <w:rPr>
          <w:rFonts w:eastAsiaTheme="majorEastAsia" w:cs="Arial"/>
          <w:sz w:val="18"/>
          <w:szCs w:val="18"/>
        </w:rPr>
        <w:t xml:space="preserve">For the avoidance of doubt, this Variation Notice does not affect the proposed changes to the Protocols set out in </w:t>
      </w:r>
      <w:proofErr w:type="spellStart"/>
      <w:r w:rsidRPr="006E23FA">
        <w:rPr>
          <w:rFonts w:eastAsiaTheme="majorEastAsia" w:cs="Arial"/>
          <w:sz w:val="18"/>
          <w:szCs w:val="18"/>
        </w:rPr>
        <w:t>Viterra’s</w:t>
      </w:r>
      <w:proofErr w:type="spellEnd"/>
      <w:r w:rsidRPr="006E23FA">
        <w:rPr>
          <w:rFonts w:eastAsiaTheme="majorEastAsia" w:cs="Arial"/>
          <w:sz w:val="18"/>
          <w:szCs w:val="18"/>
        </w:rPr>
        <w:t xml:space="preserve"> application to the ACCC for consent to vary and extend its Access Undertaking dated 25 July 2013 (“Application to Vary and Extend”). The variations set out in this Variation Notice are in addition to the changes set out in the Application to Vary and Extend.</w:t>
      </w:r>
      <w:r w:rsidRPr="00A533A3">
        <w:rPr>
          <w:rStyle w:val="FootnoteReference"/>
          <w:rFonts w:eastAsiaTheme="majorEastAsia" w:cs="Arial"/>
          <w:sz w:val="18"/>
          <w:szCs w:val="18"/>
        </w:rPr>
        <w:footnoteReference w:id="11"/>
      </w:r>
      <w:r w:rsidRPr="00A533A3">
        <w:rPr>
          <w:rFonts w:eastAsiaTheme="majorEastAsia" w:cs="Arial"/>
          <w:sz w:val="18"/>
          <w:szCs w:val="18"/>
        </w:rPr>
        <w:t xml:space="preserve"> </w:t>
      </w:r>
    </w:p>
    <w:p w:rsidR="00D43A6A" w:rsidRDefault="00D43A6A" w:rsidP="0051013C">
      <w:r>
        <w:t xml:space="preserve">These changes were in addition to and did not affect the changes proposed in </w:t>
      </w:r>
      <w:proofErr w:type="spellStart"/>
      <w:r>
        <w:t>Viterra’s</w:t>
      </w:r>
      <w:proofErr w:type="spellEnd"/>
      <w:r>
        <w:t xml:space="preserve"> </w:t>
      </w:r>
      <w:r w:rsidR="00A82FB2">
        <w:t>Original a</w:t>
      </w:r>
      <w:r>
        <w:t>pplication to extend and vary, and came into effect on 15 November 2013.</w:t>
      </w:r>
    </w:p>
    <w:p w:rsidR="00DF153D" w:rsidRDefault="0076585B" w:rsidP="00DF153D">
      <w:pPr>
        <w:pStyle w:val="Numberedheading3"/>
      </w:pPr>
      <w:r>
        <w:lastRenderedPageBreak/>
        <w:t xml:space="preserve">Two additional changes to </w:t>
      </w:r>
      <w:proofErr w:type="spellStart"/>
      <w:r>
        <w:t>Viterra’s</w:t>
      </w:r>
      <w:proofErr w:type="spellEnd"/>
      <w:r>
        <w:t xml:space="preserve"> Standard Terms</w:t>
      </w:r>
    </w:p>
    <w:p w:rsidR="00DF153D" w:rsidRDefault="00DF153D" w:rsidP="003C0654">
      <w:pPr>
        <w:shd w:val="clear" w:color="auto" w:fill="FFFFFF"/>
        <w:rPr>
          <w:rFonts w:eastAsia="Times New Roman" w:cs="Arial"/>
          <w:szCs w:val="20"/>
          <w:lang w:val="en" w:eastAsia="en-AU"/>
        </w:rPr>
      </w:pPr>
      <w:r w:rsidRPr="00DF153D">
        <w:rPr>
          <w:rFonts w:eastAsia="Times New Roman" w:cs="Arial"/>
          <w:szCs w:val="20"/>
          <w:lang w:val="en" w:eastAsia="en-AU"/>
        </w:rPr>
        <w:t xml:space="preserve">In addition to variations set out in </w:t>
      </w:r>
      <w:proofErr w:type="spellStart"/>
      <w:r w:rsidRPr="00DF153D">
        <w:rPr>
          <w:rFonts w:eastAsia="Times New Roman" w:cs="Arial"/>
          <w:szCs w:val="20"/>
          <w:lang w:val="en" w:eastAsia="en-AU"/>
        </w:rPr>
        <w:t>Viterra’s</w:t>
      </w:r>
      <w:proofErr w:type="spellEnd"/>
      <w:r w:rsidRPr="00DF153D">
        <w:rPr>
          <w:rFonts w:eastAsia="Times New Roman" w:cs="Arial"/>
          <w:szCs w:val="20"/>
          <w:lang w:val="en" w:eastAsia="en-AU"/>
        </w:rPr>
        <w:t xml:space="preserve"> </w:t>
      </w:r>
      <w:r w:rsidR="00A82FB2">
        <w:rPr>
          <w:rFonts w:eastAsia="Times New Roman" w:cs="Arial"/>
          <w:szCs w:val="20"/>
          <w:lang w:val="en" w:eastAsia="en-AU"/>
        </w:rPr>
        <w:t xml:space="preserve">Original </w:t>
      </w:r>
      <w:r w:rsidRPr="00DF153D">
        <w:rPr>
          <w:rFonts w:eastAsia="Times New Roman" w:cs="Arial"/>
          <w:szCs w:val="20"/>
          <w:lang w:val="en" w:eastAsia="en-AU"/>
        </w:rPr>
        <w:t xml:space="preserve">application to extend and vary, </w:t>
      </w:r>
      <w:proofErr w:type="spellStart"/>
      <w:r w:rsidRPr="00DF153D">
        <w:rPr>
          <w:rFonts w:eastAsia="Times New Roman" w:cs="Arial"/>
          <w:szCs w:val="20"/>
          <w:lang w:val="en" w:eastAsia="en-AU"/>
        </w:rPr>
        <w:t>Viterra</w:t>
      </w:r>
      <w:proofErr w:type="spellEnd"/>
      <w:r w:rsidRPr="00DF153D">
        <w:rPr>
          <w:rFonts w:eastAsia="Times New Roman" w:cs="Arial"/>
          <w:szCs w:val="20"/>
          <w:lang w:val="en" w:eastAsia="en-AU"/>
        </w:rPr>
        <w:t xml:space="preserve"> wrote to the ACCC on 8 October 2013 proposing two further changes to its </w:t>
      </w:r>
      <w:r w:rsidR="004B4433">
        <w:rPr>
          <w:rFonts w:eastAsia="Times New Roman" w:cs="Arial"/>
          <w:szCs w:val="20"/>
          <w:lang w:val="en" w:eastAsia="en-AU"/>
        </w:rPr>
        <w:t>Standard Terms</w:t>
      </w:r>
      <w:r>
        <w:rPr>
          <w:rFonts w:eastAsia="Times New Roman" w:cs="Arial"/>
          <w:szCs w:val="20"/>
          <w:lang w:val="en" w:eastAsia="en-AU"/>
        </w:rPr>
        <w:t>:</w:t>
      </w:r>
    </w:p>
    <w:p w:rsidR="00DF153D" w:rsidRPr="003C0654" w:rsidRDefault="00DF153D" w:rsidP="004B4433">
      <w:pPr>
        <w:pStyle w:val="ListParagraph"/>
        <w:numPr>
          <w:ilvl w:val="0"/>
          <w:numId w:val="42"/>
        </w:numPr>
        <w:shd w:val="clear" w:color="auto" w:fill="FFFFFF"/>
        <w:ind w:left="714" w:hanging="357"/>
        <w:contextualSpacing w:val="0"/>
        <w:rPr>
          <w:rFonts w:eastAsia="Times New Roman" w:cs="Arial"/>
          <w:szCs w:val="20"/>
          <w:lang w:val="en" w:eastAsia="en-AU"/>
        </w:rPr>
      </w:pPr>
      <w:proofErr w:type="spellStart"/>
      <w:r w:rsidRPr="003C0654">
        <w:rPr>
          <w:rFonts w:eastAsia="Times New Roman" w:cs="Arial"/>
          <w:szCs w:val="20"/>
          <w:lang w:val="en" w:eastAsia="en-AU"/>
        </w:rPr>
        <w:t>Viterra</w:t>
      </w:r>
      <w:proofErr w:type="spellEnd"/>
      <w:r w:rsidRPr="003C0654">
        <w:rPr>
          <w:rFonts w:eastAsia="Times New Roman" w:cs="Arial"/>
          <w:szCs w:val="20"/>
          <w:lang w:val="en" w:eastAsia="en-AU"/>
        </w:rPr>
        <w:t xml:space="preserve"> propose</w:t>
      </w:r>
      <w:r w:rsidR="00155A78">
        <w:rPr>
          <w:rFonts w:eastAsia="Times New Roman" w:cs="Arial"/>
          <w:szCs w:val="20"/>
          <w:lang w:val="en" w:eastAsia="en-AU"/>
        </w:rPr>
        <w:t>s</w:t>
      </w:r>
      <w:r w:rsidRPr="003C0654">
        <w:rPr>
          <w:rFonts w:eastAsia="Times New Roman" w:cs="Arial"/>
          <w:szCs w:val="20"/>
          <w:lang w:val="en" w:eastAsia="en-AU"/>
        </w:rPr>
        <w:t xml:space="preserve"> to vary the definition of ‘reference prices’ to remove references to its 2011 </w:t>
      </w:r>
      <w:proofErr w:type="gramStart"/>
      <w:r w:rsidRPr="003C0654">
        <w:rPr>
          <w:rFonts w:eastAsia="Times New Roman" w:cs="Arial"/>
          <w:szCs w:val="20"/>
          <w:lang w:val="en" w:eastAsia="en-AU"/>
        </w:rPr>
        <w:t>Und</w:t>
      </w:r>
      <w:r w:rsidR="00930CDB">
        <w:rPr>
          <w:rFonts w:eastAsia="Times New Roman" w:cs="Arial"/>
          <w:szCs w:val="20"/>
          <w:lang w:val="en" w:eastAsia="en-AU"/>
        </w:rPr>
        <w:t>ertaking</w:t>
      </w:r>
      <w:proofErr w:type="gramEnd"/>
      <w:r w:rsidR="00930CDB">
        <w:rPr>
          <w:rFonts w:eastAsia="Times New Roman" w:cs="Arial"/>
          <w:szCs w:val="20"/>
          <w:lang w:val="en" w:eastAsia="en-AU"/>
        </w:rPr>
        <w:t xml:space="preserve">. </w:t>
      </w:r>
      <w:proofErr w:type="spellStart"/>
      <w:r w:rsidR="003C0654" w:rsidRPr="003C0654">
        <w:rPr>
          <w:rFonts w:eastAsia="Times New Roman" w:cs="Arial"/>
          <w:szCs w:val="20"/>
          <w:lang w:val="en" w:eastAsia="en-AU"/>
        </w:rPr>
        <w:t>Viterra</w:t>
      </w:r>
      <w:proofErr w:type="spellEnd"/>
      <w:r w:rsidR="003C0654" w:rsidRPr="003C0654">
        <w:rPr>
          <w:rFonts w:eastAsia="Times New Roman" w:cs="Arial"/>
          <w:szCs w:val="20"/>
          <w:lang w:val="en" w:eastAsia="en-AU"/>
        </w:rPr>
        <w:t xml:space="preserve"> also propose</w:t>
      </w:r>
      <w:r w:rsidR="004B4433">
        <w:rPr>
          <w:rFonts w:eastAsia="Times New Roman" w:cs="Arial"/>
          <w:szCs w:val="20"/>
          <w:lang w:val="en" w:eastAsia="en-AU"/>
        </w:rPr>
        <w:t>s</w:t>
      </w:r>
      <w:r w:rsidRPr="003C0654">
        <w:rPr>
          <w:rFonts w:eastAsia="Times New Roman" w:cs="Arial"/>
          <w:szCs w:val="20"/>
          <w:lang w:val="en" w:eastAsia="en-AU"/>
        </w:rPr>
        <w:t xml:space="preserve"> to replicate, from the 2011 Undertaking, a provision allowing it to vary reference prices from time to time provided that sufficient notice is given.</w:t>
      </w:r>
    </w:p>
    <w:p w:rsidR="00DF153D" w:rsidRPr="001B45FB" w:rsidRDefault="00DF153D" w:rsidP="004B4433">
      <w:pPr>
        <w:pStyle w:val="ListParagraph"/>
        <w:numPr>
          <w:ilvl w:val="0"/>
          <w:numId w:val="42"/>
        </w:numPr>
        <w:shd w:val="clear" w:color="auto" w:fill="FFFFFF"/>
        <w:ind w:left="714" w:hanging="357"/>
        <w:contextualSpacing w:val="0"/>
        <w:rPr>
          <w:rFonts w:eastAsia="Times New Roman" w:cs="Arial"/>
          <w:szCs w:val="20"/>
          <w:lang w:val="en" w:eastAsia="en-AU"/>
        </w:rPr>
      </w:pPr>
      <w:proofErr w:type="spellStart"/>
      <w:r w:rsidRPr="003C0654">
        <w:rPr>
          <w:rFonts w:eastAsia="Times New Roman" w:cs="Arial"/>
          <w:szCs w:val="20"/>
          <w:lang w:val="en" w:eastAsia="en-AU"/>
        </w:rPr>
        <w:t>Viterra</w:t>
      </w:r>
      <w:proofErr w:type="spellEnd"/>
      <w:r w:rsidRPr="003C0654">
        <w:rPr>
          <w:rFonts w:eastAsia="Times New Roman" w:cs="Arial"/>
          <w:szCs w:val="20"/>
          <w:lang w:val="en" w:eastAsia="en-AU"/>
        </w:rPr>
        <w:t xml:space="preserve"> submit</w:t>
      </w:r>
      <w:r>
        <w:rPr>
          <w:rFonts w:eastAsia="Times New Roman" w:cs="Arial"/>
          <w:szCs w:val="20"/>
          <w:lang w:val="en" w:eastAsia="en-AU"/>
        </w:rPr>
        <w:t>ted</w:t>
      </w:r>
      <w:r w:rsidR="003C0654" w:rsidRPr="003C0654">
        <w:rPr>
          <w:rFonts w:eastAsia="Times New Roman" w:cs="Arial"/>
          <w:szCs w:val="20"/>
          <w:lang w:val="en" w:eastAsia="en-AU"/>
        </w:rPr>
        <w:t xml:space="preserve"> that the proposed</w:t>
      </w:r>
      <w:r w:rsidR="00155A78">
        <w:rPr>
          <w:rFonts w:eastAsia="Times New Roman" w:cs="Arial"/>
          <w:szCs w:val="20"/>
          <w:lang w:val="en" w:eastAsia="en-AU"/>
        </w:rPr>
        <w:t xml:space="preserve"> </w:t>
      </w:r>
      <w:r w:rsidR="003C0654" w:rsidRPr="001B45FB">
        <w:rPr>
          <w:rFonts w:eastAsia="Times New Roman" w:cs="Arial"/>
          <w:szCs w:val="20"/>
          <w:lang w:val="en" w:eastAsia="en-AU"/>
        </w:rPr>
        <w:t xml:space="preserve">changes </w:t>
      </w:r>
      <w:r w:rsidRPr="001B45FB">
        <w:rPr>
          <w:rFonts w:eastAsia="Times New Roman" w:cs="Arial"/>
          <w:szCs w:val="20"/>
          <w:lang w:val="en" w:eastAsia="en-AU"/>
        </w:rPr>
        <w:t>in</w:t>
      </w:r>
      <w:r w:rsidR="003C0654" w:rsidRPr="001B45FB">
        <w:rPr>
          <w:rFonts w:eastAsia="Times New Roman" w:cs="Arial"/>
          <w:szCs w:val="20"/>
          <w:lang w:val="en" w:eastAsia="en-AU"/>
        </w:rPr>
        <w:t>tend</w:t>
      </w:r>
      <w:r w:rsidRPr="001B45FB">
        <w:rPr>
          <w:rFonts w:eastAsia="Times New Roman" w:cs="Arial"/>
          <w:szCs w:val="20"/>
          <w:lang w:val="en" w:eastAsia="en-AU"/>
        </w:rPr>
        <w:t xml:space="preserve"> to clarify the process that </w:t>
      </w:r>
      <w:proofErr w:type="spellStart"/>
      <w:r w:rsidRPr="001B45FB">
        <w:rPr>
          <w:rFonts w:eastAsia="Times New Roman" w:cs="Arial"/>
          <w:szCs w:val="20"/>
          <w:lang w:val="en" w:eastAsia="en-AU"/>
        </w:rPr>
        <w:t>Viterra</w:t>
      </w:r>
      <w:proofErr w:type="spellEnd"/>
      <w:r w:rsidRPr="001B45FB">
        <w:rPr>
          <w:rFonts w:eastAsia="Times New Roman" w:cs="Arial"/>
          <w:szCs w:val="20"/>
          <w:lang w:val="en" w:eastAsia="en-AU"/>
        </w:rPr>
        <w:t xml:space="preserve"> will adopt in varying its reference prices, particularly if its access undertaking expires with the commencement of a wheat export mandatory cod</w:t>
      </w:r>
      <w:r w:rsidR="003C0654" w:rsidRPr="001B45FB">
        <w:rPr>
          <w:rFonts w:eastAsia="Times New Roman" w:cs="Arial"/>
          <w:szCs w:val="20"/>
          <w:lang w:val="en" w:eastAsia="en-AU"/>
        </w:rPr>
        <w:t xml:space="preserve">e of conduct. </w:t>
      </w:r>
      <w:proofErr w:type="spellStart"/>
      <w:r w:rsidR="003C0654" w:rsidRPr="001B45FB">
        <w:rPr>
          <w:rFonts w:eastAsia="Times New Roman" w:cs="Arial"/>
          <w:szCs w:val="20"/>
          <w:lang w:val="en" w:eastAsia="en-AU"/>
        </w:rPr>
        <w:t>Viterra</w:t>
      </w:r>
      <w:proofErr w:type="spellEnd"/>
      <w:r w:rsidR="003C0654" w:rsidRPr="001B45FB">
        <w:rPr>
          <w:rFonts w:eastAsia="Times New Roman" w:cs="Arial"/>
          <w:szCs w:val="20"/>
          <w:lang w:val="en" w:eastAsia="en-AU"/>
        </w:rPr>
        <w:t xml:space="preserve"> also notes</w:t>
      </w:r>
      <w:r w:rsidRPr="001B45FB">
        <w:rPr>
          <w:rFonts w:eastAsia="Times New Roman" w:cs="Arial"/>
          <w:szCs w:val="20"/>
          <w:lang w:val="en" w:eastAsia="en-AU"/>
        </w:rPr>
        <w:t xml:space="preserve"> that the reference price variation process set out in the proposed new clause 8.1(b) of the Standard </w:t>
      </w:r>
      <w:proofErr w:type="gramStart"/>
      <w:r w:rsidRPr="001B45FB">
        <w:rPr>
          <w:rFonts w:eastAsia="Times New Roman" w:cs="Arial"/>
          <w:szCs w:val="20"/>
          <w:lang w:val="en" w:eastAsia="en-AU"/>
        </w:rPr>
        <w:t>Terms,</w:t>
      </w:r>
      <w:proofErr w:type="gramEnd"/>
      <w:r w:rsidRPr="001B45FB">
        <w:rPr>
          <w:rFonts w:eastAsia="Times New Roman" w:cs="Arial"/>
          <w:szCs w:val="20"/>
          <w:lang w:val="en" w:eastAsia="en-AU"/>
        </w:rPr>
        <w:t xml:space="preserve"> is taken directly from clause 5.6(b) of </w:t>
      </w:r>
      <w:proofErr w:type="spellStart"/>
      <w:r w:rsidRPr="001B45FB">
        <w:rPr>
          <w:rFonts w:eastAsia="Times New Roman" w:cs="Arial"/>
          <w:szCs w:val="20"/>
          <w:lang w:val="en" w:eastAsia="en-AU"/>
        </w:rPr>
        <w:t>Viterra’s</w:t>
      </w:r>
      <w:proofErr w:type="spellEnd"/>
      <w:r w:rsidRPr="001B45FB">
        <w:rPr>
          <w:rFonts w:eastAsia="Times New Roman" w:cs="Arial"/>
          <w:szCs w:val="20"/>
          <w:lang w:val="en" w:eastAsia="en-AU"/>
        </w:rPr>
        <w:t xml:space="preserve"> 2011 undertaking.</w:t>
      </w:r>
    </w:p>
    <w:p w:rsidR="00DF153D" w:rsidRPr="003C0654" w:rsidRDefault="00DF153D" w:rsidP="003C0654">
      <w:pPr>
        <w:shd w:val="clear" w:color="auto" w:fill="FFFFFF"/>
        <w:rPr>
          <w:rFonts w:eastAsia="Times New Roman" w:cs="Arial"/>
          <w:szCs w:val="20"/>
          <w:lang w:val="en" w:eastAsia="en-AU"/>
        </w:rPr>
      </w:pPr>
      <w:r w:rsidRPr="00DF153D">
        <w:rPr>
          <w:rFonts w:eastAsia="Times New Roman" w:cs="Arial"/>
          <w:szCs w:val="20"/>
          <w:lang w:val="en" w:eastAsia="en-AU"/>
        </w:rPr>
        <w:t xml:space="preserve">In effect, the proposed changes to the </w:t>
      </w:r>
      <w:r w:rsidR="00155A78">
        <w:rPr>
          <w:rFonts w:eastAsia="Times New Roman" w:cs="Arial"/>
          <w:szCs w:val="20"/>
          <w:lang w:val="en" w:eastAsia="en-AU"/>
        </w:rPr>
        <w:t>S</w:t>
      </w:r>
      <w:r w:rsidRPr="00DF153D">
        <w:rPr>
          <w:rFonts w:eastAsia="Times New Roman" w:cs="Arial"/>
          <w:szCs w:val="20"/>
          <w:lang w:val="en" w:eastAsia="en-AU"/>
        </w:rPr>
        <w:t xml:space="preserve">tandard </w:t>
      </w:r>
      <w:r w:rsidR="00155A78">
        <w:rPr>
          <w:rFonts w:eastAsia="Times New Roman" w:cs="Arial"/>
          <w:szCs w:val="20"/>
          <w:lang w:val="en" w:eastAsia="en-AU"/>
        </w:rPr>
        <w:t>T</w:t>
      </w:r>
      <w:r w:rsidRPr="00DF153D">
        <w:rPr>
          <w:rFonts w:eastAsia="Times New Roman" w:cs="Arial"/>
          <w:szCs w:val="20"/>
          <w:lang w:val="en" w:eastAsia="en-AU"/>
        </w:rPr>
        <w:t xml:space="preserve">erms do not impact on the operation of the 2011 </w:t>
      </w:r>
      <w:proofErr w:type="gramStart"/>
      <w:r w:rsidRPr="00DF153D">
        <w:rPr>
          <w:rFonts w:eastAsia="Times New Roman" w:cs="Arial"/>
          <w:szCs w:val="20"/>
          <w:lang w:val="en" w:eastAsia="en-AU"/>
        </w:rPr>
        <w:t>Undertaking</w:t>
      </w:r>
      <w:proofErr w:type="gramEnd"/>
      <w:r w:rsidRPr="00DF153D">
        <w:rPr>
          <w:rFonts w:eastAsia="Times New Roman" w:cs="Arial"/>
          <w:szCs w:val="20"/>
          <w:lang w:val="en" w:eastAsia="en-AU"/>
        </w:rPr>
        <w:t xml:space="preserve"> and do not alter an access seeker’s ability to negotiate different terms.</w:t>
      </w:r>
      <w:r w:rsidR="003C0654">
        <w:rPr>
          <w:rFonts w:eastAsia="Times New Roman" w:cs="Arial"/>
          <w:szCs w:val="20"/>
          <w:lang w:val="en" w:eastAsia="en-AU"/>
        </w:rPr>
        <w:t xml:space="preserve"> Accordingly, the ACCC did not consider these two additional changes required a separate consultation process. </w:t>
      </w:r>
    </w:p>
    <w:p w:rsidR="003C0654" w:rsidRDefault="003C0654" w:rsidP="003C0654">
      <w:pPr>
        <w:pStyle w:val="Numberedheading3"/>
      </w:pPr>
      <w:r>
        <w:t xml:space="preserve">Amended </w:t>
      </w:r>
      <w:r w:rsidR="0076585B">
        <w:t>a</w:t>
      </w:r>
      <w:r>
        <w:t>pplication to extend and vary</w:t>
      </w:r>
    </w:p>
    <w:p w:rsidR="00DF153D" w:rsidRDefault="003C0654" w:rsidP="0051013C">
      <w:r w:rsidRPr="00B81D03">
        <w:t>On 12</w:t>
      </w:r>
      <w:r w:rsidRPr="00B81D03">
        <w:rPr>
          <w:b/>
        </w:rPr>
        <w:t xml:space="preserve"> </w:t>
      </w:r>
      <w:r>
        <w:t>December</w:t>
      </w:r>
      <w:r w:rsidRPr="00B81D03">
        <w:t xml:space="preserve"> 2013 </w:t>
      </w:r>
      <w:proofErr w:type="spellStart"/>
      <w:r w:rsidRPr="00B81D03">
        <w:t>Viterra</w:t>
      </w:r>
      <w:proofErr w:type="spellEnd"/>
      <w:r w:rsidRPr="00B81D03">
        <w:t xml:space="preserve"> withdrew its </w:t>
      </w:r>
      <w:r>
        <w:t>Original</w:t>
      </w:r>
      <w:r w:rsidRPr="00B81D03">
        <w:t xml:space="preserve"> application to extend and vary and submitted </w:t>
      </w:r>
      <w:r>
        <w:t>its Amended</w:t>
      </w:r>
      <w:r w:rsidRPr="00B81D03">
        <w:t xml:space="preserve"> </w:t>
      </w:r>
      <w:r>
        <w:t>ap</w:t>
      </w:r>
      <w:r w:rsidRPr="00B81D03">
        <w:t xml:space="preserve">plication to extend and vary that incorporates changes to </w:t>
      </w:r>
      <w:proofErr w:type="spellStart"/>
      <w:r w:rsidRPr="00B81D03">
        <w:t>Viterra’s</w:t>
      </w:r>
      <w:proofErr w:type="spellEnd"/>
      <w:r w:rsidRPr="00B81D03">
        <w:t xml:space="preserve"> PLPs made through the separate variation process</w:t>
      </w:r>
      <w:r w:rsidR="00DB1962">
        <w:t>,</w:t>
      </w:r>
      <w:r w:rsidR="0076585B">
        <w:t xml:space="preserve"> and the two additional changes to </w:t>
      </w:r>
      <w:proofErr w:type="spellStart"/>
      <w:r w:rsidR="0076585B">
        <w:t>Viterra’s</w:t>
      </w:r>
      <w:proofErr w:type="spellEnd"/>
      <w:r w:rsidR="0076585B">
        <w:t xml:space="preserve"> Standard Terms noted at chapter 1.2.3</w:t>
      </w:r>
      <w:r w:rsidRPr="00B81D03">
        <w:t>. Other than to include these additional changes (which are summarised at 1.2.2</w:t>
      </w:r>
      <w:r>
        <w:t xml:space="preserve"> and 1.2.3</w:t>
      </w:r>
      <w:r w:rsidRPr="00B81D03">
        <w:t xml:space="preserve">), </w:t>
      </w:r>
      <w:proofErr w:type="spellStart"/>
      <w:r w:rsidRPr="00B81D03">
        <w:t>Viterra’s</w:t>
      </w:r>
      <w:proofErr w:type="spellEnd"/>
      <w:r w:rsidRPr="00B81D03">
        <w:t xml:space="preserve"> </w:t>
      </w:r>
      <w:r>
        <w:t>Amended</w:t>
      </w:r>
      <w:r w:rsidRPr="00B81D03">
        <w:t xml:space="preserve"> application to extend and vary is on identical terms to </w:t>
      </w:r>
      <w:proofErr w:type="spellStart"/>
      <w:r w:rsidRPr="00B81D03">
        <w:t>Viterra’s</w:t>
      </w:r>
      <w:proofErr w:type="spellEnd"/>
      <w:r w:rsidRPr="00B81D03">
        <w:t xml:space="preserve"> </w:t>
      </w:r>
      <w:r>
        <w:t>original</w:t>
      </w:r>
      <w:r w:rsidRPr="00B81D03">
        <w:t xml:space="preserve"> application.</w:t>
      </w:r>
    </w:p>
    <w:p w:rsidR="00F96E0E" w:rsidRDefault="00F96E0E" w:rsidP="00F96E0E">
      <w:pPr>
        <w:pStyle w:val="Numberedheading3"/>
      </w:pPr>
      <w:r>
        <w:t>Timeline: ACCC assessment</w:t>
      </w:r>
    </w:p>
    <w:tbl>
      <w:tblPr>
        <w:tblStyle w:val="TableGrid1"/>
        <w:tblW w:w="0" w:type="auto"/>
        <w:tblLook w:val="04A0" w:firstRow="1" w:lastRow="0" w:firstColumn="1" w:lastColumn="0" w:noHBand="0" w:noVBand="1"/>
      </w:tblPr>
      <w:tblGrid>
        <w:gridCol w:w="2888"/>
        <w:gridCol w:w="5300"/>
      </w:tblGrid>
      <w:tr w:rsidR="00F96E0E" w:rsidRPr="00A57F34" w:rsidTr="00F96E0E">
        <w:tc>
          <w:tcPr>
            <w:tcW w:w="2888" w:type="dxa"/>
            <w:shd w:val="clear" w:color="auto" w:fill="BFBFBF" w:themeFill="background1" w:themeFillShade="BF"/>
          </w:tcPr>
          <w:p w:rsidR="00F96E0E" w:rsidRPr="00A57F34" w:rsidRDefault="00F96E0E" w:rsidP="00F96E0E">
            <w:pPr>
              <w:spacing w:before="120" w:after="120"/>
              <w:rPr>
                <w:b/>
                <w:sz w:val="18"/>
              </w:rPr>
            </w:pPr>
            <w:r>
              <w:rPr>
                <w:b/>
                <w:sz w:val="18"/>
              </w:rPr>
              <w:t>Date</w:t>
            </w:r>
          </w:p>
        </w:tc>
        <w:tc>
          <w:tcPr>
            <w:tcW w:w="5300" w:type="dxa"/>
            <w:shd w:val="clear" w:color="auto" w:fill="BFBFBF" w:themeFill="background1" w:themeFillShade="BF"/>
          </w:tcPr>
          <w:p w:rsidR="00F96E0E" w:rsidRPr="00A57F34" w:rsidRDefault="00F96E0E" w:rsidP="00F96E0E">
            <w:pPr>
              <w:spacing w:before="120" w:after="120"/>
              <w:jc w:val="center"/>
              <w:rPr>
                <w:b/>
                <w:sz w:val="18"/>
              </w:rPr>
            </w:pPr>
            <w:r w:rsidRPr="00A57F34">
              <w:rPr>
                <w:b/>
                <w:sz w:val="18"/>
              </w:rPr>
              <w:t>Action</w:t>
            </w:r>
          </w:p>
        </w:tc>
      </w:tr>
      <w:tr w:rsidR="00F96E0E" w:rsidRPr="00A57F34" w:rsidTr="00F96E0E">
        <w:tc>
          <w:tcPr>
            <w:tcW w:w="2888" w:type="dxa"/>
          </w:tcPr>
          <w:p w:rsidR="00F96E0E" w:rsidRPr="00A57F34" w:rsidRDefault="00F96E0E" w:rsidP="00F96E0E">
            <w:pPr>
              <w:spacing w:before="120" w:after="120"/>
              <w:ind w:left="357"/>
              <w:rPr>
                <w:sz w:val="18"/>
              </w:rPr>
            </w:pPr>
            <w:r w:rsidRPr="00A57F34">
              <w:rPr>
                <w:sz w:val="18"/>
              </w:rPr>
              <w:t xml:space="preserve"> </w:t>
            </w:r>
            <w:r>
              <w:rPr>
                <w:sz w:val="18"/>
              </w:rPr>
              <w:t>25 July 2013</w:t>
            </w:r>
          </w:p>
        </w:tc>
        <w:tc>
          <w:tcPr>
            <w:tcW w:w="5300" w:type="dxa"/>
          </w:tcPr>
          <w:p w:rsidR="00F96E0E" w:rsidRPr="00A57F34" w:rsidRDefault="00F96E0E" w:rsidP="00B6401A">
            <w:pPr>
              <w:spacing w:before="120" w:after="120"/>
              <w:rPr>
                <w:sz w:val="18"/>
              </w:rPr>
            </w:pPr>
            <w:proofErr w:type="spellStart"/>
            <w:r>
              <w:rPr>
                <w:sz w:val="18"/>
              </w:rPr>
              <w:t>Viterra</w:t>
            </w:r>
            <w:proofErr w:type="spellEnd"/>
            <w:r>
              <w:rPr>
                <w:sz w:val="18"/>
              </w:rPr>
              <w:t xml:space="preserve"> lodged the </w:t>
            </w:r>
            <w:r w:rsidR="00156168">
              <w:rPr>
                <w:sz w:val="18"/>
              </w:rPr>
              <w:t xml:space="preserve">Original </w:t>
            </w:r>
            <w:r w:rsidR="00B81D03">
              <w:rPr>
                <w:sz w:val="18"/>
              </w:rPr>
              <w:t>application to extend and vary</w:t>
            </w:r>
            <w:r>
              <w:rPr>
                <w:sz w:val="18"/>
              </w:rPr>
              <w:t xml:space="preserve"> for ACCC assessment.</w:t>
            </w:r>
          </w:p>
        </w:tc>
      </w:tr>
      <w:tr w:rsidR="00F96E0E" w:rsidRPr="00A57F34" w:rsidTr="00F96E0E">
        <w:tc>
          <w:tcPr>
            <w:tcW w:w="2888" w:type="dxa"/>
          </w:tcPr>
          <w:p w:rsidR="00F96E0E" w:rsidRPr="00A57F34" w:rsidRDefault="00F96E0E" w:rsidP="00F96E0E">
            <w:pPr>
              <w:spacing w:before="120" w:after="120"/>
              <w:ind w:left="357"/>
              <w:rPr>
                <w:sz w:val="18"/>
              </w:rPr>
            </w:pPr>
            <w:r>
              <w:rPr>
                <w:sz w:val="18"/>
              </w:rPr>
              <w:t xml:space="preserve">30 July 2013 </w:t>
            </w:r>
          </w:p>
        </w:tc>
        <w:tc>
          <w:tcPr>
            <w:tcW w:w="5300" w:type="dxa"/>
          </w:tcPr>
          <w:p w:rsidR="00F96E0E" w:rsidRDefault="00F96E0E" w:rsidP="00B81D03">
            <w:pPr>
              <w:spacing w:before="120" w:after="120"/>
              <w:rPr>
                <w:sz w:val="18"/>
              </w:rPr>
            </w:pPr>
            <w:r>
              <w:rPr>
                <w:sz w:val="18"/>
              </w:rPr>
              <w:t xml:space="preserve">ACCC published </w:t>
            </w:r>
            <w:proofErr w:type="spellStart"/>
            <w:r>
              <w:rPr>
                <w:sz w:val="18"/>
              </w:rPr>
              <w:t>Vite</w:t>
            </w:r>
            <w:r w:rsidR="000F6832">
              <w:rPr>
                <w:sz w:val="18"/>
              </w:rPr>
              <w:t>rra’s</w:t>
            </w:r>
            <w:proofErr w:type="spellEnd"/>
            <w:r w:rsidR="000F6832">
              <w:rPr>
                <w:sz w:val="18"/>
              </w:rPr>
              <w:t xml:space="preserve"> </w:t>
            </w:r>
            <w:r w:rsidR="00156168">
              <w:rPr>
                <w:sz w:val="18"/>
              </w:rPr>
              <w:t>Original</w:t>
            </w:r>
            <w:r w:rsidR="000F6832" w:rsidRPr="00B81D03">
              <w:rPr>
                <w:sz w:val="18"/>
              </w:rPr>
              <w:t xml:space="preserve"> a</w:t>
            </w:r>
            <w:r w:rsidRPr="00B81D03">
              <w:rPr>
                <w:sz w:val="18"/>
              </w:rPr>
              <w:t>pplication to extend and vary and</w:t>
            </w:r>
            <w:r>
              <w:rPr>
                <w:sz w:val="18"/>
              </w:rPr>
              <w:t xml:space="preserve"> supporting submission on the ACCC website.</w:t>
            </w:r>
          </w:p>
        </w:tc>
      </w:tr>
      <w:tr w:rsidR="00F96E0E" w:rsidRPr="00A57F34" w:rsidTr="00F96E0E">
        <w:tc>
          <w:tcPr>
            <w:tcW w:w="2888" w:type="dxa"/>
          </w:tcPr>
          <w:p w:rsidR="00F96E0E" w:rsidRDefault="00F96E0E" w:rsidP="00F96E0E">
            <w:pPr>
              <w:spacing w:before="120" w:after="120"/>
              <w:ind w:left="357"/>
              <w:rPr>
                <w:sz w:val="18"/>
              </w:rPr>
            </w:pPr>
            <w:r>
              <w:rPr>
                <w:sz w:val="18"/>
              </w:rPr>
              <w:t>3 September 2013</w:t>
            </w:r>
          </w:p>
        </w:tc>
        <w:tc>
          <w:tcPr>
            <w:tcW w:w="5300" w:type="dxa"/>
          </w:tcPr>
          <w:p w:rsidR="00F96E0E" w:rsidRDefault="00F96E0E" w:rsidP="00F96E0E">
            <w:pPr>
              <w:spacing w:before="120" w:after="120"/>
              <w:rPr>
                <w:sz w:val="18"/>
              </w:rPr>
            </w:pPr>
            <w:r>
              <w:rPr>
                <w:sz w:val="18"/>
              </w:rPr>
              <w:t xml:space="preserve">ACCC published the Issues Paper and invited public submissions by 20 September 2013. </w:t>
            </w:r>
          </w:p>
        </w:tc>
      </w:tr>
      <w:tr w:rsidR="00F96E0E" w:rsidRPr="00A57F34" w:rsidTr="00F96E0E">
        <w:tc>
          <w:tcPr>
            <w:tcW w:w="2888" w:type="dxa"/>
          </w:tcPr>
          <w:p w:rsidR="00F96E0E" w:rsidRDefault="00F96E0E" w:rsidP="00F96E0E">
            <w:pPr>
              <w:spacing w:before="120" w:after="120"/>
              <w:ind w:left="357"/>
              <w:rPr>
                <w:sz w:val="18"/>
              </w:rPr>
            </w:pPr>
            <w:r>
              <w:rPr>
                <w:sz w:val="18"/>
              </w:rPr>
              <w:t>23 &amp; 24 September 2013</w:t>
            </w:r>
          </w:p>
        </w:tc>
        <w:tc>
          <w:tcPr>
            <w:tcW w:w="5300" w:type="dxa"/>
          </w:tcPr>
          <w:p w:rsidR="00F96E0E" w:rsidRDefault="00F96E0E" w:rsidP="00F96E0E">
            <w:pPr>
              <w:spacing w:before="120" w:after="120"/>
              <w:rPr>
                <w:sz w:val="18"/>
              </w:rPr>
            </w:pPr>
            <w:r>
              <w:rPr>
                <w:sz w:val="18"/>
              </w:rPr>
              <w:t xml:space="preserve">ACCC published submissions in response to the Issues Paper from </w:t>
            </w:r>
            <w:proofErr w:type="spellStart"/>
            <w:r>
              <w:rPr>
                <w:sz w:val="18"/>
              </w:rPr>
              <w:t>Toepfer</w:t>
            </w:r>
            <w:proofErr w:type="spellEnd"/>
            <w:r>
              <w:rPr>
                <w:sz w:val="18"/>
              </w:rPr>
              <w:t xml:space="preserve"> and Cargil</w:t>
            </w:r>
            <w:r w:rsidR="00C418A2">
              <w:rPr>
                <w:sz w:val="18"/>
              </w:rPr>
              <w:t>l</w:t>
            </w:r>
            <w:r>
              <w:rPr>
                <w:sz w:val="18"/>
              </w:rPr>
              <w:t>.</w:t>
            </w:r>
          </w:p>
        </w:tc>
      </w:tr>
      <w:tr w:rsidR="00F96E0E" w:rsidRPr="00A57F34" w:rsidTr="00F96E0E">
        <w:tc>
          <w:tcPr>
            <w:tcW w:w="2888" w:type="dxa"/>
          </w:tcPr>
          <w:p w:rsidR="00F96E0E" w:rsidRDefault="00F96E0E" w:rsidP="00F96E0E">
            <w:pPr>
              <w:spacing w:before="120" w:after="120"/>
              <w:ind w:left="357"/>
              <w:rPr>
                <w:sz w:val="18"/>
              </w:rPr>
            </w:pPr>
            <w:r>
              <w:rPr>
                <w:sz w:val="18"/>
              </w:rPr>
              <w:t>2 October 2013</w:t>
            </w:r>
          </w:p>
        </w:tc>
        <w:tc>
          <w:tcPr>
            <w:tcW w:w="5300" w:type="dxa"/>
          </w:tcPr>
          <w:p w:rsidR="00F96E0E" w:rsidRDefault="000133A6" w:rsidP="00EF1904">
            <w:pPr>
              <w:spacing w:before="120" w:after="120"/>
              <w:rPr>
                <w:sz w:val="18"/>
              </w:rPr>
            </w:pPr>
            <w:proofErr w:type="spellStart"/>
            <w:r>
              <w:rPr>
                <w:sz w:val="18"/>
              </w:rPr>
              <w:t>Viterra</w:t>
            </w:r>
            <w:proofErr w:type="spellEnd"/>
            <w:r>
              <w:rPr>
                <w:sz w:val="18"/>
              </w:rPr>
              <w:t xml:space="preserve"> published</w:t>
            </w:r>
            <w:r w:rsidR="00F96E0E">
              <w:rPr>
                <w:sz w:val="18"/>
              </w:rPr>
              <w:t xml:space="preserve"> a Consultation Notice pursuant to clause 9.3(c) of its 2011 Undertaking regarding proposed variations to </w:t>
            </w:r>
            <w:proofErr w:type="spellStart"/>
            <w:r w:rsidR="00F96E0E">
              <w:rPr>
                <w:sz w:val="18"/>
              </w:rPr>
              <w:t>Viterra’s</w:t>
            </w:r>
            <w:proofErr w:type="spellEnd"/>
            <w:r w:rsidR="00F96E0E">
              <w:rPr>
                <w:sz w:val="18"/>
              </w:rPr>
              <w:t xml:space="preserve"> PLPs. Proposed changes were in addition to and did not </w:t>
            </w:r>
            <w:r w:rsidR="00EF1904">
              <w:rPr>
                <w:sz w:val="18"/>
              </w:rPr>
              <w:t>a</w:t>
            </w:r>
            <w:r w:rsidR="00F96E0E">
              <w:rPr>
                <w:sz w:val="18"/>
              </w:rPr>
              <w:t xml:space="preserve">ffect changes proposed in </w:t>
            </w:r>
            <w:proofErr w:type="spellStart"/>
            <w:r w:rsidR="00F96E0E">
              <w:rPr>
                <w:sz w:val="18"/>
              </w:rPr>
              <w:t>Viterra’s</w:t>
            </w:r>
            <w:proofErr w:type="spellEnd"/>
            <w:r w:rsidR="00F96E0E">
              <w:rPr>
                <w:sz w:val="18"/>
              </w:rPr>
              <w:t xml:space="preserve"> </w:t>
            </w:r>
            <w:r w:rsidR="00545BC7">
              <w:rPr>
                <w:sz w:val="18"/>
              </w:rPr>
              <w:t>Original</w:t>
            </w:r>
            <w:r w:rsidR="00C418A2" w:rsidRPr="00B81D03">
              <w:rPr>
                <w:sz w:val="18"/>
              </w:rPr>
              <w:t xml:space="preserve"> a</w:t>
            </w:r>
            <w:r w:rsidR="00F96E0E" w:rsidRPr="00B81D03">
              <w:rPr>
                <w:sz w:val="18"/>
              </w:rPr>
              <w:t>pplication to extend and vary.</w:t>
            </w:r>
            <w:r>
              <w:rPr>
                <w:sz w:val="18"/>
              </w:rPr>
              <w:t xml:space="preserve"> T</w:t>
            </w:r>
            <w:r w:rsidR="00F96E0E">
              <w:rPr>
                <w:sz w:val="18"/>
              </w:rPr>
              <w:t>wo week consultation period</w:t>
            </w:r>
            <w:r>
              <w:rPr>
                <w:sz w:val="18"/>
              </w:rPr>
              <w:t xml:space="preserve"> commenced</w:t>
            </w:r>
            <w:r w:rsidR="00F96E0E">
              <w:rPr>
                <w:sz w:val="18"/>
              </w:rPr>
              <w:t xml:space="preserve">. </w:t>
            </w:r>
          </w:p>
        </w:tc>
      </w:tr>
      <w:tr w:rsidR="00F96E0E" w:rsidRPr="00A57F34" w:rsidTr="00F96E0E">
        <w:tc>
          <w:tcPr>
            <w:tcW w:w="2888" w:type="dxa"/>
          </w:tcPr>
          <w:p w:rsidR="00F96E0E" w:rsidRDefault="00F96E0E" w:rsidP="00F96E0E">
            <w:pPr>
              <w:spacing w:before="120" w:after="120"/>
              <w:ind w:left="357"/>
              <w:rPr>
                <w:sz w:val="18"/>
              </w:rPr>
            </w:pPr>
            <w:r>
              <w:rPr>
                <w:sz w:val="18"/>
              </w:rPr>
              <w:t xml:space="preserve">18 October 2013 </w:t>
            </w:r>
          </w:p>
        </w:tc>
        <w:tc>
          <w:tcPr>
            <w:tcW w:w="5300" w:type="dxa"/>
          </w:tcPr>
          <w:p w:rsidR="00F96E0E" w:rsidRDefault="00F96E0E" w:rsidP="00F96E0E">
            <w:pPr>
              <w:spacing w:before="120" w:after="120"/>
              <w:rPr>
                <w:sz w:val="18"/>
              </w:rPr>
            </w:pPr>
            <w:proofErr w:type="spellStart"/>
            <w:r>
              <w:rPr>
                <w:sz w:val="18"/>
              </w:rPr>
              <w:t>Viterra</w:t>
            </w:r>
            <w:proofErr w:type="spellEnd"/>
            <w:r>
              <w:rPr>
                <w:sz w:val="18"/>
              </w:rPr>
              <w:t xml:space="preserve"> publishes Variation Notice pursuant to clause 9.3(b)(ii) of its 2011 Undertaking in relation to the proposed variations to </w:t>
            </w:r>
            <w:proofErr w:type="spellStart"/>
            <w:r>
              <w:rPr>
                <w:sz w:val="18"/>
              </w:rPr>
              <w:t>Viterra’s</w:t>
            </w:r>
            <w:proofErr w:type="spellEnd"/>
            <w:r>
              <w:rPr>
                <w:sz w:val="18"/>
              </w:rPr>
              <w:t xml:space="preserve"> PLPs. </w:t>
            </w:r>
          </w:p>
        </w:tc>
      </w:tr>
      <w:tr w:rsidR="00F96E0E" w:rsidRPr="00A57F34" w:rsidTr="00F96E0E">
        <w:tc>
          <w:tcPr>
            <w:tcW w:w="2888" w:type="dxa"/>
          </w:tcPr>
          <w:p w:rsidR="00F96E0E" w:rsidRDefault="00F96E0E" w:rsidP="00F96E0E">
            <w:pPr>
              <w:spacing w:before="120" w:after="120"/>
              <w:ind w:left="357"/>
              <w:rPr>
                <w:sz w:val="18"/>
              </w:rPr>
            </w:pPr>
            <w:r>
              <w:rPr>
                <w:sz w:val="18"/>
              </w:rPr>
              <w:t>15 November 2013</w:t>
            </w:r>
          </w:p>
        </w:tc>
        <w:tc>
          <w:tcPr>
            <w:tcW w:w="5300" w:type="dxa"/>
          </w:tcPr>
          <w:p w:rsidR="00F96E0E" w:rsidRDefault="00F96E0E" w:rsidP="00F96E0E">
            <w:pPr>
              <w:spacing w:before="120" w:after="120"/>
              <w:rPr>
                <w:sz w:val="18"/>
              </w:rPr>
            </w:pPr>
            <w:r>
              <w:rPr>
                <w:sz w:val="18"/>
              </w:rPr>
              <w:t xml:space="preserve">Variations to </w:t>
            </w:r>
            <w:proofErr w:type="spellStart"/>
            <w:r>
              <w:rPr>
                <w:sz w:val="18"/>
              </w:rPr>
              <w:t>Viterra’s</w:t>
            </w:r>
            <w:proofErr w:type="spellEnd"/>
            <w:r>
              <w:rPr>
                <w:sz w:val="18"/>
              </w:rPr>
              <w:t xml:space="preserve"> PLPs set out in Variation Notice come into effect. </w:t>
            </w:r>
          </w:p>
        </w:tc>
      </w:tr>
      <w:tr w:rsidR="00F96E0E" w:rsidRPr="00A57F34" w:rsidTr="00F96E0E">
        <w:tc>
          <w:tcPr>
            <w:tcW w:w="2888" w:type="dxa"/>
          </w:tcPr>
          <w:p w:rsidR="00F96E0E" w:rsidRDefault="00F96E0E" w:rsidP="00F96E0E">
            <w:pPr>
              <w:spacing w:before="120" w:after="120"/>
              <w:ind w:left="357"/>
              <w:rPr>
                <w:sz w:val="18"/>
              </w:rPr>
            </w:pPr>
            <w:r>
              <w:rPr>
                <w:sz w:val="18"/>
              </w:rPr>
              <w:lastRenderedPageBreak/>
              <w:t>21 November 2013</w:t>
            </w:r>
          </w:p>
        </w:tc>
        <w:tc>
          <w:tcPr>
            <w:tcW w:w="5300" w:type="dxa"/>
          </w:tcPr>
          <w:p w:rsidR="00F96E0E" w:rsidRDefault="00F96E0E" w:rsidP="00F96E0E">
            <w:pPr>
              <w:spacing w:before="120" w:after="120"/>
              <w:rPr>
                <w:sz w:val="18"/>
              </w:rPr>
            </w:pPr>
            <w:r>
              <w:rPr>
                <w:sz w:val="18"/>
              </w:rPr>
              <w:t>ACCC published the Draft Decision and invited public submissions, particularly on its preliminary views, by 6 December 2013.</w:t>
            </w:r>
          </w:p>
        </w:tc>
      </w:tr>
      <w:tr w:rsidR="00F96E0E" w:rsidRPr="00A57F34" w:rsidTr="00F96E0E">
        <w:tc>
          <w:tcPr>
            <w:tcW w:w="2888" w:type="dxa"/>
          </w:tcPr>
          <w:p w:rsidR="00F96E0E" w:rsidRDefault="00F96E0E" w:rsidP="00F96E0E">
            <w:pPr>
              <w:spacing w:before="120" w:after="120"/>
              <w:ind w:left="357"/>
              <w:rPr>
                <w:sz w:val="18"/>
              </w:rPr>
            </w:pPr>
            <w:r>
              <w:rPr>
                <w:sz w:val="18"/>
              </w:rPr>
              <w:t xml:space="preserve">6 December 2013 </w:t>
            </w:r>
          </w:p>
        </w:tc>
        <w:tc>
          <w:tcPr>
            <w:tcW w:w="5300" w:type="dxa"/>
          </w:tcPr>
          <w:p w:rsidR="00F96E0E" w:rsidRDefault="00F96E0E" w:rsidP="00F96E0E">
            <w:pPr>
              <w:spacing w:before="120" w:after="120"/>
              <w:rPr>
                <w:sz w:val="18"/>
              </w:rPr>
            </w:pPr>
            <w:r>
              <w:rPr>
                <w:sz w:val="18"/>
              </w:rPr>
              <w:t>Submissions on the Draft Decision close. No submissions were received.</w:t>
            </w:r>
          </w:p>
        </w:tc>
      </w:tr>
      <w:tr w:rsidR="00F96E0E" w:rsidRPr="00A57F34" w:rsidTr="00F96E0E">
        <w:tc>
          <w:tcPr>
            <w:tcW w:w="2888" w:type="dxa"/>
          </w:tcPr>
          <w:p w:rsidR="00F96E0E" w:rsidRDefault="00633670" w:rsidP="009C06BD">
            <w:pPr>
              <w:spacing w:before="120" w:after="120"/>
              <w:ind w:left="357"/>
              <w:rPr>
                <w:sz w:val="18"/>
              </w:rPr>
            </w:pPr>
            <w:r>
              <w:rPr>
                <w:sz w:val="18"/>
              </w:rPr>
              <w:t>12</w:t>
            </w:r>
            <w:r w:rsidR="00F96E0E">
              <w:rPr>
                <w:sz w:val="18"/>
              </w:rPr>
              <w:t xml:space="preserve"> </w:t>
            </w:r>
            <w:r w:rsidR="009C06BD">
              <w:rPr>
                <w:sz w:val="18"/>
              </w:rPr>
              <w:t>December</w:t>
            </w:r>
            <w:r w:rsidR="00F96E0E">
              <w:rPr>
                <w:sz w:val="18"/>
              </w:rPr>
              <w:t xml:space="preserve"> 2013</w:t>
            </w:r>
          </w:p>
        </w:tc>
        <w:tc>
          <w:tcPr>
            <w:tcW w:w="5300" w:type="dxa"/>
          </w:tcPr>
          <w:p w:rsidR="00F96E0E" w:rsidRDefault="00F96E0E" w:rsidP="00B6401A">
            <w:pPr>
              <w:spacing w:before="120" w:after="120"/>
              <w:rPr>
                <w:sz w:val="18"/>
              </w:rPr>
            </w:pPr>
            <w:proofErr w:type="spellStart"/>
            <w:r>
              <w:rPr>
                <w:sz w:val="18"/>
              </w:rPr>
              <w:t>Viterra</w:t>
            </w:r>
            <w:proofErr w:type="spellEnd"/>
            <w:r>
              <w:rPr>
                <w:sz w:val="18"/>
              </w:rPr>
              <w:t xml:space="preserve"> formally withdrew its </w:t>
            </w:r>
            <w:r w:rsidR="00156168">
              <w:rPr>
                <w:sz w:val="18"/>
              </w:rPr>
              <w:t>Original</w:t>
            </w:r>
            <w:r w:rsidR="00B81D03" w:rsidRPr="00B81D03">
              <w:rPr>
                <w:sz w:val="18"/>
              </w:rPr>
              <w:t xml:space="preserve"> a</w:t>
            </w:r>
            <w:r w:rsidRPr="00B81D03">
              <w:rPr>
                <w:sz w:val="18"/>
              </w:rPr>
              <w:t>pplication to extend and vary</w:t>
            </w:r>
            <w:r w:rsidR="00B81D03">
              <w:rPr>
                <w:sz w:val="18"/>
              </w:rPr>
              <w:t xml:space="preserve"> and lodged the </w:t>
            </w:r>
            <w:r w:rsidR="00512938">
              <w:rPr>
                <w:sz w:val="18"/>
              </w:rPr>
              <w:t xml:space="preserve">Amended </w:t>
            </w:r>
            <w:r w:rsidR="00B81D03">
              <w:rPr>
                <w:sz w:val="18"/>
              </w:rPr>
              <w:t>a</w:t>
            </w:r>
            <w:r>
              <w:rPr>
                <w:sz w:val="18"/>
              </w:rPr>
              <w:t>pplication to extend and vary for ACCC assessment.</w:t>
            </w:r>
            <w:r w:rsidR="004C5C36">
              <w:rPr>
                <w:sz w:val="18"/>
              </w:rPr>
              <w:t xml:space="preserve"> </w:t>
            </w:r>
          </w:p>
        </w:tc>
      </w:tr>
      <w:tr w:rsidR="00F96E0E" w:rsidRPr="00A57F34" w:rsidTr="00F96E0E">
        <w:tc>
          <w:tcPr>
            <w:tcW w:w="2888" w:type="dxa"/>
          </w:tcPr>
          <w:p w:rsidR="00F96E0E" w:rsidRPr="00401A17" w:rsidRDefault="005F5AA2" w:rsidP="00F96E0E">
            <w:pPr>
              <w:spacing w:before="120" w:after="120"/>
              <w:ind w:left="357"/>
              <w:rPr>
                <w:sz w:val="18"/>
                <w:highlight w:val="yellow"/>
              </w:rPr>
            </w:pPr>
            <w:r>
              <w:rPr>
                <w:sz w:val="18"/>
              </w:rPr>
              <w:t>29</w:t>
            </w:r>
            <w:r w:rsidRPr="00C83F0F">
              <w:rPr>
                <w:sz w:val="18"/>
              </w:rPr>
              <w:t xml:space="preserve"> </w:t>
            </w:r>
            <w:r w:rsidR="00F96E0E" w:rsidRPr="00C83F0F">
              <w:rPr>
                <w:sz w:val="18"/>
              </w:rPr>
              <w:t>January 2013</w:t>
            </w:r>
          </w:p>
        </w:tc>
        <w:tc>
          <w:tcPr>
            <w:tcW w:w="5300" w:type="dxa"/>
          </w:tcPr>
          <w:p w:rsidR="00F96E0E" w:rsidRDefault="00F96E0E" w:rsidP="00B6401A">
            <w:pPr>
              <w:spacing w:before="120" w:after="120"/>
              <w:rPr>
                <w:sz w:val="18"/>
              </w:rPr>
            </w:pPr>
            <w:r>
              <w:rPr>
                <w:sz w:val="18"/>
              </w:rPr>
              <w:t xml:space="preserve">ACCC decided to </w:t>
            </w:r>
            <w:r w:rsidR="00BE5AD7">
              <w:rPr>
                <w:sz w:val="18"/>
              </w:rPr>
              <w:t>consent to</w:t>
            </w:r>
            <w:r>
              <w:rPr>
                <w:sz w:val="18"/>
              </w:rPr>
              <w:t xml:space="preserve"> </w:t>
            </w:r>
            <w:proofErr w:type="spellStart"/>
            <w:r>
              <w:rPr>
                <w:sz w:val="18"/>
              </w:rPr>
              <w:t>Viterra’s</w:t>
            </w:r>
            <w:proofErr w:type="spellEnd"/>
            <w:r>
              <w:rPr>
                <w:sz w:val="18"/>
              </w:rPr>
              <w:t xml:space="preserve"> </w:t>
            </w:r>
            <w:r w:rsidR="00156168">
              <w:rPr>
                <w:sz w:val="18"/>
              </w:rPr>
              <w:t>Amended a</w:t>
            </w:r>
            <w:r>
              <w:rPr>
                <w:sz w:val="18"/>
              </w:rPr>
              <w:t>pplication to extend and vary</w:t>
            </w:r>
            <w:r w:rsidR="00156168">
              <w:rPr>
                <w:sz w:val="18"/>
              </w:rPr>
              <w:t>.</w:t>
            </w:r>
          </w:p>
        </w:tc>
      </w:tr>
      <w:tr w:rsidR="00F96E0E" w:rsidRPr="00A57F34" w:rsidTr="00F96E0E">
        <w:tc>
          <w:tcPr>
            <w:tcW w:w="2888" w:type="dxa"/>
          </w:tcPr>
          <w:p w:rsidR="00F96E0E" w:rsidRDefault="005F5AA2" w:rsidP="00F96E0E">
            <w:pPr>
              <w:spacing w:before="120" w:after="120"/>
              <w:ind w:left="357"/>
              <w:rPr>
                <w:sz w:val="18"/>
                <w:highlight w:val="yellow"/>
              </w:rPr>
            </w:pPr>
            <w:r>
              <w:rPr>
                <w:sz w:val="18"/>
              </w:rPr>
              <w:t>30</w:t>
            </w:r>
            <w:r w:rsidRPr="00C83F0F">
              <w:rPr>
                <w:sz w:val="18"/>
              </w:rPr>
              <w:t xml:space="preserve"> </w:t>
            </w:r>
            <w:r w:rsidR="00F96E0E" w:rsidRPr="00C83F0F">
              <w:rPr>
                <w:sz w:val="18"/>
              </w:rPr>
              <w:t>January 2013</w:t>
            </w:r>
          </w:p>
        </w:tc>
        <w:tc>
          <w:tcPr>
            <w:tcW w:w="5300" w:type="dxa"/>
          </w:tcPr>
          <w:p w:rsidR="00F96E0E" w:rsidRDefault="00F96E0E" w:rsidP="00F96E0E">
            <w:pPr>
              <w:spacing w:before="120" w:after="120"/>
              <w:rPr>
                <w:sz w:val="18"/>
              </w:rPr>
            </w:pPr>
            <w:r>
              <w:rPr>
                <w:sz w:val="18"/>
              </w:rPr>
              <w:t>ACCC published its decision and reasons for its decision (this document)</w:t>
            </w:r>
            <w:r w:rsidR="00156168">
              <w:rPr>
                <w:sz w:val="18"/>
              </w:rPr>
              <w:t>.</w:t>
            </w:r>
          </w:p>
        </w:tc>
      </w:tr>
    </w:tbl>
    <w:p w:rsidR="00F96E0E" w:rsidRDefault="00F96E0E" w:rsidP="0051013C"/>
    <w:p w:rsidR="00652F2E" w:rsidRPr="0098633C" w:rsidRDefault="00652F2E" w:rsidP="0098633C">
      <w:pPr>
        <w:pStyle w:val="Numberedheading2"/>
      </w:pPr>
      <w:bookmarkStart w:id="8" w:name="_Toc378322928"/>
      <w:proofErr w:type="spellStart"/>
      <w:r w:rsidRPr="0098633C">
        <w:t>Viterra’s</w:t>
      </w:r>
      <w:proofErr w:type="spellEnd"/>
      <w:r w:rsidRPr="0098633C">
        <w:t xml:space="preserve"> extension of its </w:t>
      </w:r>
      <w:r w:rsidR="00C418A2">
        <w:t xml:space="preserve">2011 </w:t>
      </w:r>
      <w:r w:rsidRPr="0098633C">
        <w:t>Undertaking</w:t>
      </w:r>
      <w:bookmarkEnd w:id="8"/>
    </w:p>
    <w:p w:rsidR="00652F2E" w:rsidRDefault="00652F2E" w:rsidP="00652F2E">
      <w:proofErr w:type="spellStart"/>
      <w:r>
        <w:t>Viterra</w:t>
      </w:r>
      <w:proofErr w:type="spellEnd"/>
      <w:r>
        <w:t xml:space="preserve"> propose</w:t>
      </w:r>
      <w:r w:rsidR="00155A78">
        <w:t>s</w:t>
      </w:r>
      <w:r>
        <w:t xml:space="preserve"> to extend the 2011 </w:t>
      </w:r>
      <w:proofErr w:type="gramStart"/>
      <w:r>
        <w:t>Undertaking</w:t>
      </w:r>
      <w:proofErr w:type="gramEnd"/>
      <w:r>
        <w:t xml:space="preserve"> from 30 September 2014 to 30 September 2015 pursuant to section 44ZZBB of the CCA. In addition, </w:t>
      </w:r>
      <w:proofErr w:type="spellStart"/>
      <w:r>
        <w:t>Viterra</w:t>
      </w:r>
      <w:proofErr w:type="spellEnd"/>
      <w:r>
        <w:t xml:space="preserve"> propose</w:t>
      </w:r>
      <w:r w:rsidR="00155A78">
        <w:t>s</w:t>
      </w:r>
      <w:r>
        <w:t xml:space="preserve"> to insert</w:t>
      </w:r>
      <w:r w:rsidR="00C418A2">
        <w:t xml:space="preserve"> </w:t>
      </w:r>
      <w:r>
        <w:t xml:space="preserve">a provision into the 2011 </w:t>
      </w:r>
      <w:proofErr w:type="gramStart"/>
      <w:r>
        <w:t>Undertaking</w:t>
      </w:r>
      <w:proofErr w:type="gramEnd"/>
      <w:r>
        <w:t xml:space="preserve"> specifying that the undertaking will expire if, in accordance with the WEMA, the mandatory port access code of conduct is implemented.</w:t>
      </w:r>
      <w:r w:rsidR="004C5C36">
        <w:t xml:space="preserve"> </w:t>
      </w:r>
    </w:p>
    <w:p w:rsidR="00652F2E" w:rsidRPr="0098633C" w:rsidRDefault="00652F2E" w:rsidP="0098633C">
      <w:pPr>
        <w:pStyle w:val="Numberedheading2"/>
      </w:pPr>
      <w:bookmarkStart w:id="9" w:name="_Toc378322929"/>
      <w:proofErr w:type="spellStart"/>
      <w:r w:rsidRPr="0098633C">
        <w:t>Viterra’s</w:t>
      </w:r>
      <w:proofErr w:type="spellEnd"/>
      <w:r w:rsidRPr="0098633C">
        <w:t xml:space="preserve"> variation</w:t>
      </w:r>
      <w:r w:rsidR="00C418A2">
        <w:t xml:space="preserve"> of its 2011 Undertaking</w:t>
      </w:r>
      <w:bookmarkEnd w:id="9"/>
    </w:p>
    <w:p w:rsidR="00652F2E" w:rsidRPr="000D6276" w:rsidRDefault="00652F2E" w:rsidP="00652F2E">
      <w:proofErr w:type="spellStart"/>
      <w:r>
        <w:t>Viterra</w:t>
      </w:r>
      <w:proofErr w:type="spellEnd"/>
      <w:r>
        <w:t xml:space="preserve"> propose</w:t>
      </w:r>
      <w:r w:rsidR="00155A78">
        <w:t>s</w:t>
      </w:r>
      <w:r>
        <w:t xml:space="preserve"> to vary its 2011 Undertaking, </w:t>
      </w:r>
      <w:r w:rsidRPr="001B45FB">
        <w:t>Standard Terms</w:t>
      </w:r>
      <w:r>
        <w:t xml:space="preserve"> and PLPs.</w:t>
      </w:r>
      <w:r>
        <w:rPr>
          <w:rStyle w:val="FootnoteReference"/>
        </w:rPr>
        <w:footnoteReference w:id="12"/>
      </w:r>
      <w:r>
        <w:t xml:space="preserve"> </w:t>
      </w:r>
    </w:p>
    <w:p w:rsidR="00652F2E" w:rsidRDefault="00652F2E" w:rsidP="00652F2E">
      <w:r>
        <w:t>In brief, the variations:</w:t>
      </w:r>
    </w:p>
    <w:p w:rsidR="00652F2E" w:rsidRPr="002128E2" w:rsidRDefault="00652F2E" w:rsidP="000F6832">
      <w:pPr>
        <w:numPr>
          <w:ilvl w:val="0"/>
          <w:numId w:val="9"/>
        </w:numPr>
        <w:ind w:left="714" w:hanging="357"/>
      </w:pPr>
      <w:r w:rsidRPr="002128E2">
        <w:t xml:space="preserve">allow </w:t>
      </w:r>
      <w:proofErr w:type="spellStart"/>
      <w:r w:rsidRPr="002128E2">
        <w:t>Viterra</w:t>
      </w:r>
      <w:proofErr w:type="spellEnd"/>
      <w:r w:rsidRPr="002128E2">
        <w:t xml:space="preserve"> to unilaterally amend </w:t>
      </w:r>
      <w:r w:rsidR="00CB6EF4">
        <w:t xml:space="preserve">its </w:t>
      </w:r>
      <w:r w:rsidRPr="002128E2">
        <w:t xml:space="preserve">PLPs temporarily during a force majeure event </w:t>
      </w:r>
    </w:p>
    <w:p w:rsidR="00652F2E" w:rsidRPr="002128E2" w:rsidRDefault="00652F2E" w:rsidP="000F6832">
      <w:pPr>
        <w:numPr>
          <w:ilvl w:val="0"/>
          <w:numId w:val="9"/>
        </w:numPr>
        <w:ind w:left="714" w:hanging="357"/>
      </w:pPr>
      <w:r w:rsidRPr="002128E2">
        <w:t xml:space="preserve">remove references as to the timing of the harvest and </w:t>
      </w:r>
      <w:r w:rsidR="00CB6EF4" w:rsidRPr="002128E2">
        <w:t>non-harvest</w:t>
      </w:r>
      <w:r w:rsidRPr="002128E2">
        <w:t xml:space="preserve"> auctions</w:t>
      </w:r>
    </w:p>
    <w:p w:rsidR="00652F2E" w:rsidRPr="002128E2" w:rsidRDefault="00652F2E" w:rsidP="000F6832">
      <w:pPr>
        <w:numPr>
          <w:ilvl w:val="0"/>
          <w:numId w:val="9"/>
        </w:numPr>
        <w:ind w:left="714" w:hanging="357"/>
      </w:pPr>
      <w:r w:rsidRPr="002128E2">
        <w:t xml:space="preserve">modify the PLPs to facilitate the administration of the auction system and subsequent </w:t>
      </w:r>
      <w:r w:rsidR="00CB6EF4">
        <w:t>FIFS</w:t>
      </w:r>
      <w:r w:rsidRPr="002128E2">
        <w:t xml:space="preserve"> system including restricting the use of associated entities and agents for the purpose of circumventing the 30 minute restriction on </w:t>
      </w:r>
      <w:r w:rsidR="00CB6EF4">
        <w:t>FIFS</w:t>
      </w:r>
      <w:r w:rsidRPr="002128E2">
        <w:t xml:space="preserve"> bookings</w:t>
      </w:r>
    </w:p>
    <w:p w:rsidR="00652F2E" w:rsidRPr="002128E2" w:rsidRDefault="00652F2E" w:rsidP="000F6832">
      <w:pPr>
        <w:numPr>
          <w:ilvl w:val="0"/>
          <w:numId w:val="9"/>
        </w:numPr>
        <w:ind w:left="714" w:hanging="357"/>
      </w:pPr>
      <w:r w:rsidRPr="002128E2">
        <w:t xml:space="preserve">require that the results of marine and port surveys are provided to </w:t>
      </w:r>
      <w:proofErr w:type="spellStart"/>
      <w:r w:rsidRPr="002128E2">
        <w:t>Viterra</w:t>
      </w:r>
      <w:proofErr w:type="spellEnd"/>
    </w:p>
    <w:p w:rsidR="00652F2E" w:rsidRPr="002128E2" w:rsidRDefault="00652F2E" w:rsidP="000F6832">
      <w:pPr>
        <w:numPr>
          <w:ilvl w:val="0"/>
          <w:numId w:val="9"/>
        </w:numPr>
        <w:ind w:left="714" w:hanging="357"/>
      </w:pPr>
      <w:r w:rsidRPr="002128E2">
        <w:t xml:space="preserve">allow an additional tolerance of 1,000 tonnes to be applied in certain circumstances at </w:t>
      </w:r>
      <w:proofErr w:type="spellStart"/>
      <w:r w:rsidRPr="002128E2">
        <w:t>Viterra’s</w:t>
      </w:r>
      <w:proofErr w:type="spellEnd"/>
      <w:r w:rsidRPr="002128E2">
        <w:t xml:space="preserve"> discretion, for example to ensure the safe loading of a vessel</w:t>
      </w:r>
    </w:p>
    <w:p w:rsidR="00652F2E" w:rsidRPr="002128E2" w:rsidRDefault="00652F2E" w:rsidP="000F6832">
      <w:pPr>
        <w:numPr>
          <w:ilvl w:val="0"/>
          <w:numId w:val="9"/>
        </w:numPr>
        <w:ind w:left="714" w:hanging="357"/>
      </w:pPr>
      <w:r w:rsidRPr="002128E2">
        <w:t>clarify how tolerance is applied with respect to two-port loading</w:t>
      </w:r>
    </w:p>
    <w:p w:rsidR="00652F2E" w:rsidRPr="002128E2" w:rsidRDefault="00652F2E" w:rsidP="000F6832">
      <w:pPr>
        <w:numPr>
          <w:ilvl w:val="0"/>
          <w:numId w:val="9"/>
        </w:numPr>
        <w:ind w:left="714" w:hanging="357"/>
      </w:pPr>
      <w:r w:rsidRPr="002128E2">
        <w:t xml:space="preserve">clarify </w:t>
      </w:r>
      <w:r w:rsidR="00CB6EF4">
        <w:t>booking movement procedures</w:t>
      </w:r>
    </w:p>
    <w:p w:rsidR="00652F2E" w:rsidRPr="002128E2" w:rsidRDefault="00652F2E" w:rsidP="000F6832">
      <w:pPr>
        <w:numPr>
          <w:ilvl w:val="0"/>
          <w:numId w:val="9"/>
        </w:numPr>
        <w:ind w:left="714" w:hanging="357"/>
      </w:pPr>
      <w:r w:rsidRPr="002128E2">
        <w:t xml:space="preserve">allow </w:t>
      </w:r>
      <w:proofErr w:type="spellStart"/>
      <w:r w:rsidRPr="002128E2">
        <w:t>Viterra</w:t>
      </w:r>
      <w:proofErr w:type="spellEnd"/>
      <w:r w:rsidRPr="002128E2">
        <w:t xml:space="preserve"> to move bookings between t</w:t>
      </w:r>
      <w:r>
        <w:t>he Outer Harbor and Inner Harbou</w:t>
      </w:r>
      <w:r w:rsidRPr="002128E2">
        <w:t>r Port Terminals to increase the efficiency of both port terminals</w:t>
      </w:r>
    </w:p>
    <w:p w:rsidR="00652F2E" w:rsidRPr="002128E2" w:rsidRDefault="00652F2E" w:rsidP="000F6832">
      <w:pPr>
        <w:numPr>
          <w:ilvl w:val="0"/>
          <w:numId w:val="9"/>
        </w:numPr>
        <w:ind w:left="714" w:hanging="357"/>
      </w:pPr>
      <w:r w:rsidRPr="002128E2">
        <w:t>modify payment terms with respect to bookings being transferred</w:t>
      </w:r>
    </w:p>
    <w:p w:rsidR="000543D2" w:rsidRDefault="00652F2E" w:rsidP="005E553F">
      <w:pPr>
        <w:numPr>
          <w:ilvl w:val="0"/>
          <w:numId w:val="9"/>
        </w:numPr>
        <w:ind w:left="714" w:hanging="357"/>
      </w:pPr>
      <w:r w:rsidRPr="002128E2">
        <w:lastRenderedPageBreak/>
        <w:t xml:space="preserve">modify </w:t>
      </w:r>
      <w:r w:rsidR="00CB6EF4">
        <w:t>S</w:t>
      </w:r>
      <w:r w:rsidRPr="002128E2">
        <w:t xml:space="preserve">tandard </w:t>
      </w:r>
      <w:r w:rsidR="00CB6EF4">
        <w:t>T</w:t>
      </w:r>
      <w:r w:rsidRPr="002128E2">
        <w:t>erms in relation to reconciliation and adjustment, set off, company lien and security interest and PPS law</w:t>
      </w:r>
      <w:r w:rsidR="00EF1904" w:rsidRPr="002128E2">
        <w:rPr>
          <w:vertAlign w:val="superscript"/>
        </w:rPr>
        <w:footnoteReference w:id="13"/>
      </w:r>
    </w:p>
    <w:p w:rsidR="000543D2" w:rsidRDefault="000543D2" w:rsidP="00BC3C8F">
      <w:pPr>
        <w:numPr>
          <w:ilvl w:val="0"/>
          <w:numId w:val="9"/>
        </w:numPr>
        <w:ind w:left="714" w:hanging="357"/>
      </w:pPr>
      <w:r>
        <w:t xml:space="preserve">remove reference to the 2011 Undertaking from the definition of ‘reference prices’ in </w:t>
      </w:r>
      <w:proofErr w:type="spellStart"/>
      <w:r>
        <w:t>Viterra’s</w:t>
      </w:r>
      <w:proofErr w:type="spellEnd"/>
      <w:r>
        <w:t xml:space="preserve"> Standard Terms </w:t>
      </w:r>
    </w:p>
    <w:p w:rsidR="00652F2E" w:rsidRPr="002128E2" w:rsidRDefault="000543D2" w:rsidP="0071045F">
      <w:pPr>
        <w:numPr>
          <w:ilvl w:val="0"/>
          <w:numId w:val="9"/>
        </w:numPr>
        <w:ind w:left="714" w:hanging="357"/>
      </w:pPr>
      <w:r>
        <w:t xml:space="preserve">insert a replicated clause from the 2011 Undertaking into </w:t>
      </w:r>
      <w:proofErr w:type="spellStart"/>
      <w:r>
        <w:t>Viterra’s</w:t>
      </w:r>
      <w:proofErr w:type="spellEnd"/>
      <w:r>
        <w:t xml:space="preserve"> Standard Terms allowing it vary reference prices from time to time provided sufficient notice is given.</w:t>
      </w:r>
      <w:r w:rsidR="004C5C36">
        <w:t xml:space="preserve"> </w:t>
      </w:r>
    </w:p>
    <w:p w:rsidR="00652F2E" w:rsidRPr="002128E2" w:rsidRDefault="00652F2E" w:rsidP="00652F2E">
      <w:r w:rsidRPr="002128E2">
        <w:t xml:space="preserve">In addition, </w:t>
      </w:r>
      <w:proofErr w:type="spellStart"/>
      <w:r w:rsidRPr="002128E2">
        <w:t>Viterra</w:t>
      </w:r>
      <w:proofErr w:type="spellEnd"/>
      <w:r w:rsidRPr="002128E2">
        <w:t xml:space="preserve"> has made a number of more minor changes to:</w:t>
      </w:r>
    </w:p>
    <w:p w:rsidR="00652F2E" w:rsidRPr="002128E2" w:rsidRDefault="00652F2E" w:rsidP="000F6832">
      <w:pPr>
        <w:numPr>
          <w:ilvl w:val="0"/>
          <w:numId w:val="9"/>
        </w:numPr>
      </w:pPr>
      <w:r w:rsidRPr="002128E2">
        <w:t xml:space="preserve">reflect the changes made to the WEMA since the 2011 Undertaking was accepted </w:t>
      </w:r>
    </w:p>
    <w:p w:rsidR="00652F2E" w:rsidRPr="002128E2" w:rsidRDefault="00652F2E" w:rsidP="000F6832">
      <w:pPr>
        <w:numPr>
          <w:ilvl w:val="0"/>
          <w:numId w:val="9"/>
        </w:numPr>
      </w:pPr>
      <w:r w:rsidRPr="002128E2">
        <w:t xml:space="preserve">remove unnecessary provisions relating to the introduction of an auction system </w:t>
      </w:r>
    </w:p>
    <w:p w:rsidR="00652F2E" w:rsidRDefault="00652F2E" w:rsidP="000F6832">
      <w:pPr>
        <w:numPr>
          <w:ilvl w:val="0"/>
          <w:numId w:val="9"/>
        </w:numPr>
      </w:pPr>
      <w:proofErr w:type="gramStart"/>
      <w:r w:rsidRPr="002128E2">
        <w:t>ensure</w:t>
      </w:r>
      <w:proofErr w:type="gramEnd"/>
      <w:r w:rsidRPr="002128E2">
        <w:t xml:space="preserve"> the </w:t>
      </w:r>
      <w:r>
        <w:t>PLPs</w:t>
      </w:r>
      <w:r w:rsidRPr="002128E2">
        <w:t xml:space="preserve"> and the </w:t>
      </w:r>
      <w:r>
        <w:t>S</w:t>
      </w:r>
      <w:r w:rsidRPr="002128E2">
        <w:t xml:space="preserve">tandard </w:t>
      </w:r>
      <w:r>
        <w:t>T</w:t>
      </w:r>
      <w:r w:rsidRPr="002128E2">
        <w:t xml:space="preserve">erms will continue to operate effectively as </w:t>
      </w:r>
      <w:proofErr w:type="spellStart"/>
      <w:r w:rsidRPr="002128E2">
        <w:t>stand alone</w:t>
      </w:r>
      <w:proofErr w:type="spellEnd"/>
      <w:r w:rsidRPr="002128E2">
        <w:t xml:space="preserve"> documents once the 2011 Undertaking has expired. </w:t>
      </w:r>
      <w:bookmarkStart w:id="10" w:name="_Toc352671885"/>
      <w:bookmarkEnd w:id="10"/>
    </w:p>
    <w:p w:rsidR="00652F2E" w:rsidRPr="0098633C" w:rsidRDefault="00652F2E" w:rsidP="0098633C">
      <w:pPr>
        <w:pStyle w:val="Numberedheading2"/>
      </w:pPr>
      <w:bookmarkStart w:id="11" w:name="_Toc378322930"/>
      <w:r w:rsidRPr="0098633C">
        <w:t>ACCC assessment</w:t>
      </w:r>
      <w:bookmarkEnd w:id="11"/>
    </w:p>
    <w:p w:rsidR="00652F2E" w:rsidRPr="001F4A22" w:rsidRDefault="00652F2E" w:rsidP="00652F2E">
      <w:pPr>
        <w:pStyle w:val="AERbodytext"/>
        <w:rPr>
          <w:rFonts w:ascii="Arial" w:hAnsi="Arial" w:cs="Arial"/>
          <w:sz w:val="20"/>
          <w:szCs w:val="20"/>
        </w:rPr>
      </w:pPr>
      <w:r w:rsidRPr="001F4A22">
        <w:rPr>
          <w:rFonts w:ascii="Arial" w:hAnsi="Arial" w:cs="Arial"/>
          <w:sz w:val="20"/>
          <w:szCs w:val="20"/>
        </w:rPr>
        <w:t xml:space="preserve">The ACCC must apply the tests set out in Division 6 of </w:t>
      </w:r>
      <w:r w:rsidR="00F245E3">
        <w:rPr>
          <w:rFonts w:ascii="Arial" w:hAnsi="Arial" w:cs="Arial"/>
          <w:sz w:val="20"/>
          <w:szCs w:val="20"/>
        </w:rPr>
        <w:t xml:space="preserve">Part IIIA of </w:t>
      </w:r>
      <w:r w:rsidRPr="001F4A22">
        <w:rPr>
          <w:rFonts w:ascii="Arial" w:hAnsi="Arial" w:cs="Arial"/>
          <w:sz w:val="20"/>
          <w:szCs w:val="20"/>
        </w:rPr>
        <w:t>the CCA in deciding whether to cons</w:t>
      </w:r>
      <w:r w:rsidR="00081DC0">
        <w:rPr>
          <w:rFonts w:ascii="Arial" w:hAnsi="Arial" w:cs="Arial"/>
          <w:sz w:val="20"/>
          <w:szCs w:val="20"/>
        </w:rPr>
        <w:t>ent to the variation and/</w:t>
      </w:r>
      <w:r w:rsidRPr="001F4A22">
        <w:rPr>
          <w:rFonts w:ascii="Arial" w:hAnsi="Arial" w:cs="Arial"/>
          <w:sz w:val="20"/>
          <w:szCs w:val="20"/>
        </w:rPr>
        <w:t>or to extend the operati</w:t>
      </w:r>
      <w:r w:rsidR="004C5C36">
        <w:rPr>
          <w:rFonts w:ascii="Arial" w:hAnsi="Arial" w:cs="Arial"/>
          <w:sz w:val="20"/>
          <w:szCs w:val="20"/>
        </w:rPr>
        <w:t xml:space="preserve">on of an existing undertaking. </w:t>
      </w:r>
      <w:r w:rsidRPr="001F4A22">
        <w:rPr>
          <w:rFonts w:ascii="Arial" w:hAnsi="Arial" w:cs="Arial"/>
          <w:sz w:val="20"/>
          <w:szCs w:val="20"/>
        </w:rPr>
        <w:t>Subsection 44ZZA(7) of the CCA provides that the ACCC may consent to a variation of an access undertaking if it thinks it is appropriate to do so having regard to the matters set out in subsection 44ZZA(3). Subsection 44ZZBB(3) provides that the ACCC may extend the period for which an undertaking is in operation if it thinks it is appropriate to do so having regard to the matters mentioned in subsection 44ZZA(3).</w:t>
      </w:r>
    </w:p>
    <w:p w:rsidR="00652F2E" w:rsidRPr="001F4A22" w:rsidRDefault="00652F2E" w:rsidP="00652F2E">
      <w:pPr>
        <w:pStyle w:val="AERbodytext"/>
        <w:rPr>
          <w:rFonts w:ascii="Arial" w:hAnsi="Arial" w:cs="Arial"/>
          <w:sz w:val="20"/>
          <w:szCs w:val="20"/>
        </w:rPr>
      </w:pPr>
      <w:r w:rsidRPr="001F4A22">
        <w:rPr>
          <w:rFonts w:ascii="Arial" w:hAnsi="Arial" w:cs="Arial"/>
          <w:sz w:val="20"/>
          <w:szCs w:val="20"/>
        </w:rPr>
        <w:t xml:space="preserve">The </w:t>
      </w:r>
      <w:r>
        <w:rPr>
          <w:rFonts w:ascii="Arial" w:hAnsi="Arial" w:cs="Arial"/>
          <w:sz w:val="20"/>
          <w:szCs w:val="20"/>
        </w:rPr>
        <w:t xml:space="preserve">ACCC’s decision making </w:t>
      </w:r>
      <w:r w:rsidRPr="001F4A22">
        <w:rPr>
          <w:rFonts w:ascii="Arial" w:hAnsi="Arial" w:cs="Arial"/>
          <w:sz w:val="20"/>
          <w:szCs w:val="20"/>
        </w:rPr>
        <w:t>f</w:t>
      </w:r>
      <w:r>
        <w:rPr>
          <w:rFonts w:ascii="Arial" w:hAnsi="Arial" w:cs="Arial"/>
          <w:sz w:val="20"/>
          <w:szCs w:val="20"/>
        </w:rPr>
        <w:t>ramework i</w:t>
      </w:r>
      <w:r w:rsidR="005B2266">
        <w:rPr>
          <w:rFonts w:ascii="Arial" w:hAnsi="Arial" w:cs="Arial"/>
          <w:sz w:val="20"/>
          <w:szCs w:val="20"/>
        </w:rPr>
        <w:t xml:space="preserve">s set out in </w:t>
      </w:r>
      <w:r w:rsidR="00372BB9">
        <w:rPr>
          <w:rFonts w:ascii="Arial" w:hAnsi="Arial" w:cs="Arial"/>
          <w:sz w:val="20"/>
          <w:szCs w:val="20"/>
        </w:rPr>
        <w:t>c</w:t>
      </w:r>
      <w:r w:rsidR="005B2266">
        <w:rPr>
          <w:rFonts w:ascii="Arial" w:hAnsi="Arial" w:cs="Arial"/>
          <w:sz w:val="20"/>
          <w:szCs w:val="20"/>
        </w:rPr>
        <w:t xml:space="preserve">hapter 2 of this </w:t>
      </w:r>
      <w:r w:rsidR="00CB6EF4">
        <w:rPr>
          <w:rFonts w:ascii="Arial" w:hAnsi="Arial" w:cs="Arial"/>
          <w:sz w:val="20"/>
          <w:szCs w:val="20"/>
        </w:rPr>
        <w:t xml:space="preserve">Final </w:t>
      </w:r>
      <w:r w:rsidR="005B2266">
        <w:rPr>
          <w:rFonts w:ascii="Arial" w:hAnsi="Arial" w:cs="Arial"/>
          <w:sz w:val="20"/>
          <w:szCs w:val="20"/>
        </w:rPr>
        <w:t>D</w:t>
      </w:r>
      <w:r>
        <w:rPr>
          <w:rFonts w:ascii="Arial" w:hAnsi="Arial" w:cs="Arial"/>
          <w:sz w:val="20"/>
          <w:szCs w:val="20"/>
        </w:rPr>
        <w:t>ecision</w:t>
      </w:r>
      <w:r w:rsidRPr="001F4A22">
        <w:rPr>
          <w:rFonts w:ascii="Arial" w:hAnsi="Arial" w:cs="Arial"/>
          <w:sz w:val="20"/>
          <w:szCs w:val="20"/>
        </w:rPr>
        <w:t xml:space="preserve">. </w:t>
      </w:r>
    </w:p>
    <w:p w:rsidR="00652F2E" w:rsidRDefault="00652F2E" w:rsidP="00652F2E">
      <w:pPr>
        <w:pStyle w:val="StyleJustified"/>
        <w:rPr>
          <w:rFonts w:ascii="Arial" w:hAnsi="Arial" w:cs="Arial"/>
          <w:sz w:val="20"/>
        </w:rPr>
      </w:pPr>
      <w:r w:rsidRPr="001F4A22">
        <w:rPr>
          <w:rFonts w:ascii="Arial" w:hAnsi="Arial" w:cs="Arial"/>
          <w:sz w:val="20"/>
        </w:rPr>
        <w:t>The relevant factors the ACCC must consider include the objects of Part IIIA of the CCA.</w:t>
      </w:r>
      <w:r w:rsidRPr="001F4A22">
        <w:rPr>
          <w:rStyle w:val="FootnoteReference"/>
          <w:rFonts w:ascii="Arial" w:hAnsi="Arial" w:cs="Arial"/>
        </w:rPr>
        <w:footnoteReference w:id="14"/>
      </w:r>
      <w:r w:rsidRPr="001F4A22">
        <w:rPr>
          <w:rFonts w:ascii="Arial" w:hAnsi="Arial" w:cs="Arial"/>
          <w:sz w:val="20"/>
        </w:rPr>
        <w:t xml:space="preserve"> These objects include providing a framework and guiding principles to encourage a consistent approach to access regulation in each industry.</w:t>
      </w:r>
      <w:r w:rsidRPr="001F4A22">
        <w:rPr>
          <w:rStyle w:val="FootnoteReference"/>
          <w:rFonts w:ascii="Arial" w:hAnsi="Arial" w:cs="Arial"/>
        </w:rPr>
        <w:footnoteReference w:id="15"/>
      </w:r>
      <w:r w:rsidRPr="001F4A22">
        <w:rPr>
          <w:rFonts w:ascii="Arial" w:hAnsi="Arial" w:cs="Arial"/>
          <w:sz w:val="20"/>
        </w:rPr>
        <w:t xml:space="preserve"> In its assessment of </w:t>
      </w:r>
      <w:proofErr w:type="spellStart"/>
      <w:r w:rsidRPr="001F4A22">
        <w:rPr>
          <w:rFonts w:ascii="Arial" w:hAnsi="Arial" w:cs="Arial"/>
          <w:sz w:val="20"/>
        </w:rPr>
        <w:t>Viterra’s</w:t>
      </w:r>
      <w:proofErr w:type="spellEnd"/>
      <w:r w:rsidRPr="001F4A22">
        <w:rPr>
          <w:rFonts w:ascii="Arial" w:hAnsi="Arial" w:cs="Arial"/>
          <w:sz w:val="20"/>
        </w:rPr>
        <w:t xml:space="preserve"> </w:t>
      </w:r>
      <w:r w:rsidR="00EE29B1">
        <w:rPr>
          <w:rFonts w:ascii="Arial" w:hAnsi="Arial" w:cs="Arial"/>
          <w:sz w:val="20"/>
        </w:rPr>
        <w:t xml:space="preserve">Amended </w:t>
      </w:r>
      <w:r w:rsidR="00B81D03" w:rsidRPr="00B81D03">
        <w:rPr>
          <w:rFonts w:ascii="Arial" w:hAnsi="Arial" w:cs="Arial"/>
          <w:sz w:val="20"/>
        </w:rPr>
        <w:t>a</w:t>
      </w:r>
      <w:r w:rsidRPr="00B81D03">
        <w:rPr>
          <w:rFonts w:ascii="Arial" w:hAnsi="Arial" w:cs="Arial"/>
          <w:sz w:val="20"/>
        </w:rPr>
        <w:t>pplication to extend and vary</w:t>
      </w:r>
      <w:r w:rsidRPr="001F4A22">
        <w:rPr>
          <w:rFonts w:ascii="Arial" w:hAnsi="Arial" w:cs="Arial"/>
          <w:sz w:val="20"/>
        </w:rPr>
        <w:t xml:space="preserve">, the ACCC </w:t>
      </w:r>
      <w:r>
        <w:rPr>
          <w:rFonts w:ascii="Arial" w:hAnsi="Arial" w:cs="Arial"/>
          <w:sz w:val="20"/>
        </w:rPr>
        <w:t>is</w:t>
      </w:r>
      <w:r w:rsidRPr="001F4A22">
        <w:rPr>
          <w:rFonts w:ascii="Arial" w:hAnsi="Arial" w:cs="Arial"/>
          <w:sz w:val="20"/>
        </w:rPr>
        <w:t xml:space="preserve"> required to form a view regarding what constitutes an appropriate access undertaking in the bulk wheat export industry. Where appropriate, the ACCC </w:t>
      </w:r>
      <w:r>
        <w:rPr>
          <w:rFonts w:ascii="Arial" w:hAnsi="Arial" w:cs="Arial"/>
          <w:sz w:val="20"/>
        </w:rPr>
        <w:t xml:space="preserve">has </w:t>
      </w:r>
      <w:r w:rsidRPr="001F4A22">
        <w:rPr>
          <w:rFonts w:ascii="Arial" w:hAnsi="Arial" w:cs="Arial"/>
          <w:sz w:val="20"/>
        </w:rPr>
        <w:t>consider</w:t>
      </w:r>
      <w:r>
        <w:rPr>
          <w:rFonts w:ascii="Arial" w:hAnsi="Arial" w:cs="Arial"/>
          <w:sz w:val="20"/>
        </w:rPr>
        <w:t>ed</w:t>
      </w:r>
      <w:r w:rsidRPr="001F4A22">
        <w:rPr>
          <w:rFonts w:ascii="Arial" w:hAnsi="Arial" w:cs="Arial"/>
          <w:sz w:val="20"/>
        </w:rPr>
        <w:t xml:space="preserve"> industry-wide issues in its assessment of this application.</w:t>
      </w:r>
      <w:r w:rsidR="004C5C36">
        <w:rPr>
          <w:rFonts w:ascii="Arial" w:hAnsi="Arial" w:cs="Arial"/>
          <w:sz w:val="20"/>
        </w:rPr>
        <w:t xml:space="preserve"> </w:t>
      </w:r>
    </w:p>
    <w:p w:rsidR="00580DF7" w:rsidRDefault="00580DF7" w:rsidP="00580DF7">
      <w:pPr>
        <w:pStyle w:val="Numberedheading2"/>
      </w:pPr>
      <w:bookmarkStart w:id="12" w:name="_Toc378322931"/>
      <w:r>
        <w:t>Where to find further information</w:t>
      </w:r>
      <w:bookmarkEnd w:id="12"/>
    </w:p>
    <w:p w:rsidR="00580DF7" w:rsidRDefault="00580DF7" w:rsidP="00580DF7">
      <w:proofErr w:type="spellStart"/>
      <w:r>
        <w:t>Viterra’s</w:t>
      </w:r>
      <w:proofErr w:type="spellEnd"/>
      <w:r>
        <w:t xml:space="preserve"> </w:t>
      </w:r>
      <w:proofErr w:type="gramStart"/>
      <w:r w:rsidR="00A82FB2">
        <w:t>Amended</w:t>
      </w:r>
      <w:proofErr w:type="gramEnd"/>
      <w:r w:rsidR="00A82FB2">
        <w:t xml:space="preserve"> a</w:t>
      </w:r>
      <w:r>
        <w:t xml:space="preserve">pplication to extend and vary and other relevant materials, including </w:t>
      </w:r>
      <w:proofErr w:type="spellStart"/>
      <w:r>
        <w:t>Viterra’s</w:t>
      </w:r>
      <w:proofErr w:type="spellEnd"/>
      <w:r>
        <w:t xml:space="preserve"> supporting submission and non-confidential submission</w:t>
      </w:r>
      <w:r w:rsidR="004C1E65">
        <w:t>s</w:t>
      </w:r>
      <w:r>
        <w:t xml:space="preserve"> provided by stakeholders</w:t>
      </w:r>
      <w:r w:rsidR="00081DC0">
        <w:t>,</w:t>
      </w:r>
      <w:r>
        <w:t xml:space="preserve"> are available on the ACCC’s website at </w:t>
      </w:r>
      <w:hyperlink r:id="rId17" w:history="1">
        <w:r w:rsidRPr="00D66C16">
          <w:rPr>
            <w:rStyle w:val="Hyperlink"/>
          </w:rPr>
          <w:t>www.accc.gov.au/wheat</w:t>
        </w:r>
      </w:hyperlink>
      <w:r>
        <w:t xml:space="preserve">. </w:t>
      </w:r>
    </w:p>
    <w:p w:rsidR="00AF015B" w:rsidRDefault="00AF015B" w:rsidP="00580DF7"/>
    <w:p w:rsidR="00AF015B" w:rsidRDefault="00AF015B" w:rsidP="00580DF7"/>
    <w:p w:rsidR="00580DF7" w:rsidRDefault="00580DF7" w:rsidP="00580DF7">
      <w:r>
        <w:t>Please direct enquiries regarding this Final Decision to:</w:t>
      </w:r>
    </w:p>
    <w:p w:rsidR="00580DF7" w:rsidRDefault="004C1E65" w:rsidP="00580DF7">
      <w:pPr>
        <w:pStyle w:val="NoSpacing"/>
        <w:ind w:left="720"/>
      </w:pPr>
      <w:r>
        <w:t>Mr Michael Eady</w:t>
      </w:r>
    </w:p>
    <w:p w:rsidR="00580DF7" w:rsidRDefault="004C1E65" w:rsidP="00580DF7">
      <w:pPr>
        <w:pStyle w:val="NoSpacing"/>
        <w:ind w:left="720"/>
      </w:pPr>
      <w:r>
        <w:t>Director</w:t>
      </w:r>
    </w:p>
    <w:p w:rsidR="00580DF7" w:rsidRDefault="00580DF7" w:rsidP="00580DF7">
      <w:pPr>
        <w:pStyle w:val="NoSpacing"/>
        <w:ind w:left="720"/>
      </w:pPr>
      <w:r>
        <w:t>Fuel, Transport and Prices Oversigh</w:t>
      </w:r>
      <w:r w:rsidR="00D854F1">
        <w:t>t</w:t>
      </w:r>
    </w:p>
    <w:p w:rsidR="00580DF7" w:rsidRDefault="00580DF7" w:rsidP="00580DF7">
      <w:pPr>
        <w:pStyle w:val="NoSpacing"/>
        <w:ind w:left="720"/>
      </w:pPr>
      <w:r>
        <w:t>ACCC</w:t>
      </w:r>
    </w:p>
    <w:p w:rsidR="00580DF7" w:rsidRDefault="00580DF7" w:rsidP="00580DF7">
      <w:pPr>
        <w:pStyle w:val="NoSpacing"/>
        <w:ind w:left="720"/>
      </w:pPr>
      <w:r>
        <w:lastRenderedPageBreak/>
        <w:t>GPO Box 520</w:t>
      </w:r>
    </w:p>
    <w:p w:rsidR="00580DF7" w:rsidRDefault="00580DF7" w:rsidP="00580DF7">
      <w:pPr>
        <w:pStyle w:val="NoSpacing"/>
        <w:ind w:left="720"/>
      </w:pPr>
      <w:r>
        <w:t>MELBOURNE VIC 3001</w:t>
      </w:r>
    </w:p>
    <w:p w:rsidR="004C1E65" w:rsidRDefault="004C1E65" w:rsidP="00580DF7">
      <w:pPr>
        <w:pStyle w:val="NoSpacing"/>
        <w:ind w:left="720"/>
      </w:pPr>
      <w:proofErr w:type="spellStart"/>
      <w:r>
        <w:t>Ph</w:t>
      </w:r>
      <w:proofErr w:type="spellEnd"/>
      <w:r>
        <w:t xml:space="preserve">: 03 9290 1945 </w:t>
      </w:r>
    </w:p>
    <w:p w:rsidR="00580DF7" w:rsidRDefault="00580DF7" w:rsidP="00580DF7">
      <w:pPr>
        <w:pStyle w:val="NoSpacing"/>
        <w:ind w:left="720"/>
      </w:pPr>
      <w:r>
        <w:t xml:space="preserve">Email: </w:t>
      </w:r>
      <w:hyperlink r:id="rId18" w:history="1">
        <w:r w:rsidRPr="00D66C16">
          <w:rPr>
            <w:rStyle w:val="Hyperlink"/>
          </w:rPr>
          <w:t>transport@accc.gov.au</w:t>
        </w:r>
      </w:hyperlink>
    </w:p>
    <w:p w:rsidR="00986989" w:rsidRDefault="00986989" w:rsidP="00986989">
      <w:pPr>
        <w:pStyle w:val="Numberedheading1"/>
      </w:pPr>
      <w:bookmarkStart w:id="13" w:name="_Toc378322932"/>
      <w:r>
        <w:lastRenderedPageBreak/>
        <w:t>Decision making framework</w:t>
      </w:r>
      <w:bookmarkEnd w:id="13"/>
    </w:p>
    <w:p w:rsidR="00986989" w:rsidRDefault="00986989" w:rsidP="00986989">
      <w:r>
        <w:t xml:space="preserve">This </w:t>
      </w:r>
      <w:r w:rsidR="00372BB9">
        <w:t>c</w:t>
      </w:r>
      <w:r>
        <w:t xml:space="preserve">hapter sets out the legislative framework for assessing access undertaking applications under Part IIIA and the public consultation process that the ACCC has conducted in relation to </w:t>
      </w:r>
      <w:proofErr w:type="spellStart"/>
      <w:r>
        <w:t>Viterra’s</w:t>
      </w:r>
      <w:proofErr w:type="spellEnd"/>
      <w:r>
        <w:t xml:space="preserve"> </w:t>
      </w:r>
      <w:r w:rsidR="00CB6EF4">
        <w:t>a</w:t>
      </w:r>
      <w:r>
        <w:t xml:space="preserve">pplication to extend and vary. </w:t>
      </w:r>
    </w:p>
    <w:p w:rsidR="00986989" w:rsidRDefault="006A07CA" w:rsidP="00986989">
      <w:pPr>
        <w:pStyle w:val="Numberedheading2"/>
      </w:pPr>
      <w:bookmarkStart w:id="14" w:name="_Toc378322933"/>
      <w:r>
        <w:t>Legal framework</w:t>
      </w:r>
      <w:bookmarkEnd w:id="14"/>
    </w:p>
    <w:p w:rsidR="00986989" w:rsidRDefault="006A07CA" w:rsidP="00986989">
      <w:pPr>
        <w:pStyle w:val="Numberedheading3"/>
      </w:pPr>
      <w:r>
        <w:t>Extension of an access undertaking</w:t>
      </w:r>
    </w:p>
    <w:p w:rsidR="00986989" w:rsidRPr="00766478" w:rsidRDefault="00986989" w:rsidP="00986989">
      <w:pPr>
        <w:rPr>
          <w:rFonts w:eastAsia="Times New Roman" w:cs="Arial"/>
          <w:szCs w:val="20"/>
          <w:lang w:eastAsia="en-AU"/>
        </w:rPr>
      </w:pPr>
      <w:r w:rsidRPr="00766478">
        <w:rPr>
          <w:rFonts w:eastAsia="Times New Roman" w:cs="Arial"/>
          <w:szCs w:val="20"/>
          <w:lang w:eastAsia="en-AU"/>
        </w:rPr>
        <w:t xml:space="preserve">The test the ACCC applies in deciding whether to extend an undertaking is set out in section 44ZZBB of the CCA. This section provides that the ACCC may extend the period for which the undertaking is in operation if it thinks it appropriate to do so having regard to the matters </w:t>
      </w:r>
      <w:r>
        <w:rPr>
          <w:rFonts w:eastAsia="Times New Roman" w:cs="Arial"/>
          <w:szCs w:val="20"/>
          <w:lang w:eastAsia="en-AU"/>
        </w:rPr>
        <w:t>mentioned</w:t>
      </w:r>
      <w:r w:rsidRPr="00766478">
        <w:rPr>
          <w:rFonts w:eastAsia="Times New Roman" w:cs="Arial"/>
          <w:szCs w:val="20"/>
          <w:lang w:eastAsia="en-AU"/>
        </w:rPr>
        <w:t xml:space="preserve"> in subsection 44ZZA(3). The matters under this section are:</w:t>
      </w:r>
    </w:p>
    <w:p w:rsidR="00986989" w:rsidRPr="00766478" w:rsidRDefault="00986989" w:rsidP="000F6832">
      <w:pPr>
        <w:numPr>
          <w:ilvl w:val="0"/>
          <w:numId w:val="6"/>
        </w:numPr>
        <w:rPr>
          <w:rFonts w:eastAsia="Times New Roman" w:cs="Arial"/>
          <w:szCs w:val="20"/>
          <w:lang w:eastAsia="en-AU"/>
        </w:rPr>
      </w:pPr>
      <w:r w:rsidRPr="00766478">
        <w:rPr>
          <w:rFonts w:eastAsia="Times New Roman" w:cs="Arial"/>
          <w:szCs w:val="20"/>
          <w:lang w:eastAsia="en-AU"/>
        </w:rPr>
        <w:t>the objects of Part IIIA of the CCA, which are to:</w:t>
      </w:r>
    </w:p>
    <w:p w:rsidR="00986989" w:rsidRPr="00766478" w:rsidRDefault="00986989" w:rsidP="000F6832">
      <w:pPr>
        <w:numPr>
          <w:ilvl w:val="1"/>
          <w:numId w:val="6"/>
        </w:numPr>
        <w:rPr>
          <w:rFonts w:eastAsia="Times New Roman" w:cs="Arial"/>
          <w:szCs w:val="20"/>
          <w:lang w:eastAsia="en-AU"/>
        </w:rPr>
      </w:pPr>
      <w:r w:rsidRPr="00766478">
        <w:rPr>
          <w:rFonts w:eastAsia="Times New Roman" w:cs="Arial"/>
          <w:szCs w:val="20"/>
          <w:lang w:eastAsia="en-AU"/>
        </w:rPr>
        <w:t>promote the economically efficient operation of, use of and investment in the infrastructure by which services are provided, thereby promoting effective competition in upstream and downstream markets</w:t>
      </w:r>
    </w:p>
    <w:p w:rsidR="00986989" w:rsidRPr="00766478" w:rsidRDefault="00986989" w:rsidP="000F6832">
      <w:pPr>
        <w:numPr>
          <w:ilvl w:val="1"/>
          <w:numId w:val="6"/>
        </w:numPr>
        <w:rPr>
          <w:rFonts w:eastAsia="Times New Roman" w:cs="Arial"/>
          <w:szCs w:val="20"/>
          <w:lang w:eastAsia="en-AU"/>
        </w:rPr>
      </w:pPr>
      <w:r w:rsidRPr="00766478">
        <w:rPr>
          <w:rFonts w:eastAsia="Times New Roman" w:cs="Arial"/>
          <w:szCs w:val="20"/>
          <w:lang w:eastAsia="en-AU"/>
        </w:rPr>
        <w:t>provide a framework and guiding principles to encourage a consistent approach to access regulation in each industry</w:t>
      </w:r>
    </w:p>
    <w:p w:rsidR="00986989" w:rsidRPr="00766478" w:rsidRDefault="00986989" w:rsidP="000F6832">
      <w:pPr>
        <w:numPr>
          <w:ilvl w:val="0"/>
          <w:numId w:val="6"/>
        </w:numPr>
        <w:rPr>
          <w:rFonts w:eastAsia="Times New Roman" w:cs="Arial"/>
          <w:szCs w:val="20"/>
          <w:lang w:eastAsia="en-AU"/>
        </w:rPr>
      </w:pPr>
      <w:r w:rsidRPr="00766478">
        <w:rPr>
          <w:rFonts w:eastAsia="Times New Roman" w:cs="Arial"/>
          <w:szCs w:val="20"/>
        </w:rPr>
        <w:t>the</w:t>
      </w:r>
      <w:r w:rsidRPr="00766478">
        <w:rPr>
          <w:rFonts w:eastAsia="Times New Roman" w:cs="Arial"/>
          <w:szCs w:val="20"/>
          <w:lang w:eastAsia="en-AU"/>
        </w:rPr>
        <w:t xml:space="preserve"> pricing principles specified in section 44ZZCA</w:t>
      </w:r>
    </w:p>
    <w:p w:rsidR="00986989" w:rsidRPr="00766478" w:rsidRDefault="00986989" w:rsidP="000F6832">
      <w:pPr>
        <w:numPr>
          <w:ilvl w:val="0"/>
          <w:numId w:val="6"/>
        </w:numPr>
        <w:rPr>
          <w:rFonts w:eastAsia="Times New Roman" w:cs="Arial"/>
          <w:szCs w:val="20"/>
          <w:lang w:eastAsia="en-AU"/>
        </w:rPr>
      </w:pPr>
      <w:r w:rsidRPr="00766478">
        <w:rPr>
          <w:rFonts w:eastAsia="Times New Roman" w:cs="Arial"/>
          <w:szCs w:val="20"/>
        </w:rPr>
        <w:t>the</w:t>
      </w:r>
      <w:r w:rsidRPr="00766478">
        <w:rPr>
          <w:rFonts w:eastAsia="Times New Roman" w:cs="Arial"/>
          <w:szCs w:val="20"/>
          <w:lang w:eastAsia="en-AU"/>
        </w:rPr>
        <w:t xml:space="preserve"> legitimate business interests of the provider of the service</w:t>
      </w:r>
    </w:p>
    <w:p w:rsidR="00986989" w:rsidRPr="00766478" w:rsidRDefault="00986989" w:rsidP="000F6832">
      <w:pPr>
        <w:numPr>
          <w:ilvl w:val="0"/>
          <w:numId w:val="6"/>
        </w:numPr>
        <w:rPr>
          <w:rFonts w:eastAsia="Times New Roman" w:cs="Arial"/>
          <w:szCs w:val="20"/>
          <w:lang w:eastAsia="en-AU"/>
        </w:rPr>
      </w:pPr>
      <w:r w:rsidRPr="00766478">
        <w:rPr>
          <w:rFonts w:eastAsia="Times New Roman" w:cs="Arial"/>
          <w:szCs w:val="20"/>
        </w:rPr>
        <w:t>the</w:t>
      </w:r>
      <w:r w:rsidRPr="00766478">
        <w:rPr>
          <w:rFonts w:eastAsia="Times New Roman" w:cs="Arial"/>
          <w:szCs w:val="20"/>
          <w:lang w:eastAsia="en-AU"/>
        </w:rPr>
        <w:t xml:space="preserve"> public interest, including the public interest in having competition in markets (whether or not in Australia)</w:t>
      </w:r>
    </w:p>
    <w:p w:rsidR="00986989" w:rsidRPr="00766478" w:rsidRDefault="00986989" w:rsidP="000F6832">
      <w:pPr>
        <w:numPr>
          <w:ilvl w:val="0"/>
          <w:numId w:val="6"/>
        </w:numPr>
        <w:rPr>
          <w:rFonts w:eastAsia="Times New Roman" w:cs="Arial"/>
          <w:szCs w:val="20"/>
          <w:lang w:eastAsia="en-AU"/>
        </w:rPr>
      </w:pPr>
      <w:r w:rsidRPr="00766478">
        <w:rPr>
          <w:rFonts w:eastAsia="Times New Roman" w:cs="Arial"/>
          <w:szCs w:val="20"/>
          <w:lang w:eastAsia="en-AU"/>
        </w:rPr>
        <w:t>the interests of persons who might want access to the service</w:t>
      </w:r>
    </w:p>
    <w:p w:rsidR="00986989" w:rsidRPr="00766478" w:rsidRDefault="00986989" w:rsidP="000F6832">
      <w:pPr>
        <w:numPr>
          <w:ilvl w:val="0"/>
          <w:numId w:val="6"/>
        </w:numPr>
        <w:rPr>
          <w:rFonts w:eastAsia="Times New Roman" w:cs="Arial"/>
          <w:szCs w:val="20"/>
          <w:lang w:eastAsia="en-AU"/>
        </w:rPr>
      </w:pPr>
      <w:r w:rsidRPr="00766478">
        <w:rPr>
          <w:rFonts w:eastAsia="Times New Roman" w:cs="Arial"/>
          <w:szCs w:val="20"/>
        </w:rPr>
        <w:t>whether</w:t>
      </w:r>
      <w:r w:rsidRPr="00766478">
        <w:rPr>
          <w:rFonts w:eastAsia="Times New Roman" w:cs="Arial"/>
          <w:szCs w:val="20"/>
          <w:lang w:eastAsia="en-AU"/>
        </w:rPr>
        <w:t xml:space="preserve"> the undertaking is in accordance with an access code that applies to the service</w:t>
      </w:r>
    </w:p>
    <w:p w:rsidR="00986989" w:rsidRPr="00766478" w:rsidRDefault="00986989" w:rsidP="000F6832">
      <w:pPr>
        <w:numPr>
          <w:ilvl w:val="0"/>
          <w:numId w:val="6"/>
        </w:numPr>
        <w:rPr>
          <w:rFonts w:eastAsia="Times New Roman" w:cs="Arial"/>
          <w:szCs w:val="20"/>
          <w:lang w:eastAsia="en-AU"/>
        </w:rPr>
      </w:pPr>
      <w:proofErr w:type="gramStart"/>
      <w:r w:rsidRPr="00766478">
        <w:rPr>
          <w:rFonts w:eastAsia="Times New Roman" w:cs="Arial"/>
          <w:szCs w:val="20"/>
          <w:lang w:eastAsia="en-AU"/>
        </w:rPr>
        <w:t>any</w:t>
      </w:r>
      <w:proofErr w:type="gramEnd"/>
      <w:r w:rsidRPr="00766478">
        <w:rPr>
          <w:rFonts w:eastAsia="Times New Roman" w:cs="Arial"/>
          <w:szCs w:val="20"/>
          <w:lang w:eastAsia="en-AU"/>
        </w:rPr>
        <w:t xml:space="preserve"> other matters that the ACCC thinks are relevant.</w:t>
      </w:r>
    </w:p>
    <w:p w:rsidR="00986989" w:rsidRDefault="00986989" w:rsidP="00986989">
      <w:pPr>
        <w:rPr>
          <w:rFonts w:eastAsia="Times New Roman" w:cs="Arial"/>
          <w:szCs w:val="20"/>
          <w:lang w:eastAsia="ko-KR"/>
        </w:rPr>
      </w:pPr>
      <w:r w:rsidRPr="00766478">
        <w:rPr>
          <w:rFonts w:eastAsia="Times New Roman" w:cs="Arial"/>
          <w:szCs w:val="20"/>
          <w:lang w:eastAsia="ko-KR"/>
        </w:rPr>
        <w:t>In relation to the pricing principles, section 44ZZCA of the CCA provides that</w:t>
      </w:r>
      <w:r>
        <w:rPr>
          <w:rFonts w:eastAsia="Times New Roman" w:cs="Arial"/>
          <w:szCs w:val="20"/>
          <w:lang w:eastAsia="ko-KR"/>
        </w:rPr>
        <w:t>:</w:t>
      </w:r>
    </w:p>
    <w:p w:rsidR="00986989" w:rsidRPr="00766478" w:rsidRDefault="00986989" w:rsidP="00986989">
      <w:pPr>
        <w:ind w:left="360"/>
        <w:rPr>
          <w:rFonts w:eastAsia="Times New Roman" w:cs="Arial"/>
          <w:szCs w:val="20"/>
          <w:lang w:eastAsia="ko-KR"/>
        </w:rPr>
      </w:pPr>
      <w:r>
        <w:rPr>
          <w:rFonts w:eastAsia="Times New Roman" w:cs="Arial"/>
          <w:szCs w:val="20"/>
          <w:lang w:eastAsia="ko-KR"/>
        </w:rPr>
        <w:t>(a)</w:t>
      </w:r>
      <w:r w:rsidRPr="00766478">
        <w:rPr>
          <w:rFonts w:eastAsia="Times New Roman" w:cs="Arial"/>
          <w:szCs w:val="20"/>
          <w:lang w:eastAsia="ko-KR"/>
        </w:rPr>
        <w:t xml:space="preserve"> </w:t>
      </w:r>
      <w:proofErr w:type="gramStart"/>
      <w:r w:rsidRPr="00766478">
        <w:rPr>
          <w:rFonts w:eastAsia="Times New Roman" w:cs="Arial"/>
          <w:szCs w:val="20"/>
          <w:lang w:eastAsia="ko-KR"/>
        </w:rPr>
        <w:t>regulated</w:t>
      </w:r>
      <w:proofErr w:type="gramEnd"/>
      <w:r w:rsidRPr="00766478">
        <w:rPr>
          <w:rFonts w:eastAsia="Times New Roman" w:cs="Arial"/>
          <w:szCs w:val="20"/>
          <w:lang w:eastAsia="ko-KR"/>
        </w:rPr>
        <w:t xml:space="preserve"> access prices should:</w:t>
      </w:r>
    </w:p>
    <w:p w:rsidR="00986989" w:rsidRPr="00766478" w:rsidRDefault="00986989" w:rsidP="000F6832">
      <w:pPr>
        <w:numPr>
          <w:ilvl w:val="0"/>
          <w:numId w:val="6"/>
        </w:numPr>
        <w:ind w:left="1080"/>
        <w:rPr>
          <w:rFonts w:eastAsia="Times New Roman" w:cs="Arial"/>
          <w:szCs w:val="20"/>
          <w:lang w:eastAsia="ko-KR"/>
        </w:rPr>
      </w:pPr>
      <w:r w:rsidRPr="00766478">
        <w:rPr>
          <w:rFonts w:eastAsia="Times New Roman" w:cs="Arial"/>
          <w:szCs w:val="20"/>
          <w:lang w:eastAsia="ko-KR"/>
        </w:rPr>
        <w:t>be set so as to generate expected revenue for a regulated service that is at least sufficient to meet the efficient costs of providing access to the regulated service or services; and</w:t>
      </w:r>
    </w:p>
    <w:p w:rsidR="00986989" w:rsidRPr="00766478" w:rsidRDefault="00986989" w:rsidP="000F6832">
      <w:pPr>
        <w:numPr>
          <w:ilvl w:val="0"/>
          <w:numId w:val="6"/>
        </w:numPr>
        <w:ind w:left="1080"/>
        <w:rPr>
          <w:rFonts w:eastAsia="Times New Roman" w:cs="Arial"/>
          <w:szCs w:val="20"/>
          <w:lang w:eastAsia="ko-KR"/>
        </w:rPr>
      </w:pPr>
      <w:r w:rsidRPr="00766478">
        <w:rPr>
          <w:rFonts w:eastAsia="Times New Roman" w:cs="Arial"/>
          <w:szCs w:val="20"/>
          <w:lang w:eastAsia="ko-KR"/>
        </w:rPr>
        <w:t>include a return on investment commensurate with the regulatory and commercial risks involved; and</w:t>
      </w:r>
    </w:p>
    <w:p w:rsidR="00986989" w:rsidRPr="00766478" w:rsidRDefault="00986989" w:rsidP="00986989">
      <w:pPr>
        <w:ind w:left="360"/>
        <w:rPr>
          <w:rFonts w:eastAsia="Times New Roman" w:cs="Arial"/>
          <w:szCs w:val="20"/>
          <w:lang w:eastAsia="ko-KR"/>
        </w:rPr>
      </w:pPr>
      <w:r>
        <w:rPr>
          <w:rFonts w:eastAsia="Times New Roman" w:cs="Arial"/>
          <w:szCs w:val="20"/>
          <w:lang w:eastAsia="ko-KR"/>
        </w:rPr>
        <w:t xml:space="preserve">(b) </w:t>
      </w:r>
      <w:proofErr w:type="gramStart"/>
      <w:r w:rsidRPr="00766478">
        <w:rPr>
          <w:rFonts w:eastAsia="Times New Roman" w:cs="Arial"/>
          <w:szCs w:val="20"/>
          <w:lang w:eastAsia="ko-KR"/>
        </w:rPr>
        <w:t>access</w:t>
      </w:r>
      <w:proofErr w:type="gramEnd"/>
      <w:r w:rsidRPr="00766478">
        <w:rPr>
          <w:rFonts w:eastAsia="Times New Roman" w:cs="Arial"/>
          <w:szCs w:val="20"/>
          <w:lang w:eastAsia="ko-KR"/>
        </w:rPr>
        <w:t xml:space="preserve"> price structures should:</w:t>
      </w:r>
    </w:p>
    <w:p w:rsidR="00986989" w:rsidRPr="00766478" w:rsidRDefault="00986989" w:rsidP="000F6832">
      <w:pPr>
        <w:numPr>
          <w:ilvl w:val="0"/>
          <w:numId w:val="6"/>
        </w:numPr>
        <w:ind w:left="1080"/>
        <w:rPr>
          <w:rFonts w:eastAsia="Times New Roman" w:cs="Arial"/>
          <w:szCs w:val="20"/>
          <w:lang w:eastAsia="ko-KR"/>
        </w:rPr>
      </w:pPr>
      <w:r w:rsidRPr="00766478">
        <w:rPr>
          <w:rFonts w:eastAsia="Times New Roman" w:cs="Arial"/>
          <w:szCs w:val="20"/>
          <w:lang w:eastAsia="ko-KR"/>
        </w:rPr>
        <w:t>allow multi-part pricing and price discrimination when it aids efficiency; and</w:t>
      </w:r>
    </w:p>
    <w:p w:rsidR="00986989" w:rsidRPr="00766478" w:rsidRDefault="00986989" w:rsidP="000F6832">
      <w:pPr>
        <w:numPr>
          <w:ilvl w:val="0"/>
          <w:numId w:val="6"/>
        </w:numPr>
        <w:ind w:left="1080"/>
        <w:rPr>
          <w:rFonts w:eastAsia="Times New Roman" w:cs="Arial"/>
          <w:szCs w:val="20"/>
          <w:lang w:eastAsia="ko-KR"/>
        </w:rPr>
      </w:pPr>
      <w:r w:rsidRPr="00766478">
        <w:rPr>
          <w:rFonts w:eastAsia="Times New Roman" w:cs="Arial"/>
          <w:szCs w:val="20"/>
          <w:lang w:eastAsia="ko-KR"/>
        </w:rPr>
        <w:lastRenderedPageBreak/>
        <w:t>not allow a vertically integrated access provider to set terms and conditions that discriminate in favour of its downstream operations, except to the extent that the cost of providing access to other operators is higher; and</w:t>
      </w:r>
    </w:p>
    <w:p w:rsidR="00986989" w:rsidRDefault="00986989" w:rsidP="00986989">
      <w:pPr>
        <w:ind w:left="360"/>
        <w:rPr>
          <w:rFonts w:eastAsia="Times New Roman" w:cs="Arial"/>
          <w:szCs w:val="20"/>
          <w:lang w:eastAsia="ko-KR"/>
        </w:rPr>
      </w:pPr>
      <w:r>
        <w:rPr>
          <w:rFonts w:eastAsia="Times New Roman" w:cs="Arial"/>
          <w:szCs w:val="20"/>
          <w:lang w:eastAsia="ko-KR"/>
        </w:rPr>
        <w:t xml:space="preserve">(c) </w:t>
      </w:r>
      <w:proofErr w:type="gramStart"/>
      <w:r w:rsidRPr="00766478">
        <w:rPr>
          <w:rFonts w:eastAsia="Times New Roman" w:cs="Arial"/>
          <w:szCs w:val="20"/>
          <w:lang w:eastAsia="ko-KR"/>
        </w:rPr>
        <w:t>access</w:t>
      </w:r>
      <w:proofErr w:type="gramEnd"/>
      <w:r w:rsidRPr="00766478">
        <w:rPr>
          <w:rFonts w:eastAsia="Times New Roman" w:cs="Arial"/>
          <w:szCs w:val="20"/>
          <w:lang w:eastAsia="ko-KR"/>
        </w:rPr>
        <w:t xml:space="preserve"> pricing regimes should provide incentives to reduce costs or otherwise improve productivity.</w:t>
      </w:r>
    </w:p>
    <w:p w:rsidR="00221EEC" w:rsidRDefault="006A07CA" w:rsidP="00221EEC">
      <w:pPr>
        <w:pStyle w:val="Numberedheading3"/>
      </w:pPr>
      <w:r>
        <w:t>Variation of an access undertaking</w:t>
      </w:r>
    </w:p>
    <w:p w:rsidR="00221EEC" w:rsidRPr="0008669A" w:rsidRDefault="00221EEC" w:rsidP="00221EEC">
      <w:pPr>
        <w:pStyle w:val="AERbodytext"/>
        <w:rPr>
          <w:rFonts w:ascii="Arial" w:hAnsi="Arial" w:cs="Arial"/>
          <w:sz w:val="20"/>
          <w:szCs w:val="20"/>
        </w:rPr>
      </w:pPr>
      <w:r w:rsidRPr="0008669A">
        <w:rPr>
          <w:rFonts w:ascii="Arial" w:hAnsi="Arial" w:cs="Arial"/>
          <w:sz w:val="20"/>
          <w:szCs w:val="20"/>
        </w:rPr>
        <w:t xml:space="preserve">The test the ACCC applies in deciding whether to consent to the variation of an undertaking is set out in subsection </w:t>
      </w:r>
      <w:proofErr w:type="gramStart"/>
      <w:r w:rsidRPr="0008669A">
        <w:rPr>
          <w:rFonts w:ascii="Arial" w:hAnsi="Arial" w:cs="Arial"/>
          <w:sz w:val="20"/>
          <w:szCs w:val="20"/>
        </w:rPr>
        <w:t>44ZZA(</w:t>
      </w:r>
      <w:proofErr w:type="gramEnd"/>
      <w:r w:rsidRPr="0008669A">
        <w:rPr>
          <w:rFonts w:ascii="Arial" w:hAnsi="Arial" w:cs="Arial"/>
          <w:sz w:val="20"/>
          <w:szCs w:val="20"/>
        </w:rPr>
        <w:t>7) of the CCA. This section provides that the ACCC may consent to a variation of an undertaking if it thinks it appropriate to do so having regard to the matters set out in subsection 44ZZA(3)</w:t>
      </w:r>
      <w:r>
        <w:rPr>
          <w:rFonts w:ascii="Arial" w:hAnsi="Arial" w:cs="Arial"/>
          <w:sz w:val="20"/>
          <w:szCs w:val="20"/>
        </w:rPr>
        <w:t>,</w:t>
      </w:r>
      <w:r w:rsidRPr="0008669A">
        <w:rPr>
          <w:rFonts w:ascii="Arial" w:hAnsi="Arial" w:cs="Arial"/>
          <w:sz w:val="20"/>
          <w:szCs w:val="20"/>
        </w:rPr>
        <w:t xml:space="preserve"> listed above.</w:t>
      </w:r>
    </w:p>
    <w:p w:rsidR="00221EEC" w:rsidRPr="0008669A" w:rsidRDefault="00221EEC" w:rsidP="00221EEC">
      <w:pPr>
        <w:pStyle w:val="AERbodytext"/>
        <w:rPr>
          <w:rFonts w:ascii="Arial" w:hAnsi="Arial" w:cs="Arial"/>
          <w:sz w:val="20"/>
          <w:szCs w:val="20"/>
        </w:rPr>
      </w:pPr>
      <w:r w:rsidRPr="0008669A">
        <w:rPr>
          <w:rFonts w:ascii="Arial" w:hAnsi="Arial" w:cs="Arial"/>
          <w:sz w:val="20"/>
          <w:szCs w:val="20"/>
        </w:rPr>
        <w:t xml:space="preserve">In practice, in assessing a dual application to extend and vary, the ACCC </w:t>
      </w:r>
      <w:r w:rsidR="001A268B">
        <w:rPr>
          <w:rFonts w:ascii="Arial" w:hAnsi="Arial" w:cs="Arial"/>
          <w:sz w:val="20"/>
          <w:szCs w:val="20"/>
        </w:rPr>
        <w:t xml:space="preserve">considers </w:t>
      </w:r>
      <w:r w:rsidRPr="0008669A">
        <w:rPr>
          <w:rFonts w:ascii="Arial" w:hAnsi="Arial" w:cs="Arial"/>
          <w:sz w:val="20"/>
          <w:szCs w:val="20"/>
        </w:rPr>
        <w:t xml:space="preserve">whether it is appropriate for the </w:t>
      </w:r>
      <w:r>
        <w:rPr>
          <w:rFonts w:ascii="Arial" w:hAnsi="Arial" w:cs="Arial"/>
          <w:sz w:val="20"/>
          <w:szCs w:val="20"/>
        </w:rPr>
        <w:t>u</w:t>
      </w:r>
      <w:r w:rsidRPr="0008669A">
        <w:rPr>
          <w:rFonts w:ascii="Arial" w:hAnsi="Arial" w:cs="Arial"/>
          <w:sz w:val="20"/>
          <w:szCs w:val="20"/>
        </w:rPr>
        <w:t xml:space="preserve">ndertaking, including the variations, to continue for the period specified. </w:t>
      </w:r>
    </w:p>
    <w:p w:rsidR="00221EEC" w:rsidRPr="00517047" w:rsidRDefault="00221EEC" w:rsidP="00221EEC">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 xml:space="preserve">Timeframes for ACCC decisions and clock-stoppers </w:t>
      </w:r>
    </w:p>
    <w:p w:rsidR="00221EEC" w:rsidRPr="0008669A" w:rsidRDefault="00221EEC" w:rsidP="00221EEC">
      <w:r w:rsidRPr="0008669A">
        <w:t>Subsection 44ZZBC(1) of the CCA provides that the ACCC must make a decision on an access undertaking application within 180 days starting on the day the application is received (referred to as the ‘expected period’).</w:t>
      </w:r>
    </w:p>
    <w:p w:rsidR="00221EEC" w:rsidRPr="0008669A" w:rsidRDefault="00221EEC" w:rsidP="00221EEC">
      <w:r w:rsidRPr="0008669A">
        <w:t>Section 44B of the CCA defines an ‘access undertaking application’ to include</w:t>
      </w:r>
      <w:r>
        <w:t xml:space="preserve"> a request made to the Commission </w:t>
      </w:r>
      <w:r w:rsidRPr="0008669A">
        <w:t xml:space="preserve">to vary an </w:t>
      </w:r>
      <w:r>
        <w:t xml:space="preserve">access </w:t>
      </w:r>
      <w:r w:rsidRPr="0008669A">
        <w:t>undertaking</w:t>
      </w:r>
      <w:r>
        <w:t>,</w:t>
      </w:r>
      <w:r w:rsidRPr="0008669A">
        <w:t xml:space="preserve"> and an application under subsection </w:t>
      </w:r>
      <w:proofErr w:type="gramStart"/>
      <w:r w:rsidRPr="0008669A">
        <w:t>44ZZBB(</w:t>
      </w:r>
      <w:proofErr w:type="gramEnd"/>
      <w:r w:rsidRPr="0008669A">
        <w:t>1) for an extension of the period for which an access undertaking is in operation.</w:t>
      </w:r>
    </w:p>
    <w:p w:rsidR="00221EEC" w:rsidRPr="0008669A" w:rsidRDefault="00221EEC" w:rsidP="00221EEC">
      <w:r w:rsidRPr="0008669A">
        <w:t xml:space="preserve">Pursuant to </w:t>
      </w:r>
      <w:r>
        <w:t xml:space="preserve">subsection </w:t>
      </w:r>
      <w:r w:rsidRPr="0008669A">
        <w:t xml:space="preserve">44ZZBC(6), if the ACCC does not publish a decision on an access undertaking under section 44ZZBE of the CCA within the expected period, it is taken, immediately after the end of the expected period, to have: </w:t>
      </w:r>
    </w:p>
    <w:p w:rsidR="00221EEC" w:rsidRPr="0008669A" w:rsidRDefault="00221EEC" w:rsidP="000F6832">
      <w:pPr>
        <w:numPr>
          <w:ilvl w:val="0"/>
          <w:numId w:val="8"/>
        </w:numPr>
      </w:pPr>
      <w:r w:rsidRPr="0008669A">
        <w:t xml:space="preserve">made a decision to not accept the application; and </w:t>
      </w:r>
    </w:p>
    <w:p w:rsidR="00221EEC" w:rsidRPr="0008669A" w:rsidRDefault="00221EEC" w:rsidP="000F6832">
      <w:pPr>
        <w:numPr>
          <w:ilvl w:val="0"/>
          <w:numId w:val="8"/>
        </w:numPr>
      </w:pPr>
      <w:proofErr w:type="gramStart"/>
      <w:r w:rsidRPr="0008669A">
        <w:t>published</w:t>
      </w:r>
      <w:proofErr w:type="gramEnd"/>
      <w:r w:rsidRPr="0008669A">
        <w:t xml:space="preserve"> its decision under section 44ZZBE and its reasons for that decision.</w:t>
      </w:r>
    </w:p>
    <w:p w:rsidR="00221EEC" w:rsidRPr="0008669A" w:rsidRDefault="00221EEC" w:rsidP="00221EEC">
      <w:r w:rsidRPr="0008669A">
        <w:t xml:space="preserve">Subsection </w:t>
      </w:r>
      <w:proofErr w:type="gramStart"/>
      <w:r w:rsidRPr="0008669A">
        <w:t>44ZZBC(</w:t>
      </w:r>
      <w:proofErr w:type="gramEnd"/>
      <w:r w:rsidRPr="0008669A">
        <w:t xml:space="preserve">2) of the CCA provides for ‘clock-stoppers’, which mean that certain time periods are not taken into account when determining the expected period. In particular, the clock may stop: </w:t>
      </w:r>
    </w:p>
    <w:p w:rsidR="00221EEC" w:rsidRPr="0008669A" w:rsidRDefault="00221EEC" w:rsidP="000F6832">
      <w:pPr>
        <w:numPr>
          <w:ilvl w:val="0"/>
          <w:numId w:val="7"/>
        </w:numPr>
      </w:pPr>
      <w:r w:rsidRPr="0008669A">
        <w:t>by written agreement between the ACCC and the access provider, and such agreement must be published: subsection 44ZZBC(4) &amp; (5);</w:t>
      </w:r>
    </w:p>
    <w:p w:rsidR="00221EEC" w:rsidRPr="0008669A" w:rsidRDefault="00221EEC" w:rsidP="000F6832">
      <w:pPr>
        <w:numPr>
          <w:ilvl w:val="0"/>
          <w:numId w:val="7"/>
        </w:numPr>
      </w:pPr>
      <w:r w:rsidRPr="0008669A">
        <w:t>if the ACCC gives a notice under subsection 44ZZBCA(1) requesting information in relation to the application;</w:t>
      </w:r>
    </w:p>
    <w:p w:rsidR="00221EEC" w:rsidRPr="0008669A" w:rsidRDefault="00221EEC" w:rsidP="000F6832">
      <w:pPr>
        <w:numPr>
          <w:ilvl w:val="0"/>
          <w:numId w:val="7"/>
        </w:numPr>
      </w:pPr>
      <w:r w:rsidRPr="0008669A">
        <w:t>if a notice is published under subsection 44ZZBD(1) inviting public submissions in relation to the application; and</w:t>
      </w:r>
    </w:p>
    <w:p w:rsidR="00221EEC" w:rsidRDefault="00EF1904" w:rsidP="000F6832">
      <w:pPr>
        <w:numPr>
          <w:ilvl w:val="0"/>
          <w:numId w:val="7"/>
        </w:numPr>
      </w:pPr>
      <w:r>
        <w:t xml:space="preserve">if </w:t>
      </w:r>
      <w:r w:rsidR="00221EEC" w:rsidRPr="0008669A">
        <w:t>a decision is published under subsection 44ZZCB(4) deferring consideration of whether to accept the access undertaking, in whole or in part, while the ACC</w:t>
      </w:r>
      <w:r w:rsidR="00221EEC">
        <w:t>C arbitrates an access dispute.</w:t>
      </w:r>
    </w:p>
    <w:p w:rsidR="00221EEC" w:rsidRDefault="00221EEC" w:rsidP="00986989"/>
    <w:p w:rsidR="00BC3C8F" w:rsidRDefault="00BC3C8F" w:rsidP="00986989"/>
    <w:p w:rsidR="00BC3C8F" w:rsidRDefault="00BC3C8F" w:rsidP="00986989"/>
    <w:p w:rsidR="00221EEC" w:rsidRPr="0071045F" w:rsidRDefault="006A07CA" w:rsidP="00986989">
      <w:pPr>
        <w:pStyle w:val="Numberedheading3"/>
        <w:rPr>
          <w:rFonts w:eastAsia="Times New Roman"/>
        </w:rPr>
      </w:pPr>
      <w:r>
        <w:rPr>
          <w:rFonts w:eastAsia="Times New Roman"/>
        </w:rPr>
        <w:lastRenderedPageBreak/>
        <w:t xml:space="preserve">Current legislative arrangements </w:t>
      </w:r>
    </w:p>
    <w:p w:rsidR="00221EEC" w:rsidRPr="00DB3C92" w:rsidRDefault="00221EEC" w:rsidP="00221EEC">
      <w:r w:rsidRPr="00DB3C92">
        <w:t xml:space="preserve">The </w:t>
      </w:r>
      <w:r w:rsidRPr="00DB3C92">
        <w:rPr>
          <w:iCs/>
        </w:rPr>
        <w:t>WEMA</w:t>
      </w:r>
      <w:r w:rsidRPr="00DB3C92">
        <w:t xml:space="preserve"> came into effect on 1 July 2008 and was amended by the </w:t>
      </w:r>
      <w:r w:rsidRPr="00DB3C92">
        <w:rPr>
          <w:i/>
        </w:rPr>
        <w:t xml:space="preserve">Wheat Export Marketing Amendment Act 2012 </w:t>
      </w:r>
      <w:r w:rsidRPr="00DB3C92">
        <w:t>(</w:t>
      </w:r>
      <w:proofErr w:type="spellStart"/>
      <w:r w:rsidRPr="00DB3C92">
        <w:t>Cth</w:t>
      </w:r>
      <w:proofErr w:type="spellEnd"/>
      <w:r w:rsidRPr="00DB3C92">
        <w:t>) in November 2012.</w:t>
      </w:r>
    </w:p>
    <w:p w:rsidR="00221EEC" w:rsidRPr="00DB3C92" w:rsidRDefault="00221EEC" w:rsidP="00221EEC">
      <w:r w:rsidRPr="00DB3C92">
        <w:t>In 2008, the WEMA and associated transitional legislation replaced the Export Wheat Commission with a new statutory body, Wheat Exports Australia, which was given the power to develop, administer and enforce an accreditation scheme for bulk wheat exports, including the power to grant, vary, suspend or cancel an accreditation.</w:t>
      </w:r>
      <w:r w:rsidRPr="00DB3C92">
        <w:rPr>
          <w:vertAlign w:val="superscript"/>
        </w:rPr>
        <w:footnoteReference w:id="16"/>
      </w:r>
    </w:p>
    <w:p w:rsidR="00221EEC" w:rsidRPr="00DB3C92" w:rsidRDefault="00221EEC" w:rsidP="00221EEC">
      <w:r w:rsidRPr="00DB3C92">
        <w:t>Amendments to the WEMA in November 2012 saw the Wheat Export Accreditation Scheme and the Wheat Export Charge abolished on 10 December 2012, and Wheat Export Australia wound up on 31 December 2012. As per these amendments, the WEMA will be repealed on 1 October 2014 on condition that a mandatory code of conduct has been declared under section 51AE of the CCA by this date.</w:t>
      </w:r>
      <w:r w:rsidR="004C5C36">
        <w:t xml:space="preserve"> </w:t>
      </w:r>
      <w:r w:rsidRPr="00DB3C92">
        <w:t xml:space="preserve"> </w:t>
      </w:r>
    </w:p>
    <w:p w:rsidR="00221EEC" w:rsidRPr="00DB3C92" w:rsidRDefault="00221EEC" w:rsidP="00221EEC">
      <w:r>
        <w:t>P</w:t>
      </w:r>
      <w:r w:rsidRPr="00DB3C92">
        <w:t>arties seeking to export bulk wheat from Australia are required to pass the ‘access test’ in the WEMA until 30 September 2014. The access test, set out in section 9 of the WEMA, will be satisfied if either:</w:t>
      </w:r>
    </w:p>
    <w:p w:rsidR="00221EEC" w:rsidRDefault="00221EEC" w:rsidP="000F6832">
      <w:pPr>
        <w:numPr>
          <w:ilvl w:val="0"/>
          <w:numId w:val="11"/>
        </w:numPr>
      </w:pPr>
      <w:r w:rsidRPr="00DB3C92">
        <w:t>the ACCC has accepted from a person who owns or operates a port terminal facility used to provide a port terminal service an access undertaking under Division 6 of Part IIIA of the CCA, and that undertaking relates to</w:t>
      </w:r>
      <w:r>
        <w:t>:</w:t>
      </w:r>
    </w:p>
    <w:p w:rsidR="00221EEC" w:rsidRDefault="00221EEC" w:rsidP="000F6832">
      <w:pPr>
        <w:numPr>
          <w:ilvl w:val="1"/>
          <w:numId w:val="11"/>
        </w:numPr>
      </w:pPr>
      <w:r w:rsidRPr="00DB3C92">
        <w:t xml:space="preserve">the provision to wheat exporters of access to the port terminal service for purposes relating to the export of wheat; </w:t>
      </w:r>
    </w:p>
    <w:p w:rsidR="00221EEC" w:rsidRDefault="00221EEC" w:rsidP="000F6832">
      <w:pPr>
        <w:numPr>
          <w:ilvl w:val="1"/>
          <w:numId w:val="11"/>
        </w:numPr>
      </w:pPr>
      <w:r w:rsidRPr="00DB3C92">
        <w:t>obliges the person to comply, at that time, with the continuous disclosure rules</w:t>
      </w:r>
      <w:r w:rsidRPr="00DB3C92">
        <w:rPr>
          <w:vertAlign w:val="superscript"/>
        </w:rPr>
        <w:footnoteReference w:id="17"/>
      </w:r>
      <w:r w:rsidRPr="00DB3C92">
        <w:t xml:space="preserve"> in relation to the port terminal service;</w:t>
      </w:r>
      <w:r w:rsidRPr="009D7033">
        <w:t xml:space="preserve"> </w:t>
      </w:r>
      <w:r w:rsidRPr="00DB3C92">
        <w:t>and</w:t>
      </w:r>
    </w:p>
    <w:p w:rsidR="00221EEC" w:rsidRDefault="00221EEC" w:rsidP="000F6832">
      <w:pPr>
        <w:numPr>
          <w:ilvl w:val="1"/>
          <w:numId w:val="11"/>
        </w:numPr>
      </w:pPr>
      <w:r w:rsidRPr="00DB3C92">
        <w:t xml:space="preserve">at that time, the person complies with the continuous disclosure rules in relation to the port terminal service; </w:t>
      </w:r>
    </w:p>
    <w:p w:rsidR="00221EEC" w:rsidRPr="00DB3C92" w:rsidRDefault="00221EEC" w:rsidP="00221EEC">
      <w:proofErr w:type="gramStart"/>
      <w:r w:rsidRPr="00DB3C92">
        <w:t>or</w:t>
      </w:r>
      <w:proofErr w:type="gramEnd"/>
    </w:p>
    <w:p w:rsidR="00221EEC" w:rsidRPr="00DB3C92" w:rsidRDefault="00221EEC" w:rsidP="000F6832">
      <w:pPr>
        <w:numPr>
          <w:ilvl w:val="0"/>
          <w:numId w:val="11"/>
        </w:numPr>
      </w:pPr>
      <w:r w:rsidRPr="00DB3C92">
        <w:t>there is in force a decision under Division 2A of Part IIIA of the CCA that a regime established by a State or Territory for access to the port terminal service is an ‘effective access regime’; and under that regime, wheat exporters have access to the port terminal service for the purposes relating to the export of wheat; and at that time, the person complies with the continuous disclose rules in relation to the port terminal service.</w:t>
      </w:r>
    </w:p>
    <w:p w:rsidR="00221EEC" w:rsidRPr="00DB3C92" w:rsidRDefault="00221EEC" w:rsidP="00221EEC">
      <w:r w:rsidRPr="00DB3C92">
        <w:t xml:space="preserve">The </w:t>
      </w:r>
      <w:r w:rsidRPr="00DB3C92">
        <w:rPr>
          <w:i/>
        </w:rPr>
        <w:t xml:space="preserve">Wheat Export Marketing Act 2008 </w:t>
      </w:r>
      <w:r w:rsidRPr="00DB3C92">
        <w:t>(</w:t>
      </w:r>
      <w:proofErr w:type="spellStart"/>
      <w:r w:rsidRPr="00DB3C92">
        <w:t>Cth</w:t>
      </w:r>
      <w:proofErr w:type="spellEnd"/>
      <w:r w:rsidRPr="00DB3C92">
        <w:t xml:space="preserve">) will be repealed in its entirety on 1 October 2014 if </w:t>
      </w:r>
      <w:r>
        <w:t xml:space="preserve">before that day </w:t>
      </w:r>
      <w:r w:rsidRPr="00DB3C92">
        <w:t xml:space="preserve">the Minister for Agriculture has published </w:t>
      </w:r>
      <w:r>
        <w:t xml:space="preserve">a notice </w:t>
      </w:r>
      <w:r w:rsidRPr="00DB3C92">
        <w:t xml:space="preserve">in the </w:t>
      </w:r>
      <w:r w:rsidRPr="00DB3C92">
        <w:rPr>
          <w:i/>
        </w:rPr>
        <w:t xml:space="preserve">Gazette </w:t>
      </w:r>
      <w:r w:rsidRPr="00DB3C92">
        <w:t>approv</w:t>
      </w:r>
      <w:r>
        <w:t>ing</w:t>
      </w:r>
      <w:r w:rsidRPr="00DB3C92">
        <w:t xml:space="preserve"> a code of conduct and the code has been declared by regulations under section 51AE of the CCA to be a mandatory industry code.</w:t>
      </w:r>
      <w:r w:rsidRPr="00DB3C92">
        <w:rPr>
          <w:vertAlign w:val="superscript"/>
        </w:rPr>
        <w:footnoteReference w:id="18"/>
      </w:r>
    </w:p>
    <w:p w:rsidR="00221EEC" w:rsidRPr="00DB3C92" w:rsidRDefault="00221EEC" w:rsidP="00221EEC">
      <w:r w:rsidRPr="00DB3C92">
        <w:lastRenderedPageBreak/>
        <w:t>The Minister must not approve a code of conduct unless the Minister is satisfied that the code of conduct:</w:t>
      </w:r>
      <w:r w:rsidRPr="00DB3C92">
        <w:rPr>
          <w:vertAlign w:val="superscript"/>
        </w:rPr>
        <w:footnoteReference w:id="19"/>
      </w:r>
    </w:p>
    <w:p w:rsidR="00221EEC" w:rsidRPr="00DB3C92" w:rsidRDefault="00221EEC" w:rsidP="000F6832">
      <w:pPr>
        <w:numPr>
          <w:ilvl w:val="0"/>
          <w:numId w:val="10"/>
        </w:numPr>
      </w:pPr>
      <w:r w:rsidRPr="00DB3C92">
        <w:t>deals with the fair and transparent provision to wheat exporters of access to port terminal services by the providers of port terminal services; and</w:t>
      </w:r>
    </w:p>
    <w:p w:rsidR="00221EEC" w:rsidRPr="00DB3C92" w:rsidRDefault="00221EEC" w:rsidP="000F6832">
      <w:pPr>
        <w:numPr>
          <w:ilvl w:val="0"/>
          <w:numId w:val="10"/>
        </w:numPr>
      </w:pPr>
      <w:r w:rsidRPr="00DB3C92">
        <w:t>requires providers of port terminal services to comply with continuous disclosure rules; and</w:t>
      </w:r>
    </w:p>
    <w:p w:rsidR="00221EEC" w:rsidRPr="00DB3C92" w:rsidRDefault="00221EEC" w:rsidP="000F6832">
      <w:pPr>
        <w:numPr>
          <w:ilvl w:val="0"/>
          <w:numId w:val="10"/>
        </w:numPr>
      </w:pPr>
      <w:r w:rsidRPr="00DB3C92">
        <w:t xml:space="preserve">is consistent with the operation of an efficient and profitable wheat export marketing industry that supports the competitiveness of all sectors through the supply chain; and </w:t>
      </w:r>
    </w:p>
    <w:p w:rsidR="00221EEC" w:rsidRPr="00DB3C92" w:rsidRDefault="00221EEC" w:rsidP="000F6832">
      <w:pPr>
        <w:numPr>
          <w:ilvl w:val="0"/>
          <w:numId w:val="10"/>
        </w:numPr>
      </w:pPr>
      <w:proofErr w:type="gramStart"/>
      <w:r w:rsidRPr="00DB3C92">
        <w:t>is</w:t>
      </w:r>
      <w:proofErr w:type="gramEnd"/>
      <w:r w:rsidRPr="00DB3C92">
        <w:t xml:space="preserve"> consistent with any guidelines made by the ACCC relating to industry codes of conduct.</w:t>
      </w:r>
    </w:p>
    <w:p w:rsidR="00221EEC" w:rsidRDefault="00221EEC" w:rsidP="00221EEC">
      <w:r w:rsidRPr="00DB3C92">
        <w:t>If a code of conduct is not approved and declared by 30 September 2014, the WEMA will not be repealed and the current arrangements, including the access test, will continue.</w:t>
      </w:r>
      <w:r w:rsidR="004C5C36">
        <w:t xml:space="preserve"> </w:t>
      </w:r>
    </w:p>
    <w:p w:rsidR="003F0B02" w:rsidRDefault="003F0B02" w:rsidP="00AD1CBF"/>
    <w:p w:rsidR="00633670" w:rsidRDefault="00633670" w:rsidP="00AD1CBF"/>
    <w:p w:rsidR="00633670" w:rsidRPr="001212C2" w:rsidRDefault="00137CF0" w:rsidP="00633670">
      <w:pPr>
        <w:pStyle w:val="Numberedheading1"/>
      </w:pPr>
      <w:bookmarkStart w:id="15" w:name="_Toc372790892"/>
      <w:bookmarkStart w:id="16" w:name="_Toc378322934"/>
      <w:r>
        <w:lastRenderedPageBreak/>
        <w:t xml:space="preserve">Assessment of </w:t>
      </w:r>
      <w:proofErr w:type="spellStart"/>
      <w:r>
        <w:t>Viterra’s</w:t>
      </w:r>
      <w:proofErr w:type="spellEnd"/>
      <w:r>
        <w:t xml:space="preserve"> a</w:t>
      </w:r>
      <w:r w:rsidR="00633670" w:rsidRPr="001212C2">
        <w:t xml:space="preserve">pplication to extend </w:t>
      </w:r>
      <w:r w:rsidR="00633670">
        <w:t>the 2011 Undertaking</w:t>
      </w:r>
      <w:bookmarkEnd w:id="15"/>
      <w:bookmarkEnd w:id="16"/>
    </w:p>
    <w:p w:rsidR="00633670" w:rsidRPr="001212C2" w:rsidRDefault="00633670" w:rsidP="00633670">
      <w:pPr>
        <w:rPr>
          <w:rFonts w:cs="Arial"/>
          <w:szCs w:val="20"/>
        </w:rPr>
      </w:pPr>
      <w:r w:rsidRPr="001212C2">
        <w:rPr>
          <w:rFonts w:cs="Arial"/>
          <w:szCs w:val="20"/>
        </w:rPr>
        <w:t xml:space="preserve">In assessing </w:t>
      </w:r>
      <w:proofErr w:type="spellStart"/>
      <w:r w:rsidRPr="001212C2">
        <w:rPr>
          <w:rFonts w:cs="Arial"/>
          <w:szCs w:val="20"/>
        </w:rPr>
        <w:t>Viterra’s</w:t>
      </w:r>
      <w:proofErr w:type="spellEnd"/>
      <w:r w:rsidRPr="001212C2">
        <w:rPr>
          <w:rFonts w:cs="Arial"/>
          <w:szCs w:val="20"/>
        </w:rPr>
        <w:t xml:space="preserve"> A</w:t>
      </w:r>
      <w:r w:rsidR="005E553F">
        <w:rPr>
          <w:rFonts w:cs="Arial"/>
          <w:szCs w:val="20"/>
        </w:rPr>
        <w:t>mended a</w:t>
      </w:r>
      <w:r w:rsidRPr="001212C2">
        <w:rPr>
          <w:rFonts w:cs="Arial"/>
          <w:szCs w:val="20"/>
        </w:rPr>
        <w:t>pplication to extend and vary</w:t>
      </w:r>
      <w:r w:rsidR="00E035F6">
        <w:rPr>
          <w:rFonts w:cs="Arial"/>
          <w:szCs w:val="20"/>
        </w:rPr>
        <w:t xml:space="preserve">, </w:t>
      </w:r>
      <w:r w:rsidRPr="001212C2">
        <w:rPr>
          <w:rFonts w:cs="Arial"/>
          <w:szCs w:val="20"/>
        </w:rPr>
        <w:t xml:space="preserve">the ACCC </w:t>
      </w:r>
      <w:r w:rsidR="00671688">
        <w:rPr>
          <w:rFonts w:cs="Arial"/>
          <w:szCs w:val="20"/>
        </w:rPr>
        <w:t xml:space="preserve">is </w:t>
      </w:r>
      <w:r w:rsidR="006C4A42">
        <w:rPr>
          <w:rFonts w:cs="Arial"/>
          <w:szCs w:val="20"/>
        </w:rPr>
        <w:t>required to determine whether</w:t>
      </w:r>
      <w:r w:rsidRPr="001212C2">
        <w:rPr>
          <w:rFonts w:cs="Arial"/>
          <w:szCs w:val="20"/>
        </w:rPr>
        <w:t xml:space="preserve"> the continued operation of </w:t>
      </w:r>
      <w:proofErr w:type="spellStart"/>
      <w:r w:rsidRPr="001212C2">
        <w:rPr>
          <w:rFonts w:cs="Arial"/>
          <w:szCs w:val="20"/>
        </w:rPr>
        <w:t>Viterra’s</w:t>
      </w:r>
      <w:proofErr w:type="spellEnd"/>
      <w:r w:rsidRPr="001212C2">
        <w:rPr>
          <w:rFonts w:cs="Arial"/>
          <w:szCs w:val="20"/>
        </w:rPr>
        <w:t xml:space="preserve"> </w:t>
      </w:r>
      <w:r w:rsidRPr="00922A71">
        <w:rPr>
          <w:rFonts w:cs="Arial"/>
          <w:szCs w:val="20"/>
        </w:rPr>
        <w:t>2011 Undertaking</w:t>
      </w:r>
      <w:r w:rsidR="008D4619">
        <w:rPr>
          <w:rFonts w:cs="Arial"/>
          <w:b/>
          <w:szCs w:val="20"/>
        </w:rPr>
        <w:t xml:space="preserve"> </w:t>
      </w:r>
      <w:r w:rsidR="008D4619">
        <w:rPr>
          <w:rFonts w:cs="Arial"/>
          <w:szCs w:val="20"/>
        </w:rPr>
        <w:t xml:space="preserve">is </w:t>
      </w:r>
      <w:r w:rsidRPr="001212C2">
        <w:rPr>
          <w:rFonts w:cs="Arial"/>
          <w:szCs w:val="20"/>
        </w:rPr>
        <w:t>appropriate, having regard to the matters listed in subs</w:t>
      </w:r>
      <w:r>
        <w:rPr>
          <w:rFonts w:cs="Arial"/>
          <w:szCs w:val="20"/>
        </w:rPr>
        <w:t xml:space="preserve">ection </w:t>
      </w:r>
      <w:r w:rsidRPr="001212C2">
        <w:rPr>
          <w:rFonts w:cs="Arial"/>
          <w:szCs w:val="20"/>
        </w:rPr>
        <w:t>44ZZA(3) of the</w:t>
      </w:r>
      <w:r>
        <w:rPr>
          <w:rFonts w:cs="Arial"/>
          <w:szCs w:val="20"/>
        </w:rPr>
        <w:t xml:space="preserve"> </w:t>
      </w:r>
      <w:r w:rsidRPr="00922A71">
        <w:rPr>
          <w:rFonts w:cs="Arial"/>
          <w:szCs w:val="20"/>
        </w:rPr>
        <w:t>CCA</w:t>
      </w:r>
      <w:r w:rsidRPr="001212C2">
        <w:rPr>
          <w:rFonts w:cs="Arial"/>
          <w:szCs w:val="20"/>
        </w:rPr>
        <w:t>.</w:t>
      </w:r>
      <w:r>
        <w:rPr>
          <w:rFonts w:cs="Arial"/>
          <w:szCs w:val="20"/>
        </w:rPr>
        <w:t xml:space="preserve"> </w:t>
      </w:r>
      <w:r w:rsidR="006C4A42">
        <w:rPr>
          <w:rFonts w:cs="Arial"/>
          <w:szCs w:val="20"/>
        </w:rPr>
        <w:t>The ACCC considered</w:t>
      </w:r>
      <w:r w:rsidRPr="001212C2">
        <w:rPr>
          <w:rFonts w:cs="Arial"/>
          <w:szCs w:val="20"/>
        </w:rPr>
        <w:t xml:space="preserve"> the rationale for the inclusion of the access test, the intention of Parliament to promote competition in the export of bulk wheat, and the changing regulatory environment</w:t>
      </w:r>
      <w:r>
        <w:rPr>
          <w:rFonts w:cs="Arial"/>
          <w:szCs w:val="20"/>
        </w:rPr>
        <w:t>,</w:t>
      </w:r>
      <w:r w:rsidRPr="001212C2">
        <w:rPr>
          <w:rFonts w:cs="Arial"/>
          <w:szCs w:val="20"/>
        </w:rPr>
        <w:t xml:space="preserve"> to be matters relevant to the assessment of the Application to extend and vary under subsection 44ZZA(3)(e).</w:t>
      </w:r>
    </w:p>
    <w:p w:rsidR="00633670" w:rsidRPr="001212C2" w:rsidRDefault="00633670" w:rsidP="00633670">
      <w:pPr>
        <w:rPr>
          <w:rFonts w:cs="Arial"/>
          <w:szCs w:val="20"/>
        </w:rPr>
      </w:pPr>
      <w:r w:rsidRPr="001212C2">
        <w:rPr>
          <w:rFonts w:cs="Arial"/>
          <w:szCs w:val="20"/>
        </w:rPr>
        <w:t xml:space="preserve">In assessing the Application to extend and vary, the ACCC has had regard to the continued operation of the 2011 Undertaking as it currently operates (for those features that remain unchanged) and how the 2011 Undertaking will operate </w:t>
      </w:r>
      <w:r w:rsidR="00137CF0">
        <w:rPr>
          <w:rFonts w:cs="Arial"/>
          <w:szCs w:val="20"/>
        </w:rPr>
        <w:t>inclusive of the</w:t>
      </w:r>
      <w:r w:rsidRPr="001212C2">
        <w:rPr>
          <w:rFonts w:cs="Arial"/>
          <w:szCs w:val="20"/>
        </w:rPr>
        <w:t xml:space="preserve"> proposed variations. The </w:t>
      </w:r>
      <w:r w:rsidR="00BF290E">
        <w:rPr>
          <w:rFonts w:cs="Arial"/>
          <w:szCs w:val="20"/>
        </w:rPr>
        <w:t>ACCC discusses and provides its</w:t>
      </w:r>
      <w:r w:rsidRPr="001212C2">
        <w:rPr>
          <w:rFonts w:cs="Arial"/>
          <w:szCs w:val="20"/>
        </w:rPr>
        <w:t xml:space="preserve"> views on these variations at </w:t>
      </w:r>
      <w:r w:rsidR="00372BB9">
        <w:rPr>
          <w:rFonts w:cs="Arial"/>
          <w:szCs w:val="20"/>
        </w:rPr>
        <w:t>c</w:t>
      </w:r>
      <w:r w:rsidRPr="001212C2">
        <w:rPr>
          <w:rFonts w:cs="Arial"/>
          <w:szCs w:val="20"/>
        </w:rPr>
        <w:t xml:space="preserve">hapter </w:t>
      </w:r>
      <w:r>
        <w:rPr>
          <w:rFonts w:cs="Arial"/>
          <w:szCs w:val="20"/>
        </w:rPr>
        <w:t>4</w:t>
      </w:r>
      <w:r w:rsidRPr="001212C2">
        <w:rPr>
          <w:rFonts w:cs="Arial"/>
          <w:szCs w:val="20"/>
        </w:rPr>
        <w:t xml:space="preserve"> of this </w:t>
      </w:r>
      <w:r w:rsidR="005E553F">
        <w:rPr>
          <w:rFonts w:cs="Arial"/>
          <w:szCs w:val="20"/>
        </w:rPr>
        <w:t>Final</w:t>
      </w:r>
      <w:r w:rsidR="005E553F" w:rsidRPr="001212C2">
        <w:rPr>
          <w:rFonts w:cs="Arial"/>
          <w:szCs w:val="20"/>
        </w:rPr>
        <w:t xml:space="preserve"> </w:t>
      </w:r>
      <w:r w:rsidR="00156168">
        <w:rPr>
          <w:rFonts w:cs="Arial"/>
          <w:szCs w:val="20"/>
        </w:rPr>
        <w:t>D</w:t>
      </w:r>
      <w:r w:rsidRPr="001212C2">
        <w:rPr>
          <w:rFonts w:cs="Arial"/>
          <w:szCs w:val="20"/>
        </w:rPr>
        <w:t xml:space="preserve">ecision. </w:t>
      </w:r>
    </w:p>
    <w:p w:rsidR="00633670" w:rsidRPr="0098633C" w:rsidRDefault="00633670" w:rsidP="0098633C">
      <w:pPr>
        <w:pStyle w:val="Numberedheading2"/>
      </w:pPr>
      <w:bookmarkStart w:id="17" w:name="_Toc378322935"/>
      <w:r w:rsidRPr="0098633C">
        <w:t xml:space="preserve">Continuation of existing arrangements under </w:t>
      </w:r>
      <w:proofErr w:type="spellStart"/>
      <w:r w:rsidRPr="0098633C">
        <w:t>Viterra’s</w:t>
      </w:r>
      <w:proofErr w:type="spellEnd"/>
      <w:r w:rsidRPr="0098633C">
        <w:t xml:space="preserve"> 2011 access undertaking</w:t>
      </w:r>
      <w:bookmarkEnd w:id="17"/>
      <w:r w:rsidRPr="0098633C">
        <w:t xml:space="preserve"> </w:t>
      </w:r>
    </w:p>
    <w:p w:rsidR="00633670" w:rsidRPr="001212C2" w:rsidRDefault="00633670" w:rsidP="00633670">
      <w:pPr>
        <w:rPr>
          <w:rFonts w:cs="Arial"/>
          <w:szCs w:val="20"/>
        </w:rPr>
      </w:pPr>
      <w:r w:rsidRPr="001212C2">
        <w:rPr>
          <w:rFonts w:cs="Arial"/>
          <w:szCs w:val="20"/>
        </w:rPr>
        <w:t>In addition to the proposed variati</w:t>
      </w:r>
      <w:r w:rsidR="00AC15B9">
        <w:rPr>
          <w:rFonts w:cs="Arial"/>
          <w:szCs w:val="20"/>
        </w:rPr>
        <w:t xml:space="preserve">ons discussed below in </w:t>
      </w:r>
      <w:r w:rsidR="00372BB9">
        <w:rPr>
          <w:rFonts w:cs="Arial"/>
          <w:szCs w:val="20"/>
        </w:rPr>
        <w:t>c</w:t>
      </w:r>
      <w:r w:rsidR="00AC15B9" w:rsidRPr="00137CF0">
        <w:rPr>
          <w:rFonts w:cs="Arial"/>
          <w:szCs w:val="20"/>
        </w:rPr>
        <w:t>hapter 4</w:t>
      </w:r>
      <w:r w:rsidR="00764519">
        <w:rPr>
          <w:rFonts w:cs="Arial"/>
          <w:szCs w:val="20"/>
        </w:rPr>
        <w:t xml:space="preserve"> of this F</w:t>
      </w:r>
      <w:r w:rsidR="00AC15B9">
        <w:rPr>
          <w:rFonts w:cs="Arial"/>
          <w:szCs w:val="20"/>
        </w:rPr>
        <w:t>inal</w:t>
      </w:r>
      <w:r w:rsidR="00764519">
        <w:rPr>
          <w:rFonts w:cs="Arial"/>
          <w:szCs w:val="20"/>
        </w:rPr>
        <w:t xml:space="preserve"> D</w:t>
      </w:r>
      <w:r w:rsidRPr="001212C2">
        <w:rPr>
          <w:rFonts w:cs="Arial"/>
          <w:szCs w:val="20"/>
        </w:rPr>
        <w:t xml:space="preserve">ecision, </w:t>
      </w:r>
      <w:proofErr w:type="spellStart"/>
      <w:r w:rsidRPr="001212C2">
        <w:rPr>
          <w:rFonts w:cs="Arial"/>
          <w:szCs w:val="20"/>
        </w:rPr>
        <w:t>Viterra’s</w:t>
      </w:r>
      <w:proofErr w:type="spellEnd"/>
      <w:r w:rsidRPr="001212C2">
        <w:rPr>
          <w:rFonts w:cs="Arial"/>
          <w:szCs w:val="20"/>
        </w:rPr>
        <w:t xml:space="preserve"> </w:t>
      </w:r>
      <w:r w:rsidR="007F453D">
        <w:rPr>
          <w:rFonts w:cs="Arial"/>
          <w:szCs w:val="20"/>
        </w:rPr>
        <w:t xml:space="preserve">Amended </w:t>
      </w:r>
      <w:r w:rsidR="00B6401A">
        <w:rPr>
          <w:rFonts w:cs="Arial"/>
          <w:szCs w:val="20"/>
        </w:rPr>
        <w:t>a</w:t>
      </w:r>
      <w:r w:rsidRPr="001212C2">
        <w:rPr>
          <w:rFonts w:cs="Arial"/>
          <w:szCs w:val="20"/>
        </w:rPr>
        <w:t xml:space="preserve">pplication to extend and vary rolls over many of the provisions of </w:t>
      </w:r>
      <w:proofErr w:type="spellStart"/>
      <w:r w:rsidRPr="001212C2">
        <w:rPr>
          <w:rFonts w:cs="Arial"/>
          <w:szCs w:val="20"/>
        </w:rPr>
        <w:t>Viterra’s</w:t>
      </w:r>
      <w:proofErr w:type="spellEnd"/>
      <w:r w:rsidRPr="001212C2">
        <w:rPr>
          <w:rFonts w:cs="Arial"/>
          <w:szCs w:val="20"/>
        </w:rPr>
        <w:t xml:space="preserve"> 2011 </w:t>
      </w:r>
      <w:proofErr w:type="gramStart"/>
      <w:r w:rsidRPr="001212C2">
        <w:rPr>
          <w:rFonts w:cs="Arial"/>
          <w:szCs w:val="20"/>
        </w:rPr>
        <w:t>Undertaking</w:t>
      </w:r>
      <w:proofErr w:type="gramEnd"/>
      <w:r w:rsidRPr="001212C2">
        <w:rPr>
          <w:rFonts w:cs="Arial"/>
          <w:szCs w:val="20"/>
        </w:rPr>
        <w:t>. The publish-negotiate-arbitrate framework in relation to the negotiation of access agreements, along with the non-discrimination and no hindering access provisions, will continue to</w:t>
      </w:r>
      <w:r w:rsidR="004C5C36">
        <w:rPr>
          <w:rFonts w:cs="Arial"/>
          <w:szCs w:val="20"/>
        </w:rPr>
        <w:t xml:space="preserve"> operate as they do currently. </w:t>
      </w:r>
      <w:r w:rsidRPr="001212C2">
        <w:rPr>
          <w:rFonts w:cs="Arial"/>
          <w:szCs w:val="20"/>
        </w:rPr>
        <w:t xml:space="preserve">Further, </w:t>
      </w:r>
      <w:proofErr w:type="spellStart"/>
      <w:r w:rsidRPr="001212C2">
        <w:rPr>
          <w:rFonts w:cs="Arial"/>
          <w:szCs w:val="20"/>
        </w:rPr>
        <w:t>Viterra’s</w:t>
      </w:r>
      <w:proofErr w:type="spellEnd"/>
      <w:r w:rsidRPr="001212C2">
        <w:rPr>
          <w:rFonts w:cs="Arial"/>
          <w:szCs w:val="20"/>
        </w:rPr>
        <w:t xml:space="preserve"> auction system remains unchanged for the period of the proposed extension.</w:t>
      </w:r>
    </w:p>
    <w:p w:rsidR="00633670" w:rsidRPr="001212C2" w:rsidRDefault="00633670" w:rsidP="00633670">
      <w:pPr>
        <w:rPr>
          <w:rFonts w:cs="Arial"/>
          <w:szCs w:val="20"/>
        </w:rPr>
      </w:pPr>
      <w:r w:rsidRPr="001212C2">
        <w:rPr>
          <w:rFonts w:cs="Arial"/>
          <w:szCs w:val="20"/>
        </w:rPr>
        <w:t xml:space="preserve">The ACCC’s assessment of </w:t>
      </w:r>
      <w:proofErr w:type="spellStart"/>
      <w:r w:rsidRPr="001212C2">
        <w:rPr>
          <w:rFonts w:cs="Arial"/>
          <w:szCs w:val="20"/>
        </w:rPr>
        <w:t>Viterra’s</w:t>
      </w:r>
      <w:proofErr w:type="spellEnd"/>
      <w:r w:rsidRPr="001212C2">
        <w:rPr>
          <w:rFonts w:cs="Arial"/>
          <w:szCs w:val="20"/>
        </w:rPr>
        <w:t xml:space="preserve"> </w:t>
      </w:r>
      <w:r w:rsidR="00A82FB2">
        <w:rPr>
          <w:rFonts w:cs="Arial"/>
          <w:szCs w:val="20"/>
        </w:rPr>
        <w:t>Amended a</w:t>
      </w:r>
      <w:r w:rsidRPr="001212C2">
        <w:rPr>
          <w:rFonts w:cs="Arial"/>
          <w:szCs w:val="20"/>
        </w:rPr>
        <w:t>pplication</w:t>
      </w:r>
      <w:r>
        <w:rPr>
          <w:rFonts w:cs="Arial"/>
          <w:szCs w:val="20"/>
        </w:rPr>
        <w:t xml:space="preserve"> to extend and vary</w:t>
      </w:r>
      <w:r w:rsidRPr="001212C2">
        <w:rPr>
          <w:rFonts w:cs="Arial"/>
          <w:szCs w:val="20"/>
        </w:rPr>
        <w:t xml:space="preserve"> therefore consider</w:t>
      </w:r>
      <w:r w:rsidR="002C4C33">
        <w:rPr>
          <w:rFonts w:cs="Arial"/>
          <w:szCs w:val="20"/>
        </w:rPr>
        <w:t>s</w:t>
      </w:r>
      <w:r w:rsidRPr="001212C2">
        <w:rPr>
          <w:rFonts w:cs="Arial"/>
          <w:szCs w:val="20"/>
        </w:rPr>
        <w:t xml:space="preserve"> whether these arrangements remain appropriate, having regard to the matters listed in subs</w:t>
      </w:r>
      <w:r>
        <w:rPr>
          <w:rFonts w:cs="Arial"/>
          <w:szCs w:val="20"/>
        </w:rPr>
        <w:t>ection</w:t>
      </w:r>
      <w:r w:rsidRPr="001212C2">
        <w:rPr>
          <w:rFonts w:cs="Arial"/>
          <w:szCs w:val="20"/>
        </w:rPr>
        <w:t xml:space="preserve"> </w:t>
      </w:r>
      <w:proofErr w:type="gramStart"/>
      <w:r w:rsidRPr="001212C2">
        <w:rPr>
          <w:rFonts w:cs="Arial"/>
          <w:szCs w:val="20"/>
        </w:rPr>
        <w:t>44ZZA(</w:t>
      </w:r>
      <w:proofErr w:type="gramEnd"/>
      <w:r w:rsidRPr="001212C2">
        <w:rPr>
          <w:rFonts w:cs="Arial"/>
          <w:szCs w:val="20"/>
        </w:rPr>
        <w:t>3) of the CCA.</w:t>
      </w:r>
    </w:p>
    <w:p w:rsidR="00633670" w:rsidRPr="001212C2"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1212C2">
        <w:rPr>
          <w:rFonts w:ascii="Lucida Fax" w:eastAsia="Times New Roman" w:hAnsi="Lucida Fax" w:cs="Times New Roman"/>
          <w:b/>
          <w:bCs/>
          <w:sz w:val="24"/>
          <w:szCs w:val="28"/>
        </w:rPr>
        <w:t>Viterra’s</w:t>
      </w:r>
      <w:proofErr w:type="spellEnd"/>
      <w:r w:rsidRPr="001212C2">
        <w:rPr>
          <w:rFonts w:ascii="Lucida Fax" w:eastAsia="Times New Roman" w:hAnsi="Lucida Fax" w:cs="Times New Roman"/>
          <w:b/>
          <w:bCs/>
          <w:sz w:val="24"/>
          <w:szCs w:val="28"/>
        </w:rPr>
        <w:t xml:space="preserve"> supporting submissions</w:t>
      </w:r>
    </w:p>
    <w:p w:rsidR="00633670" w:rsidRPr="001212C2" w:rsidRDefault="00633670" w:rsidP="00633670">
      <w:pPr>
        <w:rPr>
          <w:rFonts w:eastAsia="Times New Roman" w:cs="Arial"/>
          <w:szCs w:val="20"/>
        </w:rPr>
      </w:pPr>
      <w:r w:rsidRPr="001212C2">
        <w:rPr>
          <w:rFonts w:eastAsia="Times New Roman" w:cs="Arial"/>
          <w:szCs w:val="20"/>
        </w:rPr>
        <w:t>In its A</w:t>
      </w:r>
      <w:r w:rsidR="00A82FB2">
        <w:rPr>
          <w:rFonts w:eastAsia="Times New Roman" w:cs="Arial"/>
          <w:szCs w:val="20"/>
        </w:rPr>
        <w:t>mended a</w:t>
      </w:r>
      <w:r w:rsidRPr="001212C2">
        <w:rPr>
          <w:rFonts w:eastAsia="Times New Roman" w:cs="Arial"/>
          <w:szCs w:val="20"/>
        </w:rPr>
        <w:t xml:space="preserve">pplication to </w:t>
      </w:r>
      <w:r w:rsidR="00AC15B9">
        <w:rPr>
          <w:rFonts w:eastAsia="Times New Roman" w:cs="Arial"/>
          <w:szCs w:val="20"/>
        </w:rPr>
        <w:t xml:space="preserve">extend and vary, </w:t>
      </w:r>
      <w:proofErr w:type="spellStart"/>
      <w:r w:rsidR="00AC15B9">
        <w:rPr>
          <w:rFonts w:eastAsia="Times New Roman" w:cs="Arial"/>
          <w:szCs w:val="20"/>
        </w:rPr>
        <w:t>Viterra</w:t>
      </w:r>
      <w:proofErr w:type="spellEnd"/>
      <w:r w:rsidR="00AC15B9">
        <w:rPr>
          <w:rFonts w:eastAsia="Times New Roman" w:cs="Arial"/>
          <w:szCs w:val="20"/>
        </w:rPr>
        <w:t xml:space="preserve"> submitted</w:t>
      </w:r>
      <w:r w:rsidRPr="001212C2">
        <w:rPr>
          <w:rFonts w:eastAsia="Times New Roman" w:cs="Arial"/>
          <w:szCs w:val="20"/>
        </w:rPr>
        <w:t xml:space="preserve"> that the extension will provide for greater operational certainty for </w:t>
      </w:r>
      <w:proofErr w:type="spellStart"/>
      <w:r w:rsidRPr="001212C2">
        <w:rPr>
          <w:rFonts w:eastAsia="Times New Roman" w:cs="Arial"/>
          <w:szCs w:val="20"/>
        </w:rPr>
        <w:t>Viterra</w:t>
      </w:r>
      <w:proofErr w:type="spellEnd"/>
      <w:r w:rsidRPr="001212C2">
        <w:rPr>
          <w:rFonts w:eastAsia="Times New Roman" w:cs="Arial"/>
          <w:szCs w:val="20"/>
        </w:rPr>
        <w:t xml:space="preserve"> and exporters</w:t>
      </w:r>
      <w:r w:rsidR="005E553F">
        <w:rPr>
          <w:rFonts w:eastAsia="Times New Roman" w:cs="Arial"/>
          <w:szCs w:val="20"/>
        </w:rPr>
        <w:t xml:space="preserve"> pending the possible introduction of the mandatory industry </w:t>
      </w:r>
      <w:r w:rsidR="002C4C33">
        <w:rPr>
          <w:rFonts w:eastAsia="Times New Roman" w:cs="Arial"/>
          <w:szCs w:val="20"/>
        </w:rPr>
        <w:t>c</w:t>
      </w:r>
      <w:r w:rsidR="005E553F">
        <w:rPr>
          <w:rFonts w:eastAsia="Times New Roman" w:cs="Arial"/>
          <w:szCs w:val="20"/>
        </w:rPr>
        <w:t xml:space="preserve">ode of </w:t>
      </w:r>
      <w:r w:rsidR="002C4C33">
        <w:rPr>
          <w:rFonts w:eastAsia="Times New Roman" w:cs="Arial"/>
          <w:szCs w:val="20"/>
        </w:rPr>
        <w:t>c</w:t>
      </w:r>
      <w:r w:rsidR="005E553F">
        <w:rPr>
          <w:rFonts w:eastAsia="Times New Roman" w:cs="Arial"/>
          <w:szCs w:val="20"/>
        </w:rPr>
        <w:t xml:space="preserve">onduct. </w:t>
      </w:r>
      <w:proofErr w:type="spellStart"/>
      <w:r w:rsidR="005E553F">
        <w:rPr>
          <w:rFonts w:eastAsia="Times New Roman" w:cs="Arial"/>
          <w:szCs w:val="20"/>
        </w:rPr>
        <w:t>Viterra</w:t>
      </w:r>
      <w:proofErr w:type="spellEnd"/>
      <w:r w:rsidR="005E553F">
        <w:rPr>
          <w:rFonts w:eastAsia="Times New Roman" w:cs="Arial"/>
          <w:szCs w:val="20"/>
        </w:rPr>
        <w:t xml:space="preserve"> seeks certainty regarding the auction process for the 2014-15 </w:t>
      </w:r>
      <w:proofErr w:type="gramStart"/>
      <w:r w:rsidR="005E553F">
        <w:rPr>
          <w:rFonts w:eastAsia="Times New Roman" w:cs="Arial"/>
          <w:szCs w:val="20"/>
        </w:rPr>
        <w:t>season</w:t>
      </w:r>
      <w:proofErr w:type="gramEnd"/>
      <w:r w:rsidR="005E553F">
        <w:rPr>
          <w:rFonts w:eastAsia="Times New Roman" w:cs="Arial"/>
          <w:szCs w:val="20"/>
        </w:rPr>
        <w:t xml:space="preserve">, and </w:t>
      </w:r>
      <w:r w:rsidR="002C4C33">
        <w:rPr>
          <w:rFonts w:eastAsia="Times New Roman" w:cs="Arial"/>
          <w:szCs w:val="20"/>
        </w:rPr>
        <w:t xml:space="preserve">the ability of its </w:t>
      </w:r>
      <w:r w:rsidR="005E553F">
        <w:rPr>
          <w:rFonts w:eastAsia="Times New Roman" w:cs="Arial"/>
          <w:szCs w:val="20"/>
        </w:rPr>
        <w:t xml:space="preserve">associated entity </w:t>
      </w:r>
      <w:proofErr w:type="spellStart"/>
      <w:r w:rsidR="005E553F">
        <w:rPr>
          <w:rFonts w:eastAsia="Times New Roman" w:cs="Arial"/>
          <w:szCs w:val="20"/>
        </w:rPr>
        <w:t>Glencore</w:t>
      </w:r>
      <w:proofErr w:type="spellEnd"/>
      <w:r w:rsidR="005E553F">
        <w:rPr>
          <w:rFonts w:eastAsia="Times New Roman" w:cs="Arial"/>
          <w:szCs w:val="20"/>
        </w:rPr>
        <w:t xml:space="preserve"> Grain</w:t>
      </w:r>
      <w:r w:rsidR="002C4C33">
        <w:rPr>
          <w:rFonts w:eastAsia="Times New Roman" w:cs="Arial"/>
          <w:szCs w:val="20"/>
        </w:rPr>
        <w:t xml:space="preserve"> </w:t>
      </w:r>
      <w:r w:rsidR="005E553F">
        <w:rPr>
          <w:rFonts w:eastAsia="Times New Roman" w:cs="Arial"/>
          <w:szCs w:val="20"/>
        </w:rPr>
        <w:t>to export bulk wheat.</w:t>
      </w:r>
    </w:p>
    <w:p w:rsidR="00633670" w:rsidRPr="001212C2" w:rsidRDefault="00161078" w:rsidP="00BC3C8F">
      <w:pPr>
        <w:rPr>
          <w:sz w:val="18"/>
          <w:szCs w:val="18"/>
        </w:rPr>
      </w:pPr>
      <w:proofErr w:type="spellStart"/>
      <w:r>
        <w:rPr>
          <w:rFonts w:cs="Arial"/>
          <w:szCs w:val="20"/>
        </w:rPr>
        <w:t>Viterra</w:t>
      </w:r>
      <w:proofErr w:type="spellEnd"/>
      <w:r>
        <w:rPr>
          <w:rFonts w:cs="Arial"/>
          <w:szCs w:val="20"/>
        </w:rPr>
        <w:t xml:space="preserve"> further submitted</w:t>
      </w:r>
      <w:r w:rsidR="00DA3C23">
        <w:rPr>
          <w:rFonts w:cs="Arial"/>
          <w:szCs w:val="20"/>
        </w:rPr>
        <w:t xml:space="preserve"> that its </w:t>
      </w:r>
      <w:r w:rsidR="00A31628">
        <w:rPr>
          <w:rFonts w:cs="Arial"/>
          <w:szCs w:val="20"/>
        </w:rPr>
        <w:t xml:space="preserve">variations do </w:t>
      </w:r>
      <w:r w:rsidR="00633670" w:rsidRPr="001212C2">
        <w:rPr>
          <w:rFonts w:cs="Arial"/>
          <w:szCs w:val="20"/>
        </w:rPr>
        <w:t>not involve any changes to certain key features of its 2011 Undertaking,</w:t>
      </w:r>
      <w:r w:rsidR="00633670">
        <w:rPr>
          <w:rFonts w:cs="Arial"/>
          <w:szCs w:val="20"/>
        </w:rPr>
        <w:t xml:space="preserve"> </w:t>
      </w:r>
      <w:r w:rsidR="00633670" w:rsidRPr="00A403F2">
        <w:rPr>
          <w:rFonts w:cs="Arial"/>
          <w:szCs w:val="20"/>
        </w:rPr>
        <w:t>PLPs</w:t>
      </w:r>
      <w:r w:rsidR="00633670">
        <w:rPr>
          <w:rFonts w:cs="Arial"/>
          <w:szCs w:val="20"/>
        </w:rPr>
        <w:t xml:space="preserve"> </w:t>
      </w:r>
      <w:r w:rsidR="00633670" w:rsidRPr="001212C2">
        <w:rPr>
          <w:rFonts w:cs="Arial"/>
          <w:szCs w:val="20"/>
        </w:rPr>
        <w:t xml:space="preserve">and </w:t>
      </w:r>
      <w:r w:rsidR="00633670" w:rsidRPr="00A403F2">
        <w:rPr>
          <w:rFonts w:cs="Arial"/>
          <w:szCs w:val="20"/>
        </w:rPr>
        <w:t>Standard Terms</w:t>
      </w:r>
      <w:r w:rsidR="00E86701">
        <w:rPr>
          <w:rFonts w:cs="Arial"/>
          <w:szCs w:val="20"/>
        </w:rPr>
        <w:t>. K</w:t>
      </w:r>
      <w:r w:rsidR="004B4433">
        <w:rPr>
          <w:rFonts w:cs="Arial"/>
          <w:szCs w:val="20"/>
        </w:rPr>
        <w:t xml:space="preserve">ey features that </w:t>
      </w:r>
      <w:proofErr w:type="spellStart"/>
      <w:r w:rsidR="004B4433">
        <w:rPr>
          <w:rFonts w:cs="Arial"/>
          <w:szCs w:val="20"/>
        </w:rPr>
        <w:t>Viterra</w:t>
      </w:r>
      <w:proofErr w:type="spellEnd"/>
      <w:r w:rsidR="004B4433">
        <w:rPr>
          <w:rFonts w:cs="Arial"/>
          <w:szCs w:val="20"/>
        </w:rPr>
        <w:t xml:space="preserve"> submitted</w:t>
      </w:r>
      <w:r w:rsidR="00E86701">
        <w:rPr>
          <w:rFonts w:cs="Arial"/>
          <w:szCs w:val="20"/>
        </w:rPr>
        <w:t xml:space="preserve"> remain unchanged include</w:t>
      </w:r>
      <w:r w:rsidR="005E553F">
        <w:rPr>
          <w:rFonts w:cs="Arial"/>
          <w:szCs w:val="20"/>
        </w:rPr>
        <w:t xml:space="preserve"> the method of capacity allocation, the requirement to publish price and non-price terms of standard services, obligations to negotiate in good faith and provide non-discriminatory access, and </w:t>
      </w:r>
      <w:proofErr w:type="spellStart"/>
      <w:r w:rsidR="00E86701">
        <w:rPr>
          <w:rFonts w:cs="Arial"/>
          <w:szCs w:val="20"/>
        </w:rPr>
        <w:t>Viterra’s</w:t>
      </w:r>
      <w:proofErr w:type="spellEnd"/>
      <w:r w:rsidR="00E86701">
        <w:rPr>
          <w:rFonts w:cs="Arial"/>
          <w:szCs w:val="20"/>
        </w:rPr>
        <w:t xml:space="preserve"> </w:t>
      </w:r>
      <w:r w:rsidR="005E553F">
        <w:rPr>
          <w:rFonts w:cs="Arial"/>
          <w:szCs w:val="20"/>
        </w:rPr>
        <w:t>dispute resolution procedures</w:t>
      </w:r>
      <w:r w:rsidR="00633670" w:rsidRPr="001212C2">
        <w:rPr>
          <w:rFonts w:cs="Arial"/>
          <w:szCs w:val="20"/>
        </w:rPr>
        <w:t xml:space="preserve">. </w:t>
      </w:r>
    </w:p>
    <w:p w:rsidR="00633670" w:rsidRPr="001212C2" w:rsidRDefault="00633670" w:rsidP="00633670">
      <w:pPr>
        <w:rPr>
          <w:rFonts w:cs="Arial"/>
          <w:szCs w:val="20"/>
        </w:rPr>
      </w:pPr>
      <w:r w:rsidRPr="001212C2">
        <w:rPr>
          <w:rFonts w:cs="Arial"/>
          <w:szCs w:val="20"/>
        </w:rPr>
        <w:t>In relation to the means of allo</w:t>
      </w:r>
      <w:r w:rsidR="00DA3C23">
        <w:rPr>
          <w:rFonts w:cs="Arial"/>
          <w:szCs w:val="20"/>
        </w:rPr>
        <w:t xml:space="preserve">cating capacity, </w:t>
      </w:r>
      <w:proofErr w:type="spellStart"/>
      <w:r w:rsidR="00DA3C23">
        <w:rPr>
          <w:rFonts w:cs="Arial"/>
          <w:szCs w:val="20"/>
        </w:rPr>
        <w:t>Viterra</w:t>
      </w:r>
      <w:proofErr w:type="spellEnd"/>
      <w:r w:rsidR="00DA3C23">
        <w:rPr>
          <w:rFonts w:cs="Arial"/>
          <w:szCs w:val="20"/>
        </w:rPr>
        <w:t xml:space="preserve"> submitted</w:t>
      </w:r>
      <w:r w:rsidRPr="001212C2">
        <w:rPr>
          <w:rFonts w:cs="Arial"/>
          <w:szCs w:val="20"/>
        </w:rPr>
        <w:t>:</w:t>
      </w:r>
    </w:p>
    <w:p w:rsidR="00633670" w:rsidRPr="001212C2" w:rsidRDefault="00633670" w:rsidP="00633670">
      <w:pPr>
        <w:ind w:left="720"/>
        <w:contextualSpacing/>
        <w:rPr>
          <w:rFonts w:cs="Arial"/>
          <w:sz w:val="18"/>
          <w:szCs w:val="18"/>
        </w:rPr>
      </w:pPr>
      <w:r w:rsidRPr="001212C2">
        <w:rPr>
          <w:rFonts w:cs="Arial"/>
          <w:sz w:val="18"/>
          <w:szCs w:val="18"/>
        </w:rPr>
        <w:t>The Proposed variations involve an extension for a further season of the existing auction system and first-in-first-served system that was approved by the Commission on 5 September 2012. Those systems have facilitated the allocation of approximately 10.84 million tonnes of port terminal capacity to 26 exporters during the period 1 October 2012 to September 2014.</w:t>
      </w:r>
      <w:r w:rsidRPr="001212C2">
        <w:rPr>
          <w:vertAlign w:val="superscript"/>
        </w:rPr>
        <w:footnoteReference w:id="20"/>
      </w:r>
    </w:p>
    <w:p w:rsidR="00633670" w:rsidRDefault="00633670" w:rsidP="00633670">
      <w:pPr>
        <w:contextualSpacing/>
        <w:rPr>
          <w:sz w:val="18"/>
          <w:szCs w:val="18"/>
        </w:rPr>
      </w:pPr>
    </w:p>
    <w:p w:rsidR="001B45FB" w:rsidRPr="001212C2" w:rsidRDefault="001B45FB" w:rsidP="00633670">
      <w:pPr>
        <w:contextualSpacing/>
        <w:rPr>
          <w:sz w:val="18"/>
          <w:szCs w:val="18"/>
        </w:rPr>
      </w:pPr>
    </w:p>
    <w:p w:rsidR="00633670" w:rsidRPr="00B60472" w:rsidRDefault="00633670" w:rsidP="00633670">
      <w:pPr>
        <w:numPr>
          <w:ilvl w:val="2"/>
          <w:numId w:val="1"/>
        </w:numPr>
        <w:spacing w:before="360" w:after="120"/>
        <w:rPr>
          <w:rFonts w:ascii="Lucida Fax" w:eastAsia="Times New Roman" w:hAnsi="Lucida Fax" w:cs="Times New Roman"/>
          <w:b/>
          <w:bCs/>
          <w:sz w:val="24"/>
          <w:szCs w:val="28"/>
        </w:rPr>
      </w:pPr>
      <w:r w:rsidRPr="00B60472">
        <w:rPr>
          <w:rFonts w:ascii="Lucida Fax" w:eastAsia="Times New Roman" w:hAnsi="Lucida Fax" w:cs="Times New Roman"/>
          <w:b/>
          <w:bCs/>
          <w:sz w:val="24"/>
          <w:szCs w:val="28"/>
        </w:rPr>
        <w:t xml:space="preserve">Stakeholders’ views </w:t>
      </w:r>
    </w:p>
    <w:p w:rsidR="00633670" w:rsidRPr="001212C2" w:rsidRDefault="00633670" w:rsidP="00633670">
      <w:pPr>
        <w:rPr>
          <w:rFonts w:cs="Arial"/>
          <w:szCs w:val="20"/>
        </w:rPr>
      </w:pPr>
      <w:r w:rsidRPr="001212C2">
        <w:rPr>
          <w:rFonts w:cs="Arial"/>
          <w:szCs w:val="20"/>
        </w:rPr>
        <w:lastRenderedPageBreak/>
        <w:t xml:space="preserve">Regarding the overall continuation or extension of </w:t>
      </w:r>
      <w:proofErr w:type="spellStart"/>
      <w:r w:rsidRPr="001212C2">
        <w:rPr>
          <w:rFonts w:cs="Arial"/>
          <w:szCs w:val="20"/>
        </w:rPr>
        <w:t>Viterra’s</w:t>
      </w:r>
      <w:proofErr w:type="spellEnd"/>
      <w:r w:rsidRPr="001212C2">
        <w:rPr>
          <w:rFonts w:cs="Arial"/>
          <w:szCs w:val="20"/>
        </w:rPr>
        <w:t xml:space="preserve"> 2</w:t>
      </w:r>
      <w:r w:rsidR="00DA3C23">
        <w:rPr>
          <w:rFonts w:cs="Arial"/>
          <w:szCs w:val="20"/>
        </w:rPr>
        <w:t xml:space="preserve">011 Undertaking, </w:t>
      </w:r>
      <w:proofErr w:type="spellStart"/>
      <w:r w:rsidR="00DA3C23">
        <w:rPr>
          <w:rFonts w:cs="Arial"/>
          <w:szCs w:val="20"/>
        </w:rPr>
        <w:t>Toepfer</w:t>
      </w:r>
      <w:proofErr w:type="spellEnd"/>
      <w:r w:rsidR="00DA3C23">
        <w:rPr>
          <w:rFonts w:cs="Arial"/>
          <w:szCs w:val="20"/>
        </w:rPr>
        <w:t xml:space="preserve"> submitted</w:t>
      </w:r>
      <w:r w:rsidRPr="001212C2">
        <w:rPr>
          <w:rFonts w:cs="Arial"/>
          <w:szCs w:val="20"/>
        </w:rPr>
        <w:t>:</w:t>
      </w:r>
    </w:p>
    <w:p w:rsidR="00633670" w:rsidRPr="001212C2" w:rsidRDefault="00633670" w:rsidP="00633670">
      <w:pPr>
        <w:ind w:left="720"/>
        <w:rPr>
          <w:rFonts w:cs="Arial"/>
          <w:sz w:val="18"/>
          <w:szCs w:val="18"/>
        </w:rPr>
      </w:pPr>
      <w:r w:rsidRPr="001212C2">
        <w:rPr>
          <w:rFonts w:cs="Arial"/>
          <w:sz w:val="18"/>
          <w:szCs w:val="18"/>
        </w:rPr>
        <w:t>The extension of the Access Undertaking provides certainty to access seekers for the defined term in acquiring Port terminal capacity.</w:t>
      </w:r>
      <w:r w:rsidRPr="001212C2">
        <w:rPr>
          <w:rFonts w:cs="Arial"/>
          <w:sz w:val="18"/>
          <w:szCs w:val="18"/>
          <w:vertAlign w:val="superscript"/>
        </w:rPr>
        <w:footnoteReference w:id="21"/>
      </w:r>
    </w:p>
    <w:p w:rsidR="00633670" w:rsidRPr="001212C2" w:rsidRDefault="00633670" w:rsidP="00633670">
      <w:pPr>
        <w:rPr>
          <w:rFonts w:cs="Arial"/>
          <w:szCs w:val="20"/>
        </w:rPr>
      </w:pPr>
      <w:r w:rsidRPr="001212C2">
        <w:rPr>
          <w:rFonts w:cs="Arial"/>
          <w:szCs w:val="20"/>
        </w:rPr>
        <w:t>Regarding the principal method of allocating port te</w:t>
      </w:r>
      <w:r w:rsidR="00DA3C23">
        <w:rPr>
          <w:rFonts w:cs="Arial"/>
          <w:szCs w:val="20"/>
        </w:rPr>
        <w:t xml:space="preserve">rminal capacity, </w:t>
      </w:r>
      <w:proofErr w:type="spellStart"/>
      <w:r w:rsidR="00DA3C23">
        <w:rPr>
          <w:rFonts w:cs="Arial"/>
          <w:szCs w:val="20"/>
        </w:rPr>
        <w:t>Toepfer</w:t>
      </w:r>
      <w:proofErr w:type="spellEnd"/>
      <w:r w:rsidR="00DA3C23">
        <w:rPr>
          <w:rFonts w:cs="Arial"/>
          <w:szCs w:val="20"/>
        </w:rPr>
        <w:t xml:space="preserve"> submitted</w:t>
      </w:r>
      <w:r w:rsidRPr="001212C2">
        <w:rPr>
          <w:rFonts w:cs="Arial"/>
          <w:szCs w:val="20"/>
        </w:rPr>
        <w:t>:</w:t>
      </w:r>
    </w:p>
    <w:p w:rsidR="00633670" w:rsidRPr="001212C2" w:rsidRDefault="00633670" w:rsidP="00633670">
      <w:pPr>
        <w:ind w:left="720"/>
        <w:rPr>
          <w:rFonts w:eastAsia="Calibri" w:cs="Times New Roman"/>
          <w:sz w:val="18"/>
          <w:szCs w:val="18"/>
        </w:rPr>
      </w:pPr>
      <w:proofErr w:type="spellStart"/>
      <w:r w:rsidRPr="001212C2">
        <w:rPr>
          <w:rFonts w:eastAsia="Calibri" w:cs="Times New Roman"/>
          <w:sz w:val="18"/>
          <w:szCs w:val="18"/>
        </w:rPr>
        <w:t>Toepfer</w:t>
      </w:r>
      <w:proofErr w:type="spellEnd"/>
      <w:r w:rsidRPr="001212C2">
        <w:rPr>
          <w:rFonts w:eastAsia="Calibri" w:cs="Times New Roman"/>
          <w:sz w:val="18"/>
          <w:szCs w:val="18"/>
        </w:rPr>
        <w:t xml:space="preserve"> are of the opinion as a user of the integrated infrastructure and participant within previous capacity auctions, </w:t>
      </w:r>
      <w:proofErr w:type="spellStart"/>
      <w:r w:rsidRPr="001212C2">
        <w:rPr>
          <w:rFonts w:eastAsia="Calibri" w:cs="Times New Roman"/>
          <w:sz w:val="18"/>
          <w:szCs w:val="18"/>
        </w:rPr>
        <w:t>Viterra</w:t>
      </w:r>
      <w:proofErr w:type="spellEnd"/>
      <w:r w:rsidRPr="001212C2">
        <w:rPr>
          <w:rFonts w:eastAsia="Calibri" w:cs="Times New Roman"/>
          <w:sz w:val="18"/>
          <w:szCs w:val="18"/>
        </w:rPr>
        <w:t xml:space="preserve"> should address the fundamental principles of the primary allocator of capacity to ensure a robust framework is in place that efficiently facilitates the primary method of allocation. If the intent is to remain with an auction system, discretionary closure within a defined aggregate of overall supply and scheduling annual capacity auctions at crop maturity as demonstrated within the Western Australian model has ensured a more transparent initial bid and reduced manipulation. </w:t>
      </w:r>
    </w:p>
    <w:p w:rsidR="00633670" w:rsidRPr="001212C2" w:rsidRDefault="00633670" w:rsidP="00633670">
      <w:pPr>
        <w:ind w:left="720"/>
        <w:rPr>
          <w:rFonts w:eastAsia="Calibri" w:cs="Times New Roman"/>
          <w:sz w:val="18"/>
          <w:szCs w:val="18"/>
        </w:rPr>
      </w:pPr>
      <w:r w:rsidRPr="001212C2">
        <w:rPr>
          <w:rFonts w:eastAsia="Calibri" w:cs="Times New Roman"/>
          <w:sz w:val="18"/>
          <w:szCs w:val="18"/>
        </w:rPr>
        <w:t>Although it may be considered temporary solutions to the secondary allocator of capacity may assist the functionality of acquirement. Ensuring the integrity of the primary method would result in such variations being largely redundant and a doorway establishing the most efficient mechanism to allocate shipping capacity.</w:t>
      </w:r>
      <w:r w:rsidRPr="001212C2">
        <w:rPr>
          <w:rFonts w:eastAsia="Calibri" w:cs="Times New Roman"/>
          <w:szCs w:val="18"/>
          <w:vertAlign w:val="superscript"/>
        </w:rPr>
        <w:footnoteReference w:id="22"/>
      </w:r>
      <w:r w:rsidRPr="001212C2">
        <w:rPr>
          <w:rFonts w:eastAsia="Calibri" w:cs="Times New Roman"/>
          <w:sz w:val="18"/>
          <w:szCs w:val="18"/>
        </w:rPr>
        <w:t xml:space="preserve"> </w:t>
      </w:r>
    </w:p>
    <w:p w:rsidR="00633670" w:rsidRPr="00B60472" w:rsidRDefault="00633670" w:rsidP="00633670">
      <w:pPr>
        <w:numPr>
          <w:ilvl w:val="2"/>
          <w:numId w:val="1"/>
        </w:numPr>
        <w:spacing w:before="360" w:after="120"/>
        <w:rPr>
          <w:rFonts w:ascii="Lucida Fax" w:eastAsia="Times New Roman" w:hAnsi="Lucida Fax" w:cs="Times New Roman"/>
          <w:b/>
          <w:bCs/>
          <w:sz w:val="24"/>
          <w:szCs w:val="28"/>
        </w:rPr>
      </w:pPr>
      <w:r w:rsidRPr="00B60472">
        <w:rPr>
          <w:rFonts w:ascii="Lucida Fax" w:eastAsia="Times New Roman" w:hAnsi="Lucida Fax" w:cs="Times New Roman"/>
          <w:b/>
          <w:bCs/>
          <w:sz w:val="24"/>
          <w:szCs w:val="28"/>
        </w:rPr>
        <w:t xml:space="preserve">The ACCC’s view </w:t>
      </w:r>
    </w:p>
    <w:p w:rsidR="00633670" w:rsidRPr="001212C2" w:rsidRDefault="00633670" w:rsidP="00633670">
      <w:pPr>
        <w:rPr>
          <w:rFonts w:eastAsia="Calibri" w:cs="Times New Roman"/>
          <w:szCs w:val="20"/>
        </w:rPr>
      </w:pPr>
      <w:r w:rsidRPr="001212C2">
        <w:rPr>
          <w:rFonts w:eastAsia="Calibri" w:cs="Times New Roman"/>
          <w:szCs w:val="20"/>
        </w:rPr>
        <w:t>It is the ACCC’s view that it is appropriate to extend the operation of the 2011 Undertaking to 30 September 2015, having regard to the matters listed at subsection 44ZZA(3) of the CCA and the intention of the access test as prescribed by the WEMA.</w:t>
      </w:r>
    </w:p>
    <w:p w:rsidR="00633670" w:rsidRPr="001212C2" w:rsidRDefault="00633670" w:rsidP="00633670">
      <w:pPr>
        <w:rPr>
          <w:rFonts w:eastAsia="Calibri" w:cs="Times New Roman"/>
          <w:szCs w:val="20"/>
        </w:rPr>
      </w:pPr>
      <w:r w:rsidRPr="001212C2">
        <w:rPr>
          <w:rFonts w:eastAsia="Calibri" w:cs="Times New Roman"/>
          <w:szCs w:val="20"/>
        </w:rPr>
        <w:t xml:space="preserve">As submitted by both </w:t>
      </w:r>
      <w:proofErr w:type="spellStart"/>
      <w:r w:rsidRPr="001212C2">
        <w:rPr>
          <w:rFonts w:eastAsia="Calibri" w:cs="Times New Roman"/>
          <w:szCs w:val="20"/>
        </w:rPr>
        <w:t>Viterra</w:t>
      </w:r>
      <w:proofErr w:type="spellEnd"/>
      <w:r w:rsidRPr="001212C2">
        <w:rPr>
          <w:rFonts w:eastAsia="Calibri" w:cs="Times New Roman"/>
          <w:szCs w:val="20"/>
        </w:rPr>
        <w:t xml:space="preserve"> and </w:t>
      </w:r>
      <w:proofErr w:type="spellStart"/>
      <w:r w:rsidRPr="001212C2">
        <w:rPr>
          <w:rFonts w:eastAsia="Calibri" w:cs="Times New Roman"/>
          <w:szCs w:val="20"/>
        </w:rPr>
        <w:t>Toepfer</w:t>
      </w:r>
      <w:proofErr w:type="spellEnd"/>
      <w:r w:rsidRPr="001212C2">
        <w:rPr>
          <w:rFonts w:eastAsia="Calibri" w:cs="Times New Roman"/>
          <w:szCs w:val="20"/>
        </w:rPr>
        <w:t>, certainty regarding arrangements in the transitional period between the current regulatory arrangements and the introduction of the mandatory code of conduct (discussed further below) is in the interests of access seekers and the legitimate bu</w:t>
      </w:r>
      <w:r w:rsidR="004C5C36">
        <w:rPr>
          <w:rFonts w:eastAsia="Calibri" w:cs="Times New Roman"/>
          <w:szCs w:val="20"/>
        </w:rPr>
        <w:t xml:space="preserve">siness interests of </w:t>
      </w:r>
      <w:proofErr w:type="spellStart"/>
      <w:r w:rsidR="004C5C36">
        <w:rPr>
          <w:rFonts w:eastAsia="Calibri" w:cs="Times New Roman"/>
          <w:szCs w:val="20"/>
        </w:rPr>
        <w:t>Viterra</w:t>
      </w:r>
      <w:proofErr w:type="spellEnd"/>
      <w:r w:rsidR="004C5C36">
        <w:rPr>
          <w:rFonts w:eastAsia="Calibri" w:cs="Times New Roman"/>
          <w:szCs w:val="20"/>
        </w:rPr>
        <w:t xml:space="preserve">. </w:t>
      </w:r>
      <w:r w:rsidRPr="001212C2">
        <w:rPr>
          <w:rFonts w:eastAsia="Calibri" w:cs="Times New Roman"/>
          <w:szCs w:val="20"/>
        </w:rPr>
        <w:t xml:space="preserve">By extending the operation of the 2011 </w:t>
      </w:r>
      <w:proofErr w:type="gramStart"/>
      <w:r w:rsidRPr="001212C2">
        <w:rPr>
          <w:rFonts w:eastAsia="Calibri" w:cs="Times New Roman"/>
          <w:szCs w:val="20"/>
        </w:rPr>
        <w:t>Undertaking</w:t>
      </w:r>
      <w:proofErr w:type="gramEnd"/>
      <w:r w:rsidRPr="001212C2">
        <w:rPr>
          <w:rFonts w:eastAsia="Calibri" w:cs="Times New Roman"/>
          <w:szCs w:val="20"/>
        </w:rPr>
        <w:t xml:space="preserve"> all parties have certainty as to the arrangements governing the negotiation of access agreements and capacity allocation.</w:t>
      </w:r>
    </w:p>
    <w:p w:rsidR="00633670" w:rsidRPr="001212C2" w:rsidRDefault="00633670" w:rsidP="00BC3C8F">
      <w:r w:rsidRPr="001212C2">
        <w:rPr>
          <w:rFonts w:eastAsia="Calibri" w:cs="Times New Roman"/>
          <w:szCs w:val="20"/>
        </w:rPr>
        <w:t xml:space="preserve">The publish-negotiate-arbitrate framework was initially proposed by </w:t>
      </w:r>
      <w:proofErr w:type="spellStart"/>
      <w:r w:rsidRPr="001212C2">
        <w:rPr>
          <w:rFonts w:eastAsia="Calibri" w:cs="Times New Roman"/>
          <w:szCs w:val="20"/>
        </w:rPr>
        <w:t>Viterra</w:t>
      </w:r>
      <w:proofErr w:type="spellEnd"/>
      <w:r w:rsidRPr="001212C2">
        <w:rPr>
          <w:rFonts w:eastAsia="Calibri" w:cs="Times New Roman"/>
          <w:szCs w:val="20"/>
        </w:rPr>
        <w:t xml:space="preserve"> and</w:t>
      </w:r>
      <w:r w:rsidR="004C5C36">
        <w:rPr>
          <w:rFonts w:eastAsia="Calibri" w:cs="Times New Roman"/>
          <w:szCs w:val="20"/>
        </w:rPr>
        <w:t xml:space="preserve"> accepted by the ACCC in 2009. </w:t>
      </w:r>
      <w:r w:rsidRPr="001212C2">
        <w:rPr>
          <w:rFonts w:eastAsia="Calibri" w:cs="Times New Roman"/>
          <w:szCs w:val="20"/>
        </w:rPr>
        <w:t xml:space="preserve">The framework was rolled forward in the 2011 Undertaking and </w:t>
      </w:r>
      <w:proofErr w:type="spellStart"/>
      <w:r w:rsidRPr="001212C2">
        <w:rPr>
          <w:rFonts w:eastAsia="Calibri" w:cs="Times New Roman"/>
          <w:szCs w:val="20"/>
        </w:rPr>
        <w:t>Viterra</w:t>
      </w:r>
      <w:proofErr w:type="spellEnd"/>
      <w:r w:rsidRPr="001212C2">
        <w:rPr>
          <w:rFonts w:eastAsia="Calibri" w:cs="Times New Roman"/>
          <w:szCs w:val="20"/>
        </w:rPr>
        <w:t xml:space="preserve"> propose</w:t>
      </w:r>
      <w:r w:rsidR="00155A78">
        <w:rPr>
          <w:rFonts w:eastAsia="Calibri" w:cs="Times New Roman"/>
          <w:szCs w:val="20"/>
        </w:rPr>
        <w:t>s</w:t>
      </w:r>
      <w:r w:rsidRPr="001212C2">
        <w:rPr>
          <w:rFonts w:eastAsia="Calibri" w:cs="Times New Roman"/>
          <w:szCs w:val="20"/>
        </w:rPr>
        <w:t xml:space="preserve"> to continue these arrangements during the period of extension.</w:t>
      </w:r>
      <w:r w:rsidR="004C5C36">
        <w:rPr>
          <w:rFonts w:eastAsia="Calibri" w:cs="Times New Roman"/>
          <w:szCs w:val="20"/>
        </w:rPr>
        <w:t xml:space="preserve"> </w:t>
      </w:r>
    </w:p>
    <w:p w:rsidR="00633670" w:rsidRPr="001212C2" w:rsidRDefault="00633670" w:rsidP="00633670">
      <w:pPr>
        <w:rPr>
          <w:rFonts w:eastAsia="Calibri" w:cs="Times New Roman"/>
          <w:szCs w:val="20"/>
        </w:rPr>
      </w:pPr>
      <w:r w:rsidRPr="001212C2">
        <w:rPr>
          <w:rFonts w:eastAsia="Calibri" w:cs="Times New Roman"/>
          <w:szCs w:val="20"/>
        </w:rPr>
        <w:t xml:space="preserve">As noted by the ACCC in accepting the 2011 Undertaking, the ACCC considers that this approach continues to balance the legitimate business interests of </w:t>
      </w:r>
      <w:proofErr w:type="spellStart"/>
      <w:r w:rsidRPr="001212C2">
        <w:rPr>
          <w:rFonts w:eastAsia="Calibri" w:cs="Times New Roman"/>
          <w:szCs w:val="20"/>
        </w:rPr>
        <w:t>Viterra</w:t>
      </w:r>
      <w:proofErr w:type="spellEnd"/>
      <w:r w:rsidRPr="001212C2">
        <w:rPr>
          <w:rFonts w:eastAsia="Calibri" w:cs="Times New Roman"/>
          <w:szCs w:val="20"/>
        </w:rPr>
        <w:t xml:space="preserve"> with the interests of access seekers, having regard to subs</w:t>
      </w:r>
      <w:r>
        <w:rPr>
          <w:rFonts w:eastAsia="Calibri" w:cs="Times New Roman"/>
          <w:szCs w:val="20"/>
        </w:rPr>
        <w:t>ection</w:t>
      </w:r>
      <w:r w:rsidRPr="001212C2">
        <w:rPr>
          <w:rFonts w:eastAsia="Calibri" w:cs="Times New Roman"/>
          <w:szCs w:val="20"/>
        </w:rPr>
        <w:t>s 44ZZA(3)(a) and 44ZZA(3)(c) of the CCA.</w:t>
      </w:r>
      <w:r w:rsidRPr="001212C2">
        <w:rPr>
          <w:rFonts w:eastAsia="Calibri" w:cs="Times New Roman"/>
          <w:szCs w:val="20"/>
          <w:vertAlign w:val="superscript"/>
        </w:rPr>
        <w:footnoteReference w:id="23"/>
      </w:r>
      <w:r w:rsidRPr="001212C2">
        <w:rPr>
          <w:rFonts w:eastAsia="Calibri" w:cs="Times New Roman"/>
          <w:szCs w:val="20"/>
        </w:rPr>
        <w:t xml:space="preserve"> </w:t>
      </w:r>
    </w:p>
    <w:p w:rsidR="00633670" w:rsidRPr="001212C2" w:rsidRDefault="00633670" w:rsidP="00633670">
      <w:pPr>
        <w:rPr>
          <w:rFonts w:eastAsia="Calibri" w:cs="Times New Roman"/>
          <w:szCs w:val="20"/>
        </w:rPr>
      </w:pPr>
      <w:r w:rsidRPr="001212C2">
        <w:rPr>
          <w:rFonts w:eastAsia="Calibri" w:cs="Times New Roman"/>
          <w:szCs w:val="20"/>
        </w:rPr>
        <w:t xml:space="preserve">The ACCC considers that this framework continues to enable </w:t>
      </w:r>
      <w:proofErr w:type="spellStart"/>
      <w:r w:rsidRPr="001212C2">
        <w:rPr>
          <w:rFonts w:eastAsia="Calibri" w:cs="Times New Roman"/>
          <w:szCs w:val="20"/>
        </w:rPr>
        <w:t>Viterra</w:t>
      </w:r>
      <w:proofErr w:type="spellEnd"/>
      <w:r w:rsidRPr="001212C2">
        <w:rPr>
          <w:rFonts w:eastAsia="Calibri" w:cs="Times New Roman"/>
          <w:szCs w:val="20"/>
        </w:rPr>
        <w:t xml:space="preserve"> and exporters to negotiate commercial terms and conditions that allow for the efficient operation of its business of providing port terminal services, while also promoting fair access to port terminal services for access seekers. The ACCC continues to hold the view that the publish-negotiate-arbitrate model appropriately balances the legitimate business interests of </w:t>
      </w:r>
      <w:proofErr w:type="spellStart"/>
      <w:r w:rsidRPr="001212C2">
        <w:rPr>
          <w:rFonts w:eastAsia="Calibri" w:cs="Times New Roman"/>
          <w:szCs w:val="20"/>
        </w:rPr>
        <w:t>Viterra</w:t>
      </w:r>
      <w:proofErr w:type="spellEnd"/>
      <w:r w:rsidRPr="001212C2">
        <w:rPr>
          <w:rFonts w:eastAsia="Calibri" w:cs="Times New Roman"/>
          <w:szCs w:val="20"/>
        </w:rPr>
        <w:t xml:space="preserve"> and access seekers by providing a framework within which:</w:t>
      </w:r>
    </w:p>
    <w:p w:rsidR="00633670" w:rsidRPr="001212C2" w:rsidRDefault="00633670" w:rsidP="000F6832">
      <w:pPr>
        <w:numPr>
          <w:ilvl w:val="0"/>
          <w:numId w:val="15"/>
        </w:numPr>
        <w:rPr>
          <w:rFonts w:eastAsia="Times New Roman" w:cs="Arial"/>
          <w:szCs w:val="20"/>
        </w:rPr>
      </w:pPr>
      <w:r w:rsidRPr="001212C2">
        <w:rPr>
          <w:rFonts w:eastAsia="Times New Roman" w:cs="Arial"/>
          <w:szCs w:val="20"/>
        </w:rPr>
        <w:t>an appropriate level of information is provided via publication to enable access seekers to negotiate from a sufficiently informed position</w:t>
      </w:r>
    </w:p>
    <w:p w:rsidR="00633670" w:rsidRPr="001212C2" w:rsidRDefault="00633670" w:rsidP="000F6832">
      <w:pPr>
        <w:numPr>
          <w:ilvl w:val="0"/>
          <w:numId w:val="15"/>
        </w:numPr>
        <w:rPr>
          <w:rFonts w:eastAsia="Times New Roman" w:cs="Arial"/>
          <w:szCs w:val="20"/>
        </w:rPr>
      </w:pPr>
      <w:r w:rsidRPr="001212C2">
        <w:rPr>
          <w:rFonts w:eastAsia="Times New Roman" w:cs="Arial"/>
          <w:szCs w:val="20"/>
        </w:rPr>
        <w:t>a defined process is set out for the conduct of negotiations</w:t>
      </w:r>
    </w:p>
    <w:p w:rsidR="00633670" w:rsidRPr="001212C2" w:rsidRDefault="00633670" w:rsidP="000F6832">
      <w:pPr>
        <w:numPr>
          <w:ilvl w:val="0"/>
          <w:numId w:val="15"/>
        </w:numPr>
        <w:rPr>
          <w:rFonts w:eastAsia="Times New Roman" w:cs="Arial"/>
          <w:szCs w:val="20"/>
        </w:rPr>
      </w:pPr>
      <w:proofErr w:type="gramStart"/>
      <w:r w:rsidRPr="001212C2">
        <w:rPr>
          <w:rFonts w:eastAsia="Times New Roman" w:cs="Arial"/>
          <w:szCs w:val="20"/>
        </w:rPr>
        <w:lastRenderedPageBreak/>
        <w:t>parties</w:t>
      </w:r>
      <w:proofErr w:type="gramEnd"/>
      <w:r w:rsidRPr="001212C2">
        <w:rPr>
          <w:rFonts w:eastAsia="Times New Roman" w:cs="Arial"/>
          <w:szCs w:val="20"/>
        </w:rPr>
        <w:t xml:space="preserve"> can seek mediation or arbitration should any disputes arise during the negotiation process. </w:t>
      </w:r>
    </w:p>
    <w:p w:rsidR="00633670" w:rsidRPr="001212C2" w:rsidRDefault="00633670" w:rsidP="00633670">
      <w:pPr>
        <w:rPr>
          <w:rFonts w:eastAsia="Calibri" w:cs="Times New Roman"/>
          <w:szCs w:val="20"/>
        </w:rPr>
      </w:pPr>
      <w:r w:rsidRPr="001212C2">
        <w:rPr>
          <w:rFonts w:eastAsia="Calibri" w:cs="Times New Roman"/>
          <w:szCs w:val="20"/>
        </w:rPr>
        <w:t xml:space="preserve">The ACCC notes that during the four years this model has been operating, no arbitrations have been necessary. Although there has not been any actual arbitration activity under </w:t>
      </w:r>
      <w:proofErr w:type="spellStart"/>
      <w:r w:rsidRPr="001212C2">
        <w:rPr>
          <w:rFonts w:eastAsia="Calibri" w:cs="Times New Roman"/>
          <w:szCs w:val="20"/>
        </w:rPr>
        <w:t>Viterra’s</w:t>
      </w:r>
      <w:proofErr w:type="spellEnd"/>
      <w:r w:rsidRPr="001212C2">
        <w:rPr>
          <w:rFonts w:eastAsia="Calibri" w:cs="Times New Roman"/>
          <w:szCs w:val="20"/>
        </w:rPr>
        <w:t xml:space="preserve"> 2011 Undertaking, the ACCC does not consider this to mean that </w:t>
      </w:r>
      <w:proofErr w:type="gramStart"/>
      <w:r w:rsidRPr="001212C2">
        <w:rPr>
          <w:rFonts w:eastAsia="Calibri" w:cs="Times New Roman"/>
          <w:szCs w:val="20"/>
        </w:rPr>
        <w:t>the negotiate</w:t>
      </w:r>
      <w:proofErr w:type="gramEnd"/>
      <w:r w:rsidRPr="001212C2">
        <w:rPr>
          <w:rFonts w:eastAsia="Calibri" w:cs="Times New Roman"/>
          <w:szCs w:val="20"/>
        </w:rPr>
        <w:t xml:space="preserve">-arbitrate framework has been unsuccessful. To the contrary, the ACCC considers that the threat of arbitration by the ACCC </w:t>
      </w:r>
      <w:r>
        <w:rPr>
          <w:rFonts w:eastAsia="Calibri" w:cs="Times New Roman"/>
          <w:szCs w:val="20"/>
        </w:rPr>
        <w:t>appears</w:t>
      </w:r>
      <w:r w:rsidRPr="001212C2">
        <w:rPr>
          <w:rFonts w:eastAsia="Calibri" w:cs="Times New Roman"/>
          <w:szCs w:val="20"/>
        </w:rPr>
        <w:t xml:space="preserve"> to be effective in encouraging parties to reach commercially negotiated outcomes. </w:t>
      </w:r>
    </w:p>
    <w:p w:rsidR="00633670" w:rsidRPr="001212C2" w:rsidRDefault="00633670" w:rsidP="00633670">
      <w:pPr>
        <w:rPr>
          <w:rFonts w:eastAsia="Calibri" w:cs="Times New Roman"/>
          <w:szCs w:val="20"/>
        </w:rPr>
      </w:pPr>
      <w:r w:rsidRPr="001212C2">
        <w:rPr>
          <w:rFonts w:eastAsia="Calibri" w:cs="Times New Roman"/>
          <w:szCs w:val="20"/>
        </w:rPr>
        <w:t>Supporting the publish-negotiate-arbitrate model are robust non-discrimination and no hindering access provisions</w:t>
      </w:r>
      <w:r w:rsidR="00F245E3">
        <w:rPr>
          <w:rFonts w:eastAsia="Calibri" w:cs="Times New Roman"/>
          <w:szCs w:val="20"/>
        </w:rPr>
        <w:t xml:space="preserve">. </w:t>
      </w:r>
      <w:proofErr w:type="spellStart"/>
      <w:r w:rsidR="00F245E3">
        <w:rPr>
          <w:rFonts w:eastAsia="Calibri" w:cs="Times New Roman"/>
          <w:szCs w:val="20"/>
        </w:rPr>
        <w:t>V</w:t>
      </w:r>
      <w:r w:rsidRPr="001212C2">
        <w:rPr>
          <w:rFonts w:eastAsia="Calibri" w:cs="Times New Roman"/>
          <w:szCs w:val="20"/>
        </w:rPr>
        <w:t>iterra</w:t>
      </w:r>
      <w:proofErr w:type="spellEnd"/>
      <w:r w:rsidRPr="001212C2">
        <w:rPr>
          <w:rFonts w:eastAsia="Calibri" w:cs="Times New Roman"/>
          <w:szCs w:val="20"/>
        </w:rPr>
        <w:t xml:space="preserve"> propose</w:t>
      </w:r>
      <w:r w:rsidR="002C4C33">
        <w:rPr>
          <w:rFonts w:eastAsia="Calibri" w:cs="Times New Roman"/>
          <w:szCs w:val="20"/>
        </w:rPr>
        <w:t>s</w:t>
      </w:r>
      <w:r w:rsidRPr="001212C2">
        <w:rPr>
          <w:rFonts w:eastAsia="Calibri" w:cs="Times New Roman"/>
          <w:szCs w:val="20"/>
        </w:rPr>
        <w:t xml:space="preserve"> continuing </w:t>
      </w:r>
      <w:r w:rsidR="00F245E3">
        <w:rPr>
          <w:rFonts w:eastAsia="Calibri" w:cs="Times New Roman"/>
          <w:szCs w:val="20"/>
        </w:rPr>
        <w:t xml:space="preserve">these provisions </w:t>
      </w:r>
      <w:r w:rsidRPr="001212C2">
        <w:rPr>
          <w:rFonts w:eastAsia="Calibri" w:cs="Times New Roman"/>
          <w:szCs w:val="20"/>
        </w:rPr>
        <w:t>during the period of the extension.</w:t>
      </w:r>
      <w:r w:rsidR="004C5C36">
        <w:rPr>
          <w:rFonts w:eastAsia="Calibri" w:cs="Times New Roman"/>
          <w:szCs w:val="20"/>
        </w:rPr>
        <w:t xml:space="preserve"> </w:t>
      </w:r>
    </w:p>
    <w:p w:rsidR="00633670" w:rsidRPr="001212C2" w:rsidRDefault="00633670" w:rsidP="00633670">
      <w:pPr>
        <w:rPr>
          <w:rFonts w:eastAsia="Calibri" w:cs="Times New Roman"/>
          <w:szCs w:val="20"/>
        </w:rPr>
      </w:pPr>
      <w:r w:rsidRPr="001212C2">
        <w:rPr>
          <w:rFonts w:eastAsia="Calibri" w:cs="Times New Roman"/>
          <w:szCs w:val="20"/>
        </w:rPr>
        <w:t>The non-discriminatory access provision</w:t>
      </w:r>
      <w:r>
        <w:rPr>
          <w:rFonts w:eastAsia="Calibri" w:cs="Times New Roman"/>
          <w:szCs w:val="20"/>
        </w:rPr>
        <w:t>, at clause 5.5 of the 2011 Undertaking,</w:t>
      </w:r>
      <w:r w:rsidRPr="001212C2">
        <w:rPr>
          <w:rFonts w:eastAsia="Calibri" w:cs="Times New Roman"/>
          <w:szCs w:val="20"/>
        </w:rPr>
        <w:t xml:space="preserve"> provides that </w:t>
      </w:r>
      <w:proofErr w:type="spellStart"/>
      <w:r w:rsidRPr="001212C2">
        <w:rPr>
          <w:rFonts w:eastAsia="Calibri" w:cs="Times New Roman"/>
          <w:szCs w:val="20"/>
        </w:rPr>
        <w:t>Viterra</w:t>
      </w:r>
      <w:proofErr w:type="spellEnd"/>
      <w:r w:rsidRPr="001212C2">
        <w:rPr>
          <w:rFonts w:eastAsia="Calibri" w:cs="Times New Roman"/>
          <w:szCs w:val="20"/>
        </w:rPr>
        <w:t xml:space="preserve"> must not discriminate against access seekers in favour of its own trading </w:t>
      </w:r>
      <w:r w:rsidR="00631FA6">
        <w:rPr>
          <w:rFonts w:eastAsia="Calibri" w:cs="Times New Roman"/>
          <w:szCs w:val="20"/>
        </w:rPr>
        <w:t>division</w:t>
      </w:r>
      <w:r w:rsidRPr="001212C2">
        <w:rPr>
          <w:rFonts w:eastAsia="Calibri" w:cs="Times New Roman"/>
          <w:szCs w:val="20"/>
        </w:rPr>
        <w:t xml:space="preserve">, except to the extent that the cost of providing access to other </w:t>
      </w:r>
      <w:r w:rsidR="004C5C36">
        <w:rPr>
          <w:rFonts w:eastAsia="Calibri" w:cs="Times New Roman"/>
          <w:szCs w:val="20"/>
        </w:rPr>
        <w:t xml:space="preserve">applicants or users is higher. </w:t>
      </w:r>
      <w:r w:rsidRPr="001212C2">
        <w:rPr>
          <w:rFonts w:eastAsia="Calibri" w:cs="Times New Roman"/>
          <w:szCs w:val="20"/>
        </w:rPr>
        <w:t>The no hindering access</w:t>
      </w:r>
      <w:r>
        <w:rPr>
          <w:rFonts w:eastAsia="Calibri" w:cs="Times New Roman"/>
          <w:szCs w:val="20"/>
        </w:rPr>
        <w:t xml:space="preserve"> provision at</w:t>
      </w:r>
      <w:r w:rsidRPr="001212C2">
        <w:rPr>
          <w:rFonts w:eastAsia="Calibri" w:cs="Times New Roman"/>
          <w:szCs w:val="20"/>
        </w:rPr>
        <w:t xml:space="preserve"> clause</w:t>
      </w:r>
      <w:r>
        <w:rPr>
          <w:rFonts w:eastAsia="Calibri" w:cs="Times New Roman"/>
          <w:szCs w:val="20"/>
        </w:rPr>
        <w:t xml:space="preserve"> 9.7 of </w:t>
      </w:r>
      <w:proofErr w:type="spellStart"/>
      <w:r>
        <w:rPr>
          <w:rFonts w:eastAsia="Calibri" w:cs="Times New Roman"/>
          <w:szCs w:val="20"/>
        </w:rPr>
        <w:t>Viterra’s</w:t>
      </w:r>
      <w:proofErr w:type="spellEnd"/>
      <w:r>
        <w:rPr>
          <w:rFonts w:eastAsia="Calibri" w:cs="Times New Roman"/>
          <w:szCs w:val="20"/>
        </w:rPr>
        <w:t xml:space="preserve"> 2011 undertaking </w:t>
      </w:r>
      <w:r w:rsidRPr="001212C2">
        <w:rPr>
          <w:rFonts w:eastAsia="Calibri" w:cs="Times New Roman"/>
          <w:szCs w:val="20"/>
        </w:rPr>
        <w:t xml:space="preserve">provides that </w:t>
      </w:r>
      <w:proofErr w:type="spellStart"/>
      <w:r w:rsidRPr="001212C2">
        <w:rPr>
          <w:rFonts w:eastAsia="Calibri" w:cs="Times New Roman"/>
          <w:szCs w:val="20"/>
        </w:rPr>
        <w:t>Viterra</w:t>
      </w:r>
      <w:proofErr w:type="spellEnd"/>
      <w:r w:rsidRPr="001212C2">
        <w:rPr>
          <w:rFonts w:eastAsia="Calibri" w:cs="Times New Roman"/>
          <w:szCs w:val="20"/>
        </w:rPr>
        <w:t xml:space="preserve"> must not engage in conduct for the purpose of preventing or hindering access to port terminal services by any other access seeker in the exercise of a right of access under the 2011 Undertaking.</w:t>
      </w:r>
      <w:r>
        <w:rPr>
          <w:rStyle w:val="FootnoteReference"/>
          <w:rFonts w:eastAsia="Calibri" w:cs="Times New Roman"/>
          <w:szCs w:val="20"/>
        </w:rPr>
        <w:footnoteReference w:id="24"/>
      </w:r>
    </w:p>
    <w:p w:rsidR="00633670" w:rsidRPr="001212C2" w:rsidRDefault="00633670" w:rsidP="00633670">
      <w:pPr>
        <w:rPr>
          <w:rFonts w:eastAsia="Calibri" w:cs="Times New Roman"/>
          <w:szCs w:val="20"/>
        </w:rPr>
      </w:pPr>
      <w:r w:rsidRPr="001212C2">
        <w:rPr>
          <w:rFonts w:eastAsia="Calibri" w:cs="Times New Roman"/>
          <w:szCs w:val="20"/>
        </w:rPr>
        <w:t xml:space="preserve">In accepting both </w:t>
      </w:r>
      <w:proofErr w:type="spellStart"/>
      <w:r w:rsidRPr="001212C2">
        <w:rPr>
          <w:rFonts w:eastAsia="Calibri" w:cs="Times New Roman"/>
          <w:szCs w:val="20"/>
        </w:rPr>
        <w:t>Viterra’s</w:t>
      </w:r>
      <w:proofErr w:type="spellEnd"/>
      <w:r w:rsidRPr="001212C2">
        <w:rPr>
          <w:rFonts w:eastAsia="Calibri" w:cs="Times New Roman"/>
          <w:szCs w:val="20"/>
        </w:rPr>
        <w:t xml:space="preserve"> 2009 Undertaking and the 2011 Undertaking, the ACCC took the view</w:t>
      </w:r>
      <w:r>
        <w:rPr>
          <w:rFonts w:eastAsia="Calibri" w:cs="Times New Roman"/>
          <w:szCs w:val="20"/>
        </w:rPr>
        <w:t xml:space="preserve"> that</w:t>
      </w:r>
      <w:r w:rsidRPr="001212C2">
        <w:rPr>
          <w:rFonts w:eastAsia="Calibri" w:cs="Times New Roman"/>
          <w:szCs w:val="20"/>
        </w:rPr>
        <w:t>:</w:t>
      </w:r>
    </w:p>
    <w:p w:rsidR="00633670" w:rsidRPr="001212C2" w:rsidRDefault="00633670" w:rsidP="00633670">
      <w:pPr>
        <w:ind w:left="720"/>
        <w:rPr>
          <w:rFonts w:eastAsia="Calibri" w:cs="Times New Roman"/>
          <w:sz w:val="18"/>
          <w:szCs w:val="18"/>
        </w:rPr>
      </w:pPr>
      <w:r w:rsidRPr="001212C2">
        <w:rPr>
          <w:rFonts w:eastAsia="Calibri" w:cs="Times New Roman"/>
          <w:sz w:val="18"/>
          <w:szCs w:val="18"/>
        </w:rPr>
        <w:t xml:space="preserve">A robust non-discriminatory access clause is an important regulatory tool that can be used to constrain the behaviour of a vertically integrated owner of </w:t>
      </w:r>
      <w:r w:rsidR="004C5C36">
        <w:rPr>
          <w:rFonts w:eastAsia="Calibri" w:cs="Times New Roman"/>
          <w:sz w:val="18"/>
          <w:szCs w:val="18"/>
        </w:rPr>
        <w:t xml:space="preserve">a key infrastructure facility. </w:t>
      </w:r>
      <w:r w:rsidRPr="001212C2">
        <w:rPr>
          <w:rFonts w:eastAsia="Calibri" w:cs="Times New Roman"/>
          <w:sz w:val="18"/>
          <w:szCs w:val="18"/>
        </w:rPr>
        <w:t>This is because many of the benefits of access to infrastructure can be lost if measures are not put into place to control potential anti-competitive leverage onto related markets.</w:t>
      </w:r>
      <w:r w:rsidRPr="001212C2">
        <w:rPr>
          <w:rFonts w:eastAsia="Calibri" w:cs="Times New Roman"/>
          <w:sz w:val="18"/>
          <w:szCs w:val="18"/>
          <w:vertAlign w:val="superscript"/>
        </w:rPr>
        <w:footnoteReference w:id="25"/>
      </w:r>
    </w:p>
    <w:p w:rsidR="00633670" w:rsidRPr="001212C2" w:rsidRDefault="00633670" w:rsidP="00633670">
      <w:pPr>
        <w:rPr>
          <w:rFonts w:eastAsia="Calibri" w:cs="Times New Roman"/>
          <w:szCs w:val="20"/>
        </w:rPr>
      </w:pPr>
      <w:r w:rsidRPr="001212C2">
        <w:rPr>
          <w:rFonts w:eastAsia="Calibri" w:cs="Times New Roman"/>
          <w:szCs w:val="20"/>
        </w:rPr>
        <w:t>In relation to the no hindering access provision</w:t>
      </w:r>
      <w:r>
        <w:rPr>
          <w:rFonts w:eastAsia="Calibri" w:cs="Times New Roman"/>
          <w:szCs w:val="20"/>
        </w:rPr>
        <w:t xml:space="preserve">, </w:t>
      </w:r>
      <w:r w:rsidRPr="001212C2">
        <w:rPr>
          <w:rFonts w:eastAsia="Calibri" w:cs="Times New Roman"/>
          <w:szCs w:val="20"/>
        </w:rPr>
        <w:t xml:space="preserve">the ACCC took the view that such a clause is consistent with the objective of </w:t>
      </w:r>
      <w:r w:rsidR="00E86701">
        <w:rPr>
          <w:rFonts w:eastAsia="Calibri" w:cs="Times New Roman"/>
          <w:szCs w:val="20"/>
        </w:rPr>
        <w:t xml:space="preserve">the </w:t>
      </w:r>
      <w:r w:rsidRPr="001212C2">
        <w:rPr>
          <w:rFonts w:eastAsia="Calibri" w:cs="Times New Roman"/>
          <w:szCs w:val="20"/>
        </w:rPr>
        <w:t xml:space="preserve">WEMA to ensure that vertically integrated bulk handling companies provide fair and transparent access to their facilities to other wheat exporters. The ACCC considered the intention of the WEMA to be a relevant matter in the assessment of </w:t>
      </w:r>
      <w:proofErr w:type="spellStart"/>
      <w:r w:rsidRPr="001212C2">
        <w:rPr>
          <w:rFonts w:eastAsia="Calibri" w:cs="Times New Roman"/>
          <w:szCs w:val="20"/>
        </w:rPr>
        <w:t>Viterra’s</w:t>
      </w:r>
      <w:proofErr w:type="spellEnd"/>
      <w:r w:rsidRPr="001212C2">
        <w:rPr>
          <w:rFonts w:eastAsia="Calibri" w:cs="Times New Roman"/>
          <w:szCs w:val="20"/>
        </w:rPr>
        <w:t xml:space="preserve"> 2009 and 2011 Undertakings, having regard to </w:t>
      </w:r>
      <w:r>
        <w:rPr>
          <w:rFonts w:eastAsia="Calibri" w:cs="Times New Roman"/>
          <w:szCs w:val="20"/>
        </w:rPr>
        <w:t xml:space="preserve">section </w:t>
      </w:r>
      <w:r w:rsidRPr="001212C2">
        <w:rPr>
          <w:rFonts w:eastAsia="Calibri" w:cs="Times New Roman"/>
          <w:szCs w:val="20"/>
        </w:rPr>
        <w:t>44ZZA(3)(e) of the CCA.</w:t>
      </w:r>
      <w:r w:rsidR="004C5C36">
        <w:rPr>
          <w:rFonts w:eastAsia="Calibri" w:cs="Times New Roman"/>
          <w:szCs w:val="20"/>
        </w:rPr>
        <w:t xml:space="preserve"> </w:t>
      </w:r>
    </w:p>
    <w:p w:rsidR="00633670" w:rsidRPr="001212C2" w:rsidRDefault="00633670" w:rsidP="00633670">
      <w:pPr>
        <w:rPr>
          <w:rFonts w:eastAsia="Calibri" w:cs="Times New Roman"/>
          <w:szCs w:val="20"/>
        </w:rPr>
      </w:pPr>
      <w:r w:rsidRPr="001212C2">
        <w:rPr>
          <w:rFonts w:eastAsia="Calibri" w:cs="Times New Roman"/>
          <w:szCs w:val="20"/>
        </w:rPr>
        <w:t>The ACCC remains of the view that the non-discriminatory access and no hindering access provisions continue to promote competition in wheat trading markets and therefore continue to be in the public interest, having regard to subs</w:t>
      </w:r>
      <w:r>
        <w:rPr>
          <w:rFonts w:eastAsia="Calibri" w:cs="Times New Roman"/>
          <w:szCs w:val="20"/>
        </w:rPr>
        <w:t>ection</w:t>
      </w:r>
      <w:r w:rsidRPr="001212C2">
        <w:rPr>
          <w:rFonts w:eastAsia="Calibri" w:cs="Times New Roman"/>
          <w:szCs w:val="20"/>
        </w:rPr>
        <w:t xml:space="preserve"> 44ZZA(3)(b) of the CCA. The ACCC also remains of the view that these provisions deter </w:t>
      </w:r>
      <w:proofErr w:type="spellStart"/>
      <w:r w:rsidRPr="001212C2">
        <w:rPr>
          <w:rFonts w:eastAsia="Calibri" w:cs="Times New Roman"/>
          <w:szCs w:val="20"/>
        </w:rPr>
        <w:t>Viterra</w:t>
      </w:r>
      <w:proofErr w:type="spellEnd"/>
      <w:r w:rsidRPr="001212C2">
        <w:rPr>
          <w:rFonts w:eastAsia="Calibri" w:cs="Times New Roman"/>
          <w:szCs w:val="20"/>
        </w:rPr>
        <w:t xml:space="preserve"> from discriminating in favour of its trading arm and provide for fair and transparent access to port terminal services. The ACCC therefore considers that the non-discrimination and no hindering provisions of </w:t>
      </w:r>
      <w:proofErr w:type="spellStart"/>
      <w:r w:rsidRPr="001212C2">
        <w:rPr>
          <w:rFonts w:eastAsia="Calibri" w:cs="Times New Roman"/>
          <w:szCs w:val="20"/>
        </w:rPr>
        <w:t>Viterra’s</w:t>
      </w:r>
      <w:proofErr w:type="spellEnd"/>
      <w:r w:rsidRPr="001212C2">
        <w:rPr>
          <w:rFonts w:eastAsia="Calibri" w:cs="Times New Roman"/>
          <w:szCs w:val="20"/>
        </w:rPr>
        <w:t xml:space="preserve"> 2011 Undertaking continue to be in the interest of access seekers, having regard to subs</w:t>
      </w:r>
      <w:r>
        <w:rPr>
          <w:rFonts w:eastAsia="Calibri" w:cs="Times New Roman"/>
          <w:szCs w:val="20"/>
        </w:rPr>
        <w:t>ection</w:t>
      </w:r>
      <w:r w:rsidR="002C4C33">
        <w:rPr>
          <w:rFonts w:eastAsia="Calibri" w:cs="Times New Roman"/>
          <w:szCs w:val="20"/>
        </w:rPr>
        <w:t>s</w:t>
      </w:r>
      <w:r w:rsidRPr="001212C2">
        <w:rPr>
          <w:rFonts w:eastAsia="Calibri" w:cs="Times New Roman"/>
          <w:szCs w:val="20"/>
        </w:rPr>
        <w:t xml:space="preserve"> 44ZZA(3)(c) and 44ZZA(3)(e) of the CCA.</w:t>
      </w:r>
      <w:r w:rsidR="004C5C36">
        <w:rPr>
          <w:rFonts w:eastAsia="Calibri" w:cs="Times New Roman"/>
          <w:szCs w:val="20"/>
        </w:rPr>
        <w:t xml:space="preserve"> </w:t>
      </w:r>
    </w:p>
    <w:p w:rsidR="00633670" w:rsidRPr="001212C2" w:rsidRDefault="00920E10" w:rsidP="00633670">
      <w:pPr>
        <w:rPr>
          <w:rFonts w:eastAsia="Calibri" w:cs="Times New Roman"/>
          <w:szCs w:val="20"/>
        </w:rPr>
      </w:pPr>
      <w:r>
        <w:rPr>
          <w:rFonts w:eastAsia="Calibri" w:cs="Times New Roman"/>
          <w:szCs w:val="20"/>
        </w:rPr>
        <w:t xml:space="preserve">It is the ACCC’s </w:t>
      </w:r>
      <w:r w:rsidR="00633670" w:rsidRPr="001212C2">
        <w:rPr>
          <w:rFonts w:eastAsia="Calibri" w:cs="Times New Roman"/>
          <w:szCs w:val="20"/>
        </w:rPr>
        <w:t xml:space="preserve">view that it is appropriate that the publish-negotiate-arbitrate framework, supported by the non-discriminatory access and no hindering access provisions, continues for the </w:t>
      </w:r>
      <w:r w:rsidR="00E86701">
        <w:rPr>
          <w:rFonts w:eastAsia="Calibri" w:cs="Times New Roman"/>
          <w:szCs w:val="20"/>
        </w:rPr>
        <w:t xml:space="preserve">one year </w:t>
      </w:r>
      <w:r w:rsidR="00633670" w:rsidRPr="001212C2">
        <w:rPr>
          <w:rFonts w:eastAsia="Calibri" w:cs="Times New Roman"/>
          <w:szCs w:val="20"/>
        </w:rPr>
        <w:t xml:space="preserve">extension period specified in the </w:t>
      </w:r>
      <w:r w:rsidR="00A82FB2">
        <w:rPr>
          <w:rFonts w:eastAsia="Calibri" w:cs="Times New Roman"/>
          <w:szCs w:val="20"/>
        </w:rPr>
        <w:t>Amended a</w:t>
      </w:r>
      <w:r w:rsidR="00633670" w:rsidRPr="001212C2">
        <w:rPr>
          <w:rFonts w:eastAsia="Calibri" w:cs="Times New Roman"/>
          <w:szCs w:val="20"/>
        </w:rPr>
        <w:t>pplication to extend and vary.</w:t>
      </w:r>
    </w:p>
    <w:p w:rsidR="00633670" w:rsidRPr="001212C2" w:rsidRDefault="00633670" w:rsidP="00633670">
      <w:pPr>
        <w:rPr>
          <w:rFonts w:eastAsia="Calibri" w:cs="Times New Roman"/>
          <w:szCs w:val="20"/>
        </w:rPr>
      </w:pPr>
      <w:r w:rsidRPr="001212C2">
        <w:rPr>
          <w:rFonts w:eastAsia="Calibri" w:cs="Times New Roman"/>
          <w:szCs w:val="20"/>
        </w:rPr>
        <w:t>Regarding</w:t>
      </w:r>
      <w:r w:rsidRPr="00E41046">
        <w:rPr>
          <w:rFonts w:eastAsia="Calibri" w:cs="Times New Roman"/>
          <w:szCs w:val="20"/>
        </w:rPr>
        <w:t xml:space="preserve"> </w:t>
      </w:r>
      <w:r w:rsidRPr="001212C2">
        <w:rPr>
          <w:rFonts w:eastAsia="Calibri" w:cs="Times New Roman"/>
          <w:szCs w:val="20"/>
        </w:rPr>
        <w:t xml:space="preserve">the auction system, </w:t>
      </w:r>
      <w:r>
        <w:rPr>
          <w:rFonts w:eastAsia="Calibri" w:cs="Times New Roman"/>
          <w:szCs w:val="20"/>
        </w:rPr>
        <w:t>which is</w:t>
      </w:r>
      <w:r w:rsidRPr="001212C2">
        <w:rPr>
          <w:rFonts w:eastAsia="Calibri" w:cs="Times New Roman"/>
          <w:szCs w:val="20"/>
        </w:rPr>
        <w:t xml:space="preserve"> the primary method of allocating port terminal capacity, the ACCC considers that it remains an appropriate means for allocating port terminal capacity in South Australia. </w:t>
      </w:r>
    </w:p>
    <w:p w:rsidR="00633670" w:rsidRPr="001212C2" w:rsidRDefault="00633670" w:rsidP="00633670">
      <w:pPr>
        <w:rPr>
          <w:rFonts w:eastAsia="Calibri" w:cs="Times New Roman"/>
          <w:szCs w:val="20"/>
        </w:rPr>
      </w:pPr>
      <w:r w:rsidRPr="001212C2">
        <w:rPr>
          <w:rFonts w:eastAsia="Calibri" w:cs="Times New Roman"/>
          <w:szCs w:val="20"/>
        </w:rPr>
        <w:t>The ACCC expressed its view in the Fi</w:t>
      </w:r>
      <w:r w:rsidR="00920E10">
        <w:rPr>
          <w:rFonts w:eastAsia="Calibri" w:cs="Times New Roman"/>
          <w:szCs w:val="20"/>
        </w:rPr>
        <w:t xml:space="preserve">nal Decision on </w:t>
      </w:r>
      <w:proofErr w:type="spellStart"/>
      <w:r w:rsidR="00920E10">
        <w:rPr>
          <w:rFonts w:eastAsia="Calibri" w:cs="Times New Roman"/>
          <w:szCs w:val="20"/>
        </w:rPr>
        <w:t>Viterra’s</w:t>
      </w:r>
      <w:proofErr w:type="spellEnd"/>
      <w:r w:rsidR="00920E10">
        <w:rPr>
          <w:rFonts w:eastAsia="Calibri" w:cs="Times New Roman"/>
          <w:szCs w:val="20"/>
        </w:rPr>
        <w:t xml:space="preserve"> 2011 </w:t>
      </w:r>
      <w:proofErr w:type="gramStart"/>
      <w:r w:rsidR="00920E10">
        <w:rPr>
          <w:rFonts w:eastAsia="Calibri" w:cs="Times New Roman"/>
          <w:szCs w:val="20"/>
        </w:rPr>
        <w:t>U</w:t>
      </w:r>
      <w:r w:rsidRPr="001212C2">
        <w:rPr>
          <w:rFonts w:eastAsia="Calibri" w:cs="Times New Roman"/>
          <w:szCs w:val="20"/>
        </w:rPr>
        <w:t>ndertaking</w:t>
      </w:r>
      <w:proofErr w:type="gramEnd"/>
      <w:r w:rsidRPr="001212C2">
        <w:rPr>
          <w:rFonts w:eastAsia="Calibri" w:cs="Times New Roman"/>
          <w:szCs w:val="20"/>
        </w:rPr>
        <w:t xml:space="preserve"> that the </w:t>
      </w:r>
      <w:r>
        <w:rPr>
          <w:rFonts w:eastAsia="Calibri" w:cs="Times New Roman"/>
          <w:szCs w:val="20"/>
        </w:rPr>
        <w:t xml:space="preserve">FIFS </w:t>
      </w:r>
      <w:r w:rsidRPr="001212C2">
        <w:rPr>
          <w:rFonts w:eastAsia="Calibri" w:cs="Times New Roman"/>
          <w:szCs w:val="20"/>
        </w:rPr>
        <w:t xml:space="preserve">capacity allocation method was not appropriate in the circumstances likely to be faced by </w:t>
      </w:r>
      <w:proofErr w:type="spellStart"/>
      <w:r w:rsidRPr="001212C2">
        <w:rPr>
          <w:rFonts w:eastAsia="Calibri" w:cs="Times New Roman"/>
          <w:szCs w:val="20"/>
        </w:rPr>
        <w:t>Viterra</w:t>
      </w:r>
      <w:proofErr w:type="spellEnd"/>
      <w:r w:rsidRPr="001212C2">
        <w:rPr>
          <w:rFonts w:eastAsia="Calibri" w:cs="Times New Roman"/>
          <w:szCs w:val="20"/>
        </w:rPr>
        <w:t xml:space="preserve"> over the</w:t>
      </w:r>
      <w:r w:rsidR="004C5C36">
        <w:rPr>
          <w:rFonts w:eastAsia="Calibri" w:cs="Times New Roman"/>
          <w:szCs w:val="20"/>
        </w:rPr>
        <w:t xml:space="preserve"> term of its 2011 Undertaking. </w:t>
      </w:r>
      <w:r w:rsidRPr="001212C2">
        <w:rPr>
          <w:rFonts w:eastAsia="Calibri" w:cs="Times New Roman"/>
          <w:szCs w:val="20"/>
        </w:rPr>
        <w:t xml:space="preserve">Market conditions in South Australia </w:t>
      </w:r>
      <w:r w:rsidRPr="001212C2">
        <w:rPr>
          <w:rFonts w:eastAsia="Calibri" w:cs="Times New Roman"/>
          <w:szCs w:val="20"/>
        </w:rPr>
        <w:lastRenderedPageBreak/>
        <w:t xml:space="preserve">demonstrated a degree of capacity constraint and limited competitive constraints that could effectively neutralise the incentives for self-preferential treatment by </w:t>
      </w:r>
      <w:proofErr w:type="spellStart"/>
      <w:r w:rsidRPr="001212C2">
        <w:rPr>
          <w:rFonts w:eastAsia="Calibri" w:cs="Times New Roman"/>
          <w:szCs w:val="20"/>
        </w:rPr>
        <w:t>Viterra</w:t>
      </w:r>
      <w:proofErr w:type="spellEnd"/>
      <w:r w:rsidRPr="001212C2">
        <w:rPr>
          <w:rFonts w:eastAsia="Calibri" w:cs="Times New Roman"/>
          <w:szCs w:val="20"/>
        </w:rPr>
        <w:t>.</w:t>
      </w:r>
      <w:r w:rsidRPr="001212C2">
        <w:rPr>
          <w:rFonts w:eastAsia="Calibri" w:cs="Times New Roman"/>
          <w:szCs w:val="20"/>
          <w:vertAlign w:val="superscript"/>
        </w:rPr>
        <w:t xml:space="preserve"> </w:t>
      </w:r>
      <w:r w:rsidRPr="001212C2">
        <w:rPr>
          <w:rFonts w:eastAsia="Calibri" w:cs="Times New Roman"/>
          <w:szCs w:val="20"/>
          <w:vertAlign w:val="superscript"/>
        </w:rPr>
        <w:footnoteReference w:id="26"/>
      </w:r>
      <w:r w:rsidRPr="001212C2">
        <w:rPr>
          <w:rFonts w:eastAsia="Calibri" w:cs="Times New Roman"/>
          <w:szCs w:val="20"/>
        </w:rPr>
        <w:t xml:space="preserve"> The ACCC remains of the view that market conditions in South Australia continue to demonstrate a degree of capacity constraint and a lack of competitive constraint that could effectively neutralise incentives facing </w:t>
      </w:r>
      <w:proofErr w:type="spellStart"/>
      <w:r w:rsidRPr="001212C2">
        <w:rPr>
          <w:rFonts w:eastAsia="Calibri" w:cs="Times New Roman"/>
          <w:szCs w:val="20"/>
        </w:rPr>
        <w:t>Viterra</w:t>
      </w:r>
      <w:proofErr w:type="spellEnd"/>
      <w:r w:rsidRPr="001212C2">
        <w:rPr>
          <w:rFonts w:eastAsia="Calibri" w:cs="Times New Roman"/>
          <w:szCs w:val="20"/>
        </w:rPr>
        <w:t xml:space="preserve"> for self-preferential treatment.</w:t>
      </w:r>
    </w:p>
    <w:p w:rsidR="00633670" w:rsidRPr="001212C2" w:rsidRDefault="00920E10" w:rsidP="00633670">
      <w:pPr>
        <w:rPr>
          <w:rFonts w:eastAsia="Calibri" w:cs="Times New Roman"/>
          <w:szCs w:val="20"/>
        </w:rPr>
      </w:pPr>
      <w:r>
        <w:rPr>
          <w:rFonts w:eastAsia="Calibri" w:cs="Times New Roman"/>
          <w:szCs w:val="20"/>
        </w:rPr>
        <w:t xml:space="preserve">As such, it is the ACCC’s </w:t>
      </w:r>
      <w:r w:rsidR="00633670" w:rsidRPr="001212C2">
        <w:rPr>
          <w:rFonts w:eastAsia="Calibri" w:cs="Times New Roman"/>
          <w:szCs w:val="20"/>
        </w:rPr>
        <w:t xml:space="preserve">view that an auction system remains the appropriate means for allocating port terminal capacity in South Australia. </w:t>
      </w:r>
    </w:p>
    <w:p w:rsidR="00633670" w:rsidRPr="001212C2" w:rsidRDefault="00633670" w:rsidP="00633670">
      <w:pPr>
        <w:rPr>
          <w:rFonts w:cs="Arial"/>
          <w:szCs w:val="20"/>
        </w:rPr>
      </w:pPr>
      <w:r w:rsidRPr="001212C2">
        <w:rPr>
          <w:rFonts w:eastAsia="Calibri" w:cs="Arial"/>
          <w:szCs w:val="20"/>
        </w:rPr>
        <w:t>T</w:t>
      </w:r>
      <w:r w:rsidRPr="001212C2">
        <w:rPr>
          <w:rFonts w:cs="Arial"/>
          <w:szCs w:val="20"/>
        </w:rPr>
        <w:t>he ACCC considers that auctions and transferability are appropriate mechanisms</w:t>
      </w:r>
      <w:r w:rsidR="00916EDD">
        <w:rPr>
          <w:rFonts w:cs="Arial"/>
          <w:szCs w:val="20"/>
        </w:rPr>
        <w:t xml:space="preserve"> to allocate capacity</w:t>
      </w:r>
      <w:r w:rsidRPr="001212C2">
        <w:rPr>
          <w:rFonts w:cs="Arial"/>
          <w:szCs w:val="20"/>
        </w:rPr>
        <w:t xml:space="preserve"> on </w:t>
      </w:r>
      <w:r w:rsidR="00916EDD">
        <w:rPr>
          <w:rFonts w:cs="Arial"/>
          <w:szCs w:val="20"/>
        </w:rPr>
        <w:t xml:space="preserve">the grounds of </w:t>
      </w:r>
      <w:r w:rsidRPr="001212C2">
        <w:rPr>
          <w:rFonts w:cs="Arial"/>
          <w:szCs w:val="20"/>
        </w:rPr>
        <w:t>economic efficienc</w:t>
      </w:r>
      <w:r w:rsidR="00916EDD">
        <w:rPr>
          <w:rFonts w:cs="Arial"/>
          <w:szCs w:val="20"/>
        </w:rPr>
        <w:t>y</w:t>
      </w:r>
      <w:r w:rsidRPr="001212C2">
        <w:rPr>
          <w:rFonts w:cs="Arial"/>
          <w:szCs w:val="20"/>
        </w:rPr>
        <w:t xml:space="preserve">. Auctions, by allocating capacity to users with the highest willingness to pay, will ensure that capacity is allocated to those users who value it most, resulting in </w:t>
      </w:r>
      <w:proofErr w:type="spellStart"/>
      <w:r w:rsidRPr="001212C2">
        <w:rPr>
          <w:rFonts w:cs="Arial"/>
          <w:szCs w:val="20"/>
        </w:rPr>
        <w:t>allocative</w:t>
      </w:r>
      <w:proofErr w:type="spellEnd"/>
      <w:r w:rsidRPr="001212C2">
        <w:rPr>
          <w:rFonts w:cs="Arial"/>
          <w:szCs w:val="20"/>
        </w:rPr>
        <w:t xml:space="preserve"> efficien</w:t>
      </w:r>
      <w:r w:rsidR="00EF1904">
        <w:rPr>
          <w:rFonts w:cs="Arial"/>
          <w:szCs w:val="20"/>
        </w:rPr>
        <w:t>cy</w:t>
      </w:r>
      <w:r w:rsidRPr="001212C2">
        <w:rPr>
          <w:rFonts w:cs="Arial"/>
          <w:szCs w:val="20"/>
        </w:rPr>
        <w:t xml:space="preserve">. The ACCC considers the efficient allocation of capacity to be in the interests of </w:t>
      </w:r>
      <w:proofErr w:type="spellStart"/>
      <w:r w:rsidRPr="001212C2">
        <w:rPr>
          <w:rFonts w:cs="Arial"/>
          <w:szCs w:val="20"/>
        </w:rPr>
        <w:t>Viterra</w:t>
      </w:r>
      <w:proofErr w:type="spellEnd"/>
      <w:r w:rsidRPr="001212C2">
        <w:rPr>
          <w:rFonts w:cs="Arial"/>
          <w:szCs w:val="20"/>
        </w:rPr>
        <w:t xml:space="preserve"> and access seekers, having regard to subs</w:t>
      </w:r>
      <w:r>
        <w:rPr>
          <w:rFonts w:cs="Arial"/>
          <w:szCs w:val="20"/>
        </w:rPr>
        <w:t>ections</w:t>
      </w:r>
      <w:r w:rsidRPr="001212C2">
        <w:rPr>
          <w:rFonts w:cs="Arial"/>
          <w:szCs w:val="20"/>
        </w:rPr>
        <w:t xml:space="preserve"> </w:t>
      </w:r>
      <w:proofErr w:type="gramStart"/>
      <w:r w:rsidRPr="001212C2">
        <w:rPr>
          <w:rFonts w:cs="Arial"/>
          <w:szCs w:val="20"/>
        </w:rPr>
        <w:t>44ZZA(</w:t>
      </w:r>
      <w:proofErr w:type="gramEnd"/>
      <w:r w:rsidRPr="001212C2">
        <w:rPr>
          <w:rFonts w:cs="Arial"/>
          <w:szCs w:val="20"/>
        </w:rPr>
        <w:t>3)(a) and 44ZZA(3)(c) of the CCA, and consistent with the object of the WEMA to promote an efficient bulk wheat export market.</w:t>
      </w:r>
      <w:r w:rsidRPr="001212C2">
        <w:rPr>
          <w:rFonts w:cs="Arial"/>
          <w:szCs w:val="20"/>
          <w:vertAlign w:val="superscript"/>
        </w:rPr>
        <w:footnoteReference w:id="27"/>
      </w:r>
      <w:r w:rsidR="00832FCC">
        <w:rPr>
          <w:rFonts w:cs="Arial"/>
          <w:szCs w:val="20"/>
        </w:rPr>
        <w:t xml:space="preserve"> </w:t>
      </w:r>
      <w:r w:rsidRPr="001212C2">
        <w:rPr>
          <w:rFonts w:cs="Arial"/>
          <w:szCs w:val="20"/>
        </w:rPr>
        <w:t>In addition, an auction system is consistent with the objects of Part IIIA including to promote the economically efficient operation of, use of and investment in the infrastructure by which services are provided. An auction system therefore promotes effective competition in upstream and downstream markets</w:t>
      </w:r>
      <w:r>
        <w:rPr>
          <w:rFonts w:cs="Arial"/>
          <w:szCs w:val="20"/>
        </w:rPr>
        <w:t>.</w:t>
      </w:r>
    </w:p>
    <w:p w:rsidR="00633670" w:rsidRPr="001212C2" w:rsidRDefault="00633670" w:rsidP="00633670">
      <w:pPr>
        <w:rPr>
          <w:rFonts w:eastAsia="Calibri" w:cs="Times New Roman"/>
          <w:szCs w:val="20"/>
        </w:rPr>
      </w:pPr>
      <w:r w:rsidRPr="001212C2">
        <w:rPr>
          <w:rFonts w:eastAsia="Calibri" w:cs="Times New Roman"/>
          <w:szCs w:val="20"/>
        </w:rPr>
        <w:t xml:space="preserve">The ACCC acknowledges </w:t>
      </w:r>
      <w:proofErr w:type="spellStart"/>
      <w:r w:rsidRPr="001212C2">
        <w:rPr>
          <w:rFonts w:eastAsia="Calibri" w:cs="Times New Roman"/>
          <w:szCs w:val="20"/>
        </w:rPr>
        <w:t>Toepfer’s</w:t>
      </w:r>
      <w:proofErr w:type="spellEnd"/>
      <w:r w:rsidRPr="001212C2">
        <w:rPr>
          <w:rFonts w:eastAsia="Calibri" w:cs="Times New Roman"/>
          <w:szCs w:val="20"/>
        </w:rPr>
        <w:t xml:space="preserve"> view that a discretionary auction closure and the scheduling of annual capacity auctions at crop maturity have promoted transparency in initial bidding and reduced manipulation in Western Australia.</w:t>
      </w:r>
      <w:r w:rsidRPr="001212C2">
        <w:rPr>
          <w:rFonts w:eastAsia="Calibri" w:cs="Times New Roman"/>
          <w:szCs w:val="20"/>
          <w:vertAlign w:val="superscript"/>
        </w:rPr>
        <w:footnoteReference w:id="28"/>
      </w:r>
      <w:r w:rsidRPr="001212C2">
        <w:rPr>
          <w:rFonts w:eastAsia="Calibri" w:cs="Times New Roman"/>
          <w:szCs w:val="20"/>
        </w:rPr>
        <w:t xml:space="preserve"> The ACCC notes that discretionary auction closure and scheduling of annual auctions may increase the efficient allocation of capacity. Further, the ACCC does not consider these systems to be inappropriate and considers there to be merit in providing flexibility to port terminal operators in how they schedule and run their auction systems. However, discretionary auction closure and the scheduling of annual auctions do not form part of </w:t>
      </w:r>
      <w:proofErr w:type="spellStart"/>
      <w:r w:rsidRPr="001212C2">
        <w:rPr>
          <w:rFonts w:eastAsia="Calibri" w:cs="Times New Roman"/>
          <w:szCs w:val="20"/>
        </w:rPr>
        <w:t>Viterra’s</w:t>
      </w:r>
      <w:proofErr w:type="spellEnd"/>
      <w:r w:rsidRPr="001212C2">
        <w:rPr>
          <w:rFonts w:eastAsia="Calibri" w:cs="Times New Roman"/>
          <w:szCs w:val="20"/>
        </w:rPr>
        <w:t xml:space="preserve"> </w:t>
      </w:r>
      <w:r>
        <w:rPr>
          <w:rFonts w:eastAsia="Calibri" w:cs="Times New Roman"/>
          <w:szCs w:val="20"/>
        </w:rPr>
        <w:t>a</w:t>
      </w:r>
      <w:r w:rsidRPr="001212C2">
        <w:rPr>
          <w:rFonts w:eastAsia="Calibri" w:cs="Times New Roman"/>
          <w:szCs w:val="20"/>
        </w:rPr>
        <w:t xml:space="preserve">pplication. </w:t>
      </w:r>
    </w:p>
    <w:p w:rsidR="00633670" w:rsidRPr="00941CA8" w:rsidRDefault="00633670" w:rsidP="00633670">
      <w:pPr>
        <w:rPr>
          <w:rFonts w:cs="Arial"/>
          <w:szCs w:val="20"/>
        </w:rPr>
      </w:pPr>
      <w:r w:rsidRPr="001212C2">
        <w:rPr>
          <w:rFonts w:cs="Arial"/>
          <w:szCs w:val="20"/>
        </w:rPr>
        <w:t>I</w:t>
      </w:r>
      <w:r w:rsidR="00920E10">
        <w:rPr>
          <w:rFonts w:cs="Arial"/>
          <w:szCs w:val="20"/>
        </w:rPr>
        <w:t xml:space="preserve">t is therefore the ACCC’s </w:t>
      </w:r>
      <w:r w:rsidRPr="001212C2">
        <w:rPr>
          <w:rFonts w:cs="Arial"/>
          <w:szCs w:val="20"/>
        </w:rPr>
        <w:t xml:space="preserve">view that the overall continuation of arrangements that have not been varied in </w:t>
      </w:r>
      <w:proofErr w:type="spellStart"/>
      <w:r w:rsidRPr="001212C2">
        <w:rPr>
          <w:rFonts w:cs="Arial"/>
          <w:szCs w:val="20"/>
        </w:rPr>
        <w:t>Viterra’s</w:t>
      </w:r>
      <w:proofErr w:type="spellEnd"/>
      <w:r w:rsidRPr="001212C2">
        <w:rPr>
          <w:rFonts w:cs="Arial"/>
          <w:szCs w:val="20"/>
        </w:rPr>
        <w:t xml:space="preserve"> application is appropriate. </w:t>
      </w:r>
    </w:p>
    <w:p w:rsidR="00633670" w:rsidRPr="0098633C" w:rsidRDefault="00633670" w:rsidP="0098633C">
      <w:pPr>
        <w:pStyle w:val="Numberedheading2"/>
      </w:pPr>
      <w:bookmarkStart w:id="18" w:name="_Toc378322936"/>
      <w:r w:rsidRPr="0098633C">
        <w:t>Variation of term and expiry</w:t>
      </w:r>
      <w:bookmarkEnd w:id="18"/>
    </w:p>
    <w:p w:rsidR="00633670" w:rsidRPr="001212C2" w:rsidRDefault="00633670" w:rsidP="00633670">
      <w:pPr>
        <w:rPr>
          <w:rFonts w:cs="Arial"/>
          <w:szCs w:val="20"/>
        </w:rPr>
      </w:pPr>
      <w:proofErr w:type="spellStart"/>
      <w:r w:rsidRPr="001212C2">
        <w:rPr>
          <w:rFonts w:cs="Arial"/>
          <w:szCs w:val="20"/>
        </w:rPr>
        <w:t>Viterra’s</w:t>
      </w:r>
      <w:proofErr w:type="spellEnd"/>
      <w:r w:rsidRPr="001212C2">
        <w:rPr>
          <w:rFonts w:cs="Arial"/>
          <w:szCs w:val="20"/>
        </w:rPr>
        <w:t xml:space="preserve"> 2011 Undertaking, accepted on 28 September 2011</w:t>
      </w:r>
      <w:r w:rsidR="00E86701">
        <w:rPr>
          <w:rFonts w:cs="Arial"/>
          <w:szCs w:val="20"/>
        </w:rPr>
        <w:t xml:space="preserve">, </w:t>
      </w:r>
      <w:r w:rsidR="00933F26">
        <w:rPr>
          <w:rFonts w:cs="Arial"/>
          <w:szCs w:val="20"/>
        </w:rPr>
        <w:t>was previously</w:t>
      </w:r>
      <w:r>
        <w:rPr>
          <w:rFonts w:cs="Arial"/>
          <w:szCs w:val="20"/>
        </w:rPr>
        <w:t xml:space="preserve"> </w:t>
      </w:r>
      <w:r w:rsidRPr="001212C2">
        <w:rPr>
          <w:rFonts w:cs="Arial"/>
          <w:szCs w:val="20"/>
        </w:rPr>
        <w:t>due to expire on 30 September 2014</w:t>
      </w:r>
      <w:r w:rsidR="00E86701">
        <w:rPr>
          <w:rFonts w:cs="Arial"/>
          <w:szCs w:val="20"/>
        </w:rPr>
        <w:t xml:space="preserve"> at which time a mandatory industry </w:t>
      </w:r>
      <w:r w:rsidR="00A40728">
        <w:rPr>
          <w:rFonts w:cs="Arial"/>
          <w:szCs w:val="20"/>
        </w:rPr>
        <w:t>c</w:t>
      </w:r>
      <w:r w:rsidR="00E86701">
        <w:rPr>
          <w:rFonts w:cs="Arial"/>
          <w:szCs w:val="20"/>
        </w:rPr>
        <w:t xml:space="preserve">ode of </w:t>
      </w:r>
      <w:r w:rsidR="00A40728">
        <w:rPr>
          <w:rFonts w:cs="Arial"/>
          <w:szCs w:val="20"/>
        </w:rPr>
        <w:t>c</w:t>
      </w:r>
      <w:r w:rsidR="00E86701">
        <w:rPr>
          <w:rFonts w:cs="Arial"/>
          <w:szCs w:val="20"/>
        </w:rPr>
        <w:t xml:space="preserve">onduct </w:t>
      </w:r>
      <w:r w:rsidR="00BC3C8F">
        <w:rPr>
          <w:rFonts w:cs="Arial"/>
          <w:szCs w:val="20"/>
        </w:rPr>
        <w:t>is anticipated to commence</w:t>
      </w:r>
      <w:r w:rsidR="00E86701">
        <w:rPr>
          <w:rFonts w:cs="Arial"/>
          <w:szCs w:val="20"/>
        </w:rPr>
        <w:t xml:space="preserve">. </w:t>
      </w:r>
    </w:p>
    <w:p w:rsidR="00633670" w:rsidRPr="001212C2" w:rsidRDefault="00633670" w:rsidP="00633670">
      <w:pPr>
        <w:rPr>
          <w:rFonts w:cs="Arial"/>
          <w:szCs w:val="20"/>
        </w:rPr>
      </w:pPr>
      <w:r w:rsidRPr="001212C2">
        <w:rPr>
          <w:rFonts w:cs="Arial"/>
          <w:szCs w:val="20"/>
        </w:rPr>
        <w:t xml:space="preserve">Section 2 of the </w:t>
      </w:r>
      <w:r w:rsidRPr="00487257">
        <w:rPr>
          <w:rFonts w:cs="Arial"/>
          <w:i/>
          <w:szCs w:val="20"/>
        </w:rPr>
        <w:t>Wheat Export Marketing Amendment Act 2012</w:t>
      </w:r>
      <w:r w:rsidRPr="001212C2">
        <w:rPr>
          <w:rFonts w:cs="Arial"/>
          <w:szCs w:val="20"/>
        </w:rPr>
        <w:t xml:space="preserve"> provides that if, as at</w:t>
      </w:r>
      <w:r>
        <w:rPr>
          <w:rFonts w:cs="Arial"/>
          <w:szCs w:val="20"/>
        </w:rPr>
        <w:t xml:space="preserve"> </w:t>
      </w:r>
      <w:r w:rsidRPr="001212C2">
        <w:rPr>
          <w:rFonts w:cs="Arial"/>
          <w:szCs w:val="20"/>
        </w:rPr>
        <w:t>30</w:t>
      </w:r>
      <w:r w:rsidR="00F245E3">
        <w:rPr>
          <w:rFonts w:cs="Arial"/>
          <w:szCs w:val="20"/>
        </w:rPr>
        <w:t> </w:t>
      </w:r>
      <w:r w:rsidRPr="001212C2">
        <w:rPr>
          <w:rFonts w:cs="Arial"/>
          <w:szCs w:val="20"/>
        </w:rPr>
        <w:t>September 2014 the Minister for Agriculture has approved a code of conduct governing port access, and that code is declared as a mandatory code under s</w:t>
      </w:r>
      <w:r>
        <w:rPr>
          <w:rFonts w:cs="Arial"/>
          <w:szCs w:val="20"/>
        </w:rPr>
        <w:t xml:space="preserve">ection </w:t>
      </w:r>
      <w:r w:rsidRPr="001212C2">
        <w:rPr>
          <w:rFonts w:cs="Arial"/>
          <w:szCs w:val="20"/>
        </w:rPr>
        <w:t xml:space="preserve">51AE of the </w:t>
      </w:r>
      <w:r>
        <w:rPr>
          <w:rFonts w:cs="Arial"/>
          <w:szCs w:val="20"/>
        </w:rPr>
        <w:t>CCA</w:t>
      </w:r>
      <w:r w:rsidRPr="001212C2">
        <w:rPr>
          <w:rFonts w:cs="Arial"/>
          <w:szCs w:val="20"/>
        </w:rPr>
        <w:t xml:space="preserve">, then the </w:t>
      </w:r>
      <w:r w:rsidRPr="00941CA8">
        <w:rPr>
          <w:rFonts w:cs="Arial"/>
          <w:szCs w:val="20"/>
        </w:rPr>
        <w:t>WEMA</w:t>
      </w:r>
      <w:r w:rsidRPr="001212C2">
        <w:rPr>
          <w:rFonts w:cs="Arial"/>
          <w:szCs w:val="20"/>
        </w:rPr>
        <w:t xml:space="preserve">, including the access test, will be repealed. </w:t>
      </w:r>
    </w:p>
    <w:p w:rsidR="00633670" w:rsidRPr="001212C2" w:rsidRDefault="00633670" w:rsidP="00633670">
      <w:pPr>
        <w:rPr>
          <w:rFonts w:cs="Arial"/>
          <w:szCs w:val="20"/>
        </w:rPr>
      </w:pPr>
      <w:r w:rsidRPr="001212C2">
        <w:rPr>
          <w:rFonts w:cs="Arial"/>
          <w:szCs w:val="20"/>
        </w:rPr>
        <w:t xml:space="preserve">As discussed at </w:t>
      </w:r>
      <w:r w:rsidR="00372BB9">
        <w:rPr>
          <w:rFonts w:cs="Arial"/>
          <w:szCs w:val="20"/>
        </w:rPr>
        <w:t>c</w:t>
      </w:r>
      <w:r w:rsidRPr="00B81D03">
        <w:rPr>
          <w:rFonts w:cs="Arial"/>
          <w:szCs w:val="20"/>
        </w:rPr>
        <w:t>hapter 1.1</w:t>
      </w:r>
      <w:r w:rsidR="00933F26">
        <w:rPr>
          <w:rFonts w:cs="Arial"/>
          <w:szCs w:val="20"/>
        </w:rPr>
        <w:t xml:space="preserve">, </w:t>
      </w:r>
      <w:proofErr w:type="spellStart"/>
      <w:r w:rsidR="00933F26">
        <w:rPr>
          <w:rFonts w:cs="Arial"/>
          <w:szCs w:val="20"/>
        </w:rPr>
        <w:t>Viterra</w:t>
      </w:r>
      <w:proofErr w:type="spellEnd"/>
      <w:r w:rsidR="00933F26">
        <w:rPr>
          <w:rFonts w:cs="Arial"/>
          <w:szCs w:val="20"/>
        </w:rPr>
        <w:t xml:space="preserve"> propose</w:t>
      </w:r>
      <w:r w:rsidR="00155A78">
        <w:rPr>
          <w:rFonts w:cs="Arial"/>
          <w:szCs w:val="20"/>
        </w:rPr>
        <w:t>s</w:t>
      </w:r>
      <w:r w:rsidRPr="001212C2">
        <w:rPr>
          <w:rFonts w:cs="Arial"/>
          <w:szCs w:val="20"/>
        </w:rPr>
        <w:t xml:space="preserve"> to extend the date on which the 2011 Undertaking expires from 30 September 2014, to 30 September 2015.</w:t>
      </w:r>
      <w:r w:rsidRPr="001212C2">
        <w:rPr>
          <w:rFonts w:cs="Arial"/>
          <w:szCs w:val="20"/>
          <w:vertAlign w:val="superscript"/>
        </w:rPr>
        <w:footnoteReference w:id="29"/>
      </w:r>
      <w:r w:rsidR="00933F26">
        <w:rPr>
          <w:rFonts w:cs="Arial"/>
          <w:szCs w:val="20"/>
        </w:rPr>
        <w:t xml:space="preserve"> </w:t>
      </w:r>
      <w:proofErr w:type="spellStart"/>
      <w:r w:rsidR="00933F26">
        <w:rPr>
          <w:rFonts w:cs="Arial"/>
          <w:szCs w:val="20"/>
        </w:rPr>
        <w:t>Viterra</w:t>
      </w:r>
      <w:proofErr w:type="spellEnd"/>
      <w:r w:rsidR="00933F26">
        <w:rPr>
          <w:rFonts w:cs="Arial"/>
          <w:szCs w:val="20"/>
        </w:rPr>
        <w:t xml:space="preserve"> also propose</w:t>
      </w:r>
      <w:r w:rsidR="00155A78">
        <w:rPr>
          <w:rFonts w:cs="Arial"/>
          <w:szCs w:val="20"/>
        </w:rPr>
        <w:t>s</w:t>
      </w:r>
      <w:r w:rsidRPr="001212C2">
        <w:rPr>
          <w:rFonts w:cs="Arial"/>
          <w:szCs w:val="20"/>
        </w:rPr>
        <w:t xml:space="preserve"> to vary its 2011 </w:t>
      </w:r>
      <w:proofErr w:type="gramStart"/>
      <w:r w:rsidRPr="001212C2">
        <w:rPr>
          <w:rFonts w:cs="Arial"/>
          <w:szCs w:val="20"/>
        </w:rPr>
        <w:t>Undertaking</w:t>
      </w:r>
      <w:proofErr w:type="gramEnd"/>
      <w:r w:rsidRPr="001212C2">
        <w:rPr>
          <w:rFonts w:cs="Arial"/>
          <w:szCs w:val="20"/>
        </w:rPr>
        <w:t xml:space="preserve"> to introduce clauses that provide for the expira</w:t>
      </w:r>
      <w:r w:rsidR="00933F26">
        <w:rPr>
          <w:rFonts w:cs="Arial"/>
          <w:szCs w:val="20"/>
        </w:rPr>
        <w:t xml:space="preserve">tion of its undertaking before </w:t>
      </w:r>
      <w:r w:rsidRPr="001212C2">
        <w:rPr>
          <w:rFonts w:cs="Arial"/>
          <w:szCs w:val="20"/>
        </w:rPr>
        <w:t xml:space="preserve">30 September 2015 in the event that a mandatory code is approved and declared. These new clauses at 3.2 </w:t>
      </w:r>
      <w:r w:rsidR="00487257">
        <w:rPr>
          <w:rFonts w:cs="Arial"/>
          <w:szCs w:val="20"/>
        </w:rPr>
        <w:t xml:space="preserve">of </w:t>
      </w:r>
      <w:proofErr w:type="spellStart"/>
      <w:r w:rsidR="00487257">
        <w:rPr>
          <w:rFonts w:cs="Arial"/>
          <w:szCs w:val="20"/>
        </w:rPr>
        <w:t>Viterra’s</w:t>
      </w:r>
      <w:proofErr w:type="spellEnd"/>
      <w:r w:rsidR="00487257">
        <w:rPr>
          <w:rFonts w:cs="Arial"/>
          <w:szCs w:val="20"/>
        </w:rPr>
        <w:t xml:space="preserve"> undertaking </w:t>
      </w:r>
      <w:r w:rsidRPr="001212C2">
        <w:rPr>
          <w:rFonts w:cs="Arial"/>
          <w:szCs w:val="20"/>
        </w:rPr>
        <w:t>provide that the undertaking will expire on the earlier of 30 September 2015, or:</w:t>
      </w:r>
    </w:p>
    <w:p w:rsidR="00633670" w:rsidRPr="001212C2" w:rsidRDefault="00633670" w:rsidP="000F6832">
      <w:pPr>
        <w:numPr>
          <w:ilvl w:val="0"/>
          <w:numId w:val="19"/>
        </w:numPr>
        <w:ind w:left="1077" w:hanging="357"/>
        <w:rPr>
          <w:rFonts w:cs="Arial"/>
          <w:sz w:val="18"/>
          <w:szCs w:val="18"/>
        </w:rPr>
      </w:pPr>
      <w:r w:rsidRPr="001212C2">
        <w:rPr>
          <w:rFonts w:cs="Arial"/>
          <w:sz w:val="18"/>
          <w:szCs w:val="18"/>
        </w:rPr>
        <w:t>the date on which the WEMA (including the “access test”) is repealed, the Code having been declared by regulations under section 51AE of the CCA as a mandatory industry code; or</w:t>
      </w:r>
    </w:p>
    <w:p w:rsidR="00633670" w:rsidRPr="001212C2" w:rsidRDefault="00633670" w:rsidP="000F6832">
      <w:pPr>
        <w:numPr>
          <w:ilvl w:val="0"/>
          <w:numId w:val="19"/>
        </w:numPr>
        <w:ind w:left="1077" w:hanging="357"/>
        <w:rPr>
          <w:rFonts w:cs="Arial"/>
          <w:sz w:val="18"/>
          <w:szCs w:val="18"/>
        </w:rPr>
      </w:pPr>
      <w:r w:rsidRPr="001212C2">
        <w:rPr>
          <w:rFonts w:cs="Arial"/>
          <w:sz w:val="18"/>
          <w:szCs w:val="18"/>
        </w:rPr>
        <w:lastRenderedPageBreak/>
        <w:t xml:space="preserve">the date on which the WEMA is repealed or amended such that there is no longer any requirement for the Port Operator to have in place an access undertaking under Part IIIA of the CCA in order for the Port Operator or its Associated Entities to export Bulk Wheat (and there is no requirement for the Port Operator to have in place an access undertaking for this purpose under any other legislation; </w:t>
      </w:r>
      <w:r w:rsidRPr="001212C2">
        <w:rPr>
          <w:rFonts w:cs="Arial"/>
          <w:sz w:val="18"/>
          <w:szCs w:val="18"/>
          <w:vertAlign w:val="superscript"/>
        </w:rPr>
        <w:footnoteReference w:id="30"/>
      </w:r>
    </w:p>
    <w:p w:rsidR="00633670" w:rsidRPr="001212C2" w:rsidRDefault="00633670" w:rsidP="00633670">
      <w:pPr>
        <w:rPr>
          <w:rFonts w:cs="Arial"/>
          <w:sz w:val="18"/>
          <w:szCs w:val="18"/>
        </w:rPr>
      </w:pPr>
      <w:r w:rsidRPr="001212C2">
        <w:rPr>
          <w:rFonts w:cs="Arial"/>
          <w:szCs w:val="20"/>
        </w:rPr>
        <w:t xml:space="preserve">The 2011 Undertaking will not operate past 30 September 2015 unless a further application to extend is submitted by </w:t>
      </w:r>
      <w:proofErr w:type="spellStart"/>
      <w:r w:rsidRPr="001212C2">
        <w:rPr>
          <w:rFonts w:cs="Arial"/>
          <w:szCs w:val="20"/>
        </w:rPr>
        <w:t>Viterra</w:t>
      </w:r>
      <w:proofErr w:type="spellEnd"/>
      <w:r w:rsidRPr="001212C2">
        <w:rPr>
          <w:rFonts w:cs="Arial"/>
          <w:szCs w:val="20"/>
        </w:rPr>
        <w:t>.</w:t>
      </w:r>
    </w:p>
    <w:p w:rsidR="00633670" w:rsidRPr="001212C2"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1212C2">
        <w:rPr>
          <w:rFonts w:ascii="Lucida Fax" w:eastAsia="Times New Roman" w:hAnsi="Lucida Fax" w:cs="Times New Roman"/>
          <w:b/>
          <w:bCs/>
          <w:sz w:val="24"/>
          <w:szCs w:val="28"/>
        </w:rPr>
        <w:t>Viterra’s</w:t>
      </w:r>
      <w:proofErr w:type="spellEnd"/>
      <w:r w:rsidRPr="001212C2">
        <w:rPr>
          <w:rFonts w:ascii="Lucida Fax" w:eastAsia="Times New Roman" w:hAnsi="Lucida Fax" w:cs="Times New Roman"/>
          <w:b/>
          <w:bCs/>
          <w:sz w:val="24"/>
          <w:szCs w:val="28"/>
        </w:rPr>
        <w:t xml:space="preserve"> supporting submissions</w:t>
      </w:r>
    </w:p>
    <w:p w:rsidR="00633670" w:rsidRPr="001212C2" w:rsidRDefault="00633670" w:rsidP="00633670">
      <w:pPr>
        <w:rPr>
          <w:rFonts w:eastAsia="Times New Roman" w:cs="Arial"/>
          <w:szCs w:val="20"/>
        </w:rPr>
      </w:pPr>
      <w:r w:rsidRPr="001212C2">
        <w:rPr>
          <w:rFonts w:eastAsia="Times New Roman" w:cs="Arial"/>
          <w:szCs w:val="20"/>
        </w:rPr>
        <w:t>In relation to the introduction of clauses 3.2(b) and 3.2(c) that will cause the undertaking to expire if the mandatory code is introdu</w:t>
      </w:r>
      <w:r w:rsidR="00933F26">
        <w:rPr>
          <w:rFonts w:eastAsia="Times New Roman" w:cs="Arial"/>
          <w:szCs w:val="20"/>
        </w:rPr>
        <w:t xml:space="preserve">ced, </w:t>
      </w:r>
      <w:proofErr w:type="spellStart"/>
      <w:r w:rsidR="00933F26">
        <w:rPr>
          <w:rFonts w:eastAsia="Times New Roman" w:cs="Arial"/>
          <w:szCs w:val="20"/>
        </w:rPr>
        <w:t>Viterra</w:t>
      </w:r>
      <w:proofErr w:type="spellEnd"/>
      <w:r w:rsidR="00933F26">
        <w:rPr>
          <w:rFonts w:eastAsia="Times New Roman" w:cs="Arial"/>
          <w:szCs w:val="20"/>
        </w:rPr>
        <w:t xml:space="preserve"> submit</w:t>
      </w:r>
      <w:r w:rsidR="00016A1B">
        <w:rPr>
          <w:rFonts w:eastAsia="Calibri" w:cs="Times New Roman"/>
          <w:szCs w:val="20"/>
        </w:rPr>
        <w:t>ted</w:t>
      </w:r>
      <w:r w:rsidRPr="001212C2">
        <w:rPr>
          <w:rFonts w:eastAsia="Times New Roman" w:cs="Arial"/>
          <w:szCs w:val="20"/>
        </w:rPr>
        <w:t xml:space="preserve"> that:</w:t>
      </w:r>
    </w:p>
    <w:p w:rsidR="00633670" w:rsidRPr="001212C2" w:rsidRDefault="00633670" w:rsidP="00633670">
      <w:pPr>
        <w:ind w:left="726"/>
        <w:rPr>
          <w:rFonts w:eastAsia="Times New Roman" w:cs="Arial"/>
          <w:sz w:val="18"/>
          <w:szCs w:val="18"/>
          <w:lang w:eastAsia="en-AU"/>
        </w:rPr>
      </w:pPr>
      <w:r w:rsidRPr="001212C2">
        <w:rPr>
          <w:rFonts w:eastAsia="Times New Roman" w:cs="Arial"/>
          <w:sz w:val="18"/>
          <w:szCs w:val="18"/>
          <w:lang w:eastAsia="en-AU"/>
        </w:rPr>
        <w:t>The purpose of this amendment is to avoid duplication between the Access Undertaking and the Code. It also ensure</w:t>
      </w:r>
      <w:r>
        <w:rPr>
          <w:rFonts w:eastAsia="Times New Roman" w:cs="Arial"/>
          <w:sz w:val="18"/>
          <w:szCs w:val="18"/>
          <w:lang w:eastAsia="en-AU"/>
        </w:rPr>
        <w:t>s</w:t>
      </w:r>
      <w:r w:rsidRPr="001212C2">
        <w:rPr>
          <w:rFonts w:eastAsia="Times New Roman" w:cs="Arial"/>
          <w:sz w:val="18"/>
          <w:szCs w:val="18"/>
          <w:lang w:eastAsia="en-AU"/>
        </w:rPr>
        <w:t xml:space="preserve"> that if there is a change in Government policy and the WEMA (and therefore the “access test”) is repealed without implementation of the Code, </w:t>
      </w:r>
      <w:proofErr w:type="spellStart"/>
      <w:r w:rsidRPr="001212C2">
        <w:rPr>
          <w:rFonts w:eastAsia="Times New Roman" w:cs="Arial"/>
          <w:sz w:val="18"/>
          <w:szCs w:val="18"/>
          <w:lang w:eastAsia="en-AU"/>
        </w:rPr>
        <w:t>Viterra</w:t>
      </w:r>
      <w:proofErr w:type="spellEnd"/>
      <w:r w:rsidRPr="001212C2">
        <w:rPr>
          <w:rFonts w:eastAsia="Times New Roman" w:cs="Arial"/>
          <w:sz w:val="18"/>
          <w:szCs w:val="18"/>
          <w:lang w:eastAsia="en-AU"/>
        </w:rPr>
        <w:t xml:space="preserve"> Operations will not be disadvantaged by its decision to extend the Access Undertaking in order to provide early certainty to its Clients in relation to their capacity </w:t>
      </w:r>
      <w:proofErr w:type="gramStart"/>
      <w:r w:rsidRPr="001212C2">
        <w:rPr>
          <w:rFonts w:eastAsia="Times New Roman" w:cs="Arial"/>
          <w:sz w:val="18"/>
          <w:szCs w:val="18"/>
          <w:lang w:eastAsia="en-AU"/>
        </w:rPr>
        <w:t>entitlements .</w:t>
      </w:r>
      <w:proofErr w:type="gramEnd"/>
      <w:r w:rsidRPr="001212C2">
        <w:rPr>
          <w:rFonts w:eastAsia="Times New Roman" w:cs="Arial"/>
          <w:sz w:val="18"/>
          <w:szCs w:val="18"/>
          <w:vertAlign w:val="superscript"/>
          <w:lang w:eastAsia="en-AU"/>
        </w:rPr>
        <w:footnoteReference w:id="31"/>
      </w:r>
    </w:p>
    <w:p w:rsidR="00BC3C8F" w:rsidRDefault="00933F26" w:rsidP="00BC3C8F">
      <w:pPr>
        <w:numPr>
          <w:ilvl w:val="2"/>
          <w:numId w:val="1"/>
        </w:numPr>
        <w:spacing w:before="360" w:after="120"/>
        <w:rPr>
          <w:rFonts w:ascii="Lucida Fax" w:eastAsia="Times New Roman" w:hAnsi="Lucida Fax" w:cs="Times New Roman"/>
          <w:b/>
          <w:bCs/>
          <w:sz w:val="24"/>
          <w:szCs w:val="28"/>
        </w:rPr>
      </w:pPr>
      <w:r>
        <w:rPr>
          <w:rFonts w:ascii="Lucida Fax" w:eastAsia="Times New Roman" w:hAnsi="Lucida Fax" w:cs="Times New Roman"/>
          <w:b/>
          <w:bCs/>
          <w:sz w:val="24"/>
          <w:szCs w:val="28"/>
        </w:rPr>
        <w:t xml:space="preserve">ACCC’s </w:t>
      </w:r>
      <w:r w:rsidR="00633670" w:rsidRPr="001212C2">
        <w:rPr>
          <w:rFonts w:ascii="Lucida Fax" w:eastAsia="Times New Roman" w:hAnsi="Lucida Fax" w:cs="Times New Roman"/>
          <w:b/>
          <w:bCs/>
          <w:sz w:val="24"/>
          <w:szCs w:val="28"/>
        </w:rPr>
        <w:t>view</w:t>
      </w:r>
    </w:p>
    <w:p w:rsidR="00BC3C8F" w:rsidRDefault="00633670" w:rsidP="001B45FB">
      <w:pPr>
        <w:rPr>
          <w:rFonts w:ascii="Lucida Fax" w:eastAsia="Times New Roman" w:hAnsi="Lucida Fax" w:cs="Times New Roman"/>
          <w:b/>
          <w:bCs/>
          <w:sz w:val="24"/>
          <w:szCs w:val="28"/>
        </w:rPr>
      </w:pPr>
      <w:r w:rsidRPr="00BC3C8F">
        <w:rPr>
          <w:rFonts w:eastAsia="Times New Roman" w:cs="Arial"/>
          <w:bCs/>
          <w:szCs w:val="20"/>
        </w:rPr>
        <w:t>The ACCC</w:t>
      </w:r>
      <w:r w:rsidR="001A268B" w:rsidRPr="00BC3C8F">
        <w:rPr>
          <w:rFonts w:eastAsia="Times New Roman" w:cs="Arial"/>
          <w:bCs/>
          <w:szCs w:val="20"/>
        </w:rPr>
        <w:t xml:space="preserve"> considers</w:t>
      </w:r>
      <w:r w:rsidRPr="00BC3C8F">
        <w:rPr>
          <w:rFonts w:eastAsia="Times New Roman" w:cs="Arial"/>
          <w:bCs/>
          <w:szCs w:val="20"/>
        </w:rPr>
        <w:t xml:space="preserve"> that the circumstances in which </w:t>
      </w:r>
      <w:proofErr w:type="spellStart"/>
      <w:r w:rsidRPr="00BC3C8F">
        <w:rPr>
          <w:rFonts w:eastAsia="Times New Roman" w:cs="Arial"/>
          <w:bCs/>
          <w:szCs w:val="20"/>
        </w:rPr>
        <w:t>Viterra</w:t>
      </w:r>
      <w:proofErr w:type="spellEnd"/>
      <w:r w:rsidRPr="00BC3C8F">
        <w:rPr>
          <w:rFonts w:eastAsia="Times New Roman" w:cs="Arial"/>
          <w:bCs/>
          <w:szCs w:val="20"/>
        </w:rPr>
        <w:t xml:space="preserve"> has submitted its </w:t>
      </w:r>
      <w:r w:rsidR="007F453D" w:rsidRPr="00BC3C8F">
        <w:rPr>
          <w:rFonts w:eastAsia="Times New Roman" w:cs="Arial"/>
          <w:bCs/>
          <w:szCs w:val="20"/>
        </w:rPr>
        <w:t xml:space="preserve">Amended </w:t>
      </w:r>
      <w:r w:rsidR="00322820" w:rsidRPr="00BC3C8F">
        <w:rPr>
          <w:rFonts w:eastAsia="Times New Roman" w:cs="Arial"/>
          <w:bCs/>
          <w:szCs w:val="20"/>
        </w:rPr>
        <w:t>a</w:t>
      </w:r>
      <w:r w:rsidRPr="00BC3C8F">
        <w:rPr>
          <w:rFonts w:eastAsia="Times New Roman" w:cs="Arial"/>
          <w:bCs/>
          <w:szCs w:val="20"/>
        </w:rPr>
        <w:t xml:space="preserve">pplication to extend and vary need to be taken into account in assessing the appropriateness of this extension, specifically the addition of the clauses effecting an </w:t>
      </w:r>
      <w:r w:rsidR="00434D3B">
        <w:rPr>
          <w:rFonts w:eastAsia="Times New Roman" w:cs="Arial"/>
          <w:bCs/>
          <w:szCs w:val="20"/>
        </w:rPr>
        <w:t>earlier</w:t>
      </w:r>
      <w:r w:rsidR="00434D3B" w:rsidRPr="00BC3C8F">
        <w:rPr>
          <w:rFonts w:eastAsia="Times New Roman" w:cs="Arial"/>
          <w:bCs/>
          <w:szCs w:val="20"/>
        </w:rPr>
        <w:t xml:space="preserve"> </w:t>
      </w:r>
      <w:r w:rsidRPr="00BC3C8F">
        <w:rPr>
          <w:rFonts w:eastAsia="Times New Roman" w:cs="Arial"/>
          <w:bCs/>
          <w:szCs w:val="20"/>
        </w:rPr>
        <w:t>expiry</w:t>
      </w:r>
      <w:r w:rsidR="00434D3B">
        <w:rPr>
          <w:rFonts w:eastAsia="Times New Roman" w:cs="Arial"/>
          <w:bCs/>
          <w:szCs w:val="20"/>
        </w:rPr>
        <w:t xml:space="preserve"> based on certain conditions</w:t>
      </w:r>
      <w:r w:rsidR="001E7781">
        <w:rPr>
          <w:rFonts w:eastAsia="Times New Roman" w:cs="Arial"/>
          <w:bCs/>
          <w:szCs w:val="20"/>
        </w:rPr>
        <w:t>.</w:t>
      </w:r>
      <w:r w:rsidRPr="00BC3C8F">
        <w:rPr>
          <w:rFonts w:eastAsia="Times New Roman" w:cs="Arial"/>
          <w:bCs/>
          <w:szCs w:val="20"/>
        </w:rPr>
        <w:t xml:space="preserve"> In the absence of clauses 3.2 (b) and (c), </w:t>
      </w:r>
      <w:proofErr w:type="spellStart"/>
      <w:r w:rsidRPr="00BC3C8F">
        <w:rPr>
          <w:rFonts w:eastAsia="Times New Roman" w:cs="Arial"/>
          <w:bCs/>
          <w:szCs w:val="20"/>
        </w:rPr>
        <w:t>Viterra</w:t>
      </w:r>
      <w:proofErr w:type="spellEnd"/>
      <w:r w:rsidRPr="00BC3C8F">
        <w:rPr>
          <w:rFonts w:eastAsia="Times New Roman" w:cs="Arial"/>
          <w:bCs/>
          <w:szCs w:val="20"/>
        </w:rPr>
        <w:t xml:space="preserve"> would be required to apply to the ACCC for consent to withdraw the 2011 Undertaking</w:t>
      </w:r>
      <w:r w:rsidR="00434D3B">
        <w:rPr>
          <w:rFonts w:eastAsia="Times New Roman" w:cs="Arial"/>
          <w:bCs/>
          <w:szCs w:val="20"/>
        </w:rPr>
        <w:t>,</w:t>
      </w:r>
      <w:r w:rsidRPr="00BC3C8F">
        <w:rPr>
          <w:rFonts w:eastAsia="Times New Roman" w:cs="Arial"/>
          <w:bCs/>
          <w:szCs w:val="20"/>
        </w:rPr>
        <w:t xml:space="preserve"> pursuant to section 44ZZA(7)(b)</w:t>
      </w:r>
      <w:r w:rsidR="00434D3B">
        <w:rPr>
          <w:rFonts w:eastAsia="Times New Roman" w:cs="Arial"/>
          <w:bCs/>
          <w:szCs w:val="20"/>
        </w:rPr>
        <w:t>, at the time that a mandatory industry code comes into force</w:t>
      </w:r>
      <w:r w:rsidRPr="00BC3C8F">
        <w:rPr>
          <w:rFonts w:eastAsia="Times New Roman" w:cs="Arial"/>
          <w:bCs/>
          <w:szCs w:val="20"/>
        </w:rPr>
        <w:t xml:space="preserve">. </w:t>
      </w:r>
    </w:p>
    <w:p w:rsidR="00BC3C8F" w:rsidRDefault="00633670" w:rsidP="001B45FB">
      <w:pPr>
        <w:rPr>
          <w:rFonts w:ascii="Lucida Fax" w:eastAsia="Times New Roman" w:hAnsi="Lucida Fax" w:cs="Times New Roman"/>
          <w:b/>
          <w:bCs/>
          <w:sz w:val="24"/>
          <w:szCs w:val="28"/>
        </w:rPr>
      </w:pPr>
      <w:r w:rsidRPr="001212C2">
        <w:rPr>
          <w:rFonts w:eastAsia="Times New Roman" w:cs="Arial"/>
          <w:bCs/>
          <w:szCs w:val="20"/>
        </w:rPr>
        <w:t xml:space="preserve">As noted above, a mandatory industry code of conduct will come into effect </w:t>
      </w:r>
      <w:r w:rsidR="00E86701">
        <w:rPr>
          <w:rFonts w:eastAsia="Times New Roman" w:cs="Arial"/>
          <w:bCs/>
          <w:szCs w:val="20"/>
        </w:rPr>
        <w:t xml:space="preserve">on 1 October 2014 </w:t>
      </w:r>
      <w:r w:rsidRPr="001212C2">
        <w:rPr>
          <w:rFonts w:eastAsia="Times New Roman" w:cs="Arial"/>
          <w:bCs/>
          <w:szCs w:val="20"/>
        </w:rPr>
        <w:t xml:space="preserve">if, as at 30 September 2014, that code has been approved by the Minister for Agriculture and declared under the CCA. </w:t>
      </w:r>
      <w:proofErr w:type="spellStart"/>
      <w:r w:rsidRPr="001212C2">
        <w:rPr>
          <w:rFonts w:eastAsia="Times New Roman" w:cs="Arial"/>
          <w:bCs/>
          <w:szCs w:val="20"/>
        </w:rPr>
        <w:t>Viterra’s</w:t>
      </w:r>
      <w:proofErr w:type="spellEnd"/>
      <w:r w:rsidRPr="001212C2">
        <w:rPr>
          <w:rFonts w:eastAsia="Times New Roman" w:cs="Arial"/>
          <w:bCs/>
          <w:szCs w:val="20"/>
        </w:rPr>
        <w:t xml:space="preserve"> A</w:t>
      </w:r>
      <w:r w:rsidR="00A82FB2">
        <w:rPr>
          <w:rFonts w:eastAsia="Times New Roman" w:cs="Arial"/>
          <w:bCs/>
          <w:szCs w:val="20"/>
        </w:rPr>
        <w:t>mended a</w:t>
      </w:r>
      <w:r w:rsidRPr="001212C2">
        <w:rPr>
          <w:rFonts w:eastAsia="Times New Roman" w:cs="Arial"/>
          <w:bCs/>
          <w:szCs w:val="20"/>
        </w:rPr>
        <w:t>pplication to extend and vary seeks to provide regulatory certainty for its own commercial operations, as well as the commercial operations of access seekers, in the event that a code is not approved and declared by 30 September 2014.</w:t>
      </w:r>
    </w:p>
    <w:p w:rsidR="00BC3C8F" w:rsidRDefault="00633670" w:rsidP="001B45FB">
      <w:pPr>
        <w:rPr>
          <w:rFonts w:ascii="Lucida Fax" w:eastAsia="Times New Roman" w:hAnsi="Lucida Fax" w:cs="Times New Roman"/>
          <w:b/>
          <w:bCs/>
          <w:sz w:val="24"/>
          <w:szCs w:val="28"/>
        </w:rPr>
      </w:pPr>
      <w:r w:rsidRPr="001212C2">
        <w:rPr>
          <w:rFonts w:eastAsia="Times New Roman" w:cs="Arial"/>
          <w:bCs/>
          <w:szCs w:val="20"/>
        </w:rPr>
        <w:t>The ACCC considers operational certainty to be a key factor in a port owner or access seeker’s ability to make commercially profitable decisio</w:t>
      </w:r>
      <w:r w:rsidR="001A268B">
        <w:rPr>
          <w:rFonts w:eastAsia="Times New Roman" w:cs="Arial"/>
          <w:bCs/>
          <w:szCs w:val="20"/>
        </w:rPr>
        <w:t>ns. The ACCC therefore considers</w:t>
      </w:r>
      <w:r w:rsidRPr="001212C2">
        <w:rPr>
          <w:rFonts w:eastAsia="Times New Roman" w:cs="Arial"/>
          <w:bCs/>
          <w:szCs w:val="20"/>
        </w:rPr>
        <w:t xml:space="preserve"> that the co</w:t>
      </w:r>
      <w:r w:rsidR="001A268B">
        <w:rPr>
          <w:rFonts w:eastAsia="Times New Roman" w:cs="Arial"/>
          <w:bCs/>
          <w:szCs w:val="20"/>
        </w:rPr>
        <w:t xml:space="preserve">ntinuation of </w:t>
      </w:r>
      <w:proofErr w:type="spellStart"/>
      <w:r w:rsidR="001A268B">
        <w:rPr>
          <w:rFonts w:eastAsia="Times New Roman" w:cs="Arial"/>
          <w:bCs/>
          <w:szCs w:val="20"/>
        </w:rPr>
        <w:t>Viterra’s</w:t>
      </w:r>
      <w:proofErr w:type="spellEnd"/>
      <w:r w:rsidR="001A268B">
        <w:rPr>
          <w:rFonts w:eastAsia="Times New Roman" w:cs="Arial"/>
          <w:bCs/>
          <w:szCs w:val="20"/>
        </w:rPr>
        <w:t xml:space="preserve"> </w:t>
      </w:r>
      <w:r w:rsidRPr="001212C2">
        <w:rPr>
          <w:rFonts w:eastAsia="Times New Roman" w:cs="Arial"/>
          <w:bCs/>
          <w:szCs w:val="20"/>
        </w:rPr>
        <w:t xml:space="preserve">access arrangements in </w:t>
      </w:r>
      <w:r w:rsidR="00E86701">
        <w:rPr>
          <w:rFonts w:eastAsia="Times New Roman" w:cs="Arial"/>
          <w:bCs/>
          <w:szCs w:val="20"/>
        </w:rPr>
        <w:t>any</w:t>
      </w:r>
      <w:r w:rsidR="00A40728">
        <w:rPr>
          <w:rFonts w:eastAsia="Times New Roman" w:cs="Arial"/>
          <w:bCs/>
          <w:szCs w:val="20"/>
        </w:rPr>
        <w:t xml:space="preserve"> </w:t>
      </w:r>
      <w:r w:rsidRPr="001212C2">
        <w:rPr>
          <w:rFonts w:eastAsia="Times New Roman" w:cs="Arial"/>
          <w:bCs/>
          <w:szCs w:val="20"/>
        </w:rPr>
        <w:t xml:space="preserve">potential gap between the expiration of </w:t>
      </w:r>
      <w:proofErr w:type="spellStart"/>
      <w:r w:rsidRPr="001212C2">
        <w:rPr>
          <w:rFonts w:eastAsia="Times New Roman" w:cs="Arial"/>
          <w:bCs/>
          <w:szCs w:val="20"/>
        </w:rPr>
        <w:t>Viterra’s</w:t>
      </w:r>
      <w:proofErr w:type="spellEnd"/>
      <w:r w:rsidRPr="001212C2">
        <w:rPr>
          <w:rFonts w:eastAsia="Times New Roman" w:cs="Arial"/>
          <w:bCs/>
          <w:szCs w:val="20"/>
        </w:rPr>
        <w:t xml:space="preserve"> 2011 </w:t>
      </w:r>
      <w:proofErr w:type="gramStart"/>
      <w:r w:rsidRPr="001212C2">
        <w:rPr>
          <w:rFonts w:eastAsia="Times New Roman" w:cs="Arial"/>
          <w:bCs/>
          <w:szCs w:val="20"/>
        </w:rPr>
        <w:t>Undertaking</w:t>
      </w:r>
      <w:proofErr w:type="gramEnd"/>
      <w:r w:rsidRPr="001212C2">
        <w:rPr>
          <w:rFonts w:eastAsia="Times New Roman" w:cs="Arial"/>
          <w:bCs/>
          <w:szCs w:val="20"/>
        </w:rPr>
        <w:t xml:space="preserve"> on 30 September 2014, and the potential commenceme</w:t>
      </w:r>
      <w:r w:rsidR="001A268B">
        <w:rPr>
          <w:rFonts w:eastAsia="Times New Roman" w:cs="Arial"/>
          <w:bCs/>
          <w:szCs w:val="20"/>
        </w:rPr>
        <w:t>nt of a mandatory code, provide</w:t>
      </w:r>
      <w:r w:rsidR="00434D3B">
        <w:rPr>
          <w:rFonts w:eastAsia="Times New Roman" w:cs="Arial"/>
          <w:bCs/>
          <w:szCs w:val="20"/>
        </w:rPr>
        <w:t>s</w:t>
      </w:r>
      <w:r w:rsidRPr="001212C2">
        <w:rPr>
          <w:rFonts w:eastAsia="Times New Roman" w:cs="Arial"/>
          <w:bCs/>
          <w:szCs w:val="20"/>
        </w:rPr>
        <w:t xml:space="preserve"> this certainty. </w:t>
      </w:r>
    </w:p>
    <w:p w:rsidR="00633670" w:rsidRPr="00BC3C8F" w:rsidRDefault="00633670" w:rsidP="001B45FB">
      <w:pPr>
        <w:rPr>
          <w:rFonts w:ascii="Lucida Fax" w:eastAsia="Times New Roman" w:hAnsi="Lucida Fax" w:cs="Times New Roman"/>
          <w:b/>
          <w:bCs/>
          <w:sz w:val="24"/>
          <w:szCs w:val="28"/>
        </w:rPr>
      </w:pPr>
      <w:r w:rsidRPr="001212C2">
        <w:rPr>
          <w:rFonts w:eastAsia="Times New Roman" w:cs="Arial"/>
          <w:bCs/>
          <w:szCs w:val="20"/>
        </w:rPr>
        <w:t>The ACCC considers that</w:t>
      </w:r>
      <w:r>
        <w:rPr>
          <w:rFonts w:eastAsia="Times New Roman" w:cs="Arial"/>
          <w:bCs/>
          <w:szCs w:val="20"/>
        </w:rPr>
        <w:t xml:space="preserve"> the certainty provided by the proposed extension </w:t>
      </w:r>
      <w:r w:rsidRPr="001212C2">
        <w:rPr>
          <w:rFonts w:eastAsia="Times New Roman" w:cs="Arial"/>
          <w:bCs/>
          <w:szCs w:val="20"/>
        </w:rPr>
        <w:t xml:space="preserve">is in the interests of both </w:t>
      </w:r>
      <w:proofErr w:type="spellStart"/>
      <w:r w:rsidRPr="001212C2">
        <w:rPr>
          <w:rFonts w:eastAsia="Times New Roman" w:cs="Arial"/>
          <w:bCs/>
          <w:szCs w:val="20"/>
        </w:rPr>
        <w:t>Viterra</w:t>
      </w:r>
      <w:proofErr w:type="spellEnd"/>
      <w:r w:rsidRPr="001212C2">
        <w:rPr>
          <w:rFonts w:eastAsia="Times New Roman" w:cs="Arial"/>
          <w:bCs/>
          <w:szCs w:val="20"/>
        </w:rPr>
        <w:t xml:space="preserve"> and access seekers, having regard to subs</w:t>
      </w:r>
      <w:r>
        <w:rPr>
          <w:rFonts w:eastAsia="Times New Roman" w:cs="Arial"/>
          <w:bCs/>
          <w:szCs w:val="20"/>
        </w:rPr>
        <w:t>ection</w:t>
      </w:r>
      <w:r w:rsidRPr="001212C2">
        <w:rPr>
          <w:rFonts w:eastAsia="Times New Roman" w:cs="Arial"/>
          <w:bCs/>
          <w:szCs w:val="20"/>
        </w:rPr>
        <w:t xml:space="preserve">s </w:t>
      </w:r>
      <w:proofErr w:type="gramStart"/>
      <w:r w:rsidRPr="001212C2">
        <w:rPr>
          <w:rFonts w:eastAsia="Times New Roman" w:cs="Arial"/>
          <w:bCs/>
          <w:szCs w:val="20"/>
        </w:rPr>
        <w:t>44ZZA(</w:t>
      </w:r>
      <w:proofErr w:type="gramEnd"/>
      <w:r w:rsidRPr="001212C2">
        <w:rPr>
          <w:rFonts w:eastAsia="Times New Roman" w:cs="Arial"/>
          <w:bCs/>
          <w:szCs w:val="20"/>
        </w:rPr>
        <w:t>3)(a) and 44ZZA(3)(c) of the CCA. The ACCC also considers that the operational certainty provided by the proposed extension promotes the operation of an efficient and profitable bulk wheat export marketing industry, and is consistent with the objects of the WEMA.</w:t>
      </w:r>
      <w:r w:rsidRPr="001212C2">
        <w:rPr>
          <w:rFonts w:eastAsia="Times New Roman" w:cs="Arial"/>
          <w:bCs/>
          <w:szCs w:val="20"/>
          <w:vertAlign w:val="superscript"/>
        </w:rPr>
        <w:footnoteReference w:id="32"/>
      </w:r>
      <w:r w:rsidRPr="001212C2">
        <w:rPr>
          <w:rFonts w:eastAsia="Times New Roman" w:cs="Arial"/>
          <w:bCs/>
          <w:szCs w:val="20"/>
        </w:rPr>
        <w:t xml:space="preserve"> </w:t>
      </w:r>
      <w:r w:rsidR="00671688">
        <w:rPr>
          <w:rFonts w:eastAsia="Times New Roman" w:cs="Arial"/>
          <w:bCs/>
          <w:szCs w:val="20"/>
        </w:rPr>
        <w:t>Further, the ACCC considers that the expiry of the undertaking under clause 3.2(b) or 3.2(c) in the event of significant regulatory change (</w:t>
      </w:r>
      <w:proofErr w:type="spellStart"/>
      <w:r w:rsidR="00671688">
        <w:rPr>
          <w:rFonts w:eastAsia="Times New Roman" w:cs="Arial"/>
          <w:bCs/>
          <w:szCs w:val="20"/>
        </w:rPr>
        <w:t>ie</w:t>
      </w:r>
      <w:proofErr w:type="spellEnd"/>
      <w:r w:rsidR="00671688">
        <w:rPr>
          <w:rFonts w:eastAsia="Times New Roman" w:cs="Arial"/>
          <w:bCs/>
          <w:szCs w:val="20"/>
        </w:rPr>
        <w:t xml:space="preserve"> the introduction of a mandatory code or legislative change that removes the requirement for </w:t>
      </w:r>
      <w:proofErr w:type="spellStart"/>
      <w:r w:rsidR="00671688">
        <w:rPr>
          <w:rFonts w:eastAsia="Times New Roman" w:cs="Arial"/>
          <w:bCs/>
          <w:szCs w:val="20"/>
        </w:rPr>
        <w:t>Viterra</w:t>
      </w:r>
      <w:proofErr w:type="spellEnd"/>
      <w:r w:rsidR="00671688">
        <w:rPr>
          <w:rFonts w:eastAsia="Times New Roman" w:cs="Arial"/>
          <w:bCs/>
          <w:szCs w:val="20"/>
        </w:rPr>
        <w:t xml:space="preserve"> to have an access undertaking accepted by the ACCC) is appropriate.</w:t>
      </w:r>
      <w:r w:rsidR="004C5C36">
        <w:rPr>
          <w:rFonts w:eastAsia="Times New Roman" w:cs="Arial"/>
          <w:bCs/>
          <w:szCs w:val="20"/>
        </w:rPr>
        <w:t xml:space="preserve"> </w:t>
      </w:r>
      <w:r w:rsidRPr="001212C2">
        <w:rPr>
          <w:rFonts w:eastAsia="Times New Roman" w:cs="Arial"/>
          <w:bCs/>
          <w:szCs w:val="20"/>
        </w:rPr>
        <w:t xml:space="preserve"> </w:t>
      </w:r>
    </w:p>
    <w:p w:rsidR="00633670" w:rsidRPr="001212C2" w:rsidRDefault="00633670" w:rsidP="00446EED">
      <w:pPr>
        <w:keepNext/>
        <w:rPr>
          <w:rFonts w:eastAsia="Times New Roman" w:cs="Arial"/>
          <w:bCs/>
          <w:szCs w:val="20"/>
        </w:rPr>
      </w:pPr>
      <w:r w:rsidRPr="001212C2">
        <w:rPr>
          <w:rFonts w:eastAsia="Times New Roman" w:cs="Arial"/>
          <w:bCs/>
          <w:szCs w:val="20"/>
        </w:rPr>
        <w:t xml:space="preserve">In summary, </w:t>
      </w:r>
      <w:r w:rsidR="00B234A0">
        <w:rPr>
          <w:rFonts w:eastAsia="Times New Roman" w:cs="Arial"/>
          <w:bCs/>
          <w:szCs w:val="20"/>
        </w:rPr>
        <w:t xml:space="preserve">it is the ACCC’s view that, </w:t>
      </w:r>
      <w:r w:rsidRPr="001212C2">
        <w:rPr>
          <w:rFonts w:eastAsia="Times New Roman" w:cs="Arial"/>
          <w:bCs/>
          <w:szCs w:val="20"/>
        </w:rPr>
        <w:t>having regard to the matters listed in subs</w:t>
      </w:r>
      <w:r>
        <w:rPr>
          <w:rFonts w:eastAsia="Times New Roman" w:cs="Arial"/>
          <w:bCs/>
          <w:szCs w:val="20"/>
        </w:rPr>
        <w:t xml:space="preserve">ection </w:t>
      </w:r>
      <w:r w:rsidRPr="001212C2">
        <w:rPr>
          <w:rFonts w:eastAsia="Times New Roman" w:cs="Arial"/>
          <w:bCs/>
          <w:szCs w:val="20"/>
        </w:rPr>
        <w:t xml:space="preserve">44ZZA(3) of the CCA, the ACCC considers the extension of </w:t>
      </w:r>
      <w:proofErr w:type="spellStart"/>
      <w:r w:rsidRPr="001212C2">
        <w:rPr>
          <w:rFonts w:eastAsia="Times New Roman" w:cs="Arial"/>
          <w:bCs/>
          <w:szCs w:val="20"/>
        </w:rPr>
        <w:t>Viterra’s</w:t>
      </w:r>
      <w:proofErr w:type="spellEnd"/>
      <w:r w:rsidRPr="001212C2">
        <w:rPr>
          <w:rFonts w:eastAsia="Times New Roman" w:cs="Arial"/>
          <w:bCs/>
          <w:szCs w:val="20"/>
        </w:rPr>
        <w:t xml:space="preserve"> 2011 Undertaking, including the </w:t>
      </w:r>
      <w:r>
        <w:rPr>
          <w:rFonts w:eastAsia="Times New Roman" w:cs="Arial"/>
          <w:bCs/>
          <w:szCs w:val="20"/>
        </w:rPr>
        <w:t>addition</w:t>
      </w:r>
      <w:r w:rsidRPr="001212C2">
        <w:rPr>
          <w:rFonts w:eastAsia="Times New Roman" w:cs="Arial"/>
          <w:bCs/>
          <w:szCs w:val="20"/>
        </w:rPr>
        <w:t xml:space="preserve"> of clauses 3.2(b) and </w:t>
      </w:r>
      <w:r>
        <w:rPr>
          <w:rFonts w:eastAsia="Times New Roman" w:cs="Arial"/>
          <w:bCs/>
          <w:szCs w:val="20"/>
        </w:rPr>
        <w:t>3.2</w:t>
      </w:r>
      <w:r w:rsidRPr="001212C2">
        <w:rPr>
          <w:rFonts w:eastAsia="Times New Roman" w:cs="Arial"/>
          <w:bCs/>
          <w:szCs w:val="20"/>
        </w:rPr>
        <w:t xml:space="preserve">(c), to be appropriate. </w:t>
      </w:r>
    </w:p>
    <w:p w:rsidR="00633670" w:rsidRPr="001212C2" w:rsidRDefault="006057E8" w:rsidP="00633670">
      <w:pPr>
        <w:pStyle w:val="Numberedheading1"/>
      </w:pPr>
      <w:bookmarkStart w:id="19" w:name="_Toc370977032"/>
      <w:bookmarkStart w:id="20" w:name="_Toc370977136"/>
      <w:bookmarkStart w:id="21" w:name="_Toc372790893"/>
      <w:bookmarkStart w:id="22" w:name="_Toc378322937"/>
      <w:r>
        <w:lastRenderedPageBreak/>
        <w:t xml:space="preserve">Assessment of </w:t>
      </w:r>
      <w:proofErr w:type="spellStart"/>
      <w:r>
        <w:t>Viterra’s</w:t>
      </w:r>
      <w:proofErr w:type="spellEnd"/>
      <w:r>
        <w:t xml:space="preserve"> a</w:t>
      </w:r>
      <w:r w:rsidR="00633670" w:rsidRPr="001212C2">
        <w:t>pplication to vary</w:t>
      </w:r>
      <w:bookmarkEnd w:id="19"/>
      <w:bookmarkEnd w:id="20"/>
      <w:r w:rsidR="00633670">
        <w:t xml:space="preserve"> the 2011 Undertaking</w:t>
      </w:r>
      <w:bookmarkEnd w:id="21"/>
      <w:bookmarkEnd w:id="22"/>
    </w:p>
    <w:p w:rsidR="00633670" w:rsidRPr="001212C2" w:rsidRDefault="00633670" w:rsidP="00633670">
      <w:pPr>
        <w:rPr>
          <w:rFonts w:eastAsia="Times New Roman" w:cs="Arial"/>
          <w:bCs/>
          <w:szCs w:val="20"/>
        </w:rPr>
      </w:pPr>
      <w:r w:rsidRPr="001212C2">
        <w:rPr>
          <w:rFonts w:eastAsia="Times New Roman" w:cs="Arial"/>
          <w:bCs/>
          <w:szCs w:val="20"/>
        </w:rPr>
        <w:t>In addition to the application to extend the term</w:t>
      </w:r>
      <w:r w:rsidR="00A40728">
        <w:rPr>
          <w:rFonts w:eastAsia="Times New Roman" w:cs="Arial"/>
          <w:bCs/>
          <w:szCs w:val="20"/>
        </w:rPr>
        <w:t xml:space="preserve"> of the 2011 Undertaking</w:t>
      </w:r>
      <w:r w:rsidRPr="001212C2">
        <w:rPr>
          <w:rFonts w:eastAsia="Times New Roman" w:cs="Arial"/>
          <w:bCs/>
          <w:szCs w:val="20"/>
        </w:rPr>
        <w:t xml:space="preserve">, and the addition of the </w:t>
      </w:r>
      <w:r w:rsidR="00434D3B">
        <w:rPr>
          <w:rFonts w:eastAsia="Times New Roman" w:cs="Arial"/>
          <w:bCs/>
          <w:szCs w:val="20"/>
        </w:rPr>
        <w:t xml:space="preserve">conditional </w:t>
      </w:r>
      <w:r w:rsidR="00A40728">
        <w:rPr>
          <w:rFonts w:eastAsia="Times New Roman" w:cs="Arial"/>
          <w:bCs/>
          <w:szCs w:val="20"/>
        </w:rPr>
        <w:t xml:space="preserve">early </w:t>
      </w:r>
      <w:r w:rsidRPr="001212C2">
        <w:rPr>
          <w:rFonts w:eastAsia="Times New Roman" w:cs="Arial"/>
          <w:bCs/>
          <w:szCs w:val="20"/>
        </w:rPr>
        <w:t>ex</w:t>
      </w:r>
      <w:r w:rsidR="00B234A0">
        <w:rPr>
          <w:rFonts w:eastAsia="Times New Roman" w:cs="Arial"/>
          <w:bCs/>
          <w:szCs w:val="20"/>
        </w:rPr>
        <w:t xml:space="preserve">piry terms, </w:t>
      </w:r>
      <w:proofErr w:type="spellStart"/>
      <w:r w:rsidR="00B234A0">
        <w:rPr>
          <w:rFonts w:eastAsia="Times New Roman" w:cs="Arial"/>
          <w:bCs/>
          <w:szCs w:val="20"/>
        </w:rPr>
        <w:t>Viterra</w:t>
      </w:r>
      <w:proofErr w:type="spellEnd"/>
      <w:r w:rsidR="00B234A0">
        <w:rPr>
          <w:rFonts w:eastAsia="Times New Roman" w:cs="Arial"/>
          <w:bCs/>
          <w:szCs w:val="20"/>
        </w:rPr>
        <w:t xml:space="preserve"> propose</w:t>
      </w:r>
      <w:r w:rsidR="00155A78">
        <w:rPr>
          <w:rFonts w:eastAsia="Times New Roman" w:cs="Arial"/>
          <w:bCs/>
          <w:szCs w:val="20"/>
        </w:rPr>
        <w:t>s</w:t>
      </w:r>
      <w:r w:rsidRPr="001212C2">
        <w:rPr>
          <w:rFonts w:eastAsia="Times New Roman" w:cs="Arial"/>
          <w:bCs/>
          <w:szCs w:val="20"/>
        </w:rPr>
        <w:t xml:space="preserve"> to make a number of changes to its 2011 Undertaking, including the </w:t>
      </w:r>
      <w:r w:rsidRPr="00CD2D35">
        <w:rPr>
          <w:rFonts w:eastAsia="Times New Roman" w:cs="Arial"/>
          <w:bCs/>
          <w:szCs w:val="20"/>
        </w:rPr>
        <w:t>PLPs</w:t>
      </w:r>
      <w:r w:rsidRPr="001212C2">
        <w:rPr>
          <w:rFonts w:eastAsia="Times New Roman" w:cs="Arial"/>
          <w:bCs/>
          <w:szCs w:val="20"/>
        </w:rPr>
        <w:t xml:space="preserve"> and</w:t>
      </w:r>
      <w:r>
        <w:rPr>
          <w:rFonts w:eastAsia="Times New Roman" w:cs="Arial"/>
          <w:bCs/>
          <w:szCs w:val="20"/>
        </w:rPr>
        <w:t xml:space="preserve"> </w:t>
      </w:r>
      <w:r w:rsidRPr="00CD2D35">
        <w:rPr>
          <w:rFonts w:eastAsia="Times New Roman" w:cs="Arial"/>
          <w:bCs/>
          <w:szCs w:val="20"/>
        </w:rPr>
        <w:t>Standard Terms</w:t>
      </w:r>
      <w:r w:rsidRPr="001212C2">
        <w:rPr>
          <w:rFonts w:eastAsia="Times New Roman" w:cs="Arial"/>
          <w:bCs/>
          <w:szCs w:val="20"/>
        </w:rPr>
        <w:t>.</w:t>
      </w:r>
    </w:p>
    <w:p w:rsidR="00633670" w:rsidRPr="001212C2" w:rsidRDefault="00633670" w:rsidP="00633670">
      <w:pPr>
        <w:rPr>
          <w:rFonts w:eastAsia="Times New Roman" w:cs="Arial"/>
          <w:bCs/>
          <w:szCs w:val="20"/>
        </w:rPr>
      </w:pPr>
      <w:r w:rsidRPr="001212C2">
        <w:rPr>
          <w:rFonts w:eastAsia="Times New Roman" w:cs="Arial"/>
          <w:bCs/>
          <w:szCs w:val="20"/>
        </w:rPr>
        <w:t xml:space="preserve">In assessing </w:t>
      </w:r>
      <w:proofErr w:type="spellStart"/>
      <w:r w:rsidRPr="001212C2">
        <w:rPr>
          <w:rFonts w:eastAsia="Times New Roman" w:cs="Arial"/>
          <w:bCs/>
          <w:szCs w:val="20"/>
        </w:rPr>
        <w:t>Viterra’s</w:t>
      </w:r>
      <w:proofErr w:type="spellEnd"/>
      <w:r w:rsidRPr="001212C2">
        <w:rPr>
          <w:rFonts w:eastAsia="Times New Roman" w:cs="Arial"/>
          <w:bCs/>
          <w:szCs w:val="20"/>
        </w:rPr>
        <w:t xml:space="preserve"> </w:t>
      </w:r>
      <w:r w:rsidR="007F453D">
        <w:rPr>
          <w:rFonts w:eastAsia="Times New Roman" w:cs="Arial"/>
          <w:bCs/>
          <w:szCs w:val="20"/>
        </w:rPr>
        <w:t xml:space="preserve">Amended </w:t>
      </w:r>
      <w:r w:rsidR="0048105E">
        <w:rPr>
          <w:rFonts w:eastAsia="Times New Roman" w:cs="Arial"/>
          <w:bCs/>
          <w:szCs w:val="20"/>
        </w:rPr>
        <w:t>a</w:t>
      </w:r>
      <w:r w:rsidRPr="001212C2">
        <w:rPr>
          <w:rFonts w:eastAsia="Times New Roman" w:cs="Arial"/>
          <w:bCs/>
          <w:szCs w:val="20"/>
        </w:rPr>
        <w:t xml:space="preserve">pplication to extend and vary the ACCC </w:t>
      </w:r>
      <w:r w:rsidR="00671688">
        <w:rPr>
          <w:rFonts w:eastAsia="Times New Roman" w:cs="Arial"/>
          <w:bCs/>
          <w:szCs w:val="20"/>
        </w:rPr>
        <w:t xml:space="preserve">is </w:t>
      </w:r>
      <w:r w:rsidR="00B234A0">
        <w:rPr>
          <w:rFonts w:eastAsia="Times New Roman" w:cs="Arial"/>
          <w:bCs/>
          <w:szCs w:val="20"/>
        </w:rPr>
        <w:t xml:space="preserve">required to </w:t>
      </w:r>
      <w:r w:rsidRPr="001212C2">
        <w:rPr>
          <w:rFonts w:eastAsia="Times New Roman" w:cs="Arial"/>
          <w:bCs/>
          <w:szCs w:val="20"/>
        </w:rPr>
        <w:t xml:space="preserve">determine </w:t>
      </w:r>
      <w:r w:rsidR="009C06BD">
        <w:rPr>
          <w:rFonts w:eastAsia="Times New Roman" w:cs="Arial"/>
          <w:bCs/>
          <w:szCs w:val="20"/>
        </w:rPr>
        <w:t xml:space="preserve">whether it </w:t>
      </w:r>
      <w:r w:rsidR="007F453D">
        <w:rPr>
          <w:rFonts w:eastAsia="Times New Roman" w:cs="Arial"/>
          <w:bCs/>
          <w:szCs w:val="20"/>
        </w:rPr>
        <w:t>i</w:t>
      </w:r>
      <w:r w:rsidR="009C06BD">
        <w:rPr>
          <w:rFonts w:eastAsia="Times New Roman" w:cs="Arial"/>
          <w:bCs/>
          <w:szCs w:val="20"/>
        </w:rPr>
        <w:t>s</w:t>
      </w:r>
      <w:r w:rsidRPr="001212C2">
        <w:rPr>
          <w:rFonts w:eastAsia="Times New Roman" w:cs="Arial"/>
          <w:bCs/>
          <w:szCs w:val="20"/>
        </w:rPr>
        <w:t xml:space="preserve"> appropriate to consent to these variations to the 2011 Undertaking</w:t>
      </w:r>
      <w:r w:rsidR="009C06BD">
        <w:rPr>
          <w:rFonts w:eastAsia="Times New Roman" w:cs="Arial"/>
          <w:bCs/>
          <w:szCs w:val="20"/>
        </w:rPr>
        <w:t>,</w:t>
      </w:r>
      <w:r w:rsidRPr="001212C2">
        <w:rPr>
          <w:rFonts w:eastAsia="Times New Roman" w:cs="Arial"/>
          <w:bCs/>
          <w:szCs w:val="20"/>
        </w:rPr>
        <w:t xml:space="preserve"> having regard to the matters listed in subs</w:t>
      </w:r>
      <w:r>
        <w:rPr>
          <w:rFonts w:eastAsia="Times New Roman" w:cs="Arial"/>
          <w:bCs/>
          <w:szCs w:val="20"/>
        </w:rPr>
        <w:t>ection</w:t>
      </w:r>
      <w:r w:rsidRPr="001212C2">
        <w:rPr>
          <w:rFonts w:eastAsia="Times New Roman" w:cs="Arial"/>
          <w:bCs/>
          <w:szCs w:val="20"/>
        </w:rPr>
        <w:t xml:space="preserve"> </w:t>
      </w:r>
      <w:r>
        <w:rPr>
          <w:rFonts w:eastAsia="Times New Roman" w:cs="Arial"/>
          <w:bCs/>
          <w:szCs w:val="20"/>
        </w:rPr>
        <w:t>44ZZA</w:t>
      </w:r>
      <w:r w:rsidRPr="001212C2">
        <w:rPr>
          <w:rFonts w:eastAsia="Times New Roman" w:cs="Arial"/>
          <w:bCs/>
          <w:szCs w:val="20"/>
        </w:rPr>
        <w:t>(3) of t</w:t>
      </w:r>
      <w:r w:rsidR="009C06BD">
        <w:rPr>
          <w:rFonts w:eastAsia="Times New Roman" w:cs="Arial"/>
          <w:bCs/>
          <w:szCs w:val="20"/>
        </w:rPr>
        <w:t>he</w:t>
      </w:r>
      <w:r w:rsidR="004C5C36">
        <w:rPr>
          <w:rFonts w:eastAsia="Times New Roman" w:cs="Arial"/>
          <w:bCs/>
          <w:szCs w:val="20"/>
        </w:rPr>
        <w:t xml:space="preserve"> CCA. </w:t>
      </w:r>
      <w:r w:rsidR="009C06BD">
        <w:rPr>
          <w:rFonts w:eastAsia="Times New Roman" w:cs="Arial"/>
          <w:bCs/>
          <w:szCs w:val="20"/>
        </w:rPr>
        <w:t>The ACCC also considered</w:t>
      </w:r>
      <w:r w:rsidRPr="001212C2">
        <w:rPr>
          <w:rFonts w:eastAsia="Times New Roman" w:cs="Arial"/>
          <w:bCs/>
          <w:szCs w:val="20"/>
        </w:rPr>
        <w:t xml:space="preserve"> the rationale for the inclusion of the access test, the intention of Parliament to promote competition in the export of bulk wheat, and the changing regulatory environment to be matters rel</w:t>
      </w:r>
      <w:r w:rsidR="009C06BD">
        <w:rPr>
          <w:rFonts w:eastAsia="Times New Roman" w:cs="Arial"/>
          <w:bCs/>
          <w:szCs w:val="20"/>
        </w:rPr>
        <w:t>evant to the assessment of the a</w:t>
      </w:r>
      <w:r w:rsidRPr="001212C2">
        <w:rPr>
          <w:rFonts w:eastAsia="Times New Roman" w:cs="Arial"/>
          <w:bCs/>
          <w:szCs w:val="20"/>
        </w:rPr>
        <w:t>pplication under subs</w:t>
      </w:r>
      <w:r>
        <w:rPr>
          <w:rFonts w:eastAsia="Times New Roman" w:cs="Arial"/>
          <w:bCs/>
          <w:szCs w:val="20"/>
        </w:rPr>
        <w:t>ection</w:t>
      </w:r>
      <w:r w:rsidRPr="001212C2">
        <w:rPr>
          <w:rFonts w:eastAsia="Times New Roman" w:cs="Arial"/>
          <w:bCs/>
          <w:szCs w:val="20"/>
        </w:rPr>
        <w:t xml:space="preserve"> 44ZZA(3)(e) of the CCA.</w:t>
      </w:r>
    </w:p>
    <w:p w:rsidR="00633670" w:rsidRDefault="00633670" w:rsidP="00633670">
      <w:pPr>
        <w:rPr>
          <w:rFonts w:eastAsia="Times New Roman" w:cs="Arial"/>
          <w:bCs/>
          <w:szCs w:val="20"/>
        </w:rPr>
      </w:pPr>
      <w:r w:rsidRPr="001212C2">
        <w:rPr>
          <w:rFonts w:eastAsia="Times New Roman" w:cs="Arial"/>
          <w:bCs/>
          <w:szCs w:val="20"/>
        </w:rPr>
        <w:t>The ACCC has assessed these variations as they would operate for the remainder of the existing term of the 2011 Undertaking,</w:t>
      </w:r>
      <w:r w:rsidRPr="001212C2">
        <w:rPr>
          <w:rFonts w:eastAsia="Times New Roman" w:cs="Arial"/>
          <w:bCs/>
          <w:szCs w:val="20"/>
          <w:vertAlign w:val="superscript"/>
        </w:rPr>
        <w:footnoteReference w:id="33"/>
      </w:r>
      <w:r w:rsidRPr="001212C2">
        <w:rPr>
          <w:rFonts w:eastAsia="Times New Roman" w:cs="Arial"/>
          <w:bCs/>
          <w:szCs w:val="20"/>
        </w:rPr>
        <w:t xml:space="preserve"> and the proposed extension period as discussed in </w:t>
      </w:r>
      <w:r w:rsidR="00372BB9">
        <w:rPr>
          <w:rFonts w:eastAsia="Times New Roman" w:cs="Arial"/>
          <w:bCs/>
          <w:szCs w:val="20"/>
        </w:rPr>
        <w:t>c</w:t>
      </w:r>
      <w:r w:rsidR="00764519">
        <w:rPr>
          <w:rFonts w:eastAsia="Times New Roman" w:cs="Arial"/>
          <w:bCs/>
          <w:szCs w:val="20"/>
        </w:rPr>
        <w:t>hapter 3 of this F</w:t>
      </w:r>
      <w:r w:rsidR="007E5475">
        <w:rPr>
          <w:rFonts w:eastAsia="Times New Roman" w:cs="Arial"/>
          <w:bCs/>
          <w:szCs w:val="20"/>
        </w:rPr>
        <w:t xml:space="preserve">inal </w:t>
      </w:r>
      <w:r w:rsidR="00764519">
        <w:rPr>
          <w:rFonts w:eastAsia="Times New Roman" w:cs="Arial"/>
          <w:bCs/>
          <w:szCs w:val="20"/>
        </w:rPr>
        <w:t>D</w:t>
      </w:r>
      <w:r w:rsidRPr="001212C2">
        <w:rPr>
          <w:rFonts w:eastAsia="Times New Roman" w:cs="Arial"/>
          <w:bCs/>
          <w:szCs w:val="20"/>
        </w:rPr>
        <w:t>ecision.</w:t>
      </w:r>
    </w:p>
    <w:p w:rsidR="00F86154" w:rsidRDefault="007E5475" w:rsidP="00633670">
      <w:pPr>
        <w:rPr>
          <w:rFonts w:eastAsia="Times New Roman" w:cs="Arial"/>
          <w:bCs/>
          <w:szCs w:val="20"/>
        </w:rPr>
      </w:pPr>
      <w:r>
        <w:rPr>
          <w:rFonts w:eastAsia="Times New Roman" w:cs="Arial"/>
          <w:bCs/>
          <w:szCs w:val="20"/>
        </w:rPr>
        <w:t xml:space="preserve">As discussed at </w:t>
      </w:r>
      <w:r w:rsidR="00F245E3">
        <w:rPr>
          <w:rFonts w:eastAsia="Times New Roman" w:cs="Arial"/>
          <w:bCs/>
          <w:szCs w:val="20"/>
        </w:rPr>
        <w:t>chapter</w:t>
      </w:r>
      <w:r w:rsidR="00A40728">
        <w:rPr>
          <w:rFonts w:eastAsia="Times New Roman" w:cs="Arial"/>
          <w:bCs/>
          <w:szCs w:val="20"/>
        </w:rPr>
        <w:t xml:space="preserve"> </w:t>
      </w:r>
      <w:r>
        <w:rPr>
          <w:rFonts w:eastAsia="Times New Roman" w:cs="Arial"/>
          <w:bCs/>
          <w:szCs w:val="20"/>
        </w:rPr>
        <w:t xml:space="preserve">2.2.2, </w:t>
      </w:r>
      <w:proofErr w:type="spellStart"/>
      <w:r>
        <w:rPr>
          <w:rFonts w:eastAsia="Times New Roman" w:cs="Arial"/>
          <w:bCs/>
          <w:szCs w:val="20"/>
        </w:rPr>
        <w:t>Viterra</w:t>
      </w:r>
      <w:proofErr w:type="spellEnd"/>
      <w:r>
        <w:rPr>
          <w:rFonts w:eastAsia="Times New Roman" w:cs="Arial"/>
          <w:bCs/>
          <w:szCs w:val="20"/>
        </w:rPr>
        <w:t xml:space="preserve"> made additional changes to its</w:t>
      </w:r>
      <w:r w:rsidR="00204792">
        <w:rPr>
          <w:rFonts w:eastAsia="Times New Roman" w:cs="Arial"/>
          <w:bCs/>
          <w:szCs w:val="20"/>
        </w:rPr>
        <w:t xml:space="preserve"> PLPs via the variation process co</w:t>
      </w:r>
      <w:r w:rsidR="00BC28BE">
        <w:rPr>
          <w:rFonts w:eastAsia="Times New Roman" w:cs="Arial"/>
          <w:bCs/>
          <w:szCs w:val="20"/>
        </w:rPr>
        <w:t xml:space="preserve">ntained at clause 9.3 of </w:t>
      </w:r>
      <w:r w:rsidR="00D04A78">
        <w:rPr>
          <w:rFonts w:eastAsia="Times New Roman" w:cs="Arial"/>
          <w:bCs/>
          <w:szCs w:val="20"/>
        </w:rPr>
        <w:t xml:space="preserve">its 2011 </w:t>
      </w:r>
      <w:proofErr w:type="gramStart"/>
      <w:r w:rsidR="00D04A78">
        <w:rPr>
          <w:rFonts w:eastAsia="Times New Roman" w:cs="Arial"/>
          <w:bCs/>
          <w:szCs w:val="20"/>
        </w:rPr>
        <w:t>Undertaking</w:t>
      </w:r>
      <w:proofErr w:type="gramEnd"/>
      <w:r w:rsidR="00D04A78">
        <w:rPr>
          <w:rFonts w:eastAsia="Times New Roman" w:cs="Arial"/>
          <w:bCs/>
          <w:szCs w:val="20"/>
        </w:rPr>
        <w:t>.</w:t>
      </w:r>
      <w:r w:rsidR="00F86154">
        <w:rPr>
          <w:rFonts w:eastAsia="Times New Roman" w:cs="Arial"/>
          <w:bCs/>
          <w:szCs w:val="20"/>
        </w:rPr>
        <w:t xml:space="preserve"> </w:t>
      </w:r>
      <w:r w:rsidR="00777634">
        <w:rPr>
          <w:rFonts w:eastAsia="Times New Roman" w:cs="Arial"/>
          <w:bCs/>
          <w:szCs w:val="20"/>
        </w:rPr>
        <w:t xml:space="preserve">Clause 9.4 of </w:t>
      </w:r>
      <w:proofErr w:type="spellStart"/>
      <w:r w:rsidR="00777634">
        <w:rPr>
          <w:rFonts w:eastAsia="Times New Roman" w:cs="Arial"/>
          <w:bCs/>
          <w:szCs w:val="20"/>
        </w:rPr>
        <w:t>Viterra’s</w:t>
      </w:r>
      <w:proofErr w:type="spellEnd"/>
      <w:r w:rsidR="00777634">
        <w:rPr>
          <w:rFonts w:eastAsia="Times New Roman" w:cs="Arial"/>
          <w:bCs/>
          <w:szCs w:val="20"/>
        </w:rPr>
        <w:t xml:space="preserve"> 2011 Undertaking allows the ACCC to object to changes that </w:t>
      </w:r>
      <w:proofErr w:type="spellStart"/>
      <w:r w:rsidR="00777634">
        <w:rPr>
          <w:rFonts w:eastAsia="Times New Roman" w:cs="Arial"/>
          <w:bCs/>
          <w:szCs w:val="20"/>
        </w:rPr>
        <w:t>Viterra</w:t>
      </w:r>
      <w:proofErr w:type="spellEnd"/>
      <w:r w:rsidR="00777634">
        <w:rPr>
          <w:rFonts w:eastAsia="Times New Roman" w:cs="Arial"/>
          <w:bCs/>
          <w:szCs w:val="20"/>
        </w:rPr>
        <w:t xml:space="preserve"> propose making pursuant to clause 9.3.</w:t>
      </w:r>
      <w:r w:rsidR="00F86154">
        <w:rPr>
          <w:rFonts w:eastAsia="Times New Roman" w:cs="Arial"/>
          <w:bCs/>
          <w:szCs w:val="20"/>
        </w:rPr>
        <w:t xml:space="preserve"> The ACCC did not object to the proposed changes</w:t>
      </w:r>
      <w:r w:rsidR="00777634">
        <w:rPr>
          <w:rFonts w:eastAsia="Times New Roman" w:cs="Arial"/>
          <w:bCs/>
          <w:szCs w:val="20"/>
        </w:rPr>
        <w:t xml:space="preserve"> which </w:t>
      </w:r>
      <w:proofErr w:type="spellStart"/>
      <w:r w:rsidR="00777634">
        <w:rPr>
          <w:rFonts w:eastAsia="Times New Roman" w:cs="Arial"/>
          <w:bCs/>
          <w:szCs w:val="20"/>
        </w:rPr>
        <w:t>Viterra</w:t>
      </w:r>
      <w:proofErr w:type="spellEnd"/>
      <w:r w:rsidR="00777634">
        <w:rPr>
          <w:rFonts w:eastAsia="Times New Roman" w:cs="Arial"/>
          <w:bCs/>
          <w:szCs w:val="20"/>
        </w:rPr>
        <w:t xml:space="preserve"> detailed in a Consultation Notice on 2 October 2013</w:t>
      </w:r>
      <w:r w:rsidR="006040DD">
        <w:rPr>
          <w:rFonts w:eastAsia="Times New Roman" w:cs="Arial"/>
          <w:bCs/>
          <w:szCs w:val="20"/>
        </w:rPr>
        <w:t xml:space="preserve">, detailed in a </w:t>
      </w:r>
      <w:r w:rsidR="00777634">
        <w:rPr>
          <w:rFonts w:eastAsia="Times New Roman" w:cs="Arial"/>
          <w:bCs/>
          <w:szCs w:val="20"/>
        </w:rPr>
        <w:t>Variation Notice on 18 October 2013, and</w:t>
      </w:r>
      <w:r w:rsidR="006040DD">
        <w:rPr>
          <w:rFonts w:eastAsia="Times New Roman" w:cs="Arial"/>
          <w:bCs/>
          <w:szCs w:val="20"/>
        </w:rPr>
        <w:t xml:space="preserve"> </w:t>
      </w:r>
      <w:r w:rsidR="00F86154">
        <w:rPr>
          <w:rFonts w:eastAsia="Times New Roman" w:cs="Arial"/>
          <w:bCs/>
          <w:szCs w:val="20"/>
        </w:rPr>
        <w:t xml:space="preserve">came into effect on 15 November 2013. </w:t>
      </w:r>
      <w:r w:rsidR="00777634">
        <w:rPr>
          <w:rFonts w:eastAsia="Times New Roman" w:cs="Arial"/>
          <w:bCs/>
          <w:szCs w:val="20"/>
        </w:rPr>
        <w:t xml:space="preserve">These additional changes </w:t>
      </w:r>
      <w:r w:rsidR="000435D1">
        <w:rPr>
          <w:rFonts w:eastAsia="Times New Roman" w:cs="Arial"/>
          <w:bCs/>
          <w:szCs w:val="20"/>
        </w:rPr>
        <w:t>are now an operational p</w:t>
      </w:r>
      <w:r w:rsidR="006040DD">
        <w:rPr>
          <w:rFonts w:eastAsia="Times New Roman" w:cs="Arial"/>
          <w:bCs/>
          <w:szCs w:val="20"/>
        </w:rPr>
        <w:t>a</w:t>
      </w:r>
      <w:r w:rsidR="000435D1">
        <w:rPr>
          <w:rFonts w:eastAsia="Times New Roman" w:cs="Arial"/>
          <w:bCs/>
          <w:szCs w:val="20"/>
        </w:rPr>
        <w:t xml:space="preserve">rt of the PLPs operating under the 2011 Undertaking and </w:t>
      </w:r>
      <w:r w:rsidR="00777634">
        <w:rPr>
          <w:rFonts w:eastAsia="Times New Roman" w:cs="Arial"/>
          <w:bCs/>
          <w:szCs w:val="20"/>
        </w:rPr>
        <w:t xml:space="preserve">were incorporated into the </w:t>
      </w:r>
      <w:r w:rsidR="00EE29B1">
        <w:rPr>
          <w:rFonts w:eastAsia="Times New Roman" w:cs="Arial"/>
          <w:bCs/>
          <w:szCs w:val="20"/>
        </w:rPr>
        <w:t>Amended a</w:t>
      </w:r>
      <w:r w:rsidR="00777634">
        <w:rPr>
          <w:rFonts w:eastAsia="Times New Roman" w:cs="Arial"/>
          <w:bCs/>
          <w:szCs w:val="20"/>
        </w:rPr>
        <w:t>pplication to extend and vary</w:t>
      </w:r>
      <w:r w:rsidR="00F61551">
        <w:rPr>
          <w:rFonts w:eastAsia="Times New Roman" w:cs="Arial"/>
          <w:bCs/>
          <w:szCs w:val="20"/>
        </w:rPr>
        <w:t xml:space="preserve">. Because these additional changes were proposed and implemented pursuant to clause 9.3 of </w:t>
      </w:r>
      <w:proofErr w:type="spellStart"/>
      <w:r w:rsidR="00F61551">
        <w:rPr>
          <w:rFonts w:eastAsia="Times New Roman" w:cs="Arial"/>
          <w:bCs/>
          <w:szCs w:val="20"/>
        </w:rPr>
        <w:t>Viterra’s</w:t>
      </w:r>
      <w:proofErr w:type="spellEnd"/>
      <w:r w:rsidR="00F61551">
        <w:rPr>
          <w:rFonts w:eastAsia="Times New Roman" w:cs="Arial"/>
          <w:bCs/>
          <w:szCs w:val="20"/>
        </w:rPr>
        <w:t xml:space="preserve"> 2011 </w:t>
      </w:r>
      <w:proofErr w:type="gramStart"/>
      <w:r w:rsidR="00F61551">
        <w:rPr>
          <w:rFonts w:eastAsia="Times New Roman" w:cs="Arial"/>
          <w:bCs/>
          <w:szCs w:val="20"/>
        </w:rPr>
        <w:t>Undertaking</w:t>
      </w:r>
      <w:proofErr w:type="gramEnd"/>
      <w:r w:rsidR="00F61551">
        <w:rPr>
          <w:rFonts w:eastAsia="Times New Roman" w:cs="Arial"/>
          <w:bCs/>
          <w:szCs w:val="20"/>
        </w:rPr>
        <w:t xml:space="preserve"> </w:t>
      </w:r>
      <w:r w:rsidR="000435D1">
        <w:rPr>
          <w:rFonts w:eastAsia="Times New Roman" w:cs="Arial"/>
          <w:bCs/>
          <w:szCs w:val="20"/>
        </w:rPr>
        <w:t>rather than being proposed in</w:t>
      </w:r>
      <w:r w:rsidR="00F61551">
        <w:rPr>
          <w:rFonts w:eastAsia="Times New Roman" w:cs="Arial"/>
          <w:bCs/>
          <w:szCs w:val="20"/>
        </w:rPr>
        <w:t xml:space="preserve"> </w:t>
      </w:r>
      <w:proofErr w:type="spellStart"/>
      <w:r w:rsidR="00F61551">
        <w:rPr>
          <w:rFonts w:eastAsia="Times New Roman" w:cs="Arial"/>
          <w:bCs/>
          <w:szCs w:val="20"/>
        </w:rPr>
        <w:t>Viterra’s</w:t>
      </w:r>
      <w:proofErr w:type="spellEnd"/>
      <w:r w:rsidR="00F61551">
        <w:rPr>
          <w:rFonts w:eastAsia="Times New Roman" w:cs="Arial"/>
          <w:bCs/>
          <w:szCs w:val="20"/>
        </w:rPr>
        <w:t xml:space="preserve"> </w:t>
      </w:r>
      <w:r w:rsidR="000435D1">
        <w:rPr>
          <w:rFonts w:eastAsia="Times New Roman" w:cs="Arial"/>
          <w:bCs/>
          <w:szCs w:val="20"/>
        </w:rPr>
        <w:t xml:space="preserve">Amended </w:t>
      </w:r>
      <w:r w:rsidR="00F61551">
        <w:rPr>
          <w:rFonts w:eastAsia="Times New Roman" w:cs="Arial"/>
          <w:bCs/>
          <w:szCs w:val="20"/>
        </w:rPr>
        <w:t xml:space="preserve">application to extend and vary, they </w:t>
      </w:r>
      <w:r w:rsidR="000435D1">
        <w:rPr>
          <w:rFonts w:eastAsia="Times New Roman" w:cs="Arial"/>
          <w:bCs/>
          <w:szCs w:val="20"/>
        </w:rPr>
        <w:t xml:space="preserve">do </w:t>
      </w:r>
      <w:r w:rsidR="00777634">
        <w:rPr>
          <w:rFonts w:eastAsia="Times New Roman" w:cs="Arial"/>
          <w:bCs/>
          <w:szCs w:val="20"/>
        </w:rPr>
        <w:t>not form part of the ACCC’s assessment in this Final Decision.</w:t>
      </w:r>
      <w:r w:rsidR="004C5C36">
        <w:rPr>
          <w:rFonts w:eastAsia="Times New Roman" w:cs="Arial"/>
          <w:bCs/>
          <w:szCs w:val="20"/>
        </w:rPr>
        <w:t xml:space="preserve">     </w:t>
      </w:r>
    </w:p>
    <w:p w:rsidR="00633670" w:rsidRPr="000F2FB4" w:rsidRDefault="00633670" w:rsidP="000F2FB4">
      <w:pPr>
        <w:pStyle w:val="Numberedheading2"/>
      </w:pPr>
      <w:bookmarkStart w:id="23" w:name="_Toc378322938"/>
      <w:r w:rsidRPr="000F2FB4">
        <w:t>Force Majeure</w:t>
      </w:r>
      <w:bookmarkEnd w:id="23"/>
      <w:r w:rsidRPr="000F2FB4">
        <w:t xml:space="preserve"> </w:t>
      </w:r>
    </w:p>
    <w:p w:rsidR="00633670" w:rsidRPr="001212C2" w:rsidRDefault="0098633C" w:rsidP="00633670">
      <w:pPr>
        <w:rPr>
          <w:rFonts w:eastAsia="Calibri" w:cs="Times New Roman"/>
          <w:szCs w:val="20"/>
        </w:rPr>
      </w:pPr>
      <w:proofErr w:type="spellStart"/>
      <w:r>
        <w:rPr>
          <w:rFonts w:eastAsia="Calibri" w:cs="Times New Roman"/>
          <w:szCs w:val="20"/>
        </w:rPr>
        <w:t>Viterra</w:t>
      </w:r>
      <w:proofErr w:type="spellEnd"/>
      <w:r>
        <w:rPr>
          <w:rFonts w:eastAsia="Calibri" w:cs="Times New Roman"/>
          <w:szCs w:val="20"/>
        </w:rPr>
        <w:t xml:space="preserve"> propose</w:t>
      </w:r>
      <w:r w:rsidR="00155A78">
        <w:rPr>
          <w:rFonts w:eastAsia="Calibri" w:cs="Times New Roman"/>
          <w:szCs w:val="20"/>
        </w:rPr>
        <w:t>s</w:t>
      </w:r>
      <w:r w:rsidR="00633670" w:rsidRPr="001212C2">
        <w:rPr>
          <w:rFonts w:eastAsia="Calibri" w:cs="Times New Roman"/>
          <w:szCs w:val="20"/>
        </w:rPr>
        <w:t xml:space="preserve"> </w:t>
      </w:r>
      <w:r>
        <w:rPr>
          <w:rFonts w:eastAsia="Calibri" w:cs="Times New Roman"/>
          <w:szCs w:val="20"/>
        </w:rPr>
        <w:t xml:space="preserve">to introduce </w:t>
      </w:r>
      <w:r w:rsidR="00633670" w:rsidRPr="001212C2">
        <w:rPr>
          <w:rFonts w:eastAsia="Calibri" w:cs="Times New Roman"/>
          <w:szCs w:val="20"/>
        </w:rPr>
        <w:t xml:space="preserve">a ‘Force Majeure’ clause allowing the unilateral amendment of the PLPs on a temporary basis during the </w:t>
      </w:r>
      <w:r w:rsidR="00207451">
        <w:rPr>
          <w:rFonts w:eastAsia="Calibri" w:cs="Times New Roman"/>
          <w:szCs w:val="20"/>
        </w:rPr>
        <w:t xml:space="preserve">period of force majeure. The clause is at </w:t>
      </w:r>
      <w:r w:rsidR="00633670" w:rsidRPr="001212C2">
        <w:rPr>
          <w:rFonts w:eastAsia="Calibri" w:cs="Times New Roman"/>
          <w:szCs w:val="20"/>
        </w:rPr>
        <w:t xml:space="preserve">9.3(g) of </w:t>
      </w:r>
      <w:proofErr w:type="spellStart"/>
      <w:r w:rsidR="00633670" w:rsidRPr="001212C2">
        <w:rPr>
          <w:rFonts w:eastAsia="Calibri" w:cs="Times New Roman"/>
          <w:szCs w:val="20"/>
        </w:rPr>
        <w:t>Viterra’s</w:t>
      </w:r>
      <w:proofErr w:type="spellEnd"/>
      <w:r w:rsidR="00633670" w:rsidRPr="001212C2">
        <w:rPr>
          <w:rFonts w:eastAsia="Calibri" w:cs="Times New Roman"/>
          <w:szCs w:val="20"/>
        </w:rPr>
        <w:t xml:space="preserve"> A</w:t>
      </w:r>
      <w:r w:rsidR="00A82FB2">
        <w:rPr>
          <w:rFonts w:eastAsia="Calibri" w:cs="Times New Roman"/>
          <w:szCs w:val="20"/>
        </w:rPr>
        <w:t>mended a</w:t>
      </w:r>
      <w:r w:rsidR="00633670" w:rsidRPr="001212C2">
        <w:rPr>
          <w:rFonts w:eastAsia="Calibri" w:cs="Times New Roman"/>
          <w:szCs w:val="20"/>
        </w:rPr>
        <w:t>pplication</w:t>
      </w:r>
      <w:r w:rsidR="00633670">
        <w:rPr>
          <w:rFonts w:eastAsia="Calibri" w:cs="Times New Roman"/>
          <w:szCs w:val="20"/>
        </w:rPr>
        <w:t xml:space="preserve"> to extend and vary</w:t>
      </w:r>
      <w:r w:rsidR="00633670" w:rsidRPr="001212C2">
        <w:rPr>
          <w:rFonts w:eastAsia="Calibri" w:cs="Times New Roman"/>
          <w:szCs w:val="20"/>
        </w:rPr>
        <w:t>, and reads:</w:t>
      </w:r>
    </w:p>
    <w:p w:rsidR="00633670" w:rsidRPr="001212C2" w:rsidRDefault="00633670" w:rsidP="000F6832">
      <w:pPr>
        <w:numPr>
          <w:ilvl w:val="0"/>
          <w:numId w:val="20"/>
        </w:numPr>
        <w:ind w:left="714" w:hanging="357"/>
        <w:rPr>
          <w:rFonts w:eastAsia="Calibri" w:cs="Times New Roman"/>
          <w:sz w:val="18"/>
          <w:szCs w:val="18"/>
        </w:rPr>
      </w:pPr>
      <w:r w:rsidRPr="001212C2">
        <w:rPr>
          <w:rFonts w:eastAsia="Calibri" w:cs="Times New Roman"/>
          <w:sz w:val="18"/>
          <w:szCs w:val="18"/>
        </w:rPr>
        <w:t>This clause 9.3 does not prevent the Port Operator from unilaterally amending the Port Loading Protocols on a temporary basis during the period of force majeure, as defined in the Standard Terms.</w:t>
      </w:r>
    </w:p>
    <w:p w:rsidR="00633670" w:rsidRPr="001212C2" w:rsidRDefault="00633670" w:rsidP="00633670">
      <w:pPr>
        <w:rPr>
          <w:rFonts w:eastAsia="Calibri" w:cs="Times New Roman"/>
          <w:szCs w:val="20"/>
        </w:rPr>
      </w:pPr>
      <w:r w:rsidRPr="001212C2">
        <w:rPr>
          <w:rFonts w:eastAsia="Calibri" w:cs="Times New Roman"/>
          <w:szCs w:val="20"/>
        </w:rPr>
        <w:t xml:space="preserve">Clause 9.3 sets out the standard procedure for amending PLPs outside a variation of an </w:t>
      </w:r>
      <w:r>
        <w:rPr>
          <w:rFonts w:eastAsia="Calibri" w:cs="Times New Roman"/>
          <w:szCs w:val="20"/>
        </w:rPr>
        <w:t>u</w:t>
      </w:r>
      <w:r w:rsidRPr="001212C2">
        <w:rPr>
          <w:rFonts w:eastAsia="Calibri" w:cs="Times New Roman"/>
          <w:szCs w:val="20"/>
        </w:rPr>
        <w:t xml:space="preserve">ndertaking process pursuant to subsection </w:t>
      </w:r>
      <w:proofErr w:type="gramStart"/>
      <w:r w:rsidRPr="001212C2">
        <w:rPr>
          <w:rFonts w:eastAsia="Calibri" w:cs="Times New Roman"/>
          <w:szCs w:val="20"/>
        </w:rPr>
        <w:t>44ZZA(</w:t>
      </w:r>
      <w:proofErr w:type="gramEnd"/>
      <w:r w:rsidRPr="001212C2">
        <w:rPr>
          <w:rFonts w:eastAsia="Calibri" w:cs="Times New Roman"/>
          <w:szCs w:val="20"/>
        </w:rPr>
        <w:t>7) of the CCA.</w:t>
      </w:r>
      <w:r w:rsidRPr="001212C2">
        <w:rPr>
          <w:rFonts w:eastAsia="Calibri" w:cs="Times New Roman"/>
          <w:szCs w:val="20"/>
          <w:vertAlign w:val="superscript"/>
        </w:rPr>
        <w:footnoteReference w:id="34"/>
      </w:r>
    </w:p>
    <w:p w:rsidR="00633670" w:rsidRPr="001212C2" w:rsidRDefault="00633670" w:rsidP="00633670">
      <w:pPr>
        <w:rPr>
          <w:rFonts w:eastAsia="Calibri" w:cs="Times New Roman"/>
          <w:szCs w:val="20"/>
        </w:rPr>
      </w:pPr>
      <w:r w:rsidRPr="001212C2">
        <w:rPr>
          <w:rFonts w:eastAsia="Calibri" w:cs="Times New Roman"/>
          <w:szCs w:val="20"/>
        </w:rPr>
        <w:t>Clause 15.1 of the Standard Terms provides a definition of ‘Force Majeure’ and clause 15.2 suspends obligations of a party that is precluded from complying with an access agreement due to a force majeure event.</w:t>
      </w:r>
      <w:r w:rsidR="004C5C36">
        <w:rPr>
          <w:rFonts w:eastAsia="Calibri" w:cs="Times New Roman"/>
          <w:szCs w:val="20"/>
        </w:rPr>
        <w:t xml:space="preserve"> </w:t>
      </w:r>
      <w:r w:rsidRPr="001212C2">
        <w:rPr>
          <w:rFonts w:eastAsia="Calibri" w:cs="Times New Roman"/>
          <w:szCs w:val="20"/>
        </w:rPr>
        <w:t>The remainder of clause 15 of the Standard Terms</w:t>
      </w:r>
      <w:r w:rsidR="0078458A">
        <w:rPr>
          <w:rFonts w:eastAsia="Calibri" w:cs="Times New Roman"/>
          <w:szCs w:val="20"/>
        </w:rPr>
        <w:t xml:space="preserve"> requires that notice be given to affected parties</w:t>
      </w:r>
      <w:r w:rsidRPr="001212C2">
        <w:rPr>
          <w:rFonts w:eastAsia="Calibri" w:cs="Times New Roman"/>
          <w:szCs w:val="20"/>
        </w:rPr>
        <w:t xml:space="preserve"> and </w:t>
      </w:r>
      <w:r w:rsidR="0078458A">
        <w:rPr>
          <w:rFonts w:eastAsia="Calibri" w:cs="Times New Roman"/>
          <w:szCs w:val="20"/>
        </w:rPr>
        <w:t xml:space="preserve">that </w:t>
      </w:r>
      <w:r w:rsidRPr="001212C2">
        <w:rPr>
          <w:rFonts w:eastAsia="Calibri" w:cs="Times New Roman"/>
          <w:szCs w:val="20"/>
        </w:rPr>
        <w:t>a process to be followed in an attempt to minimise the effect of such an event.</w:t>
      </w:r>
    </w:p>
    <w:p w:rsidR="00633670" w:rsidRPr="00CD2D35" w:rsidRDefault="00633670" w:rsidP="00633670">
      <w:pPr>
        <w:keepNext/>
        <w:numPr>
          <w:ilvl w:val="2"/>
          <w:numId w:val="1"/>
        </w:numPr>
        <w:spacing w:before="240" w:after="120"/>
        <w:rPr>
          <w:rFonts w:ascii="Lucida Fax" w:eastAsia="Times New Roman" w:hAnsi="Lucida Fax" w:cs="Times New Roman"/>
          <w:b/>
          <w:bCs/>
          <w:sz w:val="24"/>
          <w:szCs w:val="28"/>
        </w:rPr>
      </w:pPr>
      <w:proofErr w:type="spellStart"/>
      <w:r w:rsidRPr="00CD2D35">
        <w:rPr>
          <w:rFonts w:ascii="Lucida Fax" w:eastAsia="Times New Roman" w:hAnsi="Lucida Fax" w:cs="Times New Roman"/>
          <w:b/>
          <w:bCs/>
          <w:sz w:val="24"/>
          <w:szCs w:val="28"/>
        </w:rPr>
        <w:lastRenderedPageBreak/>
        <w:t>Viterra’s</w:t>
      </w:r>
      <w:proofErr w:type="spellEnd"/>
      <w:r w:rsidRPr="00CD2D35">
        <w:rPr>
          <w:rFonts w:ascii="Lucida Fax" w:eastAsia="Times New Roman" w:hAnsi="Lucida Fax" w:cs="Times New Roman"/>
          <w:b/>
          <w:bCs/>
          <w:sz w:val="24"/>
          <w:szCs w:val="28"/>
        </w:rPr>
        <w:t xml:space="preserve"> supporting submissions</w:t>
      </w:r>
    </w:p>
    <w:p w:rsidR="00633670" w:rsidRPr="001212C2" w:rsidRDefault="00016A1B" w:rsidP="00633670">
      <w:pPr>
        <w:rPr>
          <w:rFonts w:eastAsia="Calibri" w:cs="Times New Roman"/>
          <w:szCs w:val="20"/>
        </w:rPr>
      </w:pPr>
      <w:proofErr w:type="spellStart"/>
      <w:r>
        <w:rPr>
          <w:rFonts w:eastAsia="Calibri" w:cs="Times New Roman"/>
          <w:szCs w:val="20"/>
        </w:rPr>
        <w:t>Viterra</w:t>
      </w:r>
      <w:proofErr w:type="spellEnd"/>
      <w:r>
        <w:rPr>
          <w:rFonts w:eastAsia="Calibri" w:cs="Times New Roman"/>
          <w:szCs w:val="20"/>
        </w:rPr>
        <w:t xml:space="preserve"> submitted</w:t>
      </w:r>
      <w:r w:rsidR="00633670" w:rsidRPr="001212C2">
        <w:rPr>
          <w:rFonts w:eastAsia="Calibri" w:cs="Times New Roman"/>
          <w:szCs w:val="20"/>
        </w:rPr>
        <w:t xml:space="preserve"> regarding the proposed variation that: </w:t>
      </w:r>
    </w:p>
    <w:p w:rsidR="00633670" w:rsidRDefault="00633670" w:rsidP="00633670">
      <w:pPr>
        <w:ind w:left="720"/>
        <w:rPr>
          <w:rFonts w:eastAsia="Calibri" w:cs="Times New Roman"/>
          <w:sz w:val="18"/>
          <w:szCs w:val="18"/>
        </w:rPr>
      </w:pPr>
      <w:r w:rsidRPr="001212C2">
        <w:rPr>
          <w:rFonts w:eastAsia="Calibri" w:cs="Times New Roman"/>
          <w:sz w:val="18"/>
          <w:szCs w:val="18"/>
        </w:rPr>
        <w:t xml:space="preserve">This is intended to provide </w:t>
      </w:r>
      <w:proofErr w:type="spellStart"/>
      <w:r w:rsidRPr="001212C2">
        <w:rPr>
          <w:rFonts w:eastAsia="Calibri" w:cs="Times New Roman"/>
          <w:sz w:val="18"/>
          <w:szCs w:val="18"/>
        </w:rPr>
        <w:t>Viterra</w:t>
      </w:r>
      <w:proofErr w:type="spellEnd"/>
      <w:r w:rsidRPr="001212C2">
        <w:rPr>
          <w:rFonts w:eastAsia="Calibri" w:cs="Times New Roman"/>
          <w:sz w:val="18"/>
          <w:szCs w:val="18"/>
        </w:rPr>
        <w:t xml:space="preserve"> Operations with the necessary operational flexibility to manage any unexpected events at its Port Terminals, and is consistent with the provisions in other access undertakings approved by the Commission.</w:t>
      </w:r>
      <w:r w:rsidRPr="001212C2">
        <w:rPr>
          <w:rFonts w:eastAsia="Calibri" w:cs="Times New Roman"/>
          <w:szCs w:val="18"/>
          <w:vertAlign w:val="superscript"/>
        </w:rPr>
        <w:footnoteReference w:id="35"/>
      </w:r>
    </w:p>
    <w:p w:rsidR="00633670" w:rsidRPr="001212C2" w:rsidRDefault="00633670" w:rsidP="00633670">
      <w:pPr>
        <w:keepNext/>
        <w:numPr>
          <w:ilvl w:val="2"/>
          <w:numId w:val="1"/>
        </w:numPr>
        <w:spacing w:before="240" w:after="120"/>
        <w:rPr>
          <w:rFonts w:ascii="Lucida Fax" w:eastAsia="Times New Roman" w:hAnsi="Lucida Fax" w:cs="Times New Roman"/>
          <w:b/>
          <w:bCs/>
          <w:sz w:val="24"/>
          <w:szCs w:val="28"/>
        </w:rPr>
      </w:pPr>
      <w:r w:rsidRPr="001212C2">
        <w:rPr>
          <w:rFonts w:ascii="Lucida Fax" w:eastAsia="Times New Roman" w:hAnsi="Lucida Fax" w:cs="Times New Roman"/>
          <w:b/>
          <w:bCs/>
          <w:sz w:val="24"/>
          <w:szCs w:val="28"/>
        </w:rPr>
        <w:t>Stakeholders’ views</w:t>
      </w:r>
    </w:p>
    <w:p w:rsidR="00633670" w:rsidRPr="001212C2" w:rsidRDefault="004B4433" w:rsidP="00633670">
      <w:pPr>
        <w:keepNext/>
        <w:rPr>
          <w:rFonts w:eastAsia="Calibri" w:cs="Times New Roman"/>
          <w:szCs w:val="20"/>
        </w:rPr>
      </w:pPr>
      <w:proofErr w:type="spellStart"/>
      <w:r>
        <w:rPr>
          <w:rFonts w:eastAsia="Calibri" w:cs="Times New Roman"/>
          <w:szCs w:val="20"/>
        </w:rPr>
        <w:t>T</w:t>
      </w:r>
      <w:r w:rsidR="00016A1B">
        <w:rPr>
          <w:rFonts w:eastAsia="Calibri" w:cs="Times New Roman"/>
          <w:szCs w:val="20"/>
        </w:rPr>
        <w:t>oepfer</w:t>
      </w:r>
      <w:proofErr w:type="spellEnd"/>
      <w:r w:rsidR="00016A1B">
        <w:rPr>
          <w:rFonts w:eastAsia="Calibri" w:cs="Times New Roman"/>
          <w:szCs w:val="20"/>
        </w:rPr>
        <w:t xml:space="preserve"> submitted</w:t>
      </w:r>
      <w:r w:rsidR="00633670" w:rsidRPr="001212C2">
        <w:rPr>
          <w:rFonts w:eastAsia="Calibri" w:cs="Times New Roman"/>
          <w:szCs w:val="20"/>
        </w:rPr>
        <w:t>:</w:t>
      </w:r>
    </w:p>
    <w:p w:rsidR="00633670" w:rsidRPr="001212C2" w:rsidRDefault="00633670" w:rsidP="00633670">
      <w:pPr>
        <w:ind w:left="720"/>
        <w:rPr>
          <w:rFonts w:eastAsia="Calibri" w:cs="Times New Roman"/>
          <w:sz w:val="18"/>
          <w:szCs w:val="18"/>
        </w:rPr>
      </w:pPr>
      <w:proofErr w:type="spellStart"/>
      <w:r w:rsidRPr="001212C2">
        <w:rPr>
          <w:rFonts w:eastAsia="Calibri" w:cs="Times New Roman"/>
          <w:sz w:val="18"/>
          <w:szCs w:val="18"/>
        </w:rPr>
        <w:t>Toepfer</w:t>
      </w:r>
      <w:proofErr w:type="spellEnd"/>
      <w:r w:rsidRPr="001212C2">
        <w:rPr>
          <w:rFonts w:eastAsia="Calibri" w:cs="Times New Roman"/>
          <w:sz w:val="18"/>
          <w:szCs w:val="18"/>
        </w:rPr>
        <w:t xml:space="preserve"> would not oppose the unilaterally amendment of the Port Loading Protocols on the basis of operational efficiency. Such variation(s) should be transparent and notified to all of the industry, not only parties impacted.</w:t>
      </w:r>
      <w:r w:rsidRPr="001212C2">
        <w:rPr>
          <w:rFonts w:eastAsia="Calibri" w:cs="Times New Roman"/>
          <w:szCs w:val="18"/>
          <w:vertAlign w:val="superscript"/>
        </w:rPr>
        <w:footnoteReference w:id="36"/>
      </w:r>
      <w:r w:rsidRPr="001212C2">
        <w:rPr>
          <w:rFonts w:eastAsia="Calibri" w:cs="Times New Roman"/>
          <w:sz w:val="18"/>
          <w:szCs w:val="18"/>
        </w:rPr>
        <w:t xml:space="preserve"> </w:t>
      </w:r>
    </w:p>
    <w:p w:rsidR="00633670" w:rsidRPr="00517047" w:rsidRDefault="00633670" w:rsidP="00633670">
      <w:pPr>
        <w:keepNext/>
        <w:numPr>
          <w:ilvl w:val="2"/>
          <w:numId w:val="1"/>
        </w:numPr>
        <w:spacing w:before="24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The ACCC’s view</w:t>
      </w:r>
    </w:p>
    <w:p w:rsidR="00633670" w:rsidRPr="001212C2" w:rsidRDefault="00633670" w:rsidP="00633670">
      <w:pPr>
        <w:rPr>
          <w:rFonts w:cs="Arial"/>
          <w:szCs w:val="20"/>
        </w:rPr>
      </w:pPr>
      <w:r w:rsidRPr="001212C2">
        <w:rPr>
          <w:rFonts w:cs="Arial"/>
          <w:szCs w:val="20"/>
        </w:rPr>
        <w:t>The ACCC considers that the introduction of a force majeure provision is appropriate as, consistent with the first objective of Part IIIA, it is likely to provide for greater efficiency in the operation of, and use of, port terminal infrastructure during a period of unforeseen events.</w:t>
      </w:r>
      <w:r w:rsidR="004C5C36">
        <w:rPr>
          <w:rFonts w:cs="Arial"/>
          <w:szCs w:val="20"/>
        </w:rPr>
        <w:t xml:space="preserve"> </w:t>
      </w:r>
      <w:r w:rsidRPr="001212C2">
        <w:rPr>
          <w:rFonts w:cs="Arial"/>
          <w:szCs w:val="20"/>
        </w:rPr>
        <w:t>Maintaining the efficient use of port terminal infrastructure is also in the interests of both access seekers and the port terminal operator.</w:t>
      </w:r>
      <w:r w:rsidR="004C5C36">
        <w:rPr>
          <w:rFonts w:cs="Arial"/>
          <w:szCs w:val="20"/>
        </w:rPr>
        <w:t xml:space="preserve"> </w:t>
      </w:r>
    </w:p>
    <w:p w:rsidR="00633670" w:rsidRPr="001212C2" w:rsidRDefault="00633670" w:rsidP="00633670">
      <w:pPr>
        <w:rPr>
          <w:rFonts w:cs="Arial"/>
          <w:szCs w:val="20"/>
        </w:rPr>
      </w:pPr>
      <w:r w:rsidRPr="001212C2">
        <w:rPr>
          <w:rFonts w:cs="Arial"/>
          <w:szCs w:val="20"/>
        </w:rPr>
        <w:t xml:space="preserve">The inclusion of clause 9.3(g) allows </w:t>
      </w:r>
      <w:proofErr w:type="spellStart"/>
      <w:r w:rsidRPr="001212C2">
        <w:rPr>
          <w:rFonts w:cs="Arial"/>
          <w:szCs w:val="20"/>
        </w:rPr>
        <w:t>Viterra</w:t>
      </w:r>
      <w:proofErr w:type="spellEnd"/>
      <w:r w:rsidRPr="001212C2">
        <w:rPr>
          <w:rFonts w:cs="Arial"/>
          <w:szCs w:val="20"/>
        </w:rPr>
        <w:t xml:space="preserve"> to make changes to capacity allocation arrangements where an event outside of </w:t>
      </w:r>
      <w:proofErr w:type="spellStart"/>
      <w:r w:rsidRPr="001212C2">
        <w:rPr>
          <w:rFonts w:cs="Arial"/>
          <w:szCs w:val="20"/>
        </w:rPr>
        <w:t>Viterra’s</w:t>
      </w:r>
      <w:proofErr w:type="spellEnd"/>
      <w:r w:rsidRPr="001212C2">
        <w:rPr>
          <w:rFonts w:cs="Arial"/>
          <w:szCs w:val="20"/>
        </w:rPr>
        <w:t xml:space="preserve"> or an access seeker’s reasonable control </w:t>
      </w:r>
      <w:r>
        <w:rPr>
          <w:rFonts w:cs="Arial"/>
          <w:szCs w:val="20"/>
        </w:rPr>
        <w:t>affects</w:t>
      </w:r>
      <w:r w:rsidRPr="001212C2">
        <w:rPr>
          <w:rFonts w:cs="Arial"/>
          <w:szCs w:val="20"/>
        </w:rPr>
        <w:t xml:space="preserve"> the normal</w:t>
      </w:r>
      <w:r w:rsidR="00016A1B">
        <w:rPr>
          <w:rFonts w:cs="Arial"/>
          <w:szCs w:val="20"/>
        </w:rPr>
        <w:t xml:space="preserve"> operation of a port facility. </w:t>
      </w:r>
      <w:r w:rsidRPr="001212C2">
        <w:rPr>
          <w:rFonts w:cs="Arial"/>
          <w:szCs w:val="20"/>
        </w:rPr>
        <w:t xml:space="preserve">The Standard Terms include an obligation on parties affected by a force majeure event to attempt to mitigate the effect of </w:t>
      </w:r>
      <w:r w:rsidR="0078458A">
        <w:rPr>
          <w:rFonts w:cs="Arial"/>
          <w:szCs w:val="20"/>
        </w:rPr>
        <w:t>that</w:t>
      </w:r>
      <w:r w:rsidRPr="001212C2">
        <w:rPr>
          <w:rFonts w:cs="Arial"/>
          <w:szCs w:val="20"/>
        </w:rPr>
        <w:t xml:space="preserve"> event.</w:t>
      </w:r>
    </w:p>
    <w:p w:rsidR="00633670" w:rsidRPr="001212C2" w:rsidRDefault="00633670" w:rsidP="00633670">
      <w:pPr>
        <w:rPr>
          <w:rFonts w:cs="Arial"/>
          <w:szCs w:val="20"/>
        </w:rPr>
      </w:pPr>
      <w:r w:rsidRPr="001212C2">
        <w:rPr>
          <w:rFonts w:cs="Arial"/>
          <w:szCs w:val="20"/>
        </w:rPr>
        <w:t>Force majeure provisions are common to the access undertakings of the other port terminal operators that h</w:t>
      </w:r>
      <w:r w:rsidR="00016A1B">
        <w:rPr>
          <w:rFonts w:cs="Arial"/>
          <w:szCs w:val="20"/>
        </w:rPr>
        <w:t xml:space="preserve">ave been accepted by the ACCC. </w:t>
      </w:r>
      <w:r w:rsidRPr="001212C2">
        <w:rPr>
          <w:rFonts w:cs="Arial"/>
          <w:szCs w:val="20"/>
        </w:rPr>
        <w:t xml:space="preserve">The ACCC notes that the </w:t>
      </w:r>
      <w:proofErr w:type="spellStart"/>
      <w:r w:rsidRPr="001212C2">
        <w:rPr>
          <w:rFonts w:cs="Arial"/>
          <w:szCs w:val="20"/>
        </w:rPr>
        <w:t>Gra</w:t>
      </w:r>
      <w:r w:rsidR="0010473B">
        <w:rPr>
          <w:rFonts w:cs="Arial"/>
          <w:szCs w:val="20"/>
        </w:rPr>
        <w:t>inCorp</w:t>
      </w:r>
      <w:proofErr w:type="spellEnd"/>
      <w:r w:rsidR="0010473B">
        <w:rPr>
          <w:rFonts w:cs="Arial"/>
          <w:szCs w:val="20"/>
        </w:rPr>
        <w:t xml:space="preserve"> 2011 u</w:t>
      </w:r>
      <w:r w:rsidRPr="001212C2">
        <w:rPr>
          <w:rFonts w:cs="Arial"/>
          <w:szCs w:val="20"/>
        </w:rPr>
        <w:t>ndertaking provides an identical provision at cla</w:t>
      </w:r>
      <w:r w:rsidR="00016A1B">
        <w:rPr>
          <w:rFonts w:cs="Arial"/>
          <w:szCs w:val="20"/>
        </w:rPr>
        <w:t xml:space="preserve">use 9.3(b). </w:t>
      </w:r>
      <w:r w:rsidRPr="001212C2">
        <w:rPr>
          <w:rFonts w:eastAsia="Calibri" w:cs="Times New Roman"/>
        </w:rPr>
        <w:t xml:space="preserve">While the precise definition of what constitutes a force majeure event in </w:t>
      </w:r>
      <w:proofErr w:type="spellStart"/>
      <w:r w:rsidRPr="001212C2">
        <w:rPr>
          <w:rFonts w:eastAsia="Calibri" w:cs="Times New Roman"/>
        </w:rPr>
        <w:t>Viterra’s</w:t>
      </w:r>
      <w:proofErr w:type="spellEnd"/>
      <w:r w:rsidRPr="001212C2">
        <w:rPr>
          <w:rFonts w:eastAsia="Calibri" w:cs="Times New Roman"/>
        </w:rPr>
        <w:t xml:space="preserve"> </w:t>
      </w:r>
      <w:r w:rsidR="00A82FB2">
        <w:rPr>
          <w:rFonts w:eastAsia="Calibri" w:cs="Times New Roman"/>
        </w:rPr>
        <w:t>a</w:t>
      </w:r>
      <w:r w:rsidRPr="001212C2">
        <w:rPr>
          <w:rFonts w:eastAsia="Calibri" w:cs="Times New Roman"/>
        </w:rPr>
        <w:t xml:space="preserve">pplication differs marginally from that contained in the equivalent </w:t>
      </w:r>
      <w:proofErr w:type="spellStart"/>
      <w:r w:rsidRPr="001212C2">
        <w:rPr>
          <w:rFonts w:eastAsia="Calibri" w:cs="Times New Roman"/>
        </w:rPr>
        <w:t>GrainCorp</w:t>
      </w:r>
      <w:proofErr w:type="spellEnd"/>
      <w:r w:rsidRPr="001212C2">
        <w:rPr>
          <w:rFonts w:eastAsia="Calibri" w:cs="Times New Roman"/>
        </w:rPr>
        <w:t xml:space="preserve"> provision, both provisions cover substantively the same events.</w:t>
      </w:r>
      <w:r w:rsidRPr="001212C2">
        <w:rPr>
          <w:rFonts w:eastAsia="Calibri" w:cs="Times New Roman"/>
          <w:vertAlign w:val="superscript"/>
        </w:rPr>
        <w:footnoteReference w:id="37"/>
      </w:r>
      <w:r w:rsidRPr="001212C2">
        <w:rPr>
          <w:rFonts w:eastAsia="Calibri" w:cs="Times New Roman"/>
        </w:rPr>
        <w:t xml:space="preserve"> Further, the ACCC notes that </w:t>
      </w:r>
      <w:proofErr w:type="spellStart"/>
      <w:r w:rsidRPr="001212C2">
        <w:rPr>
          <w:rFonts w:eastAsia="Calibri" w:cs="Times New Roman"/>
        </w:rPr>
        <w:t>GrainCorp’s</w:t>
      </w:r>
      <w:proofErr w:type="spellEnd"/>
      <w:r w:rsidRPr="001212C2">
        <w:rPr>
          <w:rFonts w:eastAsia="Calibri" w:cs="Times New Roman"/>
        </w:rPr>
        <w:t xml:space="preserve"> equivalent provision was included in its 2009 undertaking and the ACCC has not been informed of any issues with respect to its use or ongoing appropriateness.</w:t>
      </w:r>
    </w:p>
    <w:p w:rsidR="00633670" w:rsidRPr="001212C2" w:rsidRDefault="00633670" w:rsidP="00633670">
      <w:pPr>
        <w:rPr>
          <w:rFonts w:eastAsia="Calibri" w:cs="Times New Roman"/>
          <w:szCs w:val="20"/>
        </w:rPr>
      </w:pPr>
      <w:r w:rsidRPr="001212C2">
        <w:rPr>
          <w:rFonts w:eastAsia="Calibri" w:cs="Times New Roman"/>
          <w:szCs w:val="20"/>
        </w:rPr>
        <w:t xml:space="preserve">Generally however the ACCC considers clause 9.3(g) provides </w:t>
      </w:r>
      <w:proofErr w:type="spellStart"/>
      <w:r w:rsidRPr="001212C2">
        <w:rPr>
          <w:rFonts w:eastAsia="Calibri" w:cs="Times New Roman"/>
          <w:szCs w:val="20"/>
        </w:rPr>
        <w:t>Viterra</w:t>
      </w:r>
      <w:proofErr w:type="spellEnd"/>
      <w:r w:rsidRPr="001212C2">
        <w:rPr>
          <w:rFonts w:eastAsia="Calibri" w:cs="Times New Roman"/>
          <w:szCs w:val="20"/>
        </w:rPr>
        <w:t xml:space="preserve"> with an appropriate level of commercial flexibility in circumstances where events beyond </w:t>
      </w:r>
      <w:proofErr w:type="spellStart"/>
      <w:r w:rsidRPr="001212C2">
        <w:rPr>
          <w:rFonts w:eastAsia="Calibri" w:cs="Times New Roman"/>
          <w:szCs w:val="20"/>
        </w:rPr>
        <w:t>Viterra’s</w:t>
      </w:r>
      <w:proofErr w:type="spellEnd"/>
      <w:r w:rsidRPr="001212C2">
        <w:rPr>
          <w:rFonts w:eastAsia="Calibri" w:cs="Times New Roman"/>
          <w:szCs w:val="20"/>
        </w:rPr>
        <w:t xml:space="preserve"> reasonable control have negatively impacted on the eff</w:t>
      </w:r>
      <w:r w:rsidR="00016A1B">
        <w:rPr>
          <w:rFonts w:eastAsia="Calibri" w:cs="Times New Roman"/>
          <w:szCs w:val="20"/>
        </w:rPr>
        <w:t xml:space="preserve">iciency of its port operations. </w:t>
      </w:r>
      <w:r w:rsidRPr="001212C2">
        <w:rPr>
          <w:rFonts w:eastAsia="Calibri" w:cs="Times New Roman"/>
          <w:szCs w:val="20"/>
        </w:rPr>
        <w:t xml:space="preserve">The ACCC therefore considers the variation to 9.3(g) to be in the legitimate business interests of </w:t>
      </w:r>
      <w:proofErr w:type="spellStart"/>
      <w:r w:rsidRPr="001212C2">
        <w:rPr>
          <w:rFonts w:eastAsia="Calibri" w:cs="Times New Roman"/>
          <w:szCs w:val="20"/>
        </w:rPr>
        <w:t>Viterra</w:t>
      </w:r>
      <w:proofErr w:type="spellEnd"/>
      <w:r w:rsidRPr="001212C2">
        <w:rPr>
          <w:rFonts w:eastAsia="Calibri" w:cs="Times New Roman"/>
          <w:szCs w:val="20"/>
        </w:rPr>
        <w:t xml:space="preserve"> and appropriate, having regard to s</w:t>
      </w:r>
      <w:r>
        <w:rPr>
          <w:rFonts w:eastAsia="Calibri" w:cs="Times New Roman"/>
          <w:szCs w:val="20"/>
        </w:rPr>
        <w:t xml:space="preserve">ection </w:t>
      </w:r>
      <w:r w:rsidRPr="001212C2">
        <w:rPr>
          <w:rFonts w:eastAsia="Calibri" w:cs="Times New Roman"/>
          <w:szCs w:val="20"/>
        </w:rPr>
        <w:t xml:space="preserve">44ZZA(3)(a) of the CCA. The ACCC also considers that a variation of the PLPs to maintain the efficiency of port operations in circumstances where that efficiency would otherwise be reduced, promotes the economically efficient use of </w:t>
      </w:r>
      <w:proofErr w:type="spellStart"/>
      <w:r w:rsidRPr="001212C2">
        <w:rPr>
          <w:rFonts w:eastAsia="Calibri" w:cs="Times New Roman"/>
          <w:szCs w:val="20"/>
        </w:rPr>
        <w:t>Viterra’s</w:t>
      </w:r>
      <w:proofErr w:type="spellEnd"/>
      <w:r w:rsidRPr="001212C2">
        <w:rPr>
          <w:rFonts w:eastAsia="Calibri" w:cs="Times New Roman"/>
          <w:szCs w:val="20"/>
        </w:rPr>
        <w:t xml:space="preserve"> port terminal infrastructure. The ACCC therefore considers the force majeure clause to be consistent with the objects of Part IIIA and the WEMA, having regard to subs</w:t>
      </w:r>
      <w:r>
        <w:rPr>
          <w:rFonts w:eastAsia="Calibri" w:cs="Times New Roman"/>
          <w:szCs w:val="20"/>
        </w:rPr>
        <w:t>ection</w:t>
      </w:r>
      <w:r w:rsidRPr="001212C2">
        <w:rPr>
          <w:rFonts w:eastAsia="Calibri" w:cs="Times New Roman"/>
          <w:szCs w:val="20"/>
        </w:rPr>
        <w:t xml:space="preserve"> </w:t>
      </w:r>
      <w:proofErr w:type="gramStart"/>
      <w:r w:rsidRPr="001212C2">
        <w:rPr>
          <w:rFonts w:eastAsia="Calibri" w:cs="Times New Roman"/>
          <w:szCs w:val="20"/>
        </w:rPr>
        <w:t>44ZZA(</w:t>
      </w:r>
      <w:proofErr w:type="gramEnd"/>
      <w:r w:rsidRPr="001212C2">
        <w:rPr>
          <w:rFonts w:eastAsia="Calibri" w:cs="Times New Roman"/>
          <w:szCs w:val="20"/>
        </w:rPr>
        <w:t>3)(</w:t>
      </w:r>
      <w:proofErr w:type="spellStart"/>
      <w:r w:rsidRPr="001212C2">
        <w:rPr>
          <w:rFonts w:eastAsia="Calibri" w:cs="Times New Roman"/>
          <w:szCs w:val="20"/>
        </w:rPr>
        <w:t>aa</w:t>
      </w:r>
      <w:proofErr w:type="spellEnd"/>
      <w:r w:rsidRPr="001212C2">
        <w:rPr>
          <w:rFonts w:eastAsia="Calibri" w:cs="Times New Roman"/>
          <w:szCs w:val="20"/>
        </w:rPr>
        <w:t xml:space="preserve">) of the CCA and </w:t>
      </w:r>
      <w:r>
        <w:rPr>
          <w:rFonts w:eastAsia="Calibri" w:cs="Times New Roman"/>
          <w:szCs w:val="20"/>
        </w:rPr>
        <w:t xml:space="preserve">section </w:t>
      </w:r>
      <w:r w:rsidRPr="001212C2">
        <w:rPr>
          <w:rFonts w:eastAsia="Calibri" w:cs="Times New Roman"/>
          <w:szCs w:val="20"/>
        </w:rPr>
        <w:t>3(b) of the WEMA.</w:t>
      </w:r>
    </w:p>
    <w:p w:rsidR="00633670" w:rsidRPr="001212C2" w:rsidRDefault="00633670" w:rsidP="00633670">
      <w:pPr>
        <w:rPr>
          <w:rFonts w:eastAsia="Calibri" w:cs="Times New Roman"/>
        </w:rPr>
      </w:pPr>
      <w:r w:rsidRPr="001212C2">
        <w:rPr>
          <w:rFonts w:eastAsia="Calibri" w:cs="Times New Roman"/>
        </w:rPr>
        <w:t xml:space="preserve">Regarding </w:t>
      </w:r>
      <w:proofErr w:type="spellStart"/>
      <w:r w:rsidRPr="001212C2">
        <w:rPr>
          <w:rFonts w:eastAsia="Calibri" w:cs="Times New Roman"/>
        </w:rPr>
        <w:t>Toepfer’s</w:t>
      </w:r>
      <w:proofErr w:type="spellEnd"/>
      <w:r w:rsidRPr="001212C2">
        <w:rPr>
          <w:rFonts w:eastAsia="Calibri" w:cs="Times New Roman"/>
        </w:rPr>
        <w:t xml:space="preserve"> submission requesting greater transparency</w:t>
      </w:r>
      <w:r>
        <w:rPr>
          <w:rFonts w:eastAsia="Calibri" w:cs="Times New Roman"/>
        </w:rPr>
        <w:t xml:space="preserve"> in</w:t>
      </w:r>
      <w:r w:rsidRPr="001212C2">
        <w:rPr>
          <w:rFonts w:eastAsia="Calibri" w:cs="Times New Roman"/>
        </w:rPr>
        <w:t xml:space="preserve"> the unilateral variation process, the ACCC notes its general position to support greater transparency for access seekers. </w:t>
      </w:r>
    </w:p>
    <w:p w:rsidR="00633670" w:rsidRPr="001212C2" w:rsidRDefault="00633670" w:rsidP="00633670">
      <w:pPr>
        <w:rPr>
          <w:rFonts w:eastAsia="Calibri" w:cs="Times New Roman"/>
        </w:rPr>
      </w:pPr>
      <w:r w:rsidRPr="001212C2">
        <w:rPr>
          <w:rFonts w:eastAsia="Calibri" w:cs="Times New Roman"/>
        </w:rPr>
        <w:t xml:space="preserve">The ACCC notes that clause 15.3 of the Standard Terms would require </w:t>
      </w:r>
      <w:proofErr w:type="spellStart"/>
      <w:r w:rsidRPr="001212C2">
        <w:rPr>
          <w:rFonts w:eastAsia="Calibri" w:cs="Times New Roman"/>
        </w:rPr>
        <w:t>Viterra</w:t>
      </w:r>
      <w:proofErr w:type="spellEnd"/>
      <w:r w:rsidRPr="001212C2">
        <w:rPr>
          <w:rFonts w:eastAsia="Calibri" w:cs="Times New Roman"/>
        </w:rPr>
        <w:t xml:space="preserve"> to notify parties affected by a force majeure event, including where </w:t>
      </w:r>
      <w:proofErr w:type="spellStart"/>
      <w:r w:rsidRPr="001212C2">
        <w:rPr>
          <w:rFonts w:eastAsia="Calibri" w:cs="Times New Roman"/>
        </w:rPr>
        <w:t>Viterra</w:t>
      </w:r>
      <w:proofErr w:type="spellEnd"/>
      <w:r w:rsidRPr="001212C2">
        <w:rPr>
          <w:rFonts w:eastAsia="Calibri" w:cs="Times New Roman"/>
        </w:rPr>
        <w:t xml:space="preserve"> is unable to provide access to port terminal services pursuant to the terms of executed access agreements and</w:t>
      </w:r>
      <w:r>
        <w:rPr>
          <w:rFonts w:eastAsia="Calibri" w:cs="Times New Roman"/>
        </w:rPr>
        <w:t>/</w:t>
      </w:r>
      <w:r w:rsidRPr="001212C2">
        <w:rPr>
          <w:rFonts w:eastAsia="Calibri" w:cs="Times New Roman"/>
        </w:rPr>
        <w:t>or the PLPs.</w:t>
      </w:r>
      <w:r w:rsidR="004C5C36">
        <w:rPr>
          <w:rFonts w:eastAsia="Calibri" w:cs="Times New Roman"/>
        </w:rPr>
        <w:t xml:space="preserve"> </w:t>
      </w:r>
      <w:r w:rsidRPr="001212C2">
        <w:rPr>
          <w:rFonts w:eastAsia="Calibri" w:cs="Times New Roman"/>
        </w:rPr>
        <w:t xml:space="preserve">In the </w:t>
      </w:r>
      <w:proofErr w:type="gramStart"/>
      <w:r w:rsidRPr="001212C2">
        <w:rPr>
          <w:rFonts w:eastAsia="Calibri" w:cs="Times New Roman"/>
        </w:rPr>
        <w:lastRenderedPageBreak/>
        <w:t>event</w:t>
      </w:r>
      <w:proofErr w:type="gramEnd"/>
      <w:r w:rsidRPr="001212C2">
        <w:rPr>
          <w:rFonts w:eastAsia="Calibri" w:cs="Times New Roman"/>
        </w:rPr>
        <w:t xml:space="preserve"> that </w:t>
      </w:r>
      <w:proofErr w:type="spellStart"/>
      <w:r w:rsidRPr="001212C2">
        <w:rPr>
          <w:rFonts w:eastAsia="Calibri" w:cs="Times New Roman"/>
        </w:rPr>
        <w:t>Viterra</w:t>
      </w:r>
      <w:proofErr w:type="spellEnd"/>
      <w:r w:rsidRPr="001212C2">
        <w:rPr>
          <w:rFonts w:eastAsia="Calibri" w:cs="Times New Roman"/>
        </w:rPr>
        <w:t xml:space="preserve"> is required to unilaterally vary PLPs to mitigate loss from a force majeure event, the ACCC would expect </w:t>
      </w:r>
      <w:proofErr w:type="spellStart"/>
      <w:r w:rsidRPr="001212C2">
        <w:rPr>
          <w:rFonts w:eastAsia="Calibri" w:cs="Times New Roman"/>
        </w:rPr>
        <w:t>Viterra</w:t>
      </w:r>
      <w:proofErr w:type="spellEnd"/>
      <w:r w:rsidRPr="001212C2">
        <w:rPr>
          <w:rFonts w:eastAsia="Calibri" w:cs="Times New Roman"/>
        </w:rPr>
        <w:t xml:space="preserve"> to notify all parties that are required to comply with the existing and varied PLPs.</w:t>
      </w:r>
      <w:r w:rsidR="004C5C36">
        <w:rPr>
          <w:rFonts w:eastAsia="Calibri" w:cs="Times New Roman"/>
        </w:rPr>
        <w:t xml:space="preserve"> </w:t>
      </w:r>
    </w:p>
    <w:p w:rsidR="00633670" w:rsidRPr="001212C2" w:rsidRDefault="00633670" w:rsidP="00633670">
      <w:pPr>
        <w:rPr>
          <w:rFonts w:eastAsia="Calibri" w:cs="Times New Roman"/>
        </w:rPr>
      </w:pPr>
      <w:r w:rsidRPr="001212C2">
        <w:rPr>
          <w:rFonts w:eastAsia="Calibri" w:cs="Times New Roman"/>
        </w:rPr>
        <w:t xml:space="preserve">In this regard, the ACCC notes </w:t>
      </w:r>
      <w:proofErr w:type="spellStart"/>
      <w:r w:rsidRPr="001212C2">
        <w:rPr>
          <w:rFonts w:eastAsia="Calibri" w:cs="Times New Roman"/>
        </w:rPr>
        <w:t>Viterra’s</w:t>
      </w:r>
      <w:proofErr w:type="spellEnd"/>
      <w:r w:rsidRPr="001212C2">
        <w:rPr>
          <w:rFonts w:eastAsia="Calibri" w:cs="Times New Roman"/>
        </w:rPr>
        <w:t xml:space="preserve"> practice during the breakdown of its elevator at Outer Harbor during the second half of 2012 and early 2013. Following the breakdown </w:t>
      </w:r>
      <w:proofErr w:type="spellStart"/>
      <w:r w:rsidRPr="001212C2">
        <w:rPr>
          <w:rFonts w:eastAsia="Calibri" w:cs="Times New Roman"/>
        </w:rPr>
        <w:t>Viterra</w:t>
      </w:r>
      <w:proofErr w:type="spellEnd"/>
      <w:r w:rsidRPr="001212C2">
        <w:rPr>
          <w:rFonts w:eastAsia="Calibri" w:cs="Times New Roman"/>
        </w:rPr>
        <w:t xml:space="preserve"> emailed all affected clients and placed notices on </w:t>
      </w:r>
      <w:proofErr w:type="spellStart"/>
      <w:r w:rsidRPr="001212C2">
        <w:rPr>
          <w:rFonts w:eastAsia="Calibri" w:cs="Times New Roman"/>
        </w:rPr>
        <w:t>Viterra’s</w:t>
      </w:r>
      <w:proofErr w:type="spellEnd"/>
      <w:r w:rsidRPr="001212C2">
        <w:rPr>
          <w:rFonts w:eastAsia="Calibri" w:cs="Times New Roman"/>
        </w:rPr>
        <w:t xml:space="preserve"> website.</w:t>
      </w:r>
      <w:r w:rsidR="004C5C36">
        <w:rPr>
          <w:rFonts w:eastAsia="Calibri" w:cs="Times New Roman"/>
        </w:rPr>
        <w:t xml:space="preserve"> </w:t>
      </w:r>
      <w:r w:rsidRPr="001212C2">
        <w:rPr>
          <w:rFonts w:eastAsia="Calibri" w:cs="Times New Roman"/>
        </w:rPr>
        <w:t>The ACCC would expect that the same</w:t>
      </w:r>
      <w:r>
        <w:rPr>
          <w:rFonts w:eastAsia="Calibri" w:cs="Times New Roman"/>
        </w:rPr>
        <w:t xml:space="preserve"> level of notification</w:t>
      </w:r>
      <w:r w:rsidRPr="001212C2">
        <w:rPr>
          <w:rFonts w:eastAsia="Calibri" w:cs="Times New Roman"/>
        </w:rPr>
        <w:t xml:space="preserve"> would occur in the future. </w:t>
      </w:r>
    </w:p>
    <w:p w:rsidR="00633670" w:rsidRPr="001212C2" w:rsidRDefault="00633670" w:rsidP="00633670">
      <w:pPr>
        <w:rPr>
          <w:rFonts w:eastAsia="Calibri" w:cs="Times New Roman"/>
        </w:rPr>
      </w:pPr>
      <w:r w:rsidRPr="001212C2">
        <w:rPr>
          <w:rFonts w:eastAsia="Calibri" w:cs="Times New Roman"/>
        </w:rPr>
        <w:t xml:space="preserve">The ACCC notes </w:t>
      </w:r>
      <w:r>
        <w:rPr>
          <w:rFonts w:eastAsia="Calibri" w:cs="Times New Roman"/>
        </w:rPr>
        <w:t xml:space="preserve">that it </w:t>
      </w:r>
      <w:r w:rsidRPr="001212C2">
        <w:rPr>
          <w:rFonts w:eastAsia="Calibri" w:cs="Times New Roman"/>
        </w:rPr>
        <w:t xml:space="preserve">will monitor any claimed force majeure events closely and that </w:t>
      </w:r>
      <w:proofErr w:type="spellStart"/>
      <w:r w:rsidRPr="001212C2">
        <w:rPr>
          <w:rFonts w:eastAsia="Calibri" w:cs="Times New Roman"/>
        </w:rPr>
        <w:t>Viterra</w:t>
      </w:r>
      <w:proofErr w:type="spellEnd"/>
      <w:r w:rsidRPr="001212C2">
        <w:rPr>
          <w:rFonts w:eastAsia="Calibri" w:cs="Times New Roman"/>
        </w:rPr>
        <w:t xml:space="preserve"> will be required to comply with all other obligations in its undertaking through the force majeure period. </w:t>
      </w:r>
    </w:p>
    <w:p w:rsidR="00633670" w:rsidRPr="003D6EEE" w:rsidRDefault="00633670" w:rsidP="00633670">
      <w:pPr>
        <w:rPr>
          <w:rFonts w:eastAsia="Calibri" w:cs="Times New Roman"/>
          <w:szCs w:val="20"/>
        </w:rPr>
      </w:pPr>
      <w:r w:rsidRPr="001212C2">
        <w:rPr>
          <w:rFonts w:eastAsia="Calibri" w:cs="Times New Roman"/>
          <w:szCs w:val="20"/>
        </w:rPr>
        <w:t xml:space="preserve">It is the ACCC’s view to accept </w:t>
      </w:r>
      <w:proofErr w:type="spellStart"/>
      <w:r w:rsidRPr="001212C2">
        <w:rPr>
          <w:rFonts w:eastAsia="Calibri" w:cs="Times New Roman"/>
          <w:szCs w:val="20"/>
        </w:rPr>
        <w:t>Viterra’s</w:t>
      </w:r>
      <w:proofErr w:type="spellEnd"/>
      <w:r w:rsidRPr="001212C2">
        <w:rPr>
          <w:rFonts w:eastAsia="Calibri" w:cs="Times New Roman"/>
          <w:szCs w:val="20"/>
        </w:rPr>
        <w:t xml:space="preserve"> proposed clause 9.3(g) as appropriate, having regard to the matters listed in subs</w:t>
      </w:r>
      <w:r>
        <w:rPr>
          <w:rFonts w:eastAsia="Calibri" w:cs="Times New Roman"/>
          <w:szCs w:val="20"/>
        </w:rPr>
        <w:t xml:space="preserve">ection </w:t>
      </w:r>
      <w:r w:rsidRPr="001212C2">
        <w:rPr>
          <w:rFonts w:eastAsia="Calibri" w:cs="Times New Roman"/>
          <w:szCs w:val="20"/>
        </w:rPr>
        <w:t>44ZZA(3) of the CCA.</w:t>
      </w:r>
      <w:r w:rsidR="004C5C36">
        <w:rPr>
          <w:rFonts w:eastAsia="Calibri" w:cs="Times New Roman"/>
          <w:szCs w:val="20"/>
        </w:rPr>
        <w:t xml:space="preserve"> </w:t>
      </w:r>
    </w:p>
    <w:p w:rsidR="00633670" w:rsidRPr="000F2FB4" w:rsidRDefault="00633670" w:rsidP="000F2FB4">
      <w:pPr>
        <w:pStyle w:val="Numberedheading2"/>
      </w:pPr>
      <w:bookmarkStart w:id="24" w:name="_Toc378322939"/>
      <w:r w:rsidRPr="000F2FB4">
        <w:t>Auction timetable</w:t>
      </w:r>
      <w:bookmarkEnd w:id="24"/>
    </w:p>
    <w:p w:rsidR="00633670" w:rsidRPr="001212C2" w:rsidRDefault="00904815" w:rsidP="00633670">
      <w:pPr>
        <w:rPr>
          <w:rFonts w:cs="Arial"/>
          <w:szCs w:val="20"/>
        </w:rPr>
      </w:pPr>
      <w:proofErr w:type="spellStart"/>
      <w:r>
        <w:rPr>
          <w:rFonts w:cs="Arial"/>
          <w:szCs w:val="20"/>
        </w:rPr>
        <w:t>Viterra</w:t>
      </w:r>
      <w:proofErr w:type="spellEnd"/>
      <w:r>
        <w:rPr>
          <w:rFonts w:cs="Arial"/>
          <w:szCs w:val="20"/>
        </w:rPr>
        <w:t xml:space="preserve"> propose</w:t>
      </w:r>
      <w:r w:rsidR="00155A78">
        <w:rPr>
          <w:rFonts w:cs="Arial"/>
          <w:szCs w:val="20"/>
        </w:rPr>
        <w:t>s</w:t>
      </w:r>
      <w:r w:rsidR="00633670" w:rsidRPr="001212C2">
        <w:rPr>
          <w:rFonts w:cs="Arial"/>
          <w:szCs w:val="20"/>
        </w:rPr>
        <w:t xml:space="preserve"> to delete clause 2</w:t>
      </w:r>
      <w:r>
        <w:rPr>
          <w:rFonts w:cs="Arial"/>
          <w:szCs w:val="20"/>
        </w:rPr>
        <w:t>.3(c) of its PLPs which provided</w:t>
      </w:r>
      <w:r w:rsidR="00633670" w:rsidRPr="001212C2">
        <w:rPr>
          <w:rFonts w:cs="Arial"/>
          <w:szCs w:val="20"/>
        </w:rPr>
        <w:t xml:space="preserve"> indicative timings for its harvest shipping period auction and two non-harvest shipping period auctions.</w:t>
      </w:r>
    </w:p>
    <w:p w:rsidR="00633670" w:rsidRPr="001212C2" w:rsidRDefault="00633670" w:rsidP="00633670">
      <w:pPr>
        <w:rPr>
          <w:rFonts w:cs="Arial"/>
          <w:szCs w:val="20"/>
        </w:rPr>
      </w:pPr>
      <w:r w:rsidRPr="001212C2">
        <w:rPr>
          <w:rFonts w:cs="Arial"/>
          <w:szCs w:val="20"/>
        </w:rPr>
        <w:t>Clause 2.3(c</w:t>
      </w:r>
      <w:proofErr w:type="gramStart"/>
      <w:r w:rsidRPr="001212C2">
        <w:rPr>
          <w:rFonts w:cs="Arial"/>
          <w:szCs w:val="20"/>
        </w:rPr>
        <w:t>)(</w:t>
      </w:r>
      <w:proofErr w:type="spellStart"/>
      <w:proofErr w:type="gramEnd"/>
      <w:r w:rsidRPr="001212C2">
        <w:rPr>
          <w:rFonts w:cs="Arial"/>
          <w:szCs w:val="20"/>
        </w:rPr>
        <w:t>i</w:t>
      </w:r>
      <w:proofErr w:type="spellEnd"/>
      <w:r w:rsidRPr="001212C2">
        <w:rPr>
          <w:rFonts w:cs="Arial"/>
          <w:szCs w:val="20"/>
        </w:rPr>
        <w:t xml:space="preserve">) of </w:t>
      </w:r>
      <w:proofErr w:type="spellStart"/>
      <w:r w:rsidRPr="001212C2">
        <w:rPr>
          <w:rFonts w:cs="Arial"/>
          <w:szCs w:val="20"/>
        </w:rPr>
        <w:t>Viterra’s</w:t>
      </w:r>
      <w:proofErr w:type="spellEnd"/>
      <w:r w:rsidRPr="001212C2">
        <w:rPr>
          <w:rFonts w:cs="Arial"/>
          <w:szCs w:val="20"/>
        </w:rPr>
        <w:t xml:space="preserve"> 2011 PLPs provides that </w:t>
      </w:r>
      <w:proofErr w:type="spellStart"/>
      <w:r w:rsidRPr="001212C2">
        <w:rPr>
          <w:rFonts w:cs="Arial"/>
          <w:szCs w:val="20"/>
        </w:rPr>
        <w:t>Viterra</w:t>
      </w:r>
      <w:proofErr w:type="spellEnd"/>
      <w:r w:rsidRPr="001212C2">
        <w:rPr>
          <w:rFonts w:cs="Arial"/>
          <w:szCs w:val="20"/>
        </w:rPr>
        <w:t xml:space="preserve"> anticipates that the harvest auction will be held around the start of August preceding the relevant period. Clause 2.3(c)(ii) provides that the first of the two non-harvest auctions will be held at the start of November preceding the relevant period, with a second auction (if held) approximately 4 weeks later.</w:t>
      </w:r>
      <w:r w:rsidR="004C5C36">
        <w:rPr>
          <w:rFonts w:cs="Arial"/>
          <w:szCs w:val="20"/>
        </w:rPr>
        <w:t xml:space="preserve">  </w:t>
      </w:r>
    </w:p>
    <w:p w:rsidR="00633670" w:rsidRPr="001212C2" w:rsidRDefault="00633670" w:rsidP="00633670">
      <w:pPr>
        <w:rPr>
          <w:rFonts w:cs="Arial"/>
          <w:szCs w:val="20"/>
        </w:rPr>
      </w:pPr>
      <w:proofErr w:type="spellStart"/>
      <w:r w:rsidRPr="001212C2">
        <w:rPr>
          <w:rFonts w:cs="Arial"/>
          <w:szCs w:val="20"/>
        </w:rPr>
        <w:t>Viterra’s</w:t>
      </w:r>
      <w:proofErr w:type="spellEnd"/>
      <w:r w:rsidRPr="001212C2">
        <w:rPr>
          <w:rFonts w:cs="Arial"/>
          <w:szCs w:val="20"/>
        </w:rPr>
        <w:t xml:space="preserve"> A</w:t>
      </w:r>
      <w:r w:rsidR="00A82FB2">
        <w:rPr>
          <w:rFonts w:cs="Arial"/>
          <w:szCs w:val="20"/>
        </w:rPr>
        <w:t>mended a</w:t>
      </w:r>
      <w:r w:rsidRPr="001212C2">
        <w:rPr>
          <w:rFonts w:cs="Arial"/>
          <w:szCs w:val="20"/>
        </w:rPr>
        <w:t>pplication</w:t>
      </w:r>
      <w:r>
        <w:rPr>
          <w:rFonts w:cs="Arial"/>
          <w:szCs w:val="20"/>
        </w:rPr>
        <w:t xml:space="preserve"> to extend and vary</w:t>
      </w:r>
      <w:r w:rsidRPr="001212C2">
        <w:rPr>
          <w:rFonts w:cs="Arial"/>
          <w:szCs w:val="20"/>
        </w:rPr>
        <w:t xml:space="preserve"> retains clause 2.3(b) which provides that </w:t>
      </w:r>
      <w:proofErr w:type="spellStart"/>
      <w:r w:rsidRPr="001212C2">
        <w:rPr>
          <w:rFonts w:cs="Arial"/>
          <w:szCs w:val="20"/>
        </w:rPr>
        <w:t>Viterra</w:t>
      </w:r>
      <w:proofErr w:type="spellEnd"/>
      <w:r w:rsidRPr="001212C2">
        <w:rPr>
          <w:rFonts w:cs="Arial"/>
          <w:szCs w:val="20"/>
        </w:rPr>
        <w:t xml:space="preserve"> will publish an indicative date and time for each auction to be held in a year (October – September) by 1 July immediately preceding the start of the year. </w:t>
      </w:r>
      <w:proofErr w:type="spellStart"/>
      <w:r w:rsidRPr="001212C2">
        <w:rPr>
          <w:rFonts w:cs="Arial"/>
          <w:szCs w:val="20"/>
        </w:rPr>
        <w:t>Viterra’s</w:t>
      </w:r>
      <w:proofErr w:type="spellEnd"/>
      <w:r w:rsidRPr="001212C2">
        <w:rPr>
          <w:rFonts w:cs="Arial"/>
          <w:szCs w:val="20"/>
        </w:rPr>
        <w:t xml:space="preserve"> most recent auction was conducted in April 2013. </w:t>
      </w:r>
    </w:p>
    <w:p w:rsidR="00633670" w:rsidRPr="00517047" w:rsidRDefault="00633670" w:rsidP="00633670">
      <w:pPr>
        <w:keepNext/>
        <w:numPr>
          <w:ilvl w:val="2"/>
          <w:numId w:val="1"/>
        </w:numPr>
        <w:spacing w:before="240" w:after="120"/>
        <w:rPr>
          <w:rFonts w:ascii="Lucida Fax" w:eastAsia="Times New Roman" w:hAnsi="Lucida Fax" w:cs="Times New Roman"/>
          <w:b/>
          <w:bCs/>
          <w:sz w:val="24"/>
          <w:szCs w:val="28"/>
        </w:rPr>
      </w:pPr>
      <w:proofErr w:type="spellStart"/>
      <w:r w:rsidRPr="00517047">
        <w:rPr>
          <w:rFonts w:ascii="Lucida Fax" w:eastAsia="Times New Roman" w:hAnsi="Lucida Fax" w:cs="Times New Roman"/>
          <w:b/>
          <w:bCs/>
          <w:sz w:val="24"/>
          <w:szCs w:val="28"/>
        </w:rPr>
        <w:t>Viterra’s</w:t>
      </w:r>
      <w:proofErr w:type="spellEnd"/>
      <w:r w:rsidRPr="00517047">
        <w:rPr>
          <w:rFonts w:ascii="Lucida Fax" w:eastAsia="Times New Roman" w:hAnsi="Lucida Fax" w:cs="Times New Roman"/>
          <w:b/>
          <w:bCs/>
          <w:sz w:val="24"/>
          <w:szCs w:val="28"/>
        </w:rPr>
        <w:t xml:space="preserve"> supporting submissions</w:t>
      </w:r>
    </w:p>
    <w:p w:rsidR="00633670" w:rsidRPr="00260326" w:rsidRDefault="00904815" w:rsidP="00633670">
      <w:pPr>
        <w:rPr>
          <w:rFonts w:cs="Arial"/>
          <w:szCs w:val="20"/>
        </w:rPr>
      </w:pPr>
      <w:proofErr w:type="spellStart"/>
      <w:r>
        <w:rPr>
          <w:rFonts w:cs="Arial"/>
          <w:szCs w:val="20"/>
        </w:rPr>
        <w:t>Viterra</w:t>
      </w:r>
      <w:proofErr w:type="spellEnd"/>
      <w:r>
        <w:rPr>
          <w:rFonts w:cs="Arial"/>
          <w:szCs w:val="20"/>
        </w:rPr>
        <w:t xml:space="preserve"> submitted</w:t>
      </w:r>
      <w:r w:rsidR="00633670" w:rsidRPr="00260326">
        <w:rPr>
          <w:rFonts w:cs="Arial"/>
          <w:szCs w:val="20"/>
        </w:rPr>
        <w:t xml:space="preserve"> that the </w:t>
      </w:r>
      <w:r>
        <w:rPr>
          <w:rFonts w:cs="Arial"/>
          <w:szCs w:val="20"/>
        </w:rPr>
        <w:t>removal of indicative timings was</w:t>
      </w:r>
      <w:r w:rsidR="00633670" w:rsidRPr="00260326">
        <w:rPr>
          <w:rFonts w:cs="Arial"/>
          <w:szCs w:val="20"/>
        </w:rPr>
        <w:t xml:space="preserve"> in response to customer feedback:</w:t>
      </w:r>
    </w:p>
    <w:p w:rsidR="00633670" w:rsidRPr="00260326" w:rsidRDefault="00633670" w:rsidP="00633670">
      <w:pPr>
        <w:ind w:left="720"/>
        <w:rPr>
          <w:rFonts w:cs="Arial"/>
          <w:sz w:val="18"/>
          <w:szCs w:val="18"/>
        </w:rPr>
      </w:pPr>
      <w:r w:rsidRPr="00260326">
        <w:rPr>
          <w:rFonts w:cs="Arial"/>
          <w:sz w:val="18"/>
          <w:szCs w:val="18"/>
        </w:rPr>
        <w:t xml:space="preserve">During the review of the Auction System undertaken by </w:t>
      </w:r>
      <w:proofErr w:type="spellStart"/>
      <w:r w:rsidRPr="00260326">
        <w:rPr>
          <w:rFonts w:cs="Arial"/>
          <w:sz w:val="18"/>
          <w:szCs w:val="18"/>
        </w:rPr>
        <w:t>Vittera</w:t>
      </w:r>
      <w:proofErr w:type="spellEnd"/>
      <w:r w:rsidRPr="00260326">
        <w:rPr>
          <w:rFonts w:cs="Arial"/>
          <w:sz w:val="18"/>
          <w:szCs w:val="18"/>
        </w:rPr>
        <w:t xml:space="preserve"> in accordance with clause 14 of the Port Loading Protocols, a number of exporters indicated that they would prefer that the Auctions were held earlier than the indicative August and November dates set out in clause 2.3 of the Port Loading Protocols.</w:t>
      </w:r>
      <w:r w:rsidRPr="00260326">
        <w:rPr>
          <w:rFonts w:cs="Arial"/>
          <w:sz w:val="18"/>
          <w:szCs w:val="18"/>
          <w:vertAlign w:val="superscript"/>
        </w:rPr>
        <w:footnoteReference w:id="38"/>
      </w:r>
      <w:r w:rsidRPr="00260326">
        <w:rPr>
          <w:rFonts w:cs="Arial"/>
          <w:sz w:val="18"/>
          <w:szCs w:val="18"/>
        </w:rPr>
        <w:t xml:space="preserve"> </w:t>
      </w:r>
    </w:p>
    <w:p w:rsidR="00633670" w:rsidRPr="00260326" w:rsidRDefault="00904815" w:rsidP="00633670">
      <w:pPr>
        <w:rPr>
          <w:rFonts w:cs="Arial"/>
          <w:szCs w:val="20"/>
        </w:rPr>
      </w:pPr>
      <w:proofErr w:type="spellStart"/>
      <w:r>
        <w:rPr>
          <w:rFonts w:cs="Arial"/>
          <w:szCs w:val="20"/>
        </w:rPr>
        <w:t>Viterra</w:t>
      </w:r>
      <w:proofErr w:type="spellEnd"/>
      <w:r>
        <w:rPr>
          <w:rFonts w:cs="Arial"/>
          <w:szCs w:val="20"/>
        </w:rPr>
        <w:t xml:space="preserve"> also submitted</w:t>
      </w:r>
      <w:r w:rsidR="00633670" w:rsidRPr="00260326">
        <w:rPr>
          <w:rFonts w:cs="Arial"/>
          <w:szCs w:val="20"/>
        </w:rPr>
        <w:t xml:space="preserve"> t</w:t>
      </w:r>
      <w:r>
        <w:rPr>
          <w:rFonts w:cs="Arial"/>
          <w:szCs w:val="20"/>
        </w:rPr>
        <w:t>hat operational requirements were</w:t>
      </w:r>
      <w:r w:rsidR="00633670" w:rsidRPr="00260326">
        <w:rPr>
          <w:rFonts w:cs="Arial"/>
          <w:szCs w:val="20"/>
        </w:rPr>
        <w:t xml:space="preserve"> also a consideration:</w:t>
      </w:r>
    </w:p>
    <w:p w:rsidR="00633670" w:rsidRPr="00260326" w:rsidRDefault="00633670" w:rsidP="00633670">
      <w:pPr>
        <w:ind w:left="720"/>
        <w:rPr>
          <w:rFonts w:cs="Arial"/>
          <w:sz w:val="18"/>
          <w:szCs w:val="18"/>
        </w:rPr>
      </w:pPr>
      <w:r w:rsidRPr="00260326">
        <w:rPr>
          <w:rFonts w:cs="Arial"/>
          <w:sz w:val="18"/>
          <w:szCs w:val="18"/>
        </w:rPr>
        <w:t xml:space="preserve">In order to retain flexibility, </w:t>
      </w:r>
      <w:proofErr w:type="spellStart"/>
      <w:r w:rsidRPr="00260326">
        <w:rPr>
          <w:rFonts w:cs="Arial"/>
          <w:sz w:val="18"/>
          <w:szCs w:val="18"/>
        </w:rPr>
        <w:t>Viterra</w:t>
      </w:r>
      <w:proofErr w:type="spellEnd"/>
      <w:r w:rsidRPr="00260326">
        <w:rPr>
          <w:rFonts w:cs="Arial"/>
          <w:sz w:val="18"/>
          <w:szCs w:val="18"/>
        </w:rPr>
        <w:t xml:space="preserve"> Operations does not propose to specify the dates for any auction in the Port Loading Protocols. However, it is intended that the auctions will be in early 2014 (with appropriate notice requirements set out in clauses 2.3(a) and (b)).</w:t>
      </w:r>
      <w:r w:rsidRPr="00260326">
        <w:rPr>
          <w:rFonts w:cs="Arial"/>
          <w:sz w:val="18"/>
          <w:szCs w:val="18"/>
          <w:vertAlign w:val="superscript"/>
        </w:rPr>
        <w:footnoteReference w:id="39"/>
      </w:r>
      <w:r w:rsidRPr="00260326">
        <w:rPr>
          <w:rFonts w:cs="Arial"/>
          <w:sz w:val="18"/>
          <w:szCs w:val="18"/>
        </w:rPr>
        <w:t xml:space="preserve"> </w:t>
      </w:r>
    </w:p>
    <w:p w:rsidR="00633670" w:rsidRPr="00517047" w:rsidRDefault="00633670" w:rsidP="00633670">
      <w:pPr>
        <w:keepNext/>
        <w:numPr>
          <w:ilvl w:val="2"/>
          <w:numId w:val="1"/>
        </w:numPr>
        <w:spacing w:before="24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The ACCC’s view</w:t>
      </w:r>
    </w:p>
    <w:p w:rsidR="00633670" w:rsidRPr="00260326" w:rsidRDefault="00633670" w:rsidP="00633670">
      <w:pPr>
        <w:rPr>
          <w:rFonts w:cs="Arial"/>
          <w:szCs w:val="20"/>
        </w:rPr>
      </w:pPr>
      <w:r w:rsidRPr="00260326">
        <w:rPr>
          <w:rFonts w:cs="Arial"/>
          <w:szCs w:val="20"/>
        </w:rPr>
        <w:t xml:space="preserve">The ACCC considers that </w:t>
      </w:r>
      <w:proofErr w:type="spellStart"/>
      <w:r w:rsidRPr="00260326">
        <w:rPr>
          <w:rFonts w:cs="Arial"/>
          <w:szCs w:val="20"/>
        </w:rPr>
        <w:t>Viterra’s</w:t>
      </w:r>
      <w:proofErr w:type="spellEnd"/>
      <w:r w:rsidRPr="00260326">
        <w:rPr>
          <w:rFonts w:cs="Arial"/>
          <w:szCs w:val="20"/>
        </w:rPr>
        <w:t xml:space="preserve"> auction scheduling balances </w:t>
      </w:r>
      <w:proofErr w:type="spellStart"/>
      <w:r w:rsidRPr="00260326">
        <w:rPr>
          <w:rFonts w:cs="Arial"/>
          <w:szCs w:val="20"/>
        </w:rPr>
        <w:t>Viterra’s</w:t>
      </w:r>
      <w:proofErr w:type="spellEnd"/>
      <w:r w:rsidRPr="00260326">
        <w:rPr>
          <w:rFonts w:cs="Arial"/>
          <w:szCs w:val="20"/>
        </w:rPr>
        <w:t xml:space="preserve"> interest in maintaining scheduling flexibility </w:t>
      </w:r>
      <w:r w:rsidR="00957D3E">
        <w:rPr>
          <w:rFonts w:cs="Arial"/>
          <w:szCs w:val="20"/>
        </w:rPr>
        <w:t>with</w:t>
      </w:r>
      <w:r w:rsidRPr="00260326">
        <w:rPr>
          <w:rFonts w:cs="Arial"/>
          <w:szCs w:val="20"/>
        </w:rPr>
        <w:t xml:space="preserve"> the interests of access seekers in having certainty in auction timing.</w:t>
      </w:r>
      <w:r w:rsidR="004C5C36">
        <w:rPr>
          <w:rFonts w:cs="Arial"/>
          <w:szCs w:val="20"/>
        </w:rPr>
        <w:t xml:space="preserve"> </w:t>
      </w:r>
      <w:r w:rsidRPr="00260326">
        <w:rPr>
          <w:rFonts w:cs="Arial"/>
          <w:szCs w:val="20"/>
        </w:rPr>
        <w:t xml:space="preserve"> </w:t>
      </w:r>
    </w:p>
    <w:p w:rsidR="00633670" w:rsidRPr="00260326" w:rsidRDefault="00633670" w:rsidP="00633670">
      <w:pPr>
        <w:rPr>
          <w:rFonts w:cs="Arial"/>
          <w:szCs w:val="20"/>
        </w:rPr>
      </w:pPr>
      <w:r w:rsidRPr="00260326">
        <w:rPr>
          <w:rFonts w:cs="Arial"/>
          <w:szCs w:val="20"/>
        </w:rPr>
        <w:t xml:space="preserve">The ACCC considers that the removal of the indicative auction timings in clause 2.3(c) of </w:t>
      </w:r>
      <w:proofErr w:type="spellStart"/>
      <w:r w:rsidRPr="00260326">
        <w:rPr>
          <w:rFonts w:cs="Arial"/>
          <w:szCs w:val="20"/>
        </w:rPr>
        <w:t>Viterra’s</w:t>
      </w:r>
      <w:proofErr w:type="spellEnd"/>
      <w:r w:rsidRPr="00260326">
        <w:rPr>
          <w:rFonts w:cs="Arial"/>
          <w:szCs w:val="20"/>
        </w:rPr>
        <w:t xml:space="preserve"> PLPs removes the possibility of access seekers being misled as to auction timing. </w:t>
      </w:r>
    </w:p>
    <w:p w:rsidR="00633670" w:rsidRPr="00260326" w:rsidRDefault="00633670" w:rsidP="00633670">
      <w:pPr>
        <w:rPr>
          <w:rFonts w:eastAsia="Calibri" w:cs="Times New Roman"/>
        </w:rPr>
      </w:pPr>
      <w:r w:rsidRPr="00260326">
        <w:rPr>
          <w:rFonts w:cs="Arial"/>
          <w:szCs w:val="20"/>
        </w:rPr>
        <w:t xml:space="preserve">The ACCC notes that clauses 2.3(a) and 2.3(b) require </w:t>
      </w:r>
      <w:proofErr w:type="spellStart"/>
      <w:r w:rsidRPr="00260326">
        <w:rPr>
          <w:rFonts w:cs="Arial"/>
          <w:szCs w:val="20"/>
        </w:rPr>
        <w:t>Viterra</w:t>
      </w:r>
      <w:proofErr w:type="spellEnd"/>
      <w:r w:rsidRPr="00260326">
        <w:rPr>
          <w:rFonts w:cs="Arial"/>
          <w:szCs w:val="20"/>
        </w:rPr>
        <w:t xml:space="preserve"> </w:t>
      </w:r>
      <w:r w:rsidRPr="00260326">
        <w:rPr>
          <w:rFonts w:eastAsia="Calibri" w:cs="Times New Roman"/>
        </w:rPr>
        <w:t>to publish the date and time of auctions on its website at least 10 business days prior to commencement,</w:t>
      </w:r>
      <w:r w:rsidRPr="00260326">
        <w:rPr>
          <w:rFonts w:eastAsia="Calibri" w:cs="Times New Roman"/>
          <w:vertAlign w:val="superscript"/>
        </w:rPr>
        <w:footnoteReference w:id="40"/>
      </w:r>
      <w:r w:rsidRPr="00260326">
        <w:rPr>
          <w:rFonts w:eastAsia="Calibri" w:cs="Times New Roman"/>
        </w:rPr>
        <w:t xml:space="preserve"> and indicative </w:t>
      </w:r>
      <w:r w:rsidRPr="00260326">
        <w:rPr>
          <w:rFonts w:eastAsia="Calibri" w:cs="Times New Roman"/>
        </w:rPr>
        <w:lastRenderedPageBreak/>
        <w:t>timings for each auction by 1 July in the preceding year.</w:t>
      </w:r>
      <w:r w:rsidRPr="00260326">
        <w:rPr>
          <w:rFonts w:eastAsia="Calibri" w:cs="Times New Roman"/>
          <w:vertAlign w:val="superscript"/>
        </w:rPr>
        <w:footnoteReference w:id="41"/>
      </w:r>
      <w:r w:rsidRPr="00260326">
        <w:rPr>
          <w:rFonts w:eastAsia="Calibri" w:cs="Times New Roman"/>
        </w:rPr>
        <w:t xml:space="preserve"> </w:t>
      </w:r>
      <w:r w:rsidRPr="00260326">
        <w:rPr>
          <w:rFonts w:cs="Arial"/>
          <w:szCs w:val="20"/>
        </w:rPr>
        <w:t xml:space="preserve">The ACCC considers that clauses 2.3(a) and 2.3(b) of </w:t>
      </w:r>
      <w:proofErr w:type="spellStart"/>
      <w:r w:rsidRPr="00260326">
        <w:rPr>
          <w:rFonts w:cs="Arial"/>
          <w:szCs w:val="20"/>
        </w:rPr>
        <w:t>Viterra’s</w:t>
      </w:r>
      <w:proofErr w:type="spellEnd"/>
      <w:r w:rsidRPr="00260326">
        <w:rPr>
          <w:rFonts w:cs="Arial"/>
          <w:szCs w:val="20"/>
        </w:rPr>
        <w:t xml:space="preserve"> PLPs provide access seekers with an appropriate level of certainty regarding the timing of auctions. </w:t>
      </w:r>
      <w:r w:rsidRPr="00260326">
        <w:rPr>
          <w:rFonts w:eastAsia="Calibri" w:cs="Times New Roman"/>
        </w:rPr>
        <w:t>The ACCC therefore considers these publication requirements to be in the interests of access seekers, having regard to s</w:t>
      </w:r>
      <w:r>
        <w:rPr>
          <w:rFonts w:eastAsia="Calibri" w:cs="Times New Roman"/>
        </w:rPr>
        <w:t>ection</w:t>
      </w:r>
      <w:r w:rsidRPr="00260326">
        <w:rPr>
          <w:rFonts w:eastAsia="Calibri" w:cs="Times New Roman"/>
        </w:rPr>
        <w:t xml:space="preserve"> </w:t>
      </w:r>
      <w:proofErr w:type="gramStart"/>
      <w:r w:rsidRPr="00260326">
        <w:rPr>
          <w:rFonts w:eastAsia="Calibri" w:cs="Times New Roman"/>
        </w:rPr>
        <w:t>44ZZA(</w:t>
      </w:r>
      <w:proofErr w:type="gramEnd"/>
      <w:r w:rsidRPr="00260326">
        <w:rPr>
          <w:rFonts w:eastAsia="Calibri" w:cs="Times New Roman"/>
        </w:rPr>
        <w:t xml:space="preserve">3)(c) of the CCA. </w:t>
      </w:r>
    </w:p>
    <w:p w:rsidR="00633670" w:rsidRDefault="00633670" w:rsidP="00633670">
      <w:pPr>
        <w:rPr>
          <w:rFonts w:cs="Arial"/>
          <w:szCs w:val="20"/>
        </w:rPr>
      </w:pPr>
      <w:r w:rsidRPr="00260326">
        <w:rPr>
          <w:rFonts w:eastAsia="Calibri" w:cs="Times New Roman"/>
        </w:rPr>
        <w:t xml:space="preserve">It is the ACCC’s </w:t>
      </w:r>
      <w:r w:rsidR="00434D3B">
        <w:rPr>
          <w:rFonts w:eastAsia="Calibri" w:cs="Times New Roman"/>
        </w:rPr>
        <w:t xml:space="preserve">decision </w:t>
      </w:r>
      <w:r w:rsidRPr="00260326">
        <w:rPr>
          <w:rFonts w:eastAsia="Calibri" w:cs="Times New Roman"/>
        </w:rPr>
        <w:t xml:space="preserve">to accept the deletion of clause </w:t>
      </w:r>
      <w:r w:rsidR="000435D1">
        <w:rPr>
          <w:rFonts w:eastAsia="Calibri" w:cs="Times New Roman"/>
        </w:rPr>
        <w:t>2</w:t>
      </w:r>
      <w:r w:rsidRPr="00260326">
        <w:rPr>
          <w:rFonts w:eastAsia="Calibri" w:cs="Times New Roman"/>
        </w:rPr>
        <w:t xml:space="preserve">.3(c) of </w:t>
      </w:r>
      <w:proofErr w:type="spellStart"/>
      <w:r w:rsidRPr="00260326">
        <w:rPr>
          <w:rFonts w:eastAsia="Calibri" w:cs="Times New Roman"/>
        </w:rPr>
        <w:t>Viterra’s</w:t>
      </w:r>
      <w:proofErr w:type="spellEnd"/>
      <w:r w:rsidRPr="00260326">
        <w:rPr>
          <w:rFonts w:eastAsia="Calibri" w:cs="Times New Roman"/>
        </w:rPr>
        <w:t xml:space="preserve"> undertaking. </w:t>
      </w:r>
    </w:p>
    <w:p w:rsidR="00633670" w:rsidRPr="000F2FB4" w:rsidRDefault="00633670" w:rsidP="000F2FB4">
      <w:pPr>
        <w:pStyle w:val="Numberedheading2"/>
      </w:pPr>
      <w:bookmarkStart w:id="25" w:name="_Toc378322940"/>
      <w:r w:rsidRPr="000F2FB4">
        <w:t>First in, first served bookings</w:t>
      </w:r>
      <w:bookmarkEnd w:id="25"/>
    </w:p>
    <w:p w:rsidR="00633670" w:rsidRPr="00260326" w:rsidRDefault="000D4F11" w:rsidP="00633670">
      <w:pPr>
        <w:rPr>
          <w:rFonts w:eastAsia="Times New Roman" w:cs="Arial"/>
          <w:szCs w:val="20"/>
        </w:rPr>
      </w:pPr>
      <w:proofErr w:type="spellStart"/>
      <w:r>
        <w:rPr>
          <w:rFonts w:eastAsia="Times New Roman" w:cs="Arial"/>
          <w:szCs w:val="20"/>
        </w:rPr>
        <w:t>Viterra’s</w:t>
      </w:r>
      <w:proofErr w:type="spellEnd"/>
      <w:r>
        <w:rPr>
          <w:rFonts w:eastAsia="Times New Roman" w:cs="Arial"/>
          <w:szCs w:val="20"/>
        </w:rPr>
        <w:t xml:space="preserve"> PLPs</w:t>
      </w:r>
      <w:r w:rsidR="00633670" w:rsidRPr="00260326">
        <w:rPr>
          <w:rFonts w:eastAsia="Times New Roman" w:cs="Arial"/>
          <w:szCs w:val="20"/>
        </w:rPr>
        <w:t xml:space="preserve"> provide that, following the harvest auction, the second non-harvest auction, and any further auctions held for capacity that is subsequently made available, any capacity that has not been allocated at auction can be subsequently booked by exporters through a </w:t>
      </w:r>
      <w:r w:rsidR="00633670">
        <w:rPr>
          <w:rFonts w:eastAsia="Times New Roman" w:cs="Arial"/>
          <w:szCs w:val="20"/>
        </w:rPr>
        <w:t>FIFS</w:t>
      </w:r>
      <w:r w:rsidR="00633670" w:rsidRPr="00260326">
        <w:rPr>
          <w:rFonts w:eastAsia="Times New Roman" w:cs="Arial"/>
          <w:szCs w:val="20"/>
        </w:rPr>
        <w:t xml:space="preserve"> system. </w:t>
      </w:r>
      <w:r w:rsidR="00633670" w:rsidRPr="00260326">
        <w:rPr>
          <w:rFonts w:eastAsia="Times New Roman" w:cs="Arial"/>
          <w:szCs w:val="20"/>
          <w:vertAlign w:val="superscript"/>
        </w:rPr>
        <w:footnoteReference w:id="42"/>
      </w:r>
    </w:p>
    <w:p w:rsidR="00633670" w:rsidRPr="00260326" w:rsidRDefault="00633670" w:rsidP="00633670">
      <w:pPr>
        <w:rPr>
          <w:rFonts w:eastAsia="Times New Roman" w:cs="Arial"/>
          <w:szCs w:val="20"/>
        </w:rPr>
      </w:pPr>
      <w:r w:rsidRPr="00260326">
        <w:rPr>
          <w:rFonts w:eastAsia="Times New Roman" w:cs="Arial"/>
          <w:szCs w:val="20"/>
        </w:rPr>
        <w:t>The FIFS system provides that capacity not allocated at auction will be available for booking from a specified date and time following the auctions.</w:t>
      </w:r>
      <w:r w:rsidR="004C5C36">
        <w:rPr>
          <w:rFonts w:eastAsia="Times New Roman" w:cs="Arial"/>
          <w:szCs w:val="20"/>
        </w:rPr>
        <w:t xml:space="preserve"> </w:t>
      </w:r>
      <w:r w:rsidRPr="00260326">
        <w:rPr>
          <w:rFonts w:eastAsia="Times New Roman" w:cs="Arial"/>
          <w:szCs w:val="20"/>
        </w:rPr>
        <w:t>This is often described a</w:t>
      </w:r>
      <w:r w:rsidR="00016790">
        <w:rPr>
          <w:rFonts w:eastAsia="Times New Roman" w:cs="Arial"/>
          <w:szCs w:val="20"/>
        </w:rPr>
        <w:t xml:space="preserve">s ‘opening the shipping stem.’ </w:t>
      </w:r>
      <w:r w:rsidRPr="00260326">
        <w:rPr>
          <w:rFonts w:eastAsia="Times New Roman" w:cs="Arial"/>
          <w:szCs w:val="20"/>
        </w:rPr>
        <w:t xml:space="preserve">Current arrangements provide that for the first five business days after opening the </w:t>
      </w:r>
      <w:r>
        <w:rPr>
          <w:rFonts w:eastAsia="Times New Roman" w:cs="Arial"/>
          <w:szCs w:val="20"/>
        </w:rPr>
        <w:t xml:space="preserve">shipping </w:t>
      </w:r>
      <w:r w:rsidRPr="00260326">
        <w:rPr>
          <w:rFonts w:eastAsia="Times New Roman" w:cs="Arial"/>
          <w:szCs w:val="20"/>
        </w:rPr>
        <w:t>stem, applications for capacity through the FIFS systems are limited to a maximum volume of 60,000 tonnes, at one port, in one shipping slot. In addition, current arrangements provide that</w:t>
      </w:r>
      <w:r w:rsidR="00064EF2">
        <w:rPr>
          <w:rFonts w:eastAsia="Times New Roman" w:cs="Arial"/>
          <w:szCs w:val="20"/>
        </w:rPr>
        <w:t>,</w:t>
      </w:r>
      <w:r w:rsidRPr="00260326">
        <w:rPr>
          <w:rFonts w:eastAsia="Times New Roman" w:cs="Arial"/>
          <w:szCs w:val="20"/>
        </w:rPr>
        <w:t xml:space="preserve"> for the first five business days after </w:t>
      </w:r>
      <w:r w:rsidR="00957D3E">
        <w:rPr>
          <w:rFonts w:eastAsia="Times New Roman" w:cs="Arial"/>
          <w:szCs w:val="20"/>
        </w:rPr>
        <w:t>the stem is opened,</w:t>
      </w:r>
      <w:r w:rsidRPr="00260326">
        <w:rPr>
          <w:rFonts w:eastAsia="Times New Roman" w:cs="Arial"/>
          <w:szCs w:val="20"/>
        </w:rPr>
        <w:t xml:space="preserve"> exporters are limited to one booking each half hour.</w:t>
      </w:r>
      <w:r w:rsidR="004C5C36">
        <w:rPr>
          <w:rFonts w:eastAsia="Times New Roman" w:cs="Arial"/>
          <w:szCs w:val="20"/>
        </w:rPr>
        <w:t xml:space="preserve"> </w:t>
      </w:r>
    </w:p>
    <w:p w:rsidR="00633670" w:rsidRPr="00260326" w:rsidRDefault="00633670" w:rsidP="00633670">
      <w:pPr>
        <w:rPr>
          <w:rFonts w:eastAsia="Times New Roman" w:cs="Arial"/>
          <w:i/>
          <w:szCs w:val="20"/>
        </w:rPr>
      </w:pPr>
      <w:r w:rsidRPr="00260326">
        <w:rPr>
          <w:rFonts w:eastAsia="Times New Roman" w:cs="Arial"/>
          <w:i/>
          <w:szCs w:val="20"/>
        </w:rPr>
        <w:t>Auction as the primary means of allocating capacity</w:t>
      </w:r>
    </w:p>
    <w:p w:rsidR="00633670" w:rsidRPr="00260326" w:rsidRDefault="00633670" w:rsidP="00633670">
      <w:pPr>
        <w:rPr>
          <w:rFonts w:cs="Arial"/>
          <w:szCs w:val="20"/>
        </w:rPr>
      </w:pPr>
      <w:r w:rsidRPr="00260326">
        <w:rPr>
          <w:rFonts w:cs="Arial"/>
          <w:szCs w:val="20"/>
        </w:rPr>
        <w:t xml:space="preserve">The development of the auction system as the primary method of capacity allocation was an important feature in the ACCC’s decision to accept </w:t>
      </w:r>
      <w:proofErr w:type="spellStart"/>
      <w:r w:rsidRPr="00260326">
        <w:rPr>
          <w:rFonts w:cs="Arial"/>
          <w:szCs w:val="20"/>
        </w:rPr>
        <w:t>Viterra’s</w:t>
      </w:r>
      <w:proofErr w:type="spellEnd"/>
      <w:r w:rsidRPr="00260326">
        <w:rPr>
          <w:rFonts w:cs="Arial"/>
          <w:szCs w:val="20"/>
        </w:rPr>
        <w:t xml:space="preserve"> 2011 </w:t>
      </w:r>
      <w:proofErr w:type="gramStart"/>
      <w:r w:rsidRPr="00260326">
        <w:rPr>
          <w:rFonts w:cs="Arial"/>
          <w:szCs w:val="20"/>
        </w:rPr>
        <w:t>Undertaking</w:t>
      </w:r>
      <w:proofErr w:type="gramEnd"/>
      <w:r w:rsidRPr="00260326">
        <w:rPr>
          <w:rFonts w:cs="Arial"/>
          <w:szCs w:val="20"/>
        </w:rPr>
        <w:t xml:space="preserve">. </w:t>
      </w:r>
    </w:p>
    <w:p w:rsidR="00633670" w:rsidRPr="00260326" w:rsidRDefault="00633670" w:rsidP="00633670">
      <w:pPr>
        <w:rPr>
          <w:rFonts w:cs="Arial"/>
          <w:szCs w:val="20"/>
        </w:rPr>
      </w:pPr>
      <w:r w:rsidRPr="00260326">
        <w:rPr>
          <w:rFonts w:cs="Arial"/>
          <w:szCs w:val="20"/>
        </w:rPr>
        <w:t xml:space="preserve">In the ACCC’s final decision to accept </w:t>
      </w:r>
      <w:proofErr w:type="spellStart"/>
      <w:r w:rsidRPr="00260326">
        <w:rPr>
          <w:rFonts w:cs="Arial"/>
          <w:szCs w:val="20"/>
        </w:rPr>
        <w:t>Viterra’s</w:t>
      </w:r>
      <w:proofErr w:type="spellEnd"/>
      <w:r w:rsidRPr="00260326">
        <w:rPr>
          <w:rFonts w:cs="Arial"/>
          <w:szCs w:val="20"/>
        </w:rPr>
        <w:t xml:space="preserve"> 2011 Undertaking, the ACCC stated:</w:t>
      </w:r>
    </w:p>
    <w:p w:rsidR="00633670" w:rsidRPr="00260326" w:rsidRDefault="00633670" w:rsidP="00633670">
      <w:pPr>
        <w:ind w:left="720"/>
        <w:rPr>
          <w:rFonts w:cs="Arial"/>
          <w:sz w:val="18"/>
          <w:szCs w:val="18"/>
        </w:rPr>
      </w:pPr>
      <w:proofErr w:type="gramStart"/>
      <w:r w:rsidRPr="00260326">
        <w:rPr>
          <w:rFonts w:cs="Arial"/>
          <w:sz w:val="18"/>
          <w:szCs w:val="18"/>
        </w:rPr>
        <w:t>the</w:t>
      </w:r>
      <w:proofErr w:type="gramEnd"/>
      <w:r w:rsidRPr="00260326">
        <w:rPr>
          <w:rFonts w:cs="Arial"/>
          <w:sz w:val="18"/>
          <w:szCs w:val="18"/>
        </w:rPr>
        <w:t xml:space="preserve"> ACCC is required to have regard to, among other matters, the objects of Part IIIA, a relevant consideration under which is the efficient allocation of capacity. This includes mechanism to ensure that throughput is maximised, particularly at times of peak demand and that capacity is allocated to those who value it most…</w:t>
      </w:r>
      <w:r w:rsidRPr="00260326">
        <w:rPr>
          <w:rFonts w:cs="Arial"/>
          <w:szCs w:val="18"/>
          <w:vertAlign w:val="superscript"/>
        </w:rPr>
        <w:footnoteReference w:id="43"/>
      </w:r>
    </w:p>
    <w:p w:rsidR="00633670" w:rsidRPr="00260326" w:rsidRDefault="00633670" w:rsidP="00633670">
      <w:pPr>
        <w:rPr>
          <w:rFonts w:cs="Arial"/>
          <w:szCs w:val="20"/>
        </w:rPr>
      </w:pPr>
      <w:r w:rsidRPr="00260326">
        <w:rPr>
          <w:rFonts w:cs="Arial"/>
          <w:szCs w:val="20"/>
        </w:rPr>
        <w:t xml:space="preserve">Further, the ACCC’s final decision to accept </w:t>
      </w:r>
      <w:proofErr w:type="spellStart"/>
      <w:r w:rsidRPr="00260326">
        <w:rPr>
          <w:rFonts w:cs="Arial"/>
          <w:szCs w:val="20"/>
        </w:rPr>
        <w:t>Viterra’s</w:t>
      </w:r>
      <w:proofErr w:type="spellEnd"/>
      <w:r w:rsidRPr="00260326">
        <w:rPr>
          <w:rFonts w:cs="Arial"/>
          <w:szCs w:val="20"/>
        </w:rPr>
        <w:t xml:space="preserve"> 2011 </w:t>
      </w:r>
      <w:proofErr w:type="gramStart"/>
      <w:r w:rsidRPr="00260326">
        <w:rPr>
          <w:rFonts w:cs="Arial"/>
          <w:szCs w:val="20"/>
        </w:rPr>
        <w:t>Undertaking</w:t>
      </w:r>
      <w:proofErr w:type="gramEnd"/>
      <w:r w:rsidRPr="00260326">
        <w:rPr>
          <w:rFonts w:cs="Arial"/>
          <w:szCs w:val="20"/>
        </w:rPr>
        <w:t xml:space="preserve"> stated that:</w:t>
      </w:r>
    </w:p>
    <w:p w:rsidR="00633670" w:rsidRPr="00260326" w:rsidRDefault="00633670" w:rsidP="00633670">
      <w:pPr>
        <w:ind w:left="720"/>
        <w:rPr>
          <w:rFonts w:cs="Arial"/>
          <w:sz w:val="18"/>
          <w:szCs w:val="18"/>
        </w:rPr>
      </w:pPr>
      <w:r w:rsidRPr="00260326">
        <w:rPr>
          <w:rFonts w:cs="Arial"/>
          <w:sz w:val="18"/>
          <w:szCs w:val="18"/>
        </w:rPr>
        <w:t xml:space="preserve">Auctions, by allocating capacity to users with the highest willingness to pay, will ensure that capacity is allocated to those users who value it the most, resulting in an allocation which is </w:t>
      </w:r>
      <w:proofErr w:type="spellStart"/>
      <w:r w:rsidRPr="00260326">
        <w:rPr>
          <w:rFonts w:cs="Arial"/>
          <w:sz w:val="18"/>
          <w:szCs w:val="18"/>
        </w:rPr>
        <w:t>allocatively</w:t>
      </w:r>
      <w:proofErr w:type="spellEnd"/>
      <w:r w:rsidRPr="00260326">
        <w:rPr>
          <w:rFonts w:cs="Arial"/>
          <w:sz w:val="18"/>
          <w:szCs w:val="18"/>
        </w:rPr>
        <w:t xml:space="preserve"> efficient.</w:t>
      </w:r>
      <w:r w:rsidRPr="00260326">
        <w:rPr>
          <w:rFonts w:cs="Arial"/>
          <w:szCs w:val="18"/>
          <w:vertAlign w:val="superscript"/>
        </w:rPr>
        <w:footnoteReference w:id="44"/>
      </w:r>
    </w:p>
    <w:p w:rsidR="00633670" w:rsidRPr="00260326" w:rsidRDefault="00633670" w:rsidP="00633670">
      <w:pPr>
        <w:rPr>
          <w:rFonts w:eastAsia="Times New Roman" w:cs="Arial"/>
          <w:szCs w:val="20"/>
        </w:rPr>
      </w:pPr>
      <w:r w:rsidRPr="00260326">
        <w:rPr>
          <w:rFonts w:eastAsia="Times New Roman" w:cs="Arial"/>
          <w:szCs w:val="20"/>
        </w:rPr>
        <w:t xml:space="preserve">In accordance with the 2011 Undertaking, </w:t>
      </w:r>
      <w:proofErr w:type="spellStart"/>
      <w:r w:rsidRPr="00260326">
        <w:rPr>
          <w:rFonts w:eastAsia="Times New Roman" w:cs="Arial"/>
          <w:szCs w:val="20"/>
        </w:rPr>
        <w:t>Viterra</w:t>
      </w:r>
      <w:proofErr w:type="spellEnd"/>
      <w:r w:rsidRPr="00260326">
        <w:rPr>
          <w:rFonts w:eastAsia="Times New Roman" w:cs="Arial"/>
          <w:szCs w:val="20"/>
        </w:rPr>
        <w:t xml:space="preserve"> was required to introduce an auction system that incorporated a number of features.</w:t>
      </w:r>
      <w:r w:rsidR="004C5C36">
        <w:rPr>
          <w:rFonts w:eastAsia="Times New Roman" w:cs="Arial"/>
          <w:szCs w:val="20"/>
        </w:rPr>
        <w:t xml:space="preserve"> </w:t>
      </w:r>
      <w:r w:rsidRPr="00260326">
        <w:rPr>
          <w:rFonts w:eastAsia="Times New Roman" w:cs="Arial"/>
          <w:szCs w:val="20"/>
        </w:rPr>
        <w:t>Clause 9.5(d</w:t>
      </w:r>
      <w:proofErr w:type="gramStart"/>
      <w:r w:rsidRPr="00260326">
        <w:rPr>
          <w:rFonts w:eastAsia="Times New Roman" w:cs="Arial"/>
          <w:szCs w:val="20"/>
        </w:rPr>
        <w:t>)(</w:t>
      </w:r>
      <w:proofErr w:type="spellStart"/>
      <w:proofErr w:type="gramEnd"/>
      <w:r w:rsidRPr="00260326">
        <w:rPr>
          <w:rFonts w:eastAsia="Times New Roman" w:cs="Arial"/>
          <w:szCs w:val="20"/>
        </w:rPr>
        <w:t>i</w:t>
      </w:r>
      <w:proofErr w:type="spellEnd"/>
      <w:r w:rsidRPr="00260326">
        <w:rPr>
          <w:rFonts w:eastAsia="Times New Roman" w:cs="Arial"/>
          <w:szCs w:val="20"/>
        </w:rPr>
        <w:t>) of the 2011 Undertaking provides that:</w:t>
      </w:r>
    </w:p>
    <w:p w:rsidR="00633670" w:rsidRPr="00260326" w:rsidRDefault="00633670" w:rsidP="00633670">
      <w:pPr>
        <w:ind w:left="720"/>
        <w:rPr>
          <w:rFonts w:eastAsia="Times New Roman" w:cs="Arial"/>
          <w:sz w:val="18"/>
          <w:szCs w:val="18"/>
        </w:rPr>
      </w:pPr>
      <w:r w:rsidRPr="00260326">
        <w:rPr>
          <w:rFonts w:eastAsia="Times New Roman" w:cs="Arial"/>
          <w:sz w:val="18"/>
          <w:szCs w:val="18"/>
        </w:rPr>
        <w:t>Unless otherwise agreed by the ACCC and the Port Operator, the Auction system will incorporate the following features:</w:t>
      </w:r>
    </w:p>
    <w:p w:rsidR="00633670" w:rsidRPr="00260326" w:rsidRDefault="00633670" w:rsidP="00633670">
      <w:pPr>
        <w:numPr>
          <w:ilvl w:val="5"/>
          <w:numId w:val="1"/>
        </w:numPr>
        <w:ind w:left="1134"/>
        <w:rPr>
          <w:rFonts w:eastAsia="Times New Roman" w:cs="Arial"/>
          <w:sz w:val="18"/>
          <w:szCs w:val="18"/>
        </w:rPr>
      </w:pPr>
      <w:r w:rsidRPr="00260326">
        <w:rPr>
          <w:rFonts w:eastAsia="Times New Roman" w:cs="Arial"/>
          <w:sz w:val="18"/>
          <w:szCs w:val="18"/>
        </w:rPr>
        <w:t>An auction should be the primary means of allocating port loading capacity at each Port Terminal</w:t>
      </w:r>
    </w:p>
    <w:p w:rsidR="00633670" w:rsidRPr="00260326" w:rsidRDefault="00633670" w:rsidP="00633670">
      <w:pPr>
        <w:rPr>
          <w:rFonts w:cs="Arial"/>
          <w:szCs w:val="20"/>
        </w:rPr>
      </w:pPr>
      <w:r w:rsidRPr="00260326">
        <w:rPr>
          <w:rFonts w:cs="Arial"/>
          <w:szCs w:val="20"/>
        </w:rPr>
        <w:t>In relation to the operation of the FIFS system, the ACCC supports the auction system as the primary method of capacity allocation. In its decision to withdraw the ACCC’s Auction Objection Notice,</w:t>
      </w:r>
      <w:r w:rsidRPr="00260326">
        <w:rPr>
          <w:rFonts w:cs="Arial"/>
          <w:szCs w:val="20"/>
          <w:vertAlign w:val="superscript"/>
        </w:rPr>
        <w:footnoteReference w:id="45"/>
      </w:r>
      <w:r w:rsidRPr="00260326">
        <w:rPr>
          <w:rFonts w:cs="Arial"/>
          <w:szCs w:val="20"/>
        </w:rPr>
        <w:t xml:space="preserve"> the ACCC considered it appropriate that:</w:t>
      </w:r>
    </w:p>
    <w:p w:rsidR="00633670" w:rsidRPr="00260326" w:rsidRDefault="00633670" w:rsidP="00633670">
      <w:pPr>
        <w:ind w:left="720"/>
        <w:rPr>
          <w:rFonts w:eastAsia="Times New Roman" w:cs="Arial"/>
          <w:sz w:val="18"/>
          <w:szCs w:val="18"/>
        </w:rPr>
      </w:pPr>
      <w:proofErr w:type="gramStart"/>
      <w:r w:rsidRPr="00260326">
        <w:rPr>
          <w:rFonts w:eastAsia="Times New Roman" w:cs="Arial"/>
          <w:sz w:val="18"/>
          <w:szCs w:val="18"/>
        </w:rPr>
        <w:lastRenderedPageBreak/>
        <w:t>the</w:t>
      </w:r>
      <w:proofErr w:type="gramEnd"/>
      <w:r w:rsidRPr="00260326">
        <w:rPr>
          <w:rFonts w:eastAsia="Times New Roman" w:cs="Arial"/>
          <w:sz w:val="18"/>
          <w:szCs w:val="18"/>
        </w:rPr>
        <w:t xml:space="preserve"> FIFS system in </w:t>
      </w:r>
      <w:proofErr w:type="spellStart"/>
      <w:r w:rsidRPr="00260326">
        <w:rPr>
          <w:rFonts w:eastAsia="Times New Roman" w:cs="Arial"/>
          <w:sz w:val="18"/>
          <w:szCs w:val="18"/>
        </w:rPr>
        <w:t>Viterra’s</w:t>
      </w:r>
      <w:proofErr w:type="spellEnd"/>
      <w:r w:rsidRPr="00260326">
        <w:rPr>
          <w:rFonts w:eastAsia="Times New Roman" w:cs="Arial"/>
          <w:sz w:val="18"/>
          <w:szCs w:val="18"/>
        </w:rPr>
        <w:t xml:space="preserve"> Revised Variation Notice creates uncertainty with respect to the acquisition of high demand capacity and will therefore provide an incentive to exporters to participate in the auction in order to obtain high demand capacity.</w:t>
      </w:r>
    </w:p>
    <w:p w:rsidR="00633670" w:rsidRPr="00260326" w:rsidRDefault="00633670" w:rsidP="00633670">
      <w:pPr>
        <w:rPr>
          <w:rFonts w:eastAsia="Times New Roman" w:cs="Arial"/>
          <w:sz w:val="18"/>
          <w:szCs w:val="18"/>
        </w:rPr>
      </w:pPr>
      <w:r w:rsidRPr="00260326">
        <w:rPr>
          <w:rFonts w:eastAsia="Times New Roman" w:cs="Arial"/>
          <w:sz w:val="18"/>
          <w:szCs w:val="18"/>
        </w:rPr>
        <w:tab/>
        <w:t>…</w:t>
      </w:r>
    </w:p>
    <w:p w:rsidR="00633670" w:rsidRPr="00260326" w:rsidRDefault="00633670" w:rsidP="00633670">
      <w:pPr>
        <w:ind w:left="720"/>
        <w:rPr>
          <w:rFonts w:eastAsia="Times New Roman" w:cs="Arial"/>
          <w:sz w:val="18"/>
          <w:szCs w:val="18"/>
        </w:rPr>
      </w:pPr>
      <w:r w:rsidRPr="00260326">
        <w:rPr>
          <w:rFonts w:eastAsia="Times New Roman" w:cs="Arial"/>
          <w:sz w:val="18"/>
          <w:szCs w:val="18"/>
        </w:rPr>
        <w:t xml:space="preserve">The ACCC considers that a FIFS mechanism is relevant for allocating capacity during periods of low demand, or where it is impractical to subject capacity to further auction having regard to </w:t>
      </w:r>
      <w:proofErr w:type="spellStart"/>
      <w:r w:rsidRPr="00260326">
        <w:rPr>
          <w:rFonts w:eastAsia="Times New Roman" w:cs="Arial"/>
          <w:sz w:val="18"/>
          <w:szCs w:val="18"/>
        </w:rPr>
        <w:t>Viterra’s</w:t>
      </w:r>
      <w:proofErr w:type="spellEnd"/>
      <w:r w:rsidRPr="00260326">
        <w:rPr>
          <w:rFonts w:eastAsia="Times New Roman" w:cs="Arial"/>
          <w:sz w:val="18"/>
          <w:szCs w:val="18"/>
        </w:rPr>
        <w:t xml:space="preserve"> legitimate business interests.</w:t>
      </w:r>
      <w:r w:rsidR="004C5C36">
        <w:rPr>
          <w:rFonts w:eastAsia="Times New Roman" w:cs="Arial"/>
          <w:sz w:val="18"/>
          <w:szCs w:val="18"/>
        </w:rPr>
        <w:t xml:space="preserve"> </w:t>
      </w:r>
      <w:r w:rsidRPr="00260326">
        <w:rPr>
          <w:rFonts w:eastAsia="Times New Roman" w:cs="Arial"/>
          <w:sz w:val="18"/>
          <w:szCs w:val="18"/>
        </w:rPr>
        <w:t>The ACCC does not consider it necessary in order to incorporate the feature in clause 9.5(d</w:t>
      </w:r>
      <w:proofErr w:type="gramStart"/>
      <w:r w:rsidRPr="00260326">
        <w:rPr>
          <w:rFonts w:eastAsia="Times New Roman" w:cs="Arial"/>
          <w:sz w:val="18"/>
          <w:szCs w:val="18"/>
        </w:rPr>
        <w:t>)(</w:t>
      </w:r>
      <w:proofErr w:type="spellStart"/>
      <w:proofErr w:type="gramEnd"/>
      <w:r w:rsidRPr="00260326">
        <w:rPr>
          <w:rFonts w:eastAsia="Times New Roman" w:cs="Arial"/>
          <w:sz w:val="18"/>
          <w:szCs w:val="18"/>
        </w:rPr>
        <w:t>i</w:t>
      </w:r>
      <w:proofErr w:type="spellEnd"/>
      <w:r w:rsidRPr="00260326">
        <w:rPr>
          <w:rFonts w:eastAsia="Times New Roman" w:cs="Arial"/>
          <w:sz w:val="18"/>
          <w:szCs w:val="18"/>
        </w:rPr>
        <w:t>) that the FIFS system be completely removed.</w:t>
      </w:r>
      <w:r w:rsidRPr="00260326">
        <w:rPr>
          <w:rFonts w:eastAsia="Times New Roman" w:cs="Arial"/>
          <w:szCs w:val="18"/>
          <w:vertAlign w:val="superscript"/>
        </w:rPr>
        <w:footnoteReference w:id="46"/>
      </w:r>
    </w:p>
    <w:p w:rsidR="00633670" w:rsidRPr="00260326" w:rsidRDefault="00633670" w:rsidP="00633670">
      <w:pPr>
        <w:rPr>
          <w:rFonts w:eastAsia="Times New Roman" w:cs="Arial"/>
          <w:szCs w:val="20"/>
        </w:rPr>
      </w:pPr>
      <w:r w:rsidRPr="00260326">
        <w:rPr>
          <w:rFonts w:eastAsia="Times New Roman" w:cs="Arial"/>
          <w:szCs w:val="20"/>
        </w:rPr>
        <w:t xml:space="preserve">The ACCC remains of the view that an auction system is more </w:t>
      </w:r>
      <w:proofErr w:type="spellStart"/>
      <w:r w:rsidRPr="00260326">
        <w:rPr>
          <w:rFonts w:eastAsia="Times New Roman" w:cs="Arial"/>
          <w:szCs w:val="20"/>
        </w:rPr>
        <w:t>allocatively</w:t>
      </w:r>
      <w:proofErr w:type="spellEnd"/>
      <w:r w:rsidRPr="00260326">
        <w:rPr>
          <w:rFonts w:eastAsia="Times New Roman" w:cs="Arial"/>
          <w:szCs w:val="20"/>
        </w:rPr>
        <w:t xml:space="preserve"> efficient than the FIFS system during periods of capacity constraint </w:t>
      </w:r>
      <w:r w:rsidR="00434D3B">
        <w:rPr>
          <w:rFonts w:eastAsia="Times New Roman" w:cs="Arial"/>
          <w:szCs w:val="20"/>
        </w:rPr>
        <w:t>because</w:t>
      </w:r>
      <w:r w:rsidRPr="00260326">
        <w:rPr>
          <w:rFonts w:eastAsia="Times New Roman" w:cs="Arial"/>
          <w:szCs w:val="20"/>
        </w:rPr>
        <w:t xml:space="preserve"> an auction ensures that capacity </w:t>
      </w:r>
      <w:r w:rsidR="00957D3E">
        <w:rPr>
          <w:rFonts w:eastAsia="Times New Roman" w:cs="Arial"/>
          <w:szCs w:val="20"/>
        </w:rPr>
        <w:t xml:space="preserve">is allocated </w:t>
      </w:r>
      <w:r w:rsidRPr="00260326">
        <w:rPr>
          <w:rFonts w:eastAsia="Times New Roman" w:cs="Arial"/>
          <w:szCs w:val="20"/>
        </w:rPr>
        <w:t>to the party that values it most highly.</w:t>
      </w:r>
      <w:r w:rsidR="000435D1">
        <w:rPr>
          <w:rFonts w:eastAsia="Times New Roman" w:cs="Arial"/>
          <w:szCs w:val="20"/>
        </w:rPr>
        <w:t xml:space="preserve"> The remainder of this chapter 4.3 examines specific clauses related to the FIFS process that follows the auction.</w:t>
      </w:r>
    </w:p>
    <w:p w:rsidR="00633670" w:rsidRPr="00517047" w:rsidRDefault="00633670" w:rsidP="00633670">
      <w:pPr>
        <w:keepNext/>
        <w:numPr>
          <w:ilvl w:val="2"/>
          <w:numId w:val="1"/>
        </w:numPr>
        <w:spacing w:before="24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Restricted first in, first served bookings – 5 business days</w:t>
      </w:r>
    </w:p>
    <w:p w:rsidR="00633670" w:rsidRPr="00260326" w:rsidRDefault="00633670" w:rsidP="00633670">
      <w:pPr>
        <w:rPr>
          <w:rFonts w:eastAsia="Times New Roman" w:cs="Arial"/>
          <w:bCs/>
          <w:szCs w:val="20"/>
        </w:rPr>
      </w:pPr>
      <w:r w:rsidRPr="00260326">
        <w:rPr>
          <w:rFonts w:eastAsia="Times New Roman" w:cs="Arial"/>
          <w:bCs/>
          <w:szCs w:val="20"/>
        </w:rPr>
        <w:t>As noted above, restrictions apply to bookings made within the first five business days af</w:t>
      </w:r>
      <w:r w:rsidR="004C5C36">
        <w:rPr>
          <w:rFonts w:eastAsia="Times New Roman" w:cs="Arial"/>
          <w:bCs/>
          <w:szCs w:val="20"/>
        </w:rPr>
        <w:t xml:space="preserve">ter opening the shipping stem. </w:t>
      </w:r>
      <w:r w:rsidRPr="00260326">
        <w:rPr>
          <w:rFonts w:eastAsia="Times New Roman" w:cs="Arial"/>
          <w:bCs/>
          <w:szCs w:val="20"/>
        </w:rPr>
        <w:t>These restrictions provide that a booking form submitted within five business days of the shipping stem opening will be invalid if:</w:t>
      </w:r>
    </w:p>
    <w:p w:rsidR="00633670" w:rsidRPr="00260326" w:rsidRDefault="00633670" w:rsidP="000F6832">
      <w:pPr>
        <w:numPr>
          <w:ilvl w:val="0"/>
          <w:numId w:val="21"/>
        </w:numPr>
        <w:ind w:left="714" w:hanging="357"/>
        <w:rPr>
          <w:rFonts w:eastAsia="Times New Roman" w:cs="Arial"/>
          <w:bCs/>
          <w:szCs w:val="20"/>
        </w:rPr>
      </w:pPr>
      <w:r w:rsidRPr="00260326">
        <w:rPr>
          <w:rFonts w:eastAsia="Times New Roman" w:cs="Arial"/>
          <w:bCs/>
          <w:szCs w:val="20"/>
        </w:rPr>
        <w:t>a booking form is submitted within 30 minutes of the client previously submitting another booking form</w:t>
      </w:r>
      <w:r w:rsidR="00957D3E">
        <w:rPr>
          <w:rFonts w:eastAsia="Times New Roman" w:cs="Arial"/>
          <w:bCs/>
          <w:szCs w:val="20"/>
        </w:rPr>
        <w:t>,</w:t>
      </w:r>
    </w:p>
    <w:p w:rsidR="00633670" w:rsidRPr="00260326" w:rsidRDefault="00957D3E" w:rsidP="000F6832">
      <w:pPr>
        <w:numPr>
          <w:ilvl w:val="0"/>
          <w:numId w:val="21"/>
        </w:numPr>
        <w:ind w:left="714" w:hanging="357"/>
        <w:rPr>
          <w:rFonts w:eastAsia="Times New Roman" w:cs="Arial"/>
          <w:bCs/>
          <w:szCs w:val="20"/>
        </w:rPr>
      </w:pPr>
      <w:r>
        <w:rPr>
          <w:rFonts w:eastAsia="Times New Roman" w:cs="Arial"/>
          <w:bCs/>
          <w:szCs w:val="20"/>
        </w:rPr>
        <w:t>t</w:t>
      </w:r>
      <w:r w:rsidR="00633670" w:rsidRPr="00260326">
        <w:rPr>
          <w:rFonts w:eastAsia="Times New Roman" w:cs="Arial"/>
          <w:bCs/>
          <w:szCs w:val="20"/>
        </w:rPr>
        <w:t>he capacity applied for exceeds 60 000 tonnes</w:t>
      </w:r>
      <w:r>
        <w:rPr>
          <w:rFonts w:eastAsia="Times New Roman" w:cs="Arial"/>
          <w:bCs/>
          <w:szCs w:val="20"/>
        </w:rPr>
        <w:t>, and</w:t>
      </w:r>
    </w:p>
    <w:p w:rsidR="00633670" w:rsidRPr="00650AB0" w:rsidRDefault="00957D3E" w:rsidP="000F6832">
      <w:pPr>
        <w:numPr>
          <w:ilvl w:val="0"/>
          <w:numId w:val="21"/>
        </w:numPr>
        <w:ind w:left="714" w:hanging="357"/>
        <w:rPr>
          <w:rFonts w:eastAsia="Times New Roman" w:cs="Arial"/>
          <w:bCs/>
          <w:szCs w:val="20"/>
        </w:rPr>
      </w:pPr>
      <w:proofErr w:type="gramStart"/>
      <w:r>
        <w:rPr>
          <w:rFonts w:eastAsia="Times New Roman" w:cs="Arial"/>
          <w:bCs/>
          <w:szCs w:val="20"/>
        </w:rPr>
        <w:t>t</w:t>
      </w:r>
      <w:r w:rsidR="00633670" w:rsidRPr="00260326">
        <w:rPr>
          <w:rFonts w:eastAsia="Times New Roman" w:cs="Arial"/>
          <w:bCs/>
          <w:szCs w:val="20"/>
        </w:rPr>
        <w:t>he</w:t>
      </w:r>
      <w:proofErr w:type="gramEnd"/>
      <w:r w:rsidR="00633670" w:rsidRPr="00260326">
        <w:rPr>
          <w:rFonts w:eastAsia="Times New Roman" w:cs="Arial"/>
          <w:bCs/>
          <w:szCs w:val="20"/>
        </w:rPr>
        <w:t xml:space="preserve"> amount of capacity applied for exceeds the amount of capacity that remains available in the slot.</w:t>
      </w:r>
    </w:p>
    <w:p w:rsidR="00633670" w:rsidRPr="00260326" w:rsidRDefault="00F11680" w:rsidP="00633670">
      <w:pPr>
        <w:rPr>
          <w:rFonts w:eastAsia="Times New Roman" w:cs="Arial"/>
          <w:bCs/>
          <w:szCs w:val="20"/>
        </w:rPr>
      </w:pPr>
      <w:proofErr w:type="spellStart"/>
      <w:r>
        <w:rPr>
          <w:rFonts w:eastAsia="Times New Roman" w:cs="Arial"/>
          <w:bCs/>
          <w:szCs w:val="20"/>
        </w:rPr>
        <w:t>Viterra</w:t>
      </w:r>
      <w:proofErr w:type="spellEnd"/>
      <w:r>
        <w:rPr>
          <w:rFonts w:eastAsia="Times New Roman" w:cs="Arial"/>
          <w:bCs/>
          <w:szCs w:val="20"/>
        </w:rPr>
        <w:t xml:space="preserve"> propose</w:t>
      </w:r>
      <w:r w:rsidR="00957D3E">
        <w:rPr>
          <w:rFonts w:eastAsia="Times New Roman" w:cs="Arial"/>
          <w:bCs/>
          <w:szCs w:val="20"/>
        </w:rPr>
        <w:t>s</w:t>
      </w:r>
      <w:r>
        <w:rPr>
          <w:rFonts w:eastAsia="Times New Roman" w:cs="Arial"/>
          <w:bCs/>
          <w:szCs w:val="20"/>
        </w:rPr>
        <w:t xml:space="preserve"> to vary </w:t>
      </w:r>
      <w:r w:rsidR="00633670" w:rsidRPr="00260326">
        <w:rPr>
          <w:rFonts w:eastAsia="Times New Roman" w:cs="Arial"/>
          <w:bCs/>
          <w:szCs w:val="20"/>
        </w:rPr>
        <w:t>clause</w:t>
      </w:r>
      <w:r w:rsidR="00633670">
        <w:rPr>
          <w:rFonts w:eastAsia="Times New Roman" w:cs="Arial"/>
          <w:bCs/>
          <w:szCs w:val="20"/>
        </w:rPr>
        <w:t xml:space="preserve"> 2.4(g)</w:t>
      </w:r>
      <w:r w:rsidR="00633670" w:rsidRPr="00260326">
        <w:rPr>
          <w:rFonts w:eastAsia="Times New Roman" w:cs="Arial"/>
          <w:bCs/>
          <w:szCs w:val="20"/>
        </w:rPr>
        <w:t xml:space="preserve"> so that the restrictions in clauses 2.4(g</w:t>
      </w:r>
      <w:proofErr w:type="gramStart"/>
      <w:r w:rsidR="00633670" w:rsidRPr="00260326">
        <w:rPr>
          <w:rFonts w:eastAsia="Times New Roman" w:cs="Arial"/>
          <w:bCs/>
          <w:szCs w:val="20"/>
        </w:rPr>
        <w:t>)</w:t>
      </w:r>
      <w:r w:rsidR="00633670">
        <w:rPr>
          <w:rFonts w:eastAsia="Times New Roman" w:cs="Arial"/>
          <w:bCs/>
          <w:szCs w:val="20"/>
        </w:rPr>
        <w:t>(</w:t>
      </w:r>
      <w:proofErr w:type="spellStart"/>
      <w:proofErr w:type="gramEnd"/>
      <w:r w:rsidR="00633670">
        <w:rPr>
          <w:rFonts w:eastAsia="Times New Roman" w:cs="Arial"/>
          <w:bCs/>
          <w:szCs w:val="20"/>
        </w:rPr>
        <w:t>i</w:t>
      </w:r>
      <w:proofErr w:type="spellEnd"/>
      <w:r w:rsidR="00633670">
        <w:rPr>
          <w:rFonts w:eastAsia="Times New Roman" w:cs="Arial"/>
          <w:bCs/>
          <w:szCs w:val="20"/>
        </w:rPr>
        <w:t>)</w:t>
      </w:r>
      <w:r w:rsidR="00434D3B">
        <w:rPr>
          <w:rFonts w:eastAsia="Times New Roman" w:cs="Arial"/>
          <w:bCs/>
          <w:szCs w:val="20"/>
        </w:rPr>
        <w:t xml:space="preserve">, </w:t>
      </w:r>
      <w:r w:rsidR="00633670">
        <w:rPr>
          <w:rFonts w:eastAsia="Times New Roman" w:cs="Arial"/>
          <w:bCs/>
          <w:szCs w:val="20"/>
        </w:rPr>
        <w:t>(ii) and (iii)</w:t>
      </w:r>
      <w:r w:rsidR="00633670" w:rsidRPr="00260326">
        <w:rPr>
          <w:rFonts w:eastAsia="Times New Roman" w:cs="Arial"/>
          <w:bCs/>
          <w:szCs w:val="20"/>
        </w:rPr>
        <w:t xml:space="preserve"> of the PLPs apply only for a period of two business days following the opening of the shipping stem.</w:t>
      </w:r>
    </w:p>
    <w:p w:rsidR="00633670" w:rsidRPr="00650AB0" w:rsidRDefault="00633670" w:rsidP="00633670">
      <w:pPr>
        <w:numPr>
          <w:ilvl w:val="3"/>
          <w:numId w:val="1"/>
        </w:numPr>
        <w:spacing w:before="120" w:after="120"/>
        <w:rPr>
          <w:rFonts w:ascii="Lucida Fax" w:eastAsiaTheme="majorEastAsia" w:hAnsi="Lucida Fax" w:cstheme="majorBidi"/>
          <w:bCs/>
          <w:sz w:val="24"/>
          <w:szCs w:val="28"/>
        </w:rPr>
      </w:pPr>
      <w:proofErr w:type="spellStart"/>
      <w:r w:rsidRPr="00650AB0">
        <w:rPr>
          <w:rFonts w:ascii="Lucida Fax" w:eastAsiaTheme="majorEastAsia" w:hAnsi="Lucida Fax" w:cstheme="majorBidi"/>
          <w:bCs/>
          <w:sz w:val="24"/>
          <w:szCs w:val="28"/>
        </w:rPr>
        <w:t>Viterra’s</w:t>
      </w:r>
      <w:proofErr w:type="spellEnd"/>
      <w:r w:rsidRPr="00650AB0">
        <w:rPr>
          <w:rFonts w:ascii="Lucida Fax" w:eastAsiaTheme="majorEastAsia" w:hAnsi="Lucida Fax" w:cstheme="majorBidi"/>
          <w:bCs/>
          <w:sz w:val="24"/>
          <w:szCs w:val="28"/>
        </w:rPr>
        <w:t xml:space="preserve"> supporting submissions</w:t>
      </w:r>
    </w:p>
    <w:p w:rsidR="00633670" w:rsidRPr="00260326" w:rsidRDefault="00F11680" w:rsidP="00633670">
      <w:pPr>
        <w:rPr>
          <w:rFonts w:cs="Arial"/>
          <w:szCs w:val="20"/>
        </w:rPr>
      </w:pPr>
      <w:proofErr w:type="spellStart"/>
      <w:r>
        <w:rPr>
          <w:rFonts w:cs="Arial"/>
          <w:szCs w:val="20"/>
        </w:rPr>
        <w:t>Viterra</w:t>
      </w:r>
      <w:proofErr w:type="spellEnd"/>
      <w:r>
        <w:rPr>
          <w:rFonts w:cs="Arial"/>
          <w:szCs w:val="20"/>
        </w:rPr>
        <w:t xml:space="preserve"> submitted</w:t>
      </w:r>
      <w:r w:rsidR="00633670" w:rsidRPr="00260326">
        <w:rPr>
          <w:rFonts w:cs="Arial"/>
          <w:szCs w:val="20"/>
        </w:rPr>
        <w:t xml:space="preserve"> that this amendment reflects feedback from exporters and that in practice, desirable capacity not allocated at auction is generally booked immediately after opening the shipping stem.</w:t>
      </w:r>
      <w:r w:rsidR="00633670" w:rsidRPr="00260326">
        <w:rPr>
          <w:rFonts w:cs="Arial"/>
          <w:szCs w:val="20"/>
          <w:vertAlign w:val="superscript"/>
        </w:rPr>
        <w:footnoteReference w:id="47"/>
      </w:r>
    </w:p>
    <w:p w:rsidR="00633670" w:rsidRPr="00650AB0" w:rsidRDefault="00F11680" w:rsidP="00633670">
      <w:pPr>
        <w:numPr>
          <w:ilvl w:val="3"/>
          <w:numId w:val="1"/>
        </w:numPr>
        <w:spacing w:before="120" w:after="120"/>
        <w:rPr>
          <w:rFonts w:ascii="Lucida Fax" w:eastAsiaTheme="majorEastAsia" w:hAnsi="Lucida Fax" w:cstheme="majorBidi"/>
          <w:bCs/>
          <w:sz w:val="24"/>
          <w:szCs w:val="28"/>
        </w:rPr>
      </w:pPr>
      <w:r>
        <w:rPr>
          <w:rFonts w:ascii="Lucida Fax" w:eastAsiaTheme="majorEastAsia" w:hAnsi="Lucida Fax" w:cstheme="majorBidi"/>
          <w:bCs/>
          <w:sz w:val="24"/>
          <w:szCs w:val="28"/>
        </w:rPr>
        <w:t xml:space="preserve">The ACCC’s </w:t>
      </w:r>
      <w:r w:rsidR="00633670" w:rsidRPr="00650AB0">
        <w:rPr>
          <w:rFonts w:ascii="Lucida Fax" w:eastAsiaTheme="majorEastAsia" w:hAnsi="Lucida Fax" w:cstheme="majorBidi"/>
          <w:bCs/>
          <w:sz w:val="24"/>
          <w:szCs w:val="28"/>
        </w:rPr>
        <w:t>view</w:t>
      </w:r>
    </w:p>
    <w:p w:rsidR="00633670" w:rsidRPr="00260326" w:rsidRDefault="00633670" w:rsidP="00633670">
      <w:pPr>
        <w:rPr>
          <w:rFonts w:eastAsia="Times New Roman" w:cs="Arial"/>
          <w:bCs/>
          <w:szCs w:val="20"/>
        </w:rPr>
      </w:pPr>
      <w:r w:rsidRPr="00260326">
        <w:rPr>
          <w:rFonts w:eastAsia="Times New Roman" w:cs="Arial"/>
          <w:bCs/>
          <w:szCs w:val="20"/>
        </w:rPr>
        <w:t xml:space="preserve">The ACCC notes that the FIFS system and the restrictions placed on bookings immediately following the opening of the shipping stem are designed to encourage exporters to acquire capacity through the auction system. </w:t>
      </w:r>
      <w:proofErr w:type="spellStart"/>
      <w:r w:rsidRPr="00260326">
        <w:rPr>
          <w:rFonts w:eastAsia="Times New Roman" w:cs="Arial"/>
          <w:bCs/>
          <w:szCs w:val="20"/>
        </w:rPr>
        <w:t>Viterra’s</w:t>
      </w:r>
      <w:proofErr w:type="spellEnd"/>
      <w:r w:rsidRPr="00260326">
        <w:rPr>
          <w:rFonts w:eastAsia="Times New Roman" w:cs="Arial"/>
          <w:bCs/>
          <w:szCs w:val="20"/>
        </w:rPr>
        <w:t xml:space="preserve"> submission contends that it is not necessary to apply these restrictions for the full five day period as any available capacity is booked immediately following the opening of the stem. The ACCC notes that its review of the shipping stem confirms this to be the case. </w:t>
      </w:r>
    </w:p>
    <w:p w:rsidR="00633670" w:rsidRDefault="00F11680" w:rsidP="00633670">
      <w:pPr>
        <w:rPr>
          <w:rFonts w:eastAsia="Times New Roman" w:cs="Arial"/>
          <w:bCs/>
          <w:szCs w:val="20"/>
        </w:rPr>
      </w:pPr>
      <w:r>
        <w:rPr>
          <w:rFonts w:eastAsia="Times New Roman" w:cs="Arial"/>
          <w:bCs/>
          <w:szCs w:val="20"/>
        </w:rPr>
        <w:t>The ACCC considers that a</w:t>
      </w:r>
      <w:r w:rsidR="00633670" w:rsidRPr="00260326">
        <w:rPr>
          <w:rFonts w:eastAsia="Times New Roman" w:cs="Arial"/>
          <w:bCs/>
          <w:szCs w:val="20"/>
        </w:rPr>
        <w:t xml:space="preserve">llowing </w:t>
      </w:r>
      <w:proofErr w:type="spellStart"/>
      <w:r w:rsidR="00633670" w:rsidRPr="00260326">
        <w:rPr>
          <w:rFonts w:eastAsia="Times New Roman" w:cs="Arial"/>
          <w:bCs/>
          <w:szCs w:val="20"/>
        </w:rPr>
        <w:t>Viterra</w:t>
      </w:r>
      <w:proofErr w:type="spellEnd"/>
      <w:r w:rsidR="00633670" w:rsidRPr="00260326">
        <w:rPr>
          <w:rFonts w:eastAsia="Times New Roman" w:cs="Arial"/>
          <w:bCs/>
          <w:szCs w:val="20"/>
        </w:rPr>
        <w:t xml:space="preserve"> to reduce the period from five business days to two business days is in the legitimate business interests of the port terminal operator, having regard to subs</w:t>
      </w:r>
      <w:r w:rsidR="00633670">
        <w:rPr>
          <w:rFonts w:eastAsia="Times New Roman" w:cs="Arial"/>
          <w:bCs/>
          <w:szCs w:val="20"/>
        </w:rPr>
        <w:t>ection</w:t>
      </w:r>
      <w:r w:rsidR="00633670" w:rsidRPr="00260326">
        <w:rPr>
          <w:rFonts w:eastAsia="Times New Roman" w:cs="Arial"/>
          <w:bCs/>
          <w:szCs w:val="20"/>
        </w:rPr>
        <w:t xml:space="preserve"> 44ZZA(3)(a) of the CCA. Such arrangements may also be in the interests of access seekers as during a period of low demand, for example during a poor harvest, it will </w:t>
      </w:r>
      <w:r w:rsidR="00633670" w:rsidRPr="00260326">
        <w:rPr>
          <w:rFonts w:eastAsia="Times New Roman" w:cs="Arial"/>
          <w:bCs/>
          <w:szCs w:val="20"/>
        </w:rPr>
        <w:lastRenderedPageBreak/>
        <w:t xml:space="preserve">enable exporters to book capacity in an efficient manner. The ACCC also considers </w:t>
      </w:r>
      <w:r w:rsidR="003538AB">
        <w:rPr>
          <w:rFonts w:eastAsia="Times New Roman" w:cs="Arial"/>
          <w:bCs/>
          <w:szCs w:val="20"/>
        </w:rPr>
        <w:t xml:space="preserve">that it is </w:t>
      </w:r>
      <w:r w:rsidR="005F7020">
        <w:rPr>
          <w:rFonts w:eastAsia="Times New Roman" w:cs="Arial"/>
          <w:bCs/>
          <w:szCs w:val="20"/>
        </w:rPr>
        <w:t>unnecessary</w:t>
      </w:r>
      <w:r w:rsidR="003538AB">
        <w:rPr>
          <w:rFonts w:eastAsia="Times New Roman" w:cs="Arial"/>
          <w:bCs/>
          <w:szCs w:val="20"/>
        </w:rPr>
        <w:t xml:space="preserve"> to remove the </w:t>
      </w:r>
      <w:r w:rsidR="00633670" w:rsidRPr="00260326">
        <w:rPr>
          <w:rFonts w:eastAsia="Times New Roman" w:cs="Arial"/>
          <w:bCs/>
          <w:szCs w:val="20"/>
        </w:rPr>
        <w:t xml:space="preserve">single log-on requirement, given the restrictions of one booking for each half hour period and individual bookings of 60,000 tonnes prevent the use of multiple </w:t>
      </w:r>
      <w:proofErr w:type="gramStart"/>
      <w:r w:rsidR="00633670" w:rsidRPr="00260326">
        <w:rPr>
          <w:rFonts w:eastAsia="Times New Roman" w:cs="Arial"/>
          <w:bCs/>
          <w:szCs w:val="20"/>
        </w:rPr>
        <w:t>log-ins</w:t>
      </w:r>
      <w:proofErr w:type="gramEnd"/>
      <w:r w:rsidR="00633670" w:rsidRPr="00260326">
        <w:rPr>
          <w:rFonts w:eastAsia="Times New Roman" w:cs="Arial"/>
          <w:bCs/>
          <w:szCs w:val="20"/>
        </w:rPr>
        <w:t xml:space="preserve"> to an exporter’s advantage. The ACCC considers however that multiple logins may be more efficient and therefore that the removal of the one login restriction to be in the interests of access seekers, having regard to subs</w:t>
      </w:r>
      <w:r w:rsidR="00633670">
        <w:rPr>
          <w:rFonts w:eastAsia="Times New Roman" w:cs="Arial"/>
          <w:bCs/>
          <w:szCs w:val="20"/>
        </w:rPr>
        <w:t xml:space="preserve">ection </w:t>
      </w:r>
      <w:proofErr w:type="gramStart"/>
      <w:r w:rsidR="00633670">
        <w:rPr>
          <w:rFonts w:eastAsia="Times New Roman" w:cs="Arial"/>
          <w:bCs/>
          <w:szCs w:val="20"/>
        </w:rPr>
        <w:t>44ZZA(</w:t>
      </w:r>
      <w:proofErr w:type="gramEnd"/>
      <w:r w:rsidR="00633670">
        <w:rPr>
          <w:rFonts w:eastAsia="Times New Roman" w:cs="Arial"/>
          <w:bCs/>
          <w:szCs w:val="20"/>
        </w:rPr>
        <w:t>3)(c) of the CCA.</w:t>
      </w:r>
    </w:p>
    <w:p w:rsidR="00633670" w:rsidRPr="00260326" w:rsidRDefault="00F11680" w:rsidP="00633670">
      <w:pPr>
        <w:rPr>
          <w:rFonts w:eastAsia="Times New Roman" w:cs="Arial"/>
          <w:bCs/>
          <w:szCs w:val="20"/>
        </w:rPr>
      </w:pPr>
      <w:r>
        <w:rPr>
          <w:rFonts w:eastAsia="Times New Roman" w:cs="Arial"/>
          <w:bCs/>
          <w:szCs w:val="20"/>
        </w:rPr>
        <w:t>Accordingly, it is the ACCC’s view that these arrangements are</w:t>
      </w:r>
      <w:r w:rsidR="00633670" w:rsidRPr="00260326">
        <w:rPr>
          <w:rFonts w:eastAsia="Times New Roman" w:cs="Arial"/>
          <w:bCs/>
          <w:szCs w:val="20"/>
        </w:rPr>
        <w:t xml:space="preserve"> appropriate</w:t>
      </w:r>
      <w:r>
        <w:rPr>
          <w:rFonts w:eastAsia="Times New Roman" w:cs="Arial"/>
          <w:bCs/>
          <w:szCs w:val="20"/>
        </w:rPr>
        <w:t xml:space="preserve"> and in the interests of access seekers</w:t>
      </w:r>
      <w:r w:rsidR="00633670" w:rsidRPr="00260326">
        <w:rPr>
          <w:rFonts w:eastAsia="Times New Roman" w:cs="Arial"/>
          <w:bCs/>
          <w:szCs w:val="20"/>
        </w:rPr>
        <w:t>, having regard to sub</w:t>
      </w:r>
      <w:r w:rsidR="00633670">
        <w:rPr>
          <w:rFonts w:eastAsia="Times New Roman" w:cs="Arial"/>
          <w:bCs/>
          <w:szCs w:val="20"/>
        </w:rPr>
        <w:t xml:space="preserve">section </w:t>
      </w:r>
      <w:proofErr w:type="gramStart"/>
      <w:r w:rsidR="00633670" w:rsidRPr="00260326">
        <w:rPr>
          <w:rFonts w:eastAsia="Times New Roman" w:cs="Arial"/>
          <w:bCs/>
          <w:szCs w:val="20"/>
        </w:rPr>
        <w:t>44ZZA(</w:t>
      </w:r>
      <w:proofErr w:type="gramEnd"/>
      <w:r w:rsidR="00633670" w:rsidRPr="00260326">
        <w:rPr>
          <w:rFonts w:eastAsia="Times New Roman" w:cs="Arial"/>
          <w:bCs/>
          <w:szCs w:val="20"/>
        </w:rPr>
        <w:t xml:space="preserve">3)(c) of the CCA. </w:t>
      </w:r>
    </w:p>
    <w:p w:rsidR="00633670" w:rsidRPr="00260326" w:rsidRDefault="00633670" w:rsidP="00633670">
      <w:pPr>
        <w:numPr>
          <w:ilvl w:val="2"/>
          <w:numId w:val="1"/>
        </w:numPr>
        <w:spacing w:before="360" w:after="120"/>
        <w:rPr>
          <w:rFonts w:ascii="Lucida Fax" w:eastAsia="Times New Roman" w:hAnsi="Lucida Fax" w:cs="Times New Roman"/>
          <w:b/>
          <w:bCs/>
          <w:sz w:val="24"/>
          <w:szCs w:val="28"/>
        </w:rPr>
      </w:pPr>
      <w:r w:rsidRPr="00260326">
        <w:rPr>
          <w:rFonts w:ascii="Lucida Fax" w:eastAsia="Times New Roman" w:hAnsi="Lucida Fax" w:cs="Times New Roman"/>
          <w:b/>
          <w:bCs/>
          <w:sz w:val="24"/>
          <w:szCs w:val="28"/>
        </w:rPr>
        <w:t xml:space="preserve">Associated Entity of an exporter </w:t>
      </w:r>
    </w:p>
    <w:p w:rsidR="00633670" w:rsidRPr="00260326" w:rsidRDefault="00F11680" w:rsidP="00633670">
      <w:pPr>
        <w:spacing w:line="240" w:lineRule="atLeast"/>
        <w:rPr>
          <w:rFonts w:eastAsia="Times New Roman" w:cs="Arial"/>
          <w:szCs w:val="20"/>
        </w:rPr>
      </w:pPr>
      <w:proofErr w:type="spellStart"/>
      <w:r>
        <w:rPr>
          <w:rFonts w:eastAsia="Times New Roman" w:cs="Arial"/>
          <w:szCs w:val="20"/>
        </w:rPr>
        <w:t>Viterra</w:t>
      </w:r>
      <w:proofErr w:type="spellEnd"/>
      <w:r>
        <w:rPr>
          <w:rFonts w:eastAsia="Times New Roman" w:cs="Arial"/>
          <w:szCs w:val="20"/>
        </w:rPr>
        <w:t xml:space="preserve"> propose</w:t>
      </w:r>
      <w:r w:rsidR="00155A78">
        <w:rPr>
          <w:rFonts w:eastAsia="Times New Roman" w:cs="Arial"/>
          <w:szCs w:val="20"/>
        </w:rPr>
        <w:t>s</w:t>
      </w:r>
      <w:r w:rsidR="00633670" w:rsidRPr="00260326">
        <w:rPr>
          <w:rFonts w:eastAsia="Times New Roman" w:cs="Arial"/>
          <w:szCs w:val="20"/>
        </w:rPr>
        <w:t xml:space="preserve"> to amend clause 2.4(g</w:t>
      </w:r>
      <w:proofErr w:type="gramStart"/>
      <w:r w:rsidR="00633670" w:rsidRPr="00260326">
        <w:rPr>
          <w:rFonts w:eastAsia="Times New Roman" w:cs="Arial"/>
          <w:szCs w:val="20"/>
        </w:rPr>
        <w:t>)(</w:t>
      </w:r>
      <w:proofErr w:type="spellStart"/>
      <w:proofErr w:type="gramEnd"/>
      <w:r w:rsidR="00633670" w:rsidRPr="00260326">
        <w:rPr>
          <w:rFonts w:eastAsia="Times New Roman" w:cs="Arial"/>
          <w:szCs w:val="20"/>
        </w:rPr>
        <w:t>i</w:t>
      </w:r>
      <w:proofErr w:type="spellEnd"/>
      <w:r w:rsidR="00633670" w:rsidRPr="00260326">
        <w:rPr>
          <w:rFonts w:eastAsia="Times New Roman" w:cs="Arial"/>
          <w:szCs w:val="20"/>
        </w:rPr>
        <w:t>)</w:t>
      </w:r>
      <w:r w:rsidR="00487257">
        <w:rPr>
          <w:rFonts w:eastAsia="Times New Roman" w:cs="Arial"/>
          <w:szCs w:val="20"/>
        </w:rPr>
        <w:t xml:space="preserve"> of its PLPs</w:t>
      </w:r>
      <w:r w:rsidR="00633670" w:rsidRPr="00260326">
        <w:rPr>
          <w:rFonts w:eastAsia="Times New Roman" w:cs="Arial"/>
          <w:szCs w:val="20"/>
        </w:rPr>
        <w:t xml:space="preserve">, which </w:t>
      </w:r>
      <w:r>
        <w:rPr>
          <w:rFonts w:eastAsia="Times New Roman" w:cs="Arial"/>
          <w:szCs w:val="20"/>
        </w:rPr>
        <w:t>previously limited</w:t>
      </w:r>
      <w:r w:rsidR="00633670" w:rsidRPr="00260326">
        <w:rPr>
          <w:rFonts w:eastAsia="Times New Roman" w:cs="Arial"/>
          <w:szCs w:val="20"/>
        </w:rPr>
        <w:t xml:space="preserve"> each exporter to one booking each half hour, to also limit the associated entities of exporters. </w:t>
      </w:r>
      <w:r>
        <w:rPr>
          <w:rFonts w:eastAsia="Times New Roman" w:cs="Arial"/>
          <w:szCs w:val="20"/>
        </w:rPr>
        <w:t xml:space="preserve">The </w:t>
      </w:r>
      <w:r w:rsidR="00633670" w:rsidRPr="00260326">
        <w:rPr>
          <w:rFonts w:eastAsia="Times New Roman" w:cs="Arial"/>
          <w:szCs w:val="20"/>
        </w:rPr>
        <w:t xml:space="preserve">amendment provides </w:t>
      </w:r>
      <w:proofErr w:type="spellStart"/>
      <w:r w:rsidR="00633670" w:rsidRPr="00260326">
        <w:rPr>
          <w:rFonts w:eastAsia="Times New Roman" w:cs="Arial"/>
          <w:szCs w:val="20"/>
        </w:rPr>
        <w:t>Viterra</w:t>
      </w:r>
      <w:proofErr w:type="spellEnd"/>
      <w:r w:rsidR="00633670" w:rsidRPr="00260326">
        <w:rPr>
          <w:rFonts w:eastAsia="Times New Roman" w:cs="Arial"/>
          <w:szCs w:val="20"/>
        </w:rPr>
        <w:t xml:space="preserve"> with discretion to determine which associated entities will be captured by the clause</w:t>
      </w:r>
      <w:r w:rsidR="004C5C36">
        <w:rPr>
          <w:rFonts w:eastAsia="Times New Roman" w:cs="Arial"/>
          <w:szCs w:val="20"/>
        </w:rPr>
        <w:t xml:space="preserve">. </w:t>
      </w:r>
      <w:r>
        <w:rPr>
          <w:rFonts w:eastAsia="Times New Roman" w:cs="Arial"/>
          <w:szCs w:val="20"/>
        </w:rPr>
        <w:t xml:space="preserve">Specifically </w:t>
      </w:r>
      <w:proofErr w:type="spellStart"/>
      <w:r>
        <w:rPr>
          <w:rFonts w:eastAsia="Times New Roman" w:cs="Arial"/>
          <w:szCs w:val="20"/>
        </w:rPr>
        <w:t>Viterra</w:t>
      </w:r>
      <w:proofErr w:type="spellEnd"/>
      <w:r>
        <w:rPr>
          <w:rFonts w:eastAsia="Times New Roman" w:cs="Arial"/>
          <w:szCs w:val="20"/>
        </w:rPr>
        <w:t xml:space="preserve"> proposed</w:t>
      </w:r>
      <w:r w:rsidR="00633670" w:rsidRPr="00260326">
        <w:rPr>
          <w:rFonts w:eastAsia="Times New Roman" w:cs="Arial"/>
          <w:szCs w:val="20"/>
        </w:rPr>
        <w:t xml:space="preserve"> to amend Clause 2.4(g</w:t>
      </w:r>
      <w:proofErr w:type="gramStart"/>
      <w:r w:rsidR="00633670" w:rsidRPr="00260326">
        <w:rPr>
          <w:rFonts w:eastAsia="Times New Roman" w:cs="Arial"/>
          <w:szCs w:val="20"/>
        </w:rPr>
        <w:t>)(</w:t>
      </w:r>
      <w:proofErr w:type="spellStart"/>
      <w:proofErr w:type="gramEnd"/>
      <w:r w:rsidR="00633670" w:rsidRPr="00260326">
        <w:rPr>
          <w:rFonts w:eastAsia="Times New Roman" w:cs="Arial"/>
          <w:szCs w:val="20"/>
        </w:rPr>
        <w:t>i</w:t>
      </w:r>
      <w:proofErr w:type="spellEnd"/>
      <w:r w:rsidR="00633670" w:rsidRPr="00260326">
        <w:rPr>
          <w:rFonts w:eastAsia="Times New Roman" w:cs="Arial"/>
          <w:szCs w:val="20"/>
        </w:rPr>
        <w:t>) to invalidate a booking form if:</w:t>
      </w:r>
    </w:p>
    <w:p w:rsidR="00633670" w:rsidRPr="00260326" w:rsidRDefault="00633670" w:rsidP="00633670">
      <w:pPr>
        <w:ind w:left="726"/>
        <w:rPr>
          <w:rFonts w:eastAsia="Times New Roman" w:cs="Arial"/>
          <w:sz w:val="18"/>
          <w:szCs w:val="18"/>
          <w:lang w:eastAsia="en-AU"/>
        </w:rPr>
      </w:pPr>
      <w:r w:rsidRPr="00260326">
        <w:rPr>
          <w:rFonts w:eastAsia="Times New Roman" w:cs="Arial"/>
          <w:sz w:val="18"/>
          <w:szCs w:val="18"/>
          <w:lang w:eastAsia="en-AU"/>
        </w:rPr>
        <w:t xml:space="preserve">the Booking form is submitted within 30 minutes of the Client or any Associated Entity of the Client submitting any other Booking Form in relation to that Unallocated Capacity (except in circumstances where </w:t>
      </w:r>
      <w:proofErr w:type="spellStart"/>
      <w:r w:rsidRPr="00260326">
        <w:rPr>
          <w:rFonts w:eastAsia="Times New Roman" w:cs="Arial"/>
          <w:sz w:val="18"/>
          <w:szCs w:val="18"/>
          <w:lang w:eastAsia="en-AU"/>
        </w:rPr>
        <w:t>Viterra</w:t>
      </w:r>
      <w:proofErr w:type="spellEnd"/>
      <w:r w:rsidRPr="00260326">
        <w:rPr>
          <w:rFonts w:eastAsia="Times New Roman" w:cs="Arial"/>
          <w:sz w:val="18"/>
          <w:szCs w:val="18"/>
          <w:lang w:eastAsia="en-AU"/>
        </w:rPr>
        <w:t xml:space="preserve"> Operations considers, acting reasonably, that the Associated Entity operates a commercially separate export function from that undertaken by the Client);</w:t>
      </w:r>
      <w:r w:rsidRPr="00260326">
        <w:rPr>
          <w:rFonts w:eastAsia="Times New Roman" w:cs="Arial"/>
          <w:sz w:val="18"/>
          <w:szCs w:val="18"/>
          <w:vertAlign w:val="superscript"/>
          <w:lang w:eastAsia="en-AU"/>
        </w:rPr>
        <w:footnoteReference w:id="48"/>
      </w:r>
    </w:p>
    <w:p w:rsidR="00633670" w:rsidRPr="00260326" w:rsidRDefault="00633670" w:rsidP="00633670">
      <w:pPr>
        <w:numPr>
          <w:ilvl w:val="3"/>
          <w:numId w:val="1"/>
        </w:numPr>
        <w:spacing w:before="120" w:after="120"/>
        <w:rPr>
          <w:rFonts w:ascii="Lucida Fax" w:eastAsiaTheme="majorEastAsia" w:hAnsi="Lucida Fax" w:cstheme="majorBidi"/>
          <w:bCs/>
          <w:sz w:val="24"/>
          <w:szCs w:val="28"/>
        </w:rPr>
      </w:pPr>
      <w:proofErr w:type="spellStart"/>
      <w:r w:rsidRPr="00260326">
        <w:rPr>
          <w:rFonts w:ascii="Lucida Fax" w:eastAsiaTheme="majorEastAsia" w:hAnsi="Lucida Fax" w:cstheme="majorBidi"/>
          <w:bCs/>
          <w:sz w:val="24"/>
          <w:szCs w:val="28"/>
        </w:rPr>
        <w:t>Viterra’s</w:t>
      </w:r>
      <w:proofErr w:type="spellEnd"/>
      <w:r w:rsidRPr="00260326">
        <w:rPr>
          <w:rFonts w:ascii="Lucida Fax" w:eastAsiaTheme="majorEastAsia" w:hAnsi="Lucida Fax" w:cstheme="majorBidi"/>
          <w:bCs/>
          <w:sz w:val="24"/>
          <w:szCs w:val="28"/>
        </w:rPr>
        <w:t xml:space="preserve"> supporting submissions </w:t>
      </w:r>
    </w:p>
    <w:p w:rsidR="00633670" w:rsidRPr="00260326" w:rsidRDefault="00F11680" w:rsidP="00633670">
      <w:pPr>
        <w:rPr>
          <w:rFonts w:eastAsia="Times New Roman" w:cs="Arial"/>
          <w:szCs w:val="20"/>
        </w:rPr>
      </w:pPr>
      <w:proofErr w:type="spellStart"/>
      <w:r>
        <w:rPr>
          <w:rFonts w:eastAsia="Times New Roman" w:cs="Arial"/>
          <w:szCs w:val="20"/>
        </w:rPr>
        <w:t>Viterra</w:t>
      </w:r>
      <w:proofErr w:type="spellEnd"/>
      <w:r>
        <w:rPr>
          <w:rFonts w:eastAsia="Times New Roman" w:cs="Arial"/>
          <w:szCs w:val="20"/>
        </w:rPr>
        <w:t xml:space="preserve"> submitted</w:t>
      </w:r>
      <w:r w:rsidR="00633670" w:rsidRPr="00260326">
        <w:rPr>
          <w:rFonts w:eastAsia="Times New Roman" w:cs="Arial"/>
          <w:szCs w:val="20"/>
        </w:rPr>
        <w:t xml:space="preserve"> in support of this amendment:</w:t>
      </w:r>
    </w:p>
    <w:p w:rsidR="00633670" w:rsidRPr="00260326" w:rsidRDefault="00633670" w:rsidP="00633670">
      <w:pPr>
        <w:ind w:left="726"/>
        <w:rPr>
          <w:rFonts w:eastAsia="Times New Roman" w:cs="Arial"/>
          <w:sz w:val="18"/>
          <w:szCs w:val="18"/>
          <w:lang w:eastAsia="en-AU"/>
        </w:rPr>
      </w:pPr>
      <w:r w:rsidRPr="00260326">
        <w:rPr>
          <w:rFonts w:eastAsia="Times New Roman" w:cs="Arial"/>
          <w:sz w:val="18"/>
          <w:szCs w:val="18"/>
          <w:lang w:eastAsia="en-AU"/>
        </w:rPr>
        <w:t>This clause has been amended to make it clear that exporters and their Associated Entities can only make one booking in each half hour period during the two Business Days imme</w:t>
      </w:r>
      <w:r w:rsidR="004C5C36">
        <w:rPr>
          <w:rFonts w:eastAsia="Times New Roman" w:cs="Arial"/>
          <w:sz w:val="18"/>
          <w:szCs w:val="18"/>
          <w:lang w:eastAsia="en-AU"/>
        </w:rPr>
        <w:t xml:space="preserve">diately following any auction. </w:t>
      </w:r>
      <w:r w:rsidRPr="00260326">
        <w:rPr>
          <w:rFonts w:eastAsia="Times New Roman" w:cs="Arial"/>
          <w:sz w:val="18"/>
          <w:szCs w:val="18"/>
          <w:lang w:eastAsia="en-AU"/>
        </w:rPr>
        <w:t>This amendment is intended to ensure that exporters cannot circumvent the intent of clause 2.4(g) by using different related companies to make different bookings.</w:t>
      </w:r>
    </w:p>
    <w:p w:rsidR="00633670" w:rsidRPr="00260326" w:rsidRDefault="00633670" w:rsidP="00633670">
      <w:pPr>
        <w:ind w:left="726"/>
        <w:rPr>
          <w:rFonts w:eastAsia="Times New Roman" w:cs="Arial"/>
          <w:sz w:val="18"/>
          <w:szCs w:val="18"/>
          <w:lang w:eastAsia="en-AU"/>
        </w:rPr>
      </w:pPr>
      <w:r w:rsidRPr="00260326">
        <w:rPr>
          <w:rFonts w:eastAsia="Times New Roman" w:cs="Arial"/>
          <w:sz w:val="18"/>
          <w:szCs w:val="18"/>
          <w:lang w:eastAsia="en-AU"/>
        </w:rPr>
        <w:t>This amendment is not intended to prevent separate bookings by Clients (and their Associated Entities) that operate commercially separate export functions.</w:t>
      </w:r>
      <w:r w:rsidRPr="00260326">
        <w:rPr>
          <w:rFonts w:eastAsia="Times New Roman" w:cs="Arial"/>
          <w:sz w:val="18"/>
          <w:szCs w:val="18"/>
          <w:vertAlign w:val="superscript"/>
          <w:lang w:eastAsia="en-AU"/>
        </w:rPr>
        <w:footnoteReference w:id="49"/>
      </w:r>
    </w:p>
    <w:p w:rsidR="00633670" w:rsidRPr="00260326" w:rsidRDefault="00633670" w:rsidP="00633670">
      <w:pPr>
        <w:numPr>
          <w:ilvl w:val="3"/>
          <w:numId w:val="1"/>
        </w:numPr>
        <w:spacing w:before="120" w:after="120"/>
        <w:rPr>
          <w:rFonts w:ascii="Lucida Fax" w:eastAsiaTheme="majorEastAsia" w:hAnsi="Lucida Fax" w:cstheme="majorBidi"/>
          <w:bCs/>
          <w:sz w:val="24"/>
          <w:szCs w:val="28"/>
        </w:rPr>
      </w:pPr>
      <w:r w:rsidRPr="00260326">
        <w:rPr>
          <w:rFonts w:ascii="Lucida Fax" w:eastAsiaTheme="majorEastAsia" w:hAnsi="Lucida Fax" w:cstheme="majorBidi"/>
          <w:bCs/>
          <w:sz w:val="24"/>
          <w:szCs w:val="28"/>
        </w:rPr>
        <w:t>Stakeholders’ views</w:t>
      </w:r>
    </w:p>
    <w:p w:rsidR="00633670" w:rsidRPr="00260326" w:rsidRDefault="00F11680" w:rsidP="00633670">
      <w:pPr>
        <w:rPr>
          <w:rFonts w:cs="Arial"/>
          <w:szCs w:val="20"/>
        </w:rPr>
      </w:pPr>
      <w:proofErr w:type="spellStart"/>
      <w:r>
        <w:rPr>
          <w:rFonts w:cs="Arial"/>
          <w:szCs w:val="20"/>
        </w:rPr>
        <w:t>Toepfer</w:t>
      </w:r>
      <w:proofErr w:type="spellEnd"/>
      <w:r>
        <w:rPr>
          <w:rFonts w:cs="Arial"/>
          <w:szCs w:val="20"/>
        </w:rPr>
        <w:t xml:space="preserve"> submitted</w:t>
      </w:r>
      <w:r w:rsidR="00633670" w:rsidRPr="00260326">
        <w:rPr>
          <w:rFonts w:cs="Arial"/>
          <w:szCs w:val="20"/>
        </w:rPr>
        <w:t>:</w:t>
      </w:r>
    </w:p>
    <w:p w:rsidR="00633670" w:rsidRPr="00260326" w:rsidRDefault="00633670" w:rsidP="00633670">
      <w:pPr>
        <w:ind w:left="720"/>
        <w:rPr>
          <w:rFonts w:cs="Arial"/>
          <w:sz w:val="18"/>
          <w:szCs w:val="18"/>
        </w:rPr>
      </w:pPr>
      <w:proofErr w:type="spellStart"/>
      <w:r w:rsidRPr="00260326">
        <w:rPr>
          <w:rFonts w:cs="Arial"/>
          <w:sz w:val="18"/>
          <w:szCs w:val="18"/>
        </w:rPr>
        <w:t>Toepfer</w:t>
      </w:r>
      <w:proofErr w:type="spellEnd"/>
      <w:r w:rsidRPr="00260326">
        <w:rPr>
          <w:rFonts w:cs="Arial"/>
          <w:sz w:val="18"/>
          <w:szCs w:val="18"/>
        </w:rPr>
        <w:t xml:space="preserve"> note the rigor proposed around the associated entity clause, however the dispute clause (12) of the Port Loading Protocols covers notices directly between the access seeker and operator in respect to the acceptance/non-acceptance of bookings. We assume the implied intent of the clause would be to restrict access seekers from establishing an associated entity with a perceived separate export function, however no legitimate market share. A subsequent provision shall also be incorporated which references/allows third parties that are not a directly related party to the notice(s) between access seeker and Port operator to raise a grievance, if any client disputes </w:t>
      </w:r>
      <w:proofErr w:type="spellStart"/>
      <w:r w:rsidRPr="00260326">
        <w:rPr>
          <w:rFonts w:cs="Arial"/>
          <w:sz w:val="18"/>
          <w:szCs w:val="18"/>
        </w:rPr>
        <w:t>Viterra</w:t>
      </w:r>
      <w:proofErr w:type="spellEnd"/>
      <w:r w:rsidRPr="00260326">
        <w:rPr>
          <w:rFonts w:cs="Arial"/>
          <w:sz w:val="18"/>
          <w:szCs w:val="18"/>
        </w:rPr>
        <w:t xml:space="preserve"> operations adherence to the relevant protocols.</w:t>
      </w:r>
      <w:r w:rsidRPr="00260326">
        <w:rPr>
          <w:rFonts w:cs="Arial"/>
          <w:szCs w:val="18"/>
          <w:vertAlign w:val="superscript"/>
        </w:rPr>
        <w:footnoteReference w:id="50"/>
      </w:r>
      <w:r w:rsidRPr="00260326">
        <w:rPr>
          <w:rFonts w:cs="Arial"/>
          <w:sz w:val="18"/>
          <w:szCs w:val="18"/>
        </w:rPr>
        <w:t xml:space="preserve"> </w:t>
      </w:r>
    </w:p>
    <w:p w:rsidR="00633670" w:rsidRPr="00260326" w:rsidRDefault="00F11680" w:rsidP="00633670">
      <w:pPr>
        <w:numPr>
          <w:ilvl w:val="3"/>
          <w:numId w:val="1"/>
        </w:numPr>
        <w:spacing w:before="120" w:after="120"/>
        <w:rPr>
          <w:rFonts w:ascii="Lucida Fax" w:eastAsiaTheme="majorEastAsia" w:hAnsi="Lucida Fax" w:cstheme="majorBidi"/>
          <w:bCs/>
          <w:sz w:val="24"/>
          <w:szCs w:val="28"/>
        </w:rPr>
      </w:pPr>
      <w:r>
        <w:rPr>
          <w:rFonts w:ascii="Lucida Fax" w:eastAsiaTheme="majorEastAsia" w:hAnsi="Lucida Fax" w:cstheme="majorBidi"/>
          <w:bCs/>
          <w:sz w:val="24"/>
          <w:szCs w:val="28"/>
        </w:rPr>
        <w:t xml:space="preserve">The ACCC’s </w:t>
      </w:r>
      <w:r w:rsidR="00633670" w:rsidRPr="00260326">
        <w:rPr>
          <w:rFonts w:ascii="Lucida Fax" w:eastAsiaTheme="majorEastAsia" w:hAnsi="Lucida Fax" w:cstheme="majorBidi"/>
          <w:bCs/>
          <w:sz w:val="24"/>
          <w:szCs w:val="28"/>
        </w:rPr>
        <w:t>view</w:t>
      </w:r>
    </w:p>
    <w:p w:rsidR="00633670" w:rsidRPr="00260326" w:rsidRDefault="00633670" w:rsidP="00633670">
      <w:pPr>
        <w:rPr>
          <w:rFonts w:cs="Arial"/>
          <w:szCs w:val="20"/>
        </w:rPr>
      </w:pPr>
      <w:r w:rsidRPr="00260326">
        <w:rPr>
          <w:rFonts w:cs="Arial"/>
          <w:szCs w:val="20"/>
        </w:rPr>
        <w:t>The FIFS capacity allocation system has been designed to create uncertainty with respect to acquiring specific capacity</w:t>
      </w:r>
      <w:r w:rsidR="00957D3E">
        <w:rPr>
          <w:rFonts w:cs="Arial"/>
          <w:szCs w:val="20"/>
        </w:rPr>
        <w:t>. This uncertainty is intended</w:t>
      </w:r>
      <w:r w:rsidRPr="00260326">
        <w:rPr>
          <w:rFonts w:cs="Arial"/>
          <w:szCs w:val="20"/>
        </w:rPr>
        <w:t xml:space="preserve"> to provide an incentive to exporters to acquire capacity through the auction system in the first instance.</w:t>
      </w:r>
    </w:p>
    <w:p w:rsidR="00633670" w:rsidRPr="00260326" w:rsidRDefault="00633670" w:rsidP="00633670">
      <w:pPr>
        <w:rPr>
          <w:rFonts w:eastAsia="Calibri" w:cs="Times New Roman"/>
        </w:rPr>
      </w:pPr>
      <w:r w:rsidRPr="00260326">
        <w:rPr>
          <w:rFonts w:eastAsia="Calibri" w:cs="Times New Roman"/>
        </w:rPr>
        <w:t>The AC</w:t>
      </w:r>
      <w:r w:rsidR="00F11680">
        <w:rPr>
          <w:rFonts w:eastAsia="Calibri" w:cs="Times New Roman"/>
        </w:rPr>
        <w:t xml:space="preserve">CC considers that </w:t>
      </w:r>
      <w:proofErr w:type="spellStart"/>
      <w:r w:rsidR="00F11680">
        <w:rPr>
          <w:rFonts w:eastAsia="Calibri" w:cs="Times New Roman"/>
        </w:rPr>
        <w:t>Viterra’s</w:t>
      </w:r>
      <w:proofErr w:type="spellEnd"/>
      <w:r w:rsidRPr="00260326">
        <w:rPr>
          <w:rFonts w:eastAsia="Calibri" w:cs="Times New Roman"/>
        </w:rPr>
        <w:t xml:space="preserve"> amendments to clause 2.4(g) </w:t>
      </w:r>
      <w:r w:rsidR="00487257">
        <w:rPr>
          <w:rFonts w:eastAsia="Calibri" w:cs="Times New Roman"/>
        </w:rPr>
        <w:t xml:space="preserve">of its PLPs </w:t>
      </w:r>
      <w:r w:rsidRPr="00260326">
        <w:rPr>
          <w:rFonts w:eastAsia="Calibri" w:cs="Times New Roman"/>
        </w:rPr>
        <w:t xml:space="preserve">clarify and reinforce this principle in ensuring that the auction system is the primary method of capacity </w:t>
      </w:r>
      <w:r w:rsidRPr="00260326">
        <w:rPr>
          <w:rFonts w:eastAsia="Calibri" w:cs="Times New Roman"/>
        </w:rPr>
        <w:lastRenderedPageBreak/>
        <w:t xml:space="preserve">allocation. The amendments achieve this by preventing third party access seekers creating an associated entity for the purpose of circumventing the restrictions on the </w:t>
      </w:r>
      <w:r>
        <w:rPr>
          <w:rFonts w:eastAsia="Calibri" w:cs="Times New Roman"/>
        </w:rPr>
        <w:t>FIFS</w:t>
      </w:r>
      <w:r w:rsidRPr="00260326">
        <w:rPr>
          <w:rFonts w:eastAsia="Calibri" w:cs="Times New Roman"/>
        </w:rPr>
        <w:t xml:space="preserve"> system.</w:t>
      </w:r>
    </w:p>
    <w:p w:rsidR="00633670" w:rsidRPr="00260326" w:rsidRDefault="00633670" w:rsidP="00633670">
      <w:pPr>
        <w:rPr>
          <w:rFonts w:eastAsia="Calibri" w:cs="Times New Roman"/>
        </w:rPr>
      </w:pPr>
      <w:r w:rsidRPr="00260326">
        <w:rPr>
          <w:rFonts w:eastAsia="Calibri" w:cs="Times New Roman"/>
        </w:rPr>
        <w:t xml:space="preserve">As noted above, </w:t>
      </w:r>
      <w:r w:rsidR="00D51AF2" w:rsidRPr="00260326">
        <w:rPr>
          <w:rFonts w:eastAsia="Calibri" w:cs="Times New Roman"/>
        </w:rPr>
        <w:t>having regard to the object</w:t>
      </w:r>
      <w:r w:rsidR="00D51AF2">
        <w:rPr>
          <w:rFonts w:eastAsia="Calibri" w:cs="Times New Roman"/>
        </w:rPr>
        <w:t>s</w:t>
      </w:r>
      <w:r w:rsidR="00D51AF2" w:rsidRPr="00260326">
        <w:rPr>
          <w:rFonts w:eastAsia="Calibri" w:cs="Times New Roman"/>
        </w:rPr>
        <w:t xml:space="preserve"> of Part IIIA to promote the economically efficient operation and use of the port terminal infrastructure,</w:t>
      </w:r>
      <w:r w:rsidR="00D51AF2">
        <w:rPr>
          <w:rFonts w:eastAsia="Calibri" w:cs="Times New Roman"/>
        </w:rPr>
        <w:t xml:space="preserve"> </w:t>
      </w:r>
      <w:r w:rsidRPr="00260326">
        <w:rPr>
          <w:rFonts w:eastAsia="Calibri" w:cs="Times New Roman"/>
        </w:rPr>
        <w:t>it is the ACCC’s view that an auction allocates capacity to the exporter with the high</w:t>
      </w:r>
      <w:r w:rsidR="004C5C36">
        <w:rPr>
          <w:rFonts w:eastAsia="Calibri" w:cs="Times New Roman"/>
        </w:rPr>
        <w:t xml:space="preserve">est willingness to pay for it. </w:t>
      </w:r>
      <w:r w:rsidRPr="00260326">
        <w:rPr>
          <w:rFonts w:eastAsia="Calibri" w:cs="Times New Roman"/>
        </w:rPr>
        <w:t>A FIFS system does not provide for the same level of efficiency, particularly during large harvests when peak shipping season capacity is relatively constrained.</w:t>
      </w:r>
    </w:p>
    <w:p w:rsidR="00633670" w:rsidRPr="00260326" w:rsidRDefault="00633670" w:rsidP="00633670">
      <w:pPr>
        <w:rPr>
          <w:rFonts w:cs="Arial"/>
          <w:szCs w:val="20"/>
        </w:rPr>
      </w:pPr>
      <w:r w:rsidRPr="00260326">
        <w:rPr>
          <w:rFonts w:cs="Arial"/>
          <w:szCs w:val="20"/>
          <w:lang w:eastAsia="en-AU"/>
        </w:rPr>
        <w:t xml:space="preserve">The ACCC considers that </w:t>
      </w:r>
      <w:proofErr w:type="spellStart"/>
      <w:r w:rsidRPr="00260326">
        <w:rPr>
          <w:rFonts w:cs="Arial"/>
          <w:szCs w:val="20"/>
          <w:lang w:eastAsia="en-AU"/>
        </w:rPr>
        <w:t>Viterra’s</w:t>
      </w:r>
      <w:proofErr w:type="spellEnd"/>
      <w:r w:rsidRPr="00260326">
        <w:rPr>
          <w:rFonts w:cs="Arial"/>
          <w:szCs w:val="20"/>
          <w:lang w:eastAsia="en-AU"/>
        </w:rPr>
        <w:t xml:space="preserve"> proposed variation of clause 2.4(g</w:t>
      </w:r>
      <w:proofErr w:type="gramStart"/>
      <w:r w:rsidRPr="00260326">
        <w:rPr>
          <w:rFonts w:cs="Arial"/>
          <w:szCs w:val="20"/>
          <w:lang w:eastAsia="en-AU"/>
        </w:rPr>
        <w:t>)(</w:t>
      </w:r>
      <w:proofErr w:type="spellStart"/>
      <w:proofErr w:type="gramEnd"/>
      <w:r w:rsidRPr="00260326">
        <w:rPr>
          <w:rFonts w:cs="Arial"/>
          <w:szCs w:val="20"/>
          <w:lang w:eastAsia="en-AU"/>
        </w:rPr>
        <w:t>i</w:t>
      </w:r>
      <w:proofErr w:type="spellEnd"/>
      <w:r w:rsidRPr="00260326">
        <w:rPr>
          <w:rFonts w:cs="Arial"/>
          <w:szCs w:val="20"/>
          <w:lang w:eastAsia="en-AU"/>
        </w:rPr>
        <w:t xml:space="preserve">), allowing it to reject a booking by an associated entity of an exporter, appropriately promotes the auction system as the primary method of capacity allocation. </w:t>
      </w:r>
      <w:r w:rsidRPr="00260326">
        <w:rPr>
          <w:rFonts w:cs="Arial"/>
          <w:szCs w:val="20"/>
        </w:rPr>
        <w:t>The ACCC considers that amending the clause to reduce potential gaming</w:t>
      </w:r>
      <w:r w:rsidR="005F7020">
        <w:rPr>
          <w:rFonts w:cs="Arial"/>
          <w:szCs w:val="20"/>
        </w:rPr>
        <w:t xml:space="preserve"> of the FIFS</w:t>
      </w:r>
      <w:r w:rsidRPr="00260326">
        <w:rPr>
          <w:rFonts w:cs="Arial"/>
          <w:szCs w:val="20"/>
        </w:rPr>
        <w:t xml:space="preserve"> increases the likelihood that exporters will participate in the auction in order to acquire peak shipping period capacity. </w:t>
      </w:r>
    </w:p>
    <w:p w:rsidR="00633670" w:rsidRPr="00260326" w:rsidRDefault="00633670" w:rsidP="00633670">
      <w:pPr>
        <w:rPr>
          <w:rFonts w:cs="Arial"/>
          <w:szCs w:val="20"/>
          <w:lang w:eastAsia="en-AU"/>
        </w:rPr>
      </w:pPr>
      <w:r w:rsidRPr="00260326">
        <w:rPr>
          <w:rFonts w:cs="Arial"/>
          <w:szCs w:val="20"/>
          <w:lang w:eastAsia="en-AU"/>
        </w:rPr>
        <w:t xml:space="preserve">The ACCC notes that the variation does provide </w:t>
      </w:r>
      <w:proofErr w:type="spellStart"/>
      <w:r w:rsidRPr="00260326">
        <w:rPr>
          <w:rFonts w:cs="Arial"/>
          <w:szCs w:val="20"/>
          <w:lang w:eastAsia="en-AU"/>
        </w:rPr>
        <w:t>Viterra</w:t>
      </w:r>
      <w:proofErr w:type="spellEnd"/>
      <w:r w:rsidRPr="00260326">
        <w:rPr>
          <w:rFonts w:cs="Arial"/>
          <w:szCs w:val="20"/>
          <w:lang w:eastAsia="en-AU"/>
        </w:rPr>
        <w:t xml:space="preserve"> with the discretion to determine whether an exporter’s associated entity is operating a commercially separate expor</w:t>
      </w:r>
      <w:r w:rsidR="004C5C36">
        <w:rPr>
          <w:rFonts w:cs="Arial"/>
          <w:szCs w:val="20"/>
          <w:lang w:eastAsia="en-AU"/>
        </w:rPr>
        <w:t xml:space="preserve">t function. </w:t>
      </w:r>
      <w:r w:rsidRPr="00260326">
        <w:rPr>
          <w:rFonts w:cs="Arial"/>
          <w:szCs w:val="20"/>
          <w:lang w:eastAsia="en-AU"/>
        </w:rPr>
        <w:t xml:space="preserve">The ACCC acknowledges that such discretion may enable </w:t>
      </w:r>
      <w:proofErr w:type="spellStart"/>
      <w:r w:rsidRPr="00260326">
        <w:rPr>
          <w:rFonts w:cs="Arial"/>
          <w:szCs w:val="20"/>
          <w:lang w:eastAsia="en-AU"/>
        </w:rPr>
        <w:t>Viterra</w:t>
      </w:r>
      <w:proofErr w:type="spellEnd"/>
      <w:r w:rsidRPr="00260326">
        <w:rPr>
          <w:rFonts w:cs="Arial"/>
          <w:szCs w:val="20"/>
          <w:lang w:eastAsia="en-AU"/>
        </w:rPr>
        <w:t xml:space="preserve"> to prevent or hinder an exporter, or an associated entity of an exporter, </w:t>
      </w:r>
      <w:r w:rsidR="00957D3E">
        <w:rPr>
          <w:rFonts w:cs="Arial"/>
          <w:szCs w:val="20"/>
          <w:lang w:eastAsia="en-AU"/>
        </w:rPr>
        <w:t xml:space="preserve">from </w:t>
      </w:r>
      <w:r w:rsidRPr="00260326">
        <w:rPr>
          <w:rFonts w:cs="Arial"/>
          <w:szCs w:val="20"/>
          <w:lang w:eastAsia="en-AU"/>
        </w:rPr>
        <w:t>legitimately acc</w:t>
      </w:r>
      <w:r w:rsidR="004C5C36">
        <w:rPr>
          <w:rFonts w:cs="Arial"/>
          <w:szCs w:val="20"/>
          <w:lang w:eastAsia="en-AU"/>
        </w:rPr>
        <w:t xml:space="preserve">essing port terminal services. </w:t>
      </w:r>
      <w:r w:rsidRPr="00260326">
        <w:rPr>
          <w:rFonts w:cs="Arial"/>
          <w:szCs w:val="20"/>
          <w:lang w:eastAsia="en-AU"/>
        </w:rPr>
        <w:t xml:space="preserve">However, in the event that </w:t>
      </w:r>
      <w:proofErr w:type="spellStart"/>
      <w:r w:rsidRPr="00260326">
        <w:rPr>
          <w:rFonts w:cs="Arial"/>
          <w:szCs w:val="20"/>
          <w:lang w:eastAsia="en-AU"/>
        </w:rPr>
        <w:t>Viterra</w:t>
      </w:r>
      <w:proofErr w:type="spellEnd"/>
      <w:r w:rsidRPr="00260326">
        <w:rPr>
          <w:rFonts w:cs="Arial"/>
          <w:szCs w:val="20"/>
          <w:lang w:eastAsia="en-AU"/>
        </w:rPr>
        <w:t xml:space="preserve"> does exercise this discretion in a manner that hinders access, it risks breaching clause 9.</w:t>
      </w:r>
      <w:r>
        <w:rPr>
          <w:rFonts w:cs="Arial"/>
          <w:szCs w:val="20"/>
          <w:lang w:eastAsia="en-AU"/>
        </w:rPr>
        <w:t>7</w:t>
      </w:r>
      <w:r w:rsidRPr="00260326">
        <w:rPr>
          <w:rFonts w:cs="Arial"/>
          <w:szCs w:val="20"/>
          <w:lang w:eastAsia="en-AU"/>
        </w:rPr>
        <w:t xml:space="preserve"> of its 2011 Undertaking which prohibits </w:t>
      </w:r>
      <w:proofErr w:type="spellStart"/>
      <w:r w:rsidRPr="00260326">
        <w:rPr>
          <w:rFonts w:cs="Arial"/>
          <w:szCs w:val="20"/>
          <w:lang w:eastAsia="en-AU"/>
        </w:rPr>
        <w:t>Viterra</w:t>
      </w:r>
      <w:proofErr w:type="spellEnd"/>
      <w:r w:rsidRPr="00260326">
        <w:rPr>
          <w:rFonts w:cs="Arial"/>
          <w:szCs w:val="20"/>
          <w:lang w:eastAsia="en-AU"/>
        </w:rPr>
        <w:t xml:space="preserve"> from engaging in conduct for the purpose of preventing or hindering access to port terminal services.</w:t>
      </w:r>
      <w:r>
        <w:rPr>
          <w:rStyle w:val="FootnoteReference"/>
          <w:rFonts w:cs="Arial"/>
          <w:szCs w:val="20"/>
          <w:lang w:eastAsia="en-AU"/>
        </w:rPr>
        <w:footnoteReference w:id="51"/>
      </w:r>
    </w:p>
    <w:p w:rsidR="00633670" w:rsidRPr="00260326" w:rsidRDefault="00633670" w:rsidP="00633670">
      <w:pPr>
        <w:rPr>
          <w:rFonts w:cs="Arial"/>
          <w:szCs w:val="20"/>
          <w:lang w:eastAsia="en-AU"/>
        </w:rPr>
      </w:pPr>
      <w:r w:rsidRPr="00260326">
        <w:rPr>
          <w:rFonts w:cs="Arial"/>
          <w:szCs w:val="20"/>
          <w:lang w:eastAsia="en-AU"/>
        </w:rPr>
        <w:t xml:space="preserve">With respect to </w:t>
      </w:r>
      <w:proofErr w:type="spellStart"/>
      <w:r w:rsidRPr="00260326">
        <w:rPr>
          <w:rFonts w:cs="Arial"/>
          <w:szCs w:val="20"/>
          <w:lang w:eastAsia="en-AU"/>
        </w:rPr>
        <w:t>Toepfer’s</w:t>
      </w:r>
      <w:proofErr w:type="spellEnd"/>
      <w:r w:rsidRPr="00260326">
        <w:rPr>
          <w:rFonts w:cs="Arial"/>
          <w:szCs w:val="20"/>
          <w:lang w:eastAsia="en-AU"/>
        </w:rPr>
        <w:t xml:space="preserve"> submission in relation to the applicable dispute resolution mechanisms, the ACCC notes that if </w:t>
      </w:r>
      <w:proofErr w:type="spellStart"/>
      <w:r w:rsidRPr="00260326">
        <w:rPr>
          <w:rFonts w:cs="Arial"/>
          <w:szCs w:val="20"/>
          <w:lang w:eastAsia="en-AU"/>
        </w:rPr>
        <w:t>Viterra</w:t>
      </w:r>
      <w:proofErr w:type="spellEnd"/>
      <w:r w:rsidRPr="00260326">
        <w:rPr>
          <w:rFonts w:cs="Arial"/>
          <w:szCs w:val="20"/>
          <w:lang w:eastAsia="en-AU"/>
        </w:rPr>
        <w:t xml:space="preserve"> does invalidate a booking by an associated entity of a client pursuant to this clause, then the associated entity is entitled to raise a dispute under clause </w:t>
      </w:r>
      <w:r w:rsidR="004C5C36">
        <w:rPr>
          <w:rFonts w:cs="Arial"/>
          <w:szCs w:val="20"/>
          <w:lang w:eastAsia="en-AU"/>
        </w:rPr>
        <w:t xml:space="preserve">12 of the PLPs. </w:t>
      </w:r>
      <w:proofErr w:type="spellStart"/>
      <w:r w:rsidR="004B4433">
        <w:rPr>
          <w:rFonts w:cs="Arial"/>
          <w:szCs w:val="20"/>
          <w:lang w:eastAsia="en-AU"/>
        </w:rPr>
        <w:t>Toepfer</w:t>
      </w:r>
      <w:proofErr w:type="spellEnd"/>
      <w:r w:rsidR="004B4433">
        <w:rPr>
          <w:rFonts w:cs="Arial"/>
          <w:szCs w:val="20"/>
          <w:lang w:eastAsia="en-AU"/>
        </w:rPr>
        <w:t xml:space="preserve"> submitted</w:t>
      </w:r>
      <w:r w:rsidRPr="00260326">
        <w:rPr>
          <w:rFonts w:cs="Arial"/>
          <w:szCs w:val="20"/>
          <w:lang w:eastAsia="en-AU"/>
        </w:rPr>
        <w:t xml:space="preserve"> that unrelated third parties should also be able to raise a dispute in relation to </w:t>
      </w:r>
      <w:proofErr w:type="spellStart"/>
      <w:r w:rsidRPr="00260326">
        <w:rPr>
          <w:rFonts w:cs="Arial"/>
          <w:szCs w:val="20"/>
          <w:lang w:eastAsia="en-AU"/>
        </w:rPr>
        <w:t>Viterra’s</w:t>
      </w:r>
      <w:proofErr w:type="spellEnd"/>
      <w:r w:rsidRPr="00260326">
        <w:rPr>
          <w:rFonts w:cs="Arial"/>
          <w:szCs w:val="20"/>
          <w:lang w:eastAsia="en-AU"/>
        </w:rPr>
        <w:t xml:space="preserve"> application of this varied provision.</w:t>
      </w:r>
      <w:r w:rsidR="004C5C36">
        <w:rPr>
          <w:rFonts w:cs="Arial"/>
          <w:szCs w:val="20"/>
          <w:lang w:eastAsia="en-AU"/>
        </w:rPr>
        <w:t xml:space="preserve"> </w:t>
      </w:r>
    </w:p>
    <w:p w:rsidR="00633670" w:rsidRPr="00260326" w:rsidRDefault="00633670" w:rsidP="00633670">
      <w:pPr>
        <w:rPr>
          <w:rFonts w:cs="Arial"/>
          <w:szCs w:val="20"/>
          <w:lang w:eastAsia="en-AU"/>
        </w:rPr>
      </w:pPr>
      <w:r w:rsidRPr="00260326">
        <w:rPr>
          <w:rFonts w:cs="Arial"/>
          <w:szCs w:val="20"/>
          <w:lang w:eastAsia="en-AU"/>
        </w:rPr>
        <w:t xml:space="preserve">The ACCC notes that the dispute resolution mechanism in clause 12 of the PLPs does not prevent any client from raising a dispute regarding </w:t>
      </w:r>
      <w:proofErr w:type="spellStart"/>
      <w:r w:rsidRPr="00260326">
        <w:rPr>
          <w:rFonts w:cs="Arial"/>
          <w:szCs w:val="20"/>
          <w:lang w:eastAsia="en-AU"/>
        </w:rPr>
        <w:t>Vi</w:t>
      </w:r>
      <w:r w:rsidR="004C5C36">
        <w:rPr>
          <w:rFonts w:cs="Arial"/>
          <w:szCs w:val="20"/>
          <w:lang w:eastAsia="en-AU"/>
        </w:rPr>
        <w:t>terra’s</w:t>
      </w:r>
      <w:proofErr w:type="spellEnd"/>
      <w:r w:rsidR="004C5C36">
        <w:rPr>
          <w:rFonts w:cs="Arial"/>
          <w:szCs w:val="20"/>
          <w:lang w:eastAsia="en-AU"/>
        </w:rPr>
        <w:t xml:space="preserve"> adherence to the PLPs. </w:t>
      </w:r>
      <w:r w:rsidRPr="00260326">
        <w:rPr>
          <w:rFonts w:cs="Arial"/>
          <w:szCs w:val="20"/>
          <w:lang w:eastAsia="en-AU"/>
        </w:rPr>
        <w:t xml:space="preserve">This would likely include any decisions made by </w:t>
      </w:r>
      <w:proofErr w:type="spellStart"/>
      <w:r w:rsidRPr="00260326">
        <w:rPr>
          <w:rFonts w:cs="Arial"/>
          <w:szCs w:val="20"/>
          <w:lang w:eastAsia="en-AU"/>
        </w:rPr>
        <w:t>Viterra</w:t>
      </w:r>
      <w:proofErr w:type="spellEnd"/>
      <w:r w:rsidRPr="00260326">
        <w:rPr>
          <w:rFonts w:cs="Arial"/>
          <w:szCs w:val="20"/>
          <w:lang w:eastAsia="en-AU"/>
        </w:rPr>
        <w:t xml:space="preserve"> to invalidat</w:t>
      </w:r>
      <w:r w:rsidR="005F7020">
        <w:rPr>
          <w:rFonts w:cs="Arial"/>
          <w:szCs w:val="20"/>
          <w:lang w:eastAsia="en-AU"/>
        </w:rPr>
        <w:t>e</w:t>
      </w:r>
      <w:r w:rsidRPr="00260326">
        <w:rPr>
          <w:rFonts w:cs="Arial"/>
          <w:szCs w:val="20"/>
          <w:lang w:eastAsia="en-AU"/>
        </w:rPr>
        <w:t xml:space="preserve"> a booking it believes is made by an associated entity without its own commercially separate export fu</w:t>
      </w:r>
      <w:r w:rsidR="004C5C36">
        <w:rPr>
          <w:rFonts w:cs="Arial"/>
          <w:szCs w:val="20"/>
          <w:lang w:eastAsia="en-AU"/>
        </w:rPr>
        <w:t xml:space="preserve">nction. </w:t>
      </w:r>
      <w:r w:rsidRPr="00260326">
        <w:rPr>
          <w:rFonts w:cs="Arial"/>
          <w:szCs w:val="20"/>
          <w:lang w:eastAsia="en-AU"/>
        </w:rPr>
        <w:t xml:space="preserve">Further, if a client is of the view that in applying this provision of the PLPs, </w:t>
      </w:r>
      <w:proofErr w:type="spellStart"/>
      <w:r w:rsidRPr="00260326">
        <w:rPr>
          <w:rFonts w:cs="Arial"/>
          <w:szCs w:val="20"/>
          <w:lang w:eastAsia="en-AU"/>
        </w:rPr>
        <w:t>Viterra</w:t>
      </w:r>
      <w:proofErr w:type="spellEnd"/>
      <w:r w:rsidRPr="00260326">
        <w:rPr>
          <w:rFonts w:cs="Arial"/>
          <w:szCs w:val="20"/>
          <w:lang w:eastAsia="en-AU"/>
        </w:rPr>
        <w:t xml:space="preserve"> has engaged in conduct </w:t>
      </w:r>
      <w:r w:rsidR="005F7020">
        <w:rPr>
          <w:rFonts w:cs="Arial"/>
          <w:szCs w:val="20"/>
          <w:lang w:eastAsia="en-AU"/>
        </w:rPr>
        <w:t xml:space="preserve">in a discriminatory way or </w:t>
      </w:r>
      <w:r w:rsidRPr="00260326">
        <w:rPr>
          <w:rFonts w:cs="Arial"/>
          <w:szCs w:val="20"/>
          <w:lang w:eastAsia="en-AU"/>
        </w:rPr>
        <w:t>for the purpose of hindering access, the client is able to raise concerns with respect to a potential breach</w:t>
      </w:r>
      <w:r w:rsidR="004C5C36">
        <w:rPr>
          <w:rFonts w:cs="Arial"/>
          <w:szCs w:val="20"/>
          <w:lang w:eastAsia="en-AU"/>
        </w:rPr>
        <w:t xml:space="preserve"> of the 2011 </w:t>
      </w:r>
      <w:proofErr w:type="gramStart"/>
      <w:r w:rsidR="004C5C36">
        <w:rPr>
          <w:rFonts w:cs="Arial"/>
          <w:szCs w:val="20"/>
          <w:lang w:eastAsia="en-AU"/>
        </w:rPr>
        <w:t>Undertaking</w:t>
      </w:r>
      <w:proofErr w:type="gramEnd"/>
      <w:r w:rsidR="004C5C36">
        <w:rPr>
          <w:rFonts w:cs="Arial"/>
          <w:szCs w:val="20"/>
          <w:lang w:eastAsia="en-AU"/>
        </w:rPr>
        <w:t xml:space="preserve">. </w:t>
      </w:r>
      <w:r w:rsidRPr="00260326">
        <w:rPr>
          <w:rFonts w:cs="Arial"/>
          <w:szCs w:val="20"/>
          <w:lang w:eastAsia="en-AU"/>
        </w:rPr>
        <w:t>Given these poten</w:t>
      </w:r>
      <w:r w:rsidR="00B82EED">
        <w:rPr>
          <w:rFonts w:cs="Arial"/>
          <w:szCs w:val="20"/>
          <w:lang w:eastAsia="en-AU"/>
        </w:rPr>
        <w:t xml:space="preserve">tial outcomes, it is the ACCC’s </w:t>
      </w:r>
      <w:r w:rsidRPr="00260326">
        <w:rPr>
          <w:rFonts w:cs="Arial"/>
          <w:szCs w:val="20"/>
          <w:lang w:eastAsia="en-AU"/>
        </w:rPr>
        <w:t xml:space="preserve">view that </w:t>
      </w:r>
      <w:proofErr w:type="spellStart"/>
      <w:r w:rsidRPr="00260326">
        <w:rPr>
          <w:rFonts w:cs="Arial"/>
          <w:szCs w:val="20"/>
          <w:lang w:eastAsia="en-AU"/>
        </w:rPr>
        <w:t>Viterra</w:t>
      </w:r>
      <w:proofErr w:type="spellEnd"/>
      <w:r w:rsidRPr="00260326">
        <w:rPr>
          <w:rFonts w:cs="Arial"/>
          <w:szCs w:val="20"/>
          <w:lang w:eastAsia="en-AU"/>
        </w:rPr>
        <w:t xml:space="preserve"> is unlikely to exercise its discretion in a manner other than consistently with the intention of the clause, which is to prevent gaming of the FIFS system.</w:t>
      </w:r>
    </w:p>
    <w:p w:rsidR="00633670" w:rsidRPr="00260326" w:rsidRDefault="00633670" w:rsidP="00633670">
      <w:pPr>
        <w:rPr>
          <w:rFonts w:cs="Arial"/>
          <w:szCs w:val="20"/>
          <w:lang w:eastAsia="en-AU"/>
        </w:rPr>
      </w:pPr>
      <w:r w:rsidRPr="00260326">
        <w:rPr>
          <w:rFonts w:cs="Arial"/>
          <w:szCs w:val="20"/>
          <w:lang w:eastAsia="en-AU"/>
        </w:rPr>
        <w:t xml:space="preserve">Allowing </w:t>
      </w:r>
      <w:proofErr w:type="spellStart"/>
      <w:r w:rsidRPr="00260326">
        <w:rPr>
          <w:rFonts w:cs="Arial"/>
          <w:szCs w:val="20"/>
          <w:lang w:eastAsia="en-AU"/>
        </w:rPr>
        <w:t>Viterra</w:t>
      </w:r>
      <w:proofErr w:type="spellEnd"/>
      <w:r w:rsidRPr="00260326">
        <w:rPr>
          <w:rFonts w:cs="Arial"/>
          <w:szCs w:val="20"/>
          <w:lang w:eastAsia="en-AU"/>
        </w:rPr>
        <w:t xml:space="preserve"> the discretion to invalidate a booking in this manner is in the legitimate business interests of the port terminal operator in maintaining the integrity of its </w:t>
      </w:r>
      <w:r w:rsidR="005F7020">
        <w:rPr>
          <w:rFonts w:cs="Arial"/>
          <w:szCs w:val="20"/>
          <w:lang w:eastAsia="en-AU"/>
        </w:rPr>
        <w:t xml:space="preserve">capacity allocation </w:t>
      </w:r>
      <w:r w:rsidR="004C5C36">
        <w:rPr>
          <w:rFonts w:cs="Arial"/>
          <w:szCs w:val="20"/>
          <w:lang w:eastAsia="en-AU"/>
        </w:rPr>
        <w:t xml:space="preserve">system. </w:t>
      </w:r>
      <w:r w:rsidRPr="00260326">
        <w:rPr>
          <w:rFonts w:cs="Arial"/>
          <w:szCs w:val="20"/>
          <w:lang w:eastAsia="en-AU"/>
        </w:rPr>
        <w:t>Further, making the invalidation of bookings made within the same 30 minutes of an associated entity discretionary rather than automatic is in the interests of access seekers with an associated entity which operate</w:t>
      </w:r>
      <w:r w:rsidR="005F7020">
        <w:rPr>
          <w:rFonts w:cs="Arial"/>
          <w:szCs w:val="20"/>
          <w:lang w:eastAsia="en-AU"/>
        </w:rPr>
        <w:t>s</w:t>
      </w:r>
      <w:r w:rsidRPr="00260326">
        <w:rPr>
          <w:rFonts w:cs="Arial"/>
          <w:szCs w:val="20"/>
          <w:lang w:eastAsia="en-AU"/>
        </w:rPr>
        <w:t xml:space="preserve"> a legitimate commercially separate export function.</w:t>
      </w:r>
    </w:p>
    <w:p w:rsidR="00633670" w:rsidRPr="00260326" w:rsidRDefault="00633670" w:rsidP="00633670">
      <w:pPr>
        <w:rPr>
          <w:rFonts w:ascii="Lucida Fax" w:eastAsia="Times New Roman" w:hAnsi="Lucida Fax" w:cs="Times New Roman"/>
          <w:b/>
          <w:bCs/>
          <w:sz w:val="32"/>
          <w:szCs w:val="28"/>
        </w:rPr>
      </w:pPr>
      <w:r w:rsidRPr="00260326">
        <w:rPr>
          <w:rFonts w:cs="Arial"/>
          <w:szCs w:val="20"/>
          <w:lang w:eastAsia="en-AU"/>
        </w:rPr>
        <w:t>Accordingl</w:t>
      </w:r>
      <w:r w:rsidR="00B82EED">
        <w:rPr>
          <w:rFonts w:cs="Arial"/>
          <w:szCs w:val="20"/>
          <w:lang w:eastAsia="en-AU"/>
        </w:rPr>
        <w:t xml:space="preserve">y, it is the ACCC’s </w:t>
      </w:r>
      <w:r w:rsidRPr="00260326">
        <w:rPr>
          <w:rFonts w:cs="Arial"/>
          <w:szCs w:val="20"/>
          <w:lang w:eastAsia="en-AU"/>
        </w:rPr>
        <w:t>view that these amendments are appropriate having regard to the efficient allocation of capacity (subs</w:t>
      </w:r>
      <w:r>
        <w:rPr>
          <w:rFonts w:cs="Arial"/>
          <w:szCs w:val="20"/>
          <w:lang w:eastAsia="en-AU"/>
        </w:rPr>
        <w:t xml:space="preserve">ection </w:t>
      </w:r>
      <w:proofErr w:type="gramStart"/>
      <w:r w:rsidRPr="00260326">
        <w:rPr>
          <w:rFonts w:cs="Arial"/>
          <w:szCs w:val="20"/>
          <w:lang w:eastAsia="en-AU"/>
        </w:rPr>
        <w:t>44ZZA(</w:t>
      </w:r>
      <w:proofErr w:type="gramEnd"/>
      <w:r w:rsidRPr="00260326">
        <w:rPr>
          <w:rFonts w:cs="Arial"/>
          <w:szCs w:val="20"/>
          <w:lang w:eastAsia="en-AU"/>
        </w:rPr>
        <w:t>3)(</w:t>
      </w:r>
      <w:proofErr w:type="spellStart"/>
      <w:r w:rsidRPr="00260326">
        <w:rPr>
          <w:rFonts w:cs="Arial"/>
          <w:szCs w:val="20"/>
          <w:lang w:eastAsia="en-AU"/>
        </w:rPr>
        <w:t>aa</w:t>
      </w:r>
      <w:proofErr w:type="spellEnd"/>
      <w:r w:rsidRPr="00260326">
        <w:rPr>
          <w:rFonts w:cs="Arial"/>
          <w:szCs w:val="20"/>
          <w:lang w:eastAsia="en-AU"/>
        </w:rPr>
        <w:t xml:space="preserve">) of the CCA), the legitimate business interests of </w:t>
      </w:r>
      <w:proofErr w:type="spellStart"/>
      <w:r w:rsidRPr="00260326">
        <w:rPr>
          <w:rFonts w:cs="Arial"/>
          <w:szCs w:val="20"/>
          <w:lang w:eastAsia="en-AU"/>
        </w:rPr>
        <w:t>Viterra</w:t>
      </w:r>
      <w:proofErr w:type="spellEnd"/>
      <w:r w:rsidRPr="00260326">
        <w:rPr>
          <w:rFonts w:cs="Arial"/>
          <w:szCs w:val="20"/>
          <w:lang w:eastAsia="en-AU"/>
        </w:rPr>
        <w:t xml:space="preserve"> (subs</w:t>
      </w:r>
      <w:r>
        <w:rPr>
          <w:rFonts w:cs="Arial"/>
          <w:szCs w:val="20"/>
          <w:lang w:eastAsia="en-AU"/>
        </w:rPr>
        <w:t xml:space="preserve">ection </w:t>
      </w:r>
      <w:r w:rsidRPr="00260326">
        <w:rPr>
          <w:rFonts w:cs="Arial"/>
          <w:szCs w:val="20"/>
          <w:lang w:eastAsia="en-AU"/>
        </w:rPr>
        <w:t>44ZZA(3)(a) of the CCA) and the interests of access seekers (subs</w:t>
      </w:r>
      <w:r>
        <w:rPr>
          <w:rFonts w:cs="Arial"/>
          <w:szCs w:val="20"/>
          <w:lang w:eastAsia="en-AU"/>
        </w:rPr>
        <w:t xml:space="preserve">ection </w:t>
      </w:r>
      <w:r w:rsidRPr="00260326">
        <w:rPr>
          <w:rFonts w:cs="Arial"/>
          <w:szCs w:val="20"/>
          <w:lang w:eastAsia="en-AU"/>
        </w:rPr>
        <w:t>44ZZA(3)(c) of the CCA).</w:t>
      </w:r>
    </w:p>
    <w:p w:rsidR="00633670" w:rsidRPr="00517047" w:rsidRDefault="00633670" w:rsidP="00633670">
      <w:pPr>
        <w:keepNext/>
        <w:numPr>
          <w:ilvl w:val="2"/>
          <w:numId w:val="1"/>
        </w:numPr>
        <w:spacing w:before="24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Transferability of first in, first served bookings</w:t>
      </w:r>
    </w:p>
    <w:p w:rsidR="00633670" w:rsidRPr="00260326" w:rsidRDefault="00764519" w:rsidP="00633670">
      <w:pPr>
        <w:rPr>
          <w:rFonts w:eastAsia="Times New Roman" w:cs="Arial"/>
          <w:szCs w:val="20"/>
        </w:rPr>
      </w:pPr>
      <w:proofErr w:type="spellStart"/>
      <w:r>
        <w:rPr>
          <w:rFonts w:eastAsia="Times New Roman" w:cs="Arial"/>
          <w:szCs w:val="20"/>
        </w:rPr>
        <w:t>Viterra</w:t>
      </w:r>
      <w:proofErr w:type="spellEnd"/>
      <w:r>
        <w:rPr>
          <w:rFonts w:eastAsia="Times New Roman" w:cs="Arial"/>
          <w:szCs w:val="20"/>
        </w:rPr>
        <w:t xml:space="preserve"> propose</w:t>
      </w:r>
      <w:r w:rsidR="00155A78">
        <w:rPr>
          <w:rFonts w:eastAsia="Times New Roman" w:cs="Arial"/>
          <w:szCs w:val="20"/>
        </w:rPr>
        <w:t>s</w:t>
      </w:r>
      <w:r w:rsidR="00633670" w:rsidRPr="00260326">
        <w:rPr>
          <w:rFonts w:eastAsia="Times New Roman" w:cs="Arial"/>
          <w:szCs w:val="20"/>
        </w:rPr>
        <w:t xml:space="preserve"> to insert a new clause 2.4(h) into the PLPs so that </w:t>
      </w:r>
      <w:proofErr w:type="spellStart"/>
      <w:r w:rsidR="00633670" w:rsidRPr="00260326">
        <w:rPr>
          <w:rFonts w:eastAsia="Times New Roman" w:cs="Arial"/>
          <w:szCs w:val="20"/>
        </w:rPr>
        <w:t>Viterra</w:t>
      </w:r>
      <w:proofErr w:type="spellEnd"/>
      <w:r w:rsidR="00633670" w:rsidRPr="00260326">
        <w:rPr>
          <w:rFonts w:eastAsia="Times New Roman" w:cs="Arial"/>
          <w:szCs w:val="20"/>
        </w:rPr>
        <w:t>, acting reasonably, may reject the booking form, or cancel the booking</w:t>
      </w:r>
      <w:r w:rsidR="005F7020">
        <w:rPr>
          <w:rFonts w:eastAsia="Times New Roman" w:cs="Arial"/>
          <w:szCs w:val="20"/>
        </w:rPr>
        <w:t>,</w:t>
      </w:r>
      <w:r w:rsidR="00633670" w:rsidRPr="00260326">
        <w:rPr>
          <w:rFonts w:eastAsia="Times New Roman" w:cs="Arial"/>
          <w:szCs w:val="20"/>
        </w:rPr>
        <w:t xml:space="preserve"> if it considers that the booking is not genuinely required for use by that exporter.</w:t>
      </w:r>
      <w:r w:rsidR="004C5C36">
        <w:rPr>
          <w:rFonts w:eastAsia="Times New Roman" w:cs="Arial"/>
          <w:szCs w:val="20"/>
        </w:rPr>
        <w:t xml:space="preserve"> </w:t>
      </w:r>
    </w:p>
    <w:p w:rsidR="00633670" w:rsidRPr="00260326" w:rsidRDefault="00633670" w:rsidP="00633670">
      <w:pPr>
        <w:rPr>
          <w:rFonts w:eastAsia="Times New Roman" w:cs="Arial"/>
          <w:szCs w:val="20"/>
        </w:rPr>
      </w:pPr>
      <w:r w:rsidRPr="00260326">
        <w:rPr>
          <w:rFonts w:eastAsia="Times New Roman" w:cs="Arial"/>
          <w:szCs w:val="20"/>
        </w:rPr>
        <w:lastRenderedPageBreak/>
        <w:t>The propose</w:t>
      </w:r>
      <w:r w:rsidR="00064EF2">
        <w:rPr>
          <w:rFonts w:eastAsia="Times New Roman" w:cs="Arial"/>
          <w:szCs w:val="20"/>
        </w:rPr>
        <w:t>d</w:t>
      </w:r>
      <w:r w:rsidRPr="00260326">
        <w:rPr>
          <w:rFonts w:eastAsia="Times New Roman" w:cs="Arial"/>
          <w:szCs w:val="20"/>
        </w:rPr>
        <w:t xml:space="preserve"> clause provides:</w:t>
      </w:r>
    </w:p>
    <w:p w:rsidR="00633670" w:rsidRPr="00260326" w:rsidRDefault="00633670" w:rsidP="000F6832">
      <w:pPr>
        <w:numPr>
          <w:ilvl w:val="0"/>
          <w:numId w:val="20"/>
        </w:numPr>
        <w:rPr>
          <w:rFonts w:eastAsia="Times New Roman" w:cs="Arial"/>
          <w:sz w:val="18"/>
          <w:szCs w:val="18"/>
        </w:rPr>
      </w:pPr>
      <w:r w:rsidRPr="00260326">
        <w:rPr>
          <w:rFonts w:eastAsia="Times New Roman" w:cs="Arial"/>
          <w:sz w:val="18"/>
          <w:szCs w:val="18"/>
        </w:rPr>
        <w:t xml:space="preserve">If </w:t>
      </w:r>
      <w:proofErr w:type="spellStart"/>
      <w:r w:rsidRPr="00260326">
        <w:rPr>
          <w:rFonts w:eastAsia="Times New Roman" w:cs="Arial"/>
          <w:sz w:val="18"/>
          <w:szCs w:val="18"/>
        </w:rPr>
        <w:t>Viterra</w:t>
      </w:r>
      <w:proofErr w:type="spellEnd"/>
      <w:r w:rsidRPr="00260326">
        <w:rPr>
          <w:rFonts w:eastAsia="Times New Roman" w:cs="Arial"/>
          <w:sz w:val="18"/>
          <w:szCs w:val="18"/>
        </w:rPr>
        <w:t xml:space="preserve"> Operations considers, acting reasonably, that:</w:t>
      </w:r>
    </w:p>
    <w:p w:rsidR="00633670" w:rsidRPr="00260326" w:rsidRDefault="00633670" w:rsidP="00633670">
      <w:pPr>
        <w:numPr>
          <w:ilvl w:val="5"/>
          <w:numId w:val="1"/>
        </w:numPr>
        <w:rPr>
          <w:rFonts w:eastAsia="Times New Roman" w:cs="Arial"/>
          <w:sz w:val="18"/>
          <w:szCs w:val="18"/>
        </w:rPr>
      </w:pPr>
      <w:r w:rsidRPr="00260326">
        <w:rPr>
          <w:rFonts w:eastAsia="Times New Roman" w:cs="Arial"/>
          <w:sz w:val="18"/>
          <w:szCs w:val="18"/>
        </w:rPr>
        <w:t>a Booking form for Unallocated Capacity it receives from a Client within 2 Business Days of that capacity becoming availabl</w:t>
      </w:r>
      <w:r>
        <w:rPr>
          <w:rFonts w:eastAsia="Times New Roman" w:cs="Arial"/>
          <w:sz w:val="18"/>
          <w:szCs w:val="18"/>
        </w:rPr>
        <w:t>e f</w:t>
      </w:r>
      <w:r w:rsidRPr="00260326">
        <w:rPr>
          <w:rFonts w:eastAsia="Times New Roman" w:cs="Arial"/>
          <w:sz w:val="18"/>
          <w:szCs w:val="18"/>
        </w:rPr>
        <w:t>o</w:t>
      </w:r>
      <w:r>
        <w:rPr>
          <w:rFonts w:eastAsia="Times New Roman" w:cs="Arial"/>
          <w:sz w:val="18"/>
          <w:szCs w:val="18"/>
        </w:rPr>
        <w:t>r</w:t>
      </w:r>
      <w:r w:rsidRPr="00260326">
        <w:rPr>
          <w:rFonts w:eastAsia="Times New Roman" w:cs="Arial"/>
          <w:sz w:val="18"/>
          <w:szCs w:val="18"/>
        </w:rPr>
        <w:t xml:space="preserve"> booking on a first-in-first-served basis following an Auction is not genuinely required for use by that Client; and</w:t>
      </w:r>
    </w:p>
    <w:p w:rsidR="00633670" w:rsidRPr="00260326" w:rsidRDefault="00633670" w:rsidP="00633670">
      <w:pPr>
        <w:numPr>
          <w:ilvl w:val="5"/>
          <w:numId w:val="1"/>
        </w:numPr>
        <w:rPr>
          <w:rFonts w:eastAsia="Times New Roman" w:cs="Arial"/>
          <w:sz w:val="18"/>
          <w:szCs w:val="18"/>
        </w:rPr>
      </w:pPr>
      <w:r w:rsidRPr="00260326">
        <w:rPr>
          <w:rFonts w:eastAsia="Times New Roman" w:cs="Arial"/>
          <w:sz w:val="18"/>
          <w:szCs w:val="18"/>
        </w:rPr>
        <w:t>the Client has been engaged by another person to submit the Booking Form on that person’s behalf for the purpose of circumventing the restrictions in clause 2.4(g) above,</w:t>
      </w:r>
    </w:p>
    <w:p w:rsidR="00633670" w:rsidRPr="00260326" w:rsidRDefault="00633670" w:rsidP="00633670">
      <w:pPr>
        <w:ind w:left="720"/>
        <w:rPr>
          <w:rFonts w:eastAsia="Times New Roman" w:cs="Arial"/>
          <w:sz w:val="18"/>
          <w:szCs w:val="18"/>
        </w:rPr>
      </w:pPr>
      <w:proofErr w:type="spellStart"/>
      <w:r w:rsidRPr="00260326">
        <w:rPr>
          <w:rFonts w:eastAsia="Times New Roman" w:cs="Arial"/>
          <w:sz w:val="18"/>
          <w:szCs w:val="18"/>
        </w:rPr>
        <w:t>Viterra</w:t>
      </w:r>
      <w:proofErr w:type="spellEnd"/>
      <w:r w:rsidRPr="00260326">
        <w:rPr>
          <w:rFonts w:eastAsia="Times New Roman" w:cs="Arial"/>
          <w:sz w:val="18"/>
          <w:szCs w:val="18"/>
        </w:rPr>
        <w:t xml:space="preserve"> Operations may (either before or after accepting the Booking Form) reject the Booking Form or cancel the Client’s Booking (or the Transferee’s Booking if the Client has already transferred the Booking in accordance with clause 9) as the case requires. Any disputes will be resolved in accordance with clause 12.</w:t>
      </w:r>
    </w:p>
    <w:p w:rsidR="00633670" w:rsidRPr="00517047" w:rsidRDefault="00633670" w:rsidP="000F6832">
      <w:pPr>
        <w:numPr>
          <w:ilvl w:val="3"/>
          <w:numId w:val="25"/>
        </w:numPr>
        <w:spacing w:before="120" w:after="120"/>
        <w:rPr>
          <w:rFonts w:ascii="Lucida Fax" w:eastAsiaTheme="majorEastAsia" w:hAnsi="Lucida Fax" w:cstheme="majorBidi"/>
          <w:bCs/>
          <w:sz w:val="24"/>
          <w:szCs w:val="28"/>
        </w:rPr>
      </w:pPr>
      <w:proofErr w:type="spellStart"/>
      <w:r w:rsidRPr="00517047">
        <w:rPr>
          <w:rFonts w:ascii="Lucida Fax" w:eastAsiaTheme="majorEastAsia" w:hAnsi="Lucida Fax" w:cstheme="majorBidi"/>
          <w:bCs/>
          <w:sz w:val="24"/>
          <w:szCs w:val="28"/>
        </w:rPr>
        <w:t>Viterra’s</w:t>
      </w:r>
      <w:proofErr w:type="spellEnd"/>
      <w:r w:rsidRPr="00517047">
        <w:rPr>
          <w:rFonts w:ascii="Lucida Fax" w:eastAsiaTheme="majorEastAsia" w:hAnsi="Lucida Fax" w:cstheme="majorBidi"/>
          <w:bCs/>
          <w:sz w:val="24"/>
          <w:szCs w:val="28"/>
        </w:rPr>
        <w:t xml:space="preserve"> supporting submissions </w:t>
      </w:r>
    </w:p>
    <w:p w:rsidR="00633670" w:rsidRPr="00260326" w:rsidRDefault="00633670" w:rsidP="00633670">
      <w:pPr>
        <w:rPr>
          <w:rFonts w:eastAsia="Times New Roman" w:cs="Arial"/>
          <w:szCs w:val="20"/>
        </w:rPr>
      </w:pPr>
      <w:r w:rsidRPr="00260326">
        <w:rPr>
          <w:rFonts w:eastAsia="Times New Roman" w:cs="Arial"/>
          <w:szCs w:val="20"/>
        </w:rPr>
        <w:t>In suppor</w:t>
      </w:r>
      <w:r w:rsidR="007B3BB1">
        <w:rPr>
          <w:rFonts w:eastAsia="Times New Roman" w:cs="Arial"/>
          <w:szCs w:val="20"/>
        </w:rPr>
        <w:t xml:space="preserve">t of this variation </w:t>
      </w:r>
      <w:proofErr w:type="spellStart"/>
      <w:r w:rsidR="007B3BB1">
        <w:rPr>
          <w:rFonts w:eastAsia="Times New Roman" w:cs="Arial"/>
          <w:szCs w:val="20"/>
        </w:rPr>
        <w:t>Viterra</w:t>
      </w:r>
      <w:proofErr w:type="spellEnd"/>
      <w:r w:rsidR="007B3BB1">
        <w:rPr>
          <w:rFonts w:eastAsia="Times New Roman" w:cs="Arial"/>
          <w:szCs w:val="20"/>
        </w:rPr>
        <w:t xml:space="preserve"> </w:t>
      </w:r>
      <w:r w:rsidR="00855125">
        <w:rPr>
          <w:rFonts w:eastAsia="Times New Roman" w:cs="Arial"/>
          <w:szCs w:val="20"/>
        </w:rPr>
        <w:t>submitted</w:t>
      </w:r>
      <w:r w:rsidRPr="00260326">
        <w:rPr>
          <w:rFonts w:eastAsia="Times New Roman" w:cs="Arial"/>
          <w:szCs w:val="20"/>
        </w:rPr>
        <w:t>:</w:t>
      </w:r>
    </w:p>
    <w:p w:rsidR="00633670" w:rsidRPr="00260326" w:rsidRDefault="00633670" w:rsidP="00633670">
      <w:pPr>
        <w:ind w:left="720"/>
        <w:rPr>
          <w:rFonts w:eastAsia="Times New Roman" w:cs="Arial"/>
          <w:sz w:val="18"/>
          <w:szCs w:val="18"/>
          <w:lang w:eastAsia="en-AU"/>
        </w:rPr>
      </w:pPr>
      <w:r w:rsidRPr="00260326">
        <w:rPr>
          <w:rFonts w:eastAsia="Times New Roman" w:cs="Arial"/>
          <w:sz w:val="18"/>
          <w:szCs w:val="18"/>
          <w:lang w:eastAsia="en-AU"/>
        </w:rPr>
        <w:t>The intent of clause 2.4(g) is that Clients and their Associated Entities should only be able to make one booking each half hour period during the two Business Days imme</w:t>
      </w:r>
      <w:r w:rsidR="004C5C36">
        <w:rPr>
          <w:rFonts w:eastAsia="Times New Roman" w:cs="Arial"/>
          <w:sz w:val="18"/>
          <w:szCs w:val="18"/>
          <w:lang w:eastAsia="en-AU"/>
        </w:rPr>
        <w:t xml:space="preserve">diately following any auction. </w:t>
      </w:r>
      <w:r w:rsidRPr="00260326">
        <w:rPr>
          <w:rFonts w:eastAsia="Times New Roman" w:cs="Arial"/>
          <w:sz w:val="18"/>
          <w:szCs w:val="18"/>
          <w:lang w:eastAsia="en-AU"/>
        </w:rPr>
        <w:t xml:space="preserve">To reduce the potential for Clients to circumvent this intention by engaging third party “agents” to acquire capacity on their behalf, </w:t>
      </w:r>
      <w:proofErr w:type="spellStart"/>
      <w:r w:rsidRPr="00260326">
        <w:rPr>
          <w:rFonts w:eastAsia="Times New Roman" w:cs="Arial"/>
          <w:sz w:val="18"/>
          <w:szCs w:val="18"/>
          <w:lang w:eastAsia="en-AU"/>
        </w:rPr>
        <w:t>Viterra</w:t>
      </w:r>
      <w:proofErr w:type="spellEnd"/>
      <w:r w:rsidRPr="00260326">
        <w:rPr>
          <w:rFonts w:eastAsia="Times New Roman" w:cs="Arial"/>
          <w:sz w:val="18"/>
          <w:szCs w:val="18"/>
          <w:lang w:eastAsia="en-AU"/>
        </w:rPr>
        <w:t xml:space="preserve"> Operations proposes to insert a new clause that enables it to reject any booking that it considers (acting reasonably) may have been made for this purpose.</w:t>
      </w:r>
    </w:p>
    <w:p w:rsidR="00633670" w:rsidRPr="00260326" w:rsidRDefault="00633670" w:rsidP="00633670">
      <w:pPr>
        <w:ind w:left="720"/>
        <w:rPr>
          <w:rFonts w:eastAsia="Times New Roman" w:cs="Arial"/>
          <w:sz w:val="18"/>
          <w:szCs w:val="18"/>
          <w:lang w:eastAsia="en-AU"/>
        </w:rPr>
      </w:pPr>
      <w:proofErr w:type="spellStart"/>
      <w:r w:rsidRPr="00260326">
        <w:rPr>
          <w:rFonts w:eastAsia="Times New Roman" w:cs="Arial"/>
          <w:sz w:val="18"/>
          <w:szCs w:val="18"/>
          <w:lang w:eastAsia="en-AU"/>
        </w:rPr>
        <w:t>Viterra</w:t>
      </w:r>
      <w:proofErr w:type="spellEnd"/>
      <w:r w:rsidRPr="00260326">
        <w:rPr>
          <w:rFonts w:eastAsia="Times New Roman" w:cs="Arial"/>
          <w:sz w:val="18"/>
          <w:szCs w:val="18"/>
          <w:lang w:eastAsia="en-AU"/>
        </w:rPr>
        <w:t xml:space="preserve"> Operations does not wish to prevent legitimate trading of Slots by exporter</w:t>
      </w:r>
      <w:r w:rsidR="004C5C36">
        <w:rPr>
          <w:rFonts w:eastAsia="Times New Roman" w:cs="Arial"/>
          <w:sz w:val="18"/>
          <w:szCs w:val="18"/>
          <w:lang w:eastAsia="en-AU"/>
        </w:rPr>
        <w:t xml:space="preserve">s. </w:t>
      </w:r>
      <w:r w:rsidRPr="00260326">
        <w:rPr>
          <w:rFonts w:eastAsia="Times New Roman" w:cs="Arial"/>
          <w:sz w:val="18"/>
          <w:szCs w:val="18"/>
          <w:lang w:eastAsia="en-AU"/>
        </w:rPr>
        <w:t>However, it is important that Clients cannot circumvent the intention of</w:t>
      </w:r>
      <w:r w:rsidR="004C5C36">
        <w:rPr>
          <w:rFonts w:eastAsia="Times New Roman" w:cs="Arial"/>
          <w:sz w:val="18"/>
          <w:szCs w:val="18"/>
          <w:lang w:eastAsia="en-AU"/>
        </w:rPr>
        <w:t xml:space="preserve"> clause 2.4(g) in this manner. </w:t>
      </w:r>
      <w:r w:rsidRPr="00260326">
        <w:rPr>
          <w:rFonts w:eastAsia="Times New Roman" w:cs="Arial"/>
          <w:sz w:val="18"/>
          <w:szCs w:val="18"/>
          <w:lang w:eastAsia="en-AU"/>
        </w:rPr>
        <w:t>Any disputes can be resolved in accordance with clause 12 of the Port Loading Protocols.</w:t>
      </w:r>
      <w:r w:rsidRPr="00260326">
        <w:rPr>
          <w:rFonts w:eastAsia="Times New Roman" w:cs="Arial"/>
          <w:sz w:val="18"/>
          <w:szCs w:val="18"/>
          <w:vertAlign w:val="superscript"/>
          <w:lang w:eastAsia="en-AU"/>
        </w:rPr>
        <w:footnoteReference w:id="52"/>
      </w:r>
    </w:p>
    <w:p w:rsidR="00633670" w:rsidRPr="00260326" w:rsidRDefault="00633670" w:rsidP="00633670">
      <w:pPr>
        <w:numPr>
          <w:ilvl w:val="3"/>
          <w:numId w:val="1"/>
        </w:numPr>
        <w:tabs>
          <w:tab w:val="num" w:pos="360"/>
        </w:tabs>
        <w:spacing w:before="120" w:after="120" w:line="276" w:lineRule="auto"/>
        <w:rPr>
          <w:rFonts w:ascii="Lucida Fax" w:eastAsiaTheme="majorEastAsia" w:hAnsi="Lucida Fax" w:cstheme="majorBidi"/>
          <w:bCs/>
          <w:sz w:val="24"/>
          <w:szCs w:val="28"/>
        </w:rPr>
      </w:pPr>
      <w:r w:rsidRPr="00260326">
        <w:rPr>
          <w:rFonts w:ascii="Lucida Fax" w:eastAsiaTheme="majorEastAsia" w:hAnsi="Lucida Fax" w:cstheme="majorBidi"/>
          <w:bCs/>
          <w:sz w:val="24"/>
          <w:szCs w:val="28"/>
        </w:rPr>
        <w:t>Stakeholders’ views</w:t>
      </w:r>
    </w:p>
    <w:p w:rsidR="00633670" w:rsidRPr="00260326" w:rsidRDefault="00633670" w:rsidP="00633670">
      <w:pPr>
        <w:spacing w:line="276" w:lineRule="auto"/>
        <w:rPr>
          <w:rFonts w:cs="Arial"/>
          <w:szCs w:val="20"/>
        </w:rPr>
      </w:pPr>
      <w:proofErr w:type="spellStart"/>
      <w:r w:rsidRPr="00260326">
        <w:rPr>
          <w:rFonts w:cs="Arial"/>
          <w:szCs w:val="20"/>
        </w:rPr>
        <w:t>Toep</w:t>
      </w:r>
      <w:r>
        <w:rPr>
          <w:rFonts w:cs="Arial"/>
          <w:szCs w:val="20"/>
        </w:rPr>
        <w:t>f</w:t>
      </w:r>
      <w:r w:rsidR="007B3BB1">
        <w:rPr>
          <w:rFonts w:cs="Arial"/>
          <w:szCs w:val="20"/>
        </w:rPr>
        <w:t>er</w:t>
      </w:r>
      <w:proofErr w:type="spellEnd"/>
      <w:r w:rsidR="007B3BB1">
        <w:rPr>
          <w:rFonts w:cs="Arial"/>
          <w:szCs w:val="20"/>
        </w:rPr>
        <w:t xml:space="preserve"> submitted</w:t>
      </w:r>
      <w:r w:rsidRPr="00260326">
        <w:rPr>
          <w:rFonts w:cs="Arial"/>
          <w:szCs w:val="20"/>
        </w:rPr>
        <w:t xml:space="preserve"> regarding the new clause 2.4(h) that:</w:t>
      </w:r>
    </w:p>
    <w:p w:rsidR="00633670" w:rsidRPr="00260326" w:rsidRDefault="00633670" w:rsidP="00633670">
      <w:pPr>
        <w:ind w:left="720"/>
        <w:rPr>
          <w:rFonts w:cs="Arial"/>
          <w:szCs w:val="20"/>
        </w:rPr>
      </w:pPr>
      <w:r w:rsidRPr="00260326">
        <w:rPr>
          <w:rFonts w:eastAsia="Times New Roman" w:cs="Arial"/>
          <w:bCs/>
          <w:sz w:val="18"/>
          <w:szCs w:val="18"/>
        </w:rPr>
        <w:t xml:space="preserve">Under the proposed variations, </w:t>
      </w:r>
      <w:proofErr w:type="spellStart"/>
      <w:r w:rsidRPr="00260326">
        <w:rPr>
          <w:rFonts w:eastAsia="Times New Roman" w:cs="Arial"/>
          <w:bCs/>
          <w:sz w:val="18"/>
          <w:szCs w:val="18"/>
        </w:rPr>
        <w:t>Viterra</w:t>
      </w:r>
      <w:proofErr w:type="spellEnd"/>
      <w:r w:rsidRPr="00260326">
        <w:rPr>
          <w:rFonts w:eastAsia="Times New Roman" w:cs="Arial"/>
          <w:bCs/>
          <w:sz w:val="18"/>
          <w:szCs w:val="18"/>
        </w:rPr>
        <w:t xml:space="preserve"> have proposed the inclusion of where acting reasonably they can cancel or reject a booking if it considers that the booking is not genuinely required for use by the exporter. If the primary method of allocating shipping capacity is effectively functioning, then the potential for participants to manipulate the secondary allocator will be non-existent. The discretionary application of the rejection where acting reasonable is a subjective assessment. Under the Port Loading Protocols the dispute mechanisms final ruling reverts to the General Manager Storage and </w:t>
      </w:r>
      <w:proofErr w:type="gramStart"/>
      <w:r w:rsidRPr="00260326">
        <w:rPr>
          <w:rFonts w:eastAsia="Times New Roman" w:cs="Arial"/>
          <w:bCs/>
          <w:sz w:val="18"/>
          <w:szCs w:val="18"/>
        </w:rPr>
        <w:t>Handling</w:t>
      </w:r>
      <w:proofErr w:type="gramEnd"/>
      <w:r w:rsidRPr="00260326">
        <w:rPr>
          <w:rFonts w:eastAsia="Times New Roman" w:cs="Arial"/>
          <w:bCs/>
          <w:sz w:val="18"/>
          <w:szCs w:val="18"/>
        </w:rPr>
        <w:t xml:space="preserve">, this could ultimately result in a conflict of interest. </w:t>
      </w:r>
      <w:proofErr w:type="spellStart"/>
      <w:r w:rsidRPr="00260326">
        <w:rPr>
          <w:rFonts w:eastAsia="Times New Roman" w:cs="Arial"/>
          <w:bCs/>
          <w:sz w:val="18"/>
          <w:szCs w:val="18"/>
        </w:rPr>
        <w:t>Toepfer</w:t>
      </w:r>
      <w:proofErr w:type="spellEnd"/>
      <w:r w:rsidRPr="00260326">
        <w:rPr>
          <w:rFonts w:eastAsia="Times New Roman" w:cs="Arial"/>
          <w:bCs/>
          <w:sz w:val="18"/>
          <w:szCs w:val="18"/>
        </w:rPr>
        <w:t xml:space="preserve"> would propose the incorporation of an independent body within any such dispute to negate any concerns. Regardless all sized trade participants should not be prohibited from participating, if at the time of offering they value the capacity.</w:t>
      </w:r>
      <w:r w:rsidRPr="00260326">
        <w:rPr>
          <w:rFonts w:eastAsia="Times New Roman" w:cs="Arial"/>
          <w:bCs/>
          <w:szCs w:val="18"/>
          <w:vertAlign w:val="superscript"/>
        </w:rPr>
        <w:footnoteReference w:id="53"/>
      </w:r>
    </w:p>
    <w:p w:rsidR="00633670" w:rsidRPr="00260326" w:rsidRDefault="00633670" w:rsidP="00633670">
      <w:pPr>
        <w:numPr>
          <w:ilvl w:val="3"/>
          <w:numId w:val="1"/>
        </w:numPr>
        <w:tabs>
          <w:tab w:val="num" w:pos="360"/>
        </w:tabs>
        <w:spacing w:before="120" w:after="120" w:line="276" w:lineRule="auto"/>
        <w:rPr>
          <w:rFonts w:ascii="Lucida Fax" w:eastAsiaTheme="majorEastAsia" w:hAnsi="Lucida Fax" w:cstheme="majorBidi"/>
          <w:bCs/>
          <w:sz w:val="24"/>
          <w:szCs w:val="28"/>
        </w:rPr>
      </w:pPr>
      <w:r w:rsidRPr="00260326">
        <w:rPr>
          <w:rFonts w:ascii="Lucida Fax" w:eastAsiaTheme="majorEastAsia" w:hAnsi="Lucida Fax" w:cstheme="majorBidi"/>
          <w:bCs/>
          <w:sz w:val="24"/>
          <w:szCs w:val="28"/>
        </w:rPr>
        <w:t>The ACCC’s view</w:t>
      </w:r>
    </w:p>
    <w:p w:rsidR="00633670" w:rsidRPr="00260326" w:rsidRDefault="00633670" w:rsidP="00633670">
      <w:pPr>
        <w:spacing w:before="240"/>
        <w:rPr>
          <w:rFonts w:eastAsia="Times New Roman" w:cs="Arial"/>
          <w:bCs/>
          <w:szCs w:val="20"/>
        </w:rPr>
      </w:pPr>
      <w:r w:rsidRPr="00260326">
        <w:rPr>
          <w:rFonts w:eastAsia="Times New Roman" w:cs="Arial"/>
          <w:bCs/>
          <w:szCs w:val="20"/>
        </w:rPr>
        <w:t xml:space="preserve">The ACCC considers that the transferability of slots provides for increased efficiency across the </w:t>
      </w:r>
      <w:proofErr w:type="spellStart"/>
      <w:r w:rsidRPr="00260326">
        <w:rPr>
          <w:rFonts w:eastAsia="Times New Roman" w:cs="Arial"/>
          <w:bCs/>
          <w:szCs w:val="20"/>
        </w:rPr>
        <w:t>Viterra</w:t>
      </w:r>
      <w:proofErr w:type="spellEnd"/>
      <w:r w:rsidRPr="00260326">
        <w:rPr>
          <w:rFonts w:eastAsia="Times New Roman" w:cs="Arial"/>
          <w:bCs/>
          <w:szCs w:val="20"/>
        </w:rPr>
        <w:t xml:space="preserve"> system. Transferability of slots ensures that where an exporter is not able to execute booked capacity, that capacity can be transferred to a party who values it and may execute it. This process contributes to the efficient use</w:t>
      </w:r>
      <w:r w:rsidR="004C5C36">
        <w:rPr>
          <w:rFonts w:eastAsia="Times New Roman" w:cs="Arial"/>
          <w:bCs/>
          <w:szCs w:val="20"/>
        </w:rPr>
        <w:t xml:space="preserve"> of capacity at port terminals.</w:t>
      </w:r>
      <w:r w:rsidRPr="00260326">
        <w:rPr>
          <w:rFonts w:eastAsia="Times New Roman" w:cs="Arial"/>
          <w:bCs/>
          <w:szCs w:val="20"/>
        </w:rPr>
        <w:t xml:space="preserve"> In addition, the discretion to prevent the circumvention of FIFS booking rules also encourages the use of the more </w:t>
      </w:r>
      <w:proofErr w:type="spellStart"/>
      <w:r w:rsidRPr="00260326">
        <w:rPr>
          <w:rFonts w:eastAsia="Times New Roman" w:cs="Arial"/>
          <w:bCs/>
          <w:szCs w:val="20"/>
        </w:rPr>
        <w:t>allocatively</w:t>
      </w:r>
      <w:proofErr w:type="spellEnd"/>
      <w:r w:rsidRPr="00260326">
        <w:rPr>
          <w:rFonts w:eastAsia="Times New Roman" w:cs="Arial"/>
          <w:bCs/>
          <w:szCs w:val="20"/>
        </w:rPr>
        <w:t xml:space="preserve"> efficient auction system. The ACCC considers that capacity allocated through an auction system is allocated to the exporter that values it most. This is consistent with the first objective of Part IIIA.</w:t>
      </w:r>
    </w:p>
    <w:p w:rsidR="00633670" w:rsidRPr="00260326" w:rsidRDefault="00633670" w:rsidP="00633670">
      <w:pPr>
        <w:spacing w:before="240"/>
        <w:rPr>
          <w:rFonts w:eastAsia="Times New Roman" w:cs="Arial"/>
          <w:bCs/>
          <w:szCs w:val="20"/>
        </w:rPr>
      </w:pPr>
      <w:r w:rsidRPr="00260326">
        <w:rPr>
          <w:rFonts w:eastAsia="Times New Roman" w:cs="Arial"/>
          <w:bCs/>
          <w:szCs w:val="20"/>
        </w:rPr>
        <w:lastRenderedPageBreak/>
        <w:t>For this reason the ACCC considers that a discretion to reject bookings where a customer has made a booking in circumvention of the FIFS rules to be generally appropriate, having regard to the matters set out in subs</w:t>
      </w:r>
      <w:r>
        <w:rPr>
          <w:rFonts w:eastAsia="Times New Roman" w:cs="Arial"/>
          <w:bCs/>
          <w:szCs w:val="20"/>
        </w:rPr>
        <w:t>ection</w:t>
      </w:r>
      <w:r w:rsidRPr="00260326">
        <w:rPr>
          <w:rFonts w:eastAsia="Times New Roman" w:cs="Arial"/>
          <w:bCs/>
          <w:szCs w:val="20"/>
        </w:rPr>
        <w:t xml:space="preserve"> 44ZZA(3) of the CCA. </w:t>
      </w:r>
    </w:p>
    <w:p w:rsidR="00633670" w:rsidRPr="00260326" w:rsidRDefault="00633670" w:rsidP="00633670">
      <w:pPr>
        <w:spacing w:before="240"/>
        <w:rPr>
          <w:rFonts w:eastAsia="Times New Roman" w:cs="Arial"/>
          <w:bCs/>
          <w:szCs w:val="20"/>
        </w:rPr>
      </w:pPr>
      <w:r w:rsidRPr="00260326">
        <w:rPr>
          <w:rFonts w:eastAsia="Times New Roman" w:cs="Arial"/>
          <w:bCs/>
          <w:szCs w:val="20"/>
        </w:rPr>
        <w:t xml:space="preserve">Specifically, the ACCC considers that </w:t>
      </w:r>
      <w:proofErr w:type="spellStart"/>
      <w:r w:rsidRPr="00260326">
        <w:rPr>
          <w:rFonts w:eastAsia="Times New Roman" w:cs="Arial"/>
          <w:bCs/>
          <w:szCs w:val="20"/>
        </w:rPr>
        <w:t>Viterra’s</w:t>
      </w:r>
      <w:proofErr w:type="spellEnd"/>
      <w:r w:rsidRPr="00260326">
        <w:rPr>
          <w:rFonts w:eastAsia="Times New Roman" w:cs="Arial"/>
          <w:bCs/>
          <w:szCs w:val="20"/>
        </w:rPr>
        <w:t xml:space="preserve"> proposed discretion under 2.4(h) to, acting reasonably, reject or cancel a booking where a customer has or has attempted to circumvent FIFS booking rules, is in the legitimate business interests of </w:t>
      </w:r>
      <w:proofErr w:type="spellStart"/>
      <w:r w:rsidRPr="00260326">
        <w:rPr>
          <w:rFonts w:eastAsia="Times New Roman" w:cs="Arial"/>
          <w:bCs/>
          <w:szCs w:val="20"/>
        </w:rPr>
        <w:t>Viterra</w:t>
      </w:r>
      <w:proofErr w:type="spellEnd"/>
      <w:r w:rsidRPr="00260326">
        <w:rPr>
          <w:rFonts w:eastAsia="Times New Roman" w:cs="Arial"/>
          <w:bCs/>
          <w:szCs w:val="20"/>
        </w:rPr>
        <w:t xml:space="preserve"> in maintaining the integrity of its capacity allocation system, having regard to subs</w:t>
      </w:r>
      <w:r>
        <w:rPr>
          <w:rFonts w:eastAsia="Times New Roman" w:cs="Arial"/>
          <w:bCs/>
          <w:szCs w:val="20"/>
        </w:rPr>
        <w:t>ection</w:t>
      </w:r>
      <w:r w:rsidRPr="00260326">
        <w:rPr>
          <w:rFonts w:eastAsia="Times New Roman" w:cs="Arial"/>
          <w:bCs/>
          <w:szCs w:val="20"/>
        </w:rPr>
        <w:t xml:space="preserve"> 44ZZA(3)(a) of the CCA.</w:t>
      </w:r>
      <w:r w:rsidR="004C5C36">
        <w:rPr>
          <w:rFonts w:eastAsia="Times New Roman" w:cs="Arial"/>
          <w:bCs/>
          <w:szCs w:val="20"/>
        </w:rPr>
        <w:t xml:space="preserve"> </w:t>
      </w:r>
      <w:r w:rsidRPr="00260326">
        <w:rPr>
          <w:rFonts w:eastAsia="Times New Roman" w:cs="Arial"/>
          <w:bCs/>
          <w:szCs w:val="20"/>
        </w:rPr>
        <w:t xml:space="preserve"> </w:t>
      </w:r>
    </w:p>
    <w:p w:rsidR="00633670" w:rsidRPr="00260326" w:rsidRDefault="00633670" w:rsidP="00633670">
      <w:pPr>
        <w:spacing w:before="240"/>
        <w:rPr>
          <w:rFonts w:eastAsia="Times New Roman" w:cs="Arial"/>
          <w:bCs/>
          <w:szCs w:val="20"/>
        </w:rPr>
      </w:pPr>
      <w:r w:rsidRPr="00260326">
        <w:rPr>
          <w:rFonts w:eastAsia="Times New Roman" w:cs="Arial"/>
          <w:bCs/>
          <w:szCs w:val="20"/>
        </w:rPr>
        <w:t>Such arrangements are also in the interests of access seekers by ensuring that the same opportunity to acquire capacity exists for all exporters, and not only those exporters who are able to create agency arrangements.</w:t>
      </w:r>
    </w:p>
    <w:p w:rsidR="00633670" w:rsidRPr="00260326" w:rsidRDefault="00633670" w:rsidP="007B3BB1">
      <w:pPr>
        <w:rPr>
          <w:rFonts w:cs="Arial"/>
          <w:szCs w:val="20"/>
          <w:lang w:eastAsia="en-AU"/>
        </w:rPr>
      </w:pPr>
      <w:r w:rsidRPr="00260326">
        <w:rPr>
          <w:rFonts w:cs="Arial"/>
          <w:szCs w:val="20"/>
          <w:lang w:eastAsia="en-AU"/>
        </w:rPr>
        <w:t xml:space="preserve">In relation to </w:t>
      </w:r>
      <w:proofErr w:type="spellStart"/>
      <w:r w:rsidRPr="00260326">
        <w:rPr>
          <w:rFonts w:cs="Arial"/>
          <w:szCs w:val="20"/>
          <w:lang w:eastAsia="en-AU"/>
        </w:rPr>
        <w:t>To</w:t>
      </w:r>
      <w:r>
        <w:rPr>
          <w:rFonts w:cs="Arial"/>
          <w:szCs w:val="20"/>
          <w:lang w:eastAsia="en-AU"/>
        </w:rPr>
        <w:t>e</w:t>
      </w:r>
      <w:r w:rsidRPr="00260326">
        <w:rPr>
          <w:rFonts w:cs="Arial"/>
          <w:szCs w:val="20"/>
          <w:lang w:eastAsia="en-AU"/>
        </w:rPr>
        <w:t>pfer’s</w:t>
      </w:r>
      <w:proofErr w:type="spellEnd"/>
      <w:r w:rsidRPr="00260326">
        <w:rPr>
          <w:rFonts w:cs="Arial"/>
          <w:szCs w:val="20"/>
          <w:lang w:eastAsia="en-AU"/>
        </w:rPr>
        <w:t xml:space="preserve"> submitted concern regarding the dispute resolution procedure that would apply in the event that an access seeker disputes </w:t>
      </w:r>
      <w:proofErr w:type="spellStart"/>
      <w:r w:rsidRPr="00260326">
        <w:rPr>
          <w:rFonts w:cs="Arial"/>
          <w:szCs w:val="20"/>
          <w:lang w:eastAsia="en-AU"/>
        </w:rPr>
        <w:t>Viterra’s</w:t>
      </w:r>
      <w:proofErr w:type="spellEnd"/>
      <w:r w:rsidRPr="00260326">
        <w:rPr>
          <w:rFonts w:cs="Arial"/>
          <w:szCs w:val="20"/>
          <w:lang w:eastAsia="en-AU"/>
        </w:rPr>
        <w:t xml:space="preserve"> invalidation of a booking, the ACCC notes that the discretion could be potentially exercised by </w:t>
      </w:r>
      <w:proofErr w:type="spellStart"/>
      <w:r w:rsidRPr="00260326">
        <w:rPr>
          <w:rFonts w:cs="Arial"/>
          <w:szCs w:val="20"/>
          <w:lang w:eastAsia="en-AU"/>
        </w:rPr>
        <w:t>Viterra</w:t>
      </w:r>
      <w:proofErr w:type="spellEnd"/>
      <w:r w:rsidRPr="00260326">
        <w:rPr>
          <w:rFonts w:cs="Arial"/>
          <w:szCs w:val="20"/>
          <w:lang w:eastAsia="en-AU"/>
        </w:rPr>
        <w:t xml:space="preserve"> against the interests of exporters by blocking valid transfers of capacity. However the ACCC notes that </w:t>
      </w:r>
      <w:proofErr w:type="spellStart"/>
      <w:r w:rsidRPr="00260326">
        <w:rPr>
          <w:rFonts w:cs="Arial"/>
          <w:szCs w:val="20"/>
          <w:lang w:eastAsia="en-AU"/>
        </w:rPr>
        <w:t>Viterra</w:t>
      </w:r>
      <w:proofErr w:type="spellEnd"/>
      <w:r w:rsidRPr="00260326">
        <w:rPr>
          <w:rFonts w:cs="Arial"/>
          <w:szCs w:val="20"/>
          <w:lang w:eastAsia="en-AU"/>
        </w:rPr>
        <w:t xml:space="preserve"> must exercise this discretion reasonably and in compliance with the non-discrimination and no hindering obligations placed on </w:t>
      </w:r>
      <w:proofErr w:type="spellStart"/>
      <w:r w:rsidRPr="00260326">
        <w:rPr>
          <w:rFonts w:cs="Arial"/>
          <w:szCs w:val="20"/>
          <w:lang w:eastAsia="en-AU"/>
        </w:rPr>
        <w:t>Viterra</w:t>
      </w:r>
      <w:proofErr w:type="spellEnd"/>
      <w:r w:rsidRPr="00260326">
        <w:rPr>
          <w:rFonts w:cs="Arial"/>
          <w:szCs w:val="20"/>
          <w:lang w:eastAsia="en-AU"/>
        </w:rPr>
        <w:t xml:space="preserve"> at clauses 5.5 and 9.</w:t>
      </w:r>
      <w:r>
        <w:rPr>
          <w:rFonts w:cs="Arial"/>
          <w:szCs w:val="20"/>
          <w:lang w:eastAsia="en-AU"/>
        </w:rPr>
        <w:t>7</w:t>
      </w:r>
      <w:r w:rsidRPr="00260326">
        <w:rPr>
          <w:rFonts w:cs="Arial"/>
          <w:szCs w:val="20"/>
          <w:lang w:eastAsia="en-AU"/>
        </w:rPr>
        <w:t xml:space="preserve"> of its 2011 Undertaking. </w:t>
      </w:r>
    </w:p>
    <w:p w:rsidR="00633670" w:rsidRPr="00260326" w:rsidRDefault="00633670" w:rsidP="00633670">
      <w:pPr>
        <w:rPr>
          <w:rFonts w:eastAsia="Times New Roman" w:cs="Arial"/>
          <w:bCs/>
          <w:szCs w:val="20"/>
        </w:rPr>
      </w:pPr>
      <w:r w:rsidRPr="00260326">
        <w:rPr>
          <w:rFonts w:eastAsia="Times New Roman" w:cs="Arial"/>
          <w:bCs/>
          <w:szCs w:val="20"/>
        </w:rPr>
        <w:t>In consideration of the above matte</w:t>
      </w:r>
      <w:r w:rsidR="007B3BB1">
        <w:rPr>
          <w:rFonts w:eastAsia="Times New Roman" w:cs="Arial"/>
          <w:bCs/>
          <w:szCs w:val="20"/>
        </w:rPr>
        <w:t xml:space="preserve">rs it is the ACCC’s </w:t>
      </w:r>
      <w:r w:rsidR="00FA08B9">
        <w:rPr>
          <w:rFonts w:eastAsia="Times New Roman" w:cs="Arial"/>
          <w:bCs/>
          <w:szCs w:val="20"/>
        </w:rPr>
        <w:t>decision</w:t>
      </w:r>
      <w:r w:rsidRPr="00260326">
        <w:rPr>
          <w:rFonts w:eastAsia="Times New Roman" w:cs="Arial"/>
          <w:bCs/>
          <w:szCs w:val="20"/>
        </w:rPr>
        <w:t xml:space="preserve"> to accept </w:t>
      </w:r>
      <w:proofErr w:type="spellStart"/>
      <w:r w:rsidRPr="00260326">
        <w:rPr>
          <w:rFonts w:eastAsia="Times New Roman" w:cs="Arial"/>
          <w:bCs/>
          <w:szCs w:val="20"/>
        </w:rPr>
        <w:t>Viterra’s</w:t>
      </w:r>
      <w:proofErr w:type="spellEnd"/>
      <w:r w:rsidRPr="00260326">
        <w:rPr>
          <w:rFonts w:eastAsia="Times New Roman" w:cs="Arial"/>
          <w:bCs/>
          <w:szCs w:val="20"/>
        </w:rPr>
        <w:t xml:space="preserve"> proposed clause 2.4(h) as appropriate, having regard to the matters set out in subs</w:t>
      </w:r>
      <w:r>
        <w:rPr>
          <w:rFonts w:eastAsia="Times New Roman" w:cs="Arial"/>
          <w:bCs/>
          <w:szCs w:val="20"/>
        </w:rPr>
        <w:t xml:space="preserve">ection </w:t>
      </w:r>
      <w:r w:rsidRPr="00260326">
        <w:rPr>
          <w:rFonts w:eastAsia="Times New Roman" w:cs="Arial"/>
          <w:bCs/>
          <w:szCs w:val="20"/>
        </w:rPr>
        <w:t>44ZZA(3) of the CCA.</w:t>
      </w:r>
      <w:r w:rsidR="004C5C36">
        <w:rPr>
          <w:rFonts w:eastAsia="Times New Roman" w:cs="Arial"/>
          <w:bCs/>
          <w:szCs w:val="20"/>
        </w:rPr>
        <w:t xml:space="preserve"> </w:t>
      </w:r>
    </w:p>
    <w:p w:rsidR="00633670" w:rsidRPr="000F2FB4" w:rsidRDefault="00633670" w:rsidP="000F2FB4">
      <w:pPr>
        <w:pStyle w:val="Numberedheading2"/>
      </w:pPr>
      <w:bookmarkStart w:id="26" w:name="_Toc378322941"/>
      <w:r w:rsidRPr="000F2FB4">
        <w:t>Tolerance</w:t>
      </w:r>
      <w:bookmarkEnd w:id="26"/>
    </w:p>
    <w:p w:rsidR="00633670" w:rsidRDefault="0074787B" w:rsidP="00633670">
      <w:pPr>
        <w:rPr>
          <w:rFonts w:cs="Arial"/>
          <w:szCs w:val="20"/>
        </w:rPr>
      </w:pPr>
      <w:proofErr w:type="gramStart"/>
      <w:r>
        <w:rPr>
          <w:rFonts w:cs="Arial"/>
          <w:szCs w:val="20"/>
        </w:rPr>
        <w:t xml:space="preserve">Clause 5.6 of </w:t>
      </w:r>
      <w:proofErr w:type="spellStart"/>
      <w:r>
        <w:rPr>
          <w:rFonts w:cs="Arial"/>
          <w:szCs w:val="20"/>
        </w:rPr>
        <w:t>Viterra’s</w:t>
      </w:r>
      <w:proofErr w:type="spellEnd"/>
      <w:r>
        <w:rPr>
          <w:rFonts w:cs="Arial"/>
          <w:szCs w:val="20"/>
        </w:rPr>
        <w:t xml:space="preserve"> PLPs contain</w:t>
      </w:r>
      <w:proofErr w:type="gramEnd"/>
      <w:r w:rsidR="00633670">
        <w:rPr>
          <w:rFonts w:cs="Arial"/>
          <w:szCs w:val="20"/>
        </w:rPr>
        <w:t xml:space="preserve"> a plus or minus ten per cent tolerance in respect of the execution of capacity acquired by clients. This tolerance level was included in </w:t>
      </w:r>
      <w:proofErr w:type="spellStart"/>
      <w:r w:rsidR="00633670">
        <w:rPr>
          <w:rFonts w:cs="Arial"/>
          <w:szCs w:val="20"/>
        </w:rPr>
        <w:t>Viterra’s</w:t>
      </w:r>
      <w:proofErr w:type="spellEnd"/>
      <w:r w:rsidR="00633670">
        <w:rPr>
          <w:rFonts w:cs="Arial"/>
          <w:szCs w:val="20"/>
        </w:rPr>
        <w:t xml:space="preserve"> 2011 Undertaking to provide </w:t>
      </w:r>
      <w:proofErr w:type="spellStart"/>
      <w:r w:rsidR="00633670">
        <w:rPr>
          <w:rFonts w:cs="Arial"/>
          <w:szCs w:val="20"/>
        </w:rPr>
        <w:t>Viterra</w:t>
      </w:r>
      <w:proofErr w:type="spellEnd"/>
      <w:r w:rsidR="00633670">
        <w:rPr>
          <w:rFonts w:cs="Arial"/>
          <w:szCs w:val="20"/>
        </w:rPr>
        <w:t xml:space="preserve"> and exporters with operational flexibility in accumulating cargo and loading vessels.</w:t>
      </w:r>
    </w:p>
    <w:p w:rsidR="00633670" w:rsidRPr="00737600" w:rsidRDefault="007B3BB1" w:rsidP="00633670">
      <w:pPr>
        <w:rPr>
          <w:rFonts w:eastAsia="Calibri" w:cs="Times New Roman"/>
        </w:rPr>
      </w:pPr>
      <w:proofErr w:type="spellStart"/>
      <w:r>
        <w:rPr>
          <w:rFonts w:eastAsia="Calibri" w:cs="Times New Roman"/>
        </w:rPr>
        <w:t>Viterra</w:t>
      </w:r>
      <w:proofErr w:type="spellEnd"/>
      <w:r>
        <w:rPr>
          <w:rFonts w:eastAsia="Calibri" w:cs="Times New Roman"/>
        </w:rPr>
        <w:t xml:space="preserve"> propose</w:t>
      </w:r>
      <w:r w:rsidR="00155A78">
        <w:rPr>
          <w:rFonts w:eastAsia="Calibri" w:cs="Times New Roman"/>
        </w:rPr>
        <w:t>s</w:t>
      </w:r>
      <w:r>
        <w:rPr>
          <w:rFonts w:eastAsia="Calibri" w:cs="Times New Roman"/>
        </w:rPr>
        <w:t xml:space="preserve"> to insert</w:t>
      </w:r>
      <w:r w:rsidR="00633670" w:rsidRPr="00737600">
        <w:rPr>
          <w:rFonts w:eastAsia="Calibri" w:cs="Times New Roman"/>
        </w:rPr>
        <w:t xml:space="preserve"> a provision that provides</w:t>
      </w:r>
      <w:r w:rsidR="00633670">
        <w:rPr>
          <w:rFonts w:eastAsia="Calibri" w:cs="Times New Roman"/>
        </w:rPr>
        <w:t xml:space="preserve"> an additional</w:t>
      </w:r>
      <w:r w:rsidR="00633670" w:rsidRPr="00737600">
        <w:rPr>
          <w:rFonts w:eastAsia="Calibri" w:cs="Times New Roman"/>
        </w:rPr>
        <w:t xml:space="preserve"> discretion in relation to the amount that a vessel may load over the stated capacity booked</w:t>
      </w:r>
      <w:r w:rsidR="00633670">
        <w:rPr>
          <w:rFonts w:eastAsia="Calibri" w:cs="Times New Roman"/>
        </w:rPr>
        <w:t xml:space="preserve">, and the existing </w:t>
      </w:r>
      <w:r w:rsidR="00633670" w:rsidRPr="00737600">
        <w:rPr>
          <w:rFonts w:eastAsia="Calibri" w:cs="Times New Roman"/>
        </w:rPr>
        <w:t>toleranc</w:t>
      </w:r>
      <w:r w:rsidR="00633670">
        <w:rPr>
          <w:rFonts w:eastAsia="Calibri" w:cs="Times New Roman"/>
        </w:rPr>
        <w:t>e provided for in clause 5.6(a).</w:t>
      </w:r>
      <w:r>
        <w:rPr>
          <w:rFonts w:eastAsia="Calibri" w:cs="Times New Roman"/>
        </w:rPr>
        <w:t xml:space="preserve"> </w:t>
      </w:r>
      <w:proofErr w:type="spellStart"/>
      <w:r>
        <w:rPr>
          <w:rFonts w:eastAsia="Calibri" w:cs="Times New Roman"/>
        </w:rPr>
        <w:t>Viterra’s</w:t>
      </w:r>
      <w:proofErr w:type="spellEnd"/>
      <w:r>
        <w:rPr>
          <w:rFonts w:eastAsia="Calibri" w:cs="Times New Roman"/>
        </w:rPr>
        <w:t xml:space="preserve"> </w:t>
      </w:r>
      <w:r w:rsidR="00633670" w:rsidRPr="00737600">
        <w:rPr>
          <w:rFonts w:eastAsia="Calibri" w:cs="Times New Roman"/>
        </w:rPr>
        <w:t>clause 5.6(b) states</w:t>
      </w:r>
      <w:r w:rsidR="00633670">
        <w:rPr>
          <w:rFonts w:eastAsia="Calibri" w:cs="Times New Roman"/>
        </w:rPr>
        <w:t>:</w:t>
      </w:r>
      <w:r w:rsidR="00633670" w:rsidRPr="00737600">
        <w:rPr>
          <w:rFonts w:eastAsia="Calibri" w:cs="Times New Roman"/>
        </w:rPr>
        <w:t xml:space="preserve"> </w:t>
      </w:r>
    </w:p>
    <w:p w:rsidR="00633670" w:rsidRPr="00737600" w:rsidRDefault="00633670" w:rsidP="00633670">
      <w:pPr>
        <w:ind w:left="720"/>
        <w:rPr>
          <w:rFonts w:eastAsia="Calibri" w:cs="Times New Roman"/>
          <w:sz w:val="18"/>
          <w:szCs w:val="18"/>
        </w:rPr>
      </w:pPr>
      <w:proofErr w:type="spellStart"/>
      <w:r w:rsidRPr="00737600">
        <w:rPr>
          <w:rFonts w:eastAsia="Calibri" w:cs="Times New Roman"/>
          <w:sz w:val="18"/>
          <w:szCs w:val="18"/>
        </w:rPr>
        <w:t>Viterra</w:t>
      </w:r>
      <w:proofErr w:type="spellEnd"/>
      <w:r w:rsidRPr="00737600">
        <w:rPr>
          <w:rFonts w:eastAsia="Calibri" w:cs="Times New Roman"/>
          <w:sz w:val="18"/>
          <w:szCs w:val="18"/>
        </w:rPr>
        <w:t xml:space="preserve"> Operations may, in its discretion and on a case-by-case basis, allow a vessel to load up to 1,000 tonnes in excess of the Capacity (plus tolerance) booked for that vessel. For the avoidance of doubt, this clause 5.6(b) does not entitle Clients to any additional tolerance in respect of the execution of Capacity. It is a discretion that </w:t>
      </w:r>
      <w:proofErr w:type="spellStart"/>
      <w:r w:rsidRPr="00737600">
        <w:rPr>
          <w:rFonts w:eastAsia="Calibri" w:cs="Times New Roman"/>
          <w:sz w:val="18"/>
          <w:szCs w:val="18"/>
        </w:rPr>
        <w:t>Viterra</w:t>
      </w:r>
      <w:proofErr w:type="spellEnd"/>
      <w:r w:rsidRPr="00737600">
        <w:rPr>
          <w:rFonts w:eastAsia="Calibri" w:cs="Times New Roman"/>
          <w:sz w:val="18"/>
          <w:szCs w:val="18"/>
        </w:rPr>
        <w:t xml:space="preserve"> Operations may exercise if it is necessary or desirable to facilitate the efficient or safe loading and departure of a vessel and/or the efficient operation of a Port Terminal</w:t>
      </w:r>
      <w:r>
        <w:rPr>
          <w:rFonts w:eastAsia="Calibri" w:cs="Times New Roman"/>
          <w:sz w:val="18"/>
          <w:szCs w:val="18"/>
        </w:rPr>
        <w:t>.</w:t>
      </w:r>
    </w:p>
    <w:p w:rsidR="00633670" w:rsidRPr="00C37FAE"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C37FAE">
        <w:rPr>
          <w:rFonts w:ascii="Lucida Fax" w:eastAsia="Times New Roman" w:hAnsi="Lucida Fax" w:cs="Times New Roman"/>
          <w:b/>
          <w:bCs/>
          <w:sz w:val="24"/>
          <w:szCs w:val="28"/>
        </w:rPr>
        <w:t>Viterra’s</w:t>
      </w:r>
      <w:proofErr w:type="spellEnd"/>
      <w:r w:rsidRPr="00C37FAE">
        <w:rPr>
          <w:rFonts w:ascii="Lucida Fax" w:eastAsia="Times New Roman" w:hAnsi="Lucida Fax" w:cs="Times New Roman"/>
          <w:b/>
          <w:bCs/>
          <w:sz w:val="24"/>
          <w:szCs w:val="28"/>
        </w:rPr>
        <w:t xml:space="preserve"> supporting submissions</w:t>
      </w:r>
    </w:p>
    <w:p w:rsidR="00633670" w:rsidRPr="00737600" w:rsidRDefault="007B3BB1" w:rsidP="00633670">
      <w:pPr>
        <w:rPr>
          <w:rFonts w:cs="Arial"/>
          <w:szCs w:val="20"/>
        </w:rPr>
      </w:pPr>
      <w:proofErr w:type="spellStart"/>
      <w:r>
        <w:rPr>
          <w:rFonts w:cs="Arial"/>
          <w:szCs w:val="20"/>
        </w:rPr>
        <w:t>Viterra</w:t>
      </w:r>
      <w:proofErr w:type="spellEnd"/>
      <w:r>
        <w:rPr>
          <w:rFonts w:cs="Arial"/>
          <w:szCs w:val="20"/>
        </w:rPr>
        <w:t xml:space="preserve"> submitted</w:t>
      </w:r>
      <w:r w:rsidR="00633670" w:rsidRPr="00737600">
        <w:rPr>
          <w:rFonts w:cs="Arial"/>
          <w:szCs w:val="20"/>
        </w:rPr>
        <w:t xml:space="preserve"> that:</w:t>
      </w:r>
    </w:p>
    <w:p w:rsidR="00633670" w:rsidRPr="00737600" w:rsidRDefault="00633670" w:rsidP="00633670">
      <w:pPr>
        <w:ind w:left="720"/>
        <w:rPr>
          <w:rFonts w:cs="Arial"/>
          <w:sz w:val="18"/>
          <w:szCs w:val="18"/>
        </w:rPr>
      </w:pPr>
      <w:r w:rsidRPr="00737600">
        <w:rPr>
          <w:rFonts w:cs="Arial"/>
          <w:sz w:val="18"/>
          <w:szCs w:val="18"/>
        </w:rPr>
        <w:t>There are a number of circumstances in which it may be necessary to increase by a small amount the volume of grain loaded onto a vessel (</w:t>
      </w:r>
      <w:proofErr w:type="spellStart"/>
      <w:r w:rsidRPr="00737600">
        <w:rPr>
          <w:rFonts w:cs="Arial"/>
          <w:sz w:val="18"/>
          <w:szCs w:val="18"/>
        </w:rPr>
        <w:t>ie</w:t>
      </w:r>
      <w:proofErr w:type="spellEnd"/>
      <w:r w:rsidRPr="00737600">
        <w:rPr>
          <w:rFonts w:cs="Arial"/>
          <w:sz w:val="18"/>
          <w:szCs w:val="18"/>
        </w:rPr>
        <w:t xml:space="preserve"> to ensure vessel stability). An ability for </w:t>
      </w:r>
      <w:proofErr w:type="spellStart"/>
      <w:r w:rsidRPr="00737600">
        <w:rPr>
          <w:rFonts w:cs="Arial"/>
          <w:sz w:val="18"/>
          <w:szCs w:val="18"/>
        </w:rPr>
        <w:t>Viterra</w:t>
      </w:r>
      <w:proofErr w:type="spellEnd"/>
      <w:r w:rsidRPr="00737600">
        <w:rPr>
          <w:rFonts w:cs="Arial"/>
          <w:sz w:val="18"/>
          <w:szCs w:val="18"/>
        </w:rPr>
        <w:t xml:space="preserve"> Operations to allow this without the Client needing to acquire additional capacity from other exporters, will facilitate the efficient operation of the Port Terminals and reflects a pragmatic outcome for each of </w:t>
      </w:r>
      <w:proofErr w:type="spellStart"/>
      <w:r w:rsidRPr="00737600">
        <w:rPr>
          <w:rFonts w:cs="Arial"/>
          <w:sz w:val="18"/>
          <w:szCs w:val="18"/>
        </w:rPr>
        <w:t>Viterra</w:t>
      </w:r>
      <w:proofErr w:type="spellEnd"/>
      <w:r w:rsidRPr="00737600">
        <w:rPr>
          <w:rFonts w:cs="Arial"/>
          <w:sz w:val="18"/>
          <w:szCs w:val="18"/>
        </w:rPr>
        <w:t xml:space="preserve"> Operations, the Client and other exporters.</w:t>
      </w:r>
      <w:r w:rsidRPr="00737600">
        <w:rPr>
          <w:rStyle w:val="FootnoteReference"/>
          <w:rFonts w:cs="Arial"/>
          <w:sz w:val="18"/>
          <w:szCs w:val="18"/>
        </w:rPr>
        <w:footnoteReference w:id="54"/>
      </w:r>
      <w:r w:rsidR="004C5C36">
        <w:rPr>
          <w:rFonts w:cs="Arial"/>
          <w:sz w:val="18"/>
          <w:szCs w:val="18"/>
        </w:rPr>
        <w:t xml:space="preserve">  </w:t>
      </w:r>
    </w:p>
    <w:p w:rsidR="00633670" w:rsidRPr="00C37FAE" w:rsidRDefault="00633670" w:rsidP="00633670">
      <w:pPr>
        <w:numPr>
          <w:ilvl w:val="2"/>
          <w:numId w:val="1"/>
        </w:numPr>
        <w:spacing w:before="360" w:after="120"/>
        <w:rPr>
          <w:rFonts w:ascii="Lucida Fax" w:eastAsia="Times New Roman" w:hAnsi="Lucida Fax" w:cs="Times New Roman"/>
          <w:b/>
          <w:bCs/>
          <w:sz w:val="24"/>
          <w:szCs w:val="28"/>
        </w:rPr>
      </w:pPr>
      <w:r w:rsidRPr="00C37FAE">
        <w:rPr>
          <w:rFonts w:ascii="Lucida Fax" w:eastAsia="Times New Roman" w:hAnsi="Lucida Fax" w:cs="Times New Roman"/>
          <w:b/>
          <w:bCs/>
          <w:sz w:val="24"/>
          <w:szCs w:val="28"/>
        </w:rPr>
        <w:t xml:space="preserve">Stakeholders’ views </w:t>
      </w:r>
    </w:p>
    <w:p w:rsidR="00633670" w:rsidRPr="00737600" w:rsidRDefault="00633670" w:rsidP="00633670">
      <w:pPr>
        <w:rPr>
          <w:rFonts w:cs="Arial"/>
          <w:szCs w:val="20"/>
        </w:rPr>
      </w:pPr>
      <w:r w:rsidRPr="00737600">
        <w:rPr>
          <w:rFonts w:cs="Arial"/>
          <w:szCs w:val="20"/>
        </w:rPr>
        <w:t xml:space="preserve">In response to the new discretion on the </w:t>
      </w:r>
      <w:r w:rsidR="0074787B">
        <w:rPr>
          <w:rFonts w:cs="Arial"/>
          <w:szCs w:val="20"/>
        </w:rPr>
        <w:t xml:space="preserve">part of </w:t>
      </w:r>
      <w:proofErr w:type="spellStart"/>
      <w:r w:rsidR="0074787B">
        <w:rPr>
          <w:rFonts w:cs="Arial"/>
          <w:szCs w:val="20"/>
        </w:rPr>
        <w:t>Viterra</w:t>
      </w:r>
      <w:proofErr w:type="spellEnd"/>
      <w:r w:rsidR="0074787B">
        <w:rPr>
          <w:rFonts w:cs="Arial"/>
          <w:szCs w:val="20"/>
        </w:rPr>
        <w:t xml:space="preserve">, </w:t>
      </w:r>
      <w:proofErr w:type="spellStart"/>
      <w:r w:rsidR="0074787B">
        <w:rPr>
          <w:rFonts w:cs="Arial"/>
          <w:szCs w:val="20"/>
        </w:rPr>
        <w:t>Toepfer</w:t>
      </w:r>
      <w:proofErr w:type="spellEnd"/>
      <w:r w:rsidR="0074787B">
        <w:rPr>
          <w:rFonts w:cs="Arial"/>
          <w:szCs w:val="20"/>
        </w:rPr>
        <w:t xml:space="preserve"> submitted</w:t>
      </w:r>
      <w:r w:rsidRPr="00737600">
        <w:rPr>
          <w:rFonts w:cs="Arial"/>
          <w:szCs w:val="20"/>
        </w:rPr>
        <w:t xml:space="preserve"> that:</w:t>
      </w:r>
    </w:p>
    <w:p w:rsidR="00633670" w:rsidRPr="00737600" w:rsidRDefault="00633670" w:rsidP="00633670">
      <w:pPr>
        <w:ind w:left="720"/>
        <w:rPr>
          <w:rFonts w:cs="Arial"/>
          <w:sz w:val="18"/>
          <w:szCs w:val="18"/>
        </w:rPr>
      </w:pPr>
      <w:proofErr w:type="spellStart"/>
      <w:r w:rsidRPr="00737600">
        <w:rPr>
          <w:rFonts w:cs="Arial"/>
          <w:sz w:val="18"/>
          <w:szCs w:val="18"/>
        </w:rPr>
        <w:lastRenderedPageBreak/>
        <w:t>Toepfer</w:t>
      </w:r>
      <w:proofErr w:type="spellEnd"/>
      <w:r w:rsidRPr="00737600">
        <w:rPr>
          <w:rFonts w:cs="Arial"/>
          <w:sz w:val="18"/>
          <w:szCs w:val="18"/>
        </w:rPr>
        <w:t xml:space="preserve"> International (Australia) does support the variation(s) to increase operational flexibility through discretionary tolerance in exceeding acquired lift … Such flexibility should be executed without subsequent impact on the remainder of the shipping stem.</w:t>
      </w:r>
      <w:r w:rsidRPr="00737600">
        <w:rPr>
          <w:rStyle w:val="FootnoteReference"/>
          <w:rFonts w:cs="Arial"/>
          <w:sz w:val="18"/>
          <w:szCs w:val="18"/>
        </w:rPr>
        <w:footnoteReference w:id="55"/>
      </w:r>
      <w:r w:rsidRPr="00737600">
        <w:rPr>
          <w:rFonts w:cs="Arial"/>
          <w:sz w:val="18"/>
          <w:szCs w:val="18"/>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 xml:space="preserve">The ACCC’s view </w:t>
      </w:r>
    </w:p>
    <w:p w:rsidR="00633670" w:rsidRDefault="00633670" w:rsidP="00633670">
      <w:pPr>
        <w:rPr>
          <w:rFonts w:cs="Arial"/>
          <w:szCs w:val="20"/>
        </w:rPr>
      </w:pPr>
      <w:r w:rsidRPr="00737600">
        <w:rPr>
          <w:rFonts w:cs="Arial"/>
          <w:szCs w:val="20"/>
        </w:rPr>
        <w:t xml:space="preserve">The ACCC considers </w:t>
      </w:r>
      <w:r w:rsidR="00064EF2">
        <w:rPr>
          <w:rFonts w:cs="Arial"/>
          <w:szCs w:val="20"/>
        </w:rPr>
        <w:t xml:space="preserve">that </w:t>
      </w:r>
      <w:r w:rsidRPr="00737600">
        <w:rPr>
          <w:rFonts w:cs="Arial"/>
          <w:szCs w:val="20"/>
        </w:rPr>
        <w:t xml:space="preserve">refinements to PLPs </w:t>
      </w:r>
      <w:r w:rsidR="00064EF2">
        <w:rPr>
          <w:rFonts w:cs="Arial"/>
          <w:szCs w:val="20"/>
        </w:rPr>
        <w:t xml:space="preserve">which </w:t>
      </w:r>
      <w:r w:rsidRPr="00737600">
        <w:rPr>
          <w:rFonts w:cs="Arial"/>
          <w:szCs w:val="20"/>
        </w:rPr>
        <w:t>provide for an increase in</w:t>
      </w:r>
      <w:r>
        <w:rPr>
          <w:rFonts w:cs="Arial"/>
          <w:szCs w:val="20"/>
        </w:rPr>
        <w:t xml:space="preserve"> port efficiency </w:t>
      </w:r>
      <w:r w:rsidR="00957D3E">
        <w:rPr>
          <w:rFonts w:cs="Arial"/>
          <w:szCs w:val="20"/>
        </w:rPr>
        <w:t>are</w:t>
      </w:r>
      <w:r>
        <w:rPr>
          <w:rFonts w:cs="Arial"/>
          <w:szCs w:val="20"/>
        </w:rPr>
        <w:t xml:space="preserve"> beneficial </w:t>
      </w:r>
      <w:r w:rsidR="00957D3E">
        <w:rPr>
          <w:rFonts w:cs="Arial"/>
          <w:szCs w:val="20"/>
        </w:rPr>
        <w:t>to</w:t>
      </w:r>
      <w:r>
        <w:rPr>
          <w:rFonts w:cs="Arial"/>
          <w:szCs w:val="20"/>
        </w:rPr>
        <w:t xml:space="preserve"> </w:t>
      </w:r>
      <w:proofErr w:type="spellStart"/>
      <w:r>
        <w:rPr>
          <w:rFonts w:cs="Arial"/>
          <w:szCs w:val="20"/>
        </w:rPr>
        <w:t>Viterra</w:t>
      </w:r>
      <w:proofErr w:type="spellEnd"/>
      <w:r>
        <w:rPr>
          <w:rFonts w:cs="Arial"/>
          <w:szCs w:val="20"/>
        </w:rPr>
        <w:t>, access seekers, and the efficient use of port terminal infrastructure</w:t>
      </w:r>
      <w:r w:rsidRPr="00737600">
        <w:rPr>
          <w:rFonts w:cs="Arial"/>
          <w:szCs w:val="20"/>
        </w:rPr>
        <w:t xml:space="preserve">. </w:t>
      </w:r>
    </w:p>
    <w:p w:rsidR="00633670" w:rsidRDefault="00633670" w:rsidP="00633670">
      <w:pPr>
        <w:rPr>
          <w:rFonts w:cs="Arial"/>
          <w:szCs w:val="20"/>
        </w:rPr>
      </w:pPr>
      <w:r>
        <w:rPr>
          <w:rFonts w:cs="Arial"/>
          <w:szCs w:val="20"/>
        </w:rPr>
        <w:t xml:space="preserve">In terms of </w:t>
      </w:r>
      <w:proofErr w:type="spellStart"/>
      <w:r>
        <w:rPr>
          <w:rFonts w:cs="Arial"/>
          <w:szCs w:val="20"/>
        </w:rPr>
        <w:t>Viterra’s</w:t>
      </w:r>
      <w:proofErr w:type="spellEnd"/>
      <w:r>
        <w:rPr>
          <w:rFonts w:cs="Arial"/>
          <w:szCs w:val="20"/>
        </w:rPr>
        <w:t xml:space="preserve"> legitimate business interests, the ability to load an additional 1000 tonnes of capacity provides operational flexibility and ensures that </w:t>
      </w:r>
      <w:proofErr w:type="spellStart"/>
      <w:r>
        <w:rPr>
          <w:rFonts w:cs="Arial"/>
          <w:szCs w:val="20"/>
        </w:rPr>
        <w:t>Viterra</w:t>
      </w:r>
      <w:proofErr w:type="spellEnd"/>
      <w:r>
        <w:rPr>
          <w:rFonts w:cs="Arial"/>
          <w:szCs w:val="20"/>
        </w:rPr>
        <w:t xml:space="preserve"> is able to deliver port terminal capacity in a safe manner. The ACCC notes that the additional 1000 tonne tolerance is in the context of export vessel</w:t>
      </w:r>
      <w:r w:rsidR="005F7020">
        <w:rPr>
          <w:rFonts w:cs="Arial"/>
          <w:szCs w:val="20"/>
        </w:rPr>
        <w:t>s</w:t>
      </w:r>
      <w:r>
        <w:rPr>
          <w:rFonts w:cs="Arial"/>
          <w:szCs w:val="20"/>
        </w:rPr>
        <w:t xml:space="preserve"> that can hold in excess of 60,000 tonnes. </w:t>
      </w:r>
    </w:p>
    <w:p w:rsidR="00633670" w:rsidRDefault="00633670" w:rsidP="00633670">
      <w:pPr>
        <w:rPr>
          <w:rFonts w:cs="Arial"/>
          <w:szCs w:val="20"/>
        </w:rPr>
      </w:pPr>
      <w:r>
        <w:rPr>
          <w:rFonts w:cs="Arial"/>
          <w:szCs w:val="20"/>
        </w:rPr>
        <w:t>In addition, the safe loading of a vessel is in th</w:t>
      </w:r>
      <w:r w:rsidR="004C5C36">
        <w:rPr>
          <w:rFonts w:cs="Arial"/>
          <w:szCs w:val="20"/>
        </w:rPr>
        <w:t xml:space="preserve">e interests of access seekers. </w:t>
      </w:r>
      <w:r>
        <w:rPr>
          <w:rFonts w:cs="Arial"/>
          <w:szCs w:val="20"/>
        </w:rPr>
        <w:t xml:space="preserve">The proposed variation enables </w:t>
      </w:r>
      <w:proofErr w:type="spellStart"/>
      <w:r>
        <w:rPr>
          <w:rFonts w:cs="Arial"/>
          <w:szCs w:val="20"/>
        </w:rPr>
        <w:t>Viterra</w:t>
      </w:r>
      <w:proofErr w:type="spellEnd"/>
      <w:r>
        <w:rPr>
          <w:rFonts w:cs="Arial"/>
          <w:szCs w:val="20"/>
        </w:rPr>
        <w:t xml:space="preserve"> to exercise the discretion to load up to an additional 1000 tonnes without the need for an exporter to acquire additional c</w:t>
      </w:r>
      <w:r w:rsidR="004C5C36">
        <w:rPr>
          <w:rFonts w:cs="Arial"/>
          <w:szCs w:val="20"/>
        </w:rPr>
        <w:t xml:space="preserve">apacity from another exporter. </w:t>
      </w:r>
      <w:r>
        <w:rPr>
          <w:rFonts w:cs="Arial"/>
          <w:szCs w:val="20"/>
        </w:rPr>
        <w:t xml:space="preserve">Providing </w:t>
      </w:r>
      <w:proofErr w:type="spellStart"/>
      <w:r>
        <w:rPr>
          <w:rFonts w:cs="Arial"/>
          <w:szCs w:val="20"/>
        </w:rPr>
        <w:t>Viterra</w:t>
      </w:r>
      <w:proofErr w:type="spellEnd"/>
      <w:r>
        <w:rPr>
          <w:rFonts w:cs="Arial"/>
          <w:szCs w:val="20"/>
        </w:rPr>
        <w:t xml:space="preserve"> with this discretion will also increase the efficiency of throughput at port, which is consistent with the first objective of Part IIIA.</w:t>
      </w:r>
    </w:p>
    <w:p w:rsidR="00633670" w:rsidRDefault="00633670" w:rsidP="00633670">
      <w:pPr>
        <w:rPr>
          <w:rFonts w:cs="Arial"/>
          <w:szCs w:val="20"/>
        </w:rPr>
      </w:pPr>
      <w:r>
        <w:rPr>
          <w:rFonts w:cs="Arial"/>
          <w:szCs w:val="20"/>
        </w:rPr>
        <w:t xml:space="preserve">In relation to </w:t>
      </w:r>
      <w:proofErr w:type="spellStart"/>
      <w:r>
        <w:rPr>
          <w:rFonts w:cs="Arial"/>
          <w:szCs w:val="20"/>
        </w:rPr>
        <w:t>Toepfer’s</w:t>
      </w:r>
      <w:proofErr w:type="spellEnd"/>
      <w:r>
        <w:rPr>
          <w:rFonts w:cs="Arial"/>
          <w:szCs w:val="20"/>
        </w:rPr>
        <w:t xml:space="preserve"> submission that the exercise of the discretion should not impact on the remainder of the shipping stem, the ACCC notes that it is not in </w:t>
      </w:r>
      <w:proofErr w:type="spellStart"/>
      <w:r>
        <w:rPr>
          <w:rFonts w:cs="Arial"/>
          <w:szCs w:val="20"/>
        </w:rPr>
        <w:t>Viterra’s</w:t>
      </w:r>
      <w:proofErr w:type="spellEnd"/>
      <w:r>
        <w:rPr>
          <w:rFonts w:cs="Arial"/>
          <w:szCs w:val="20"/>
        </w:rPr>
        <w:t xml:space="preserve"> interest to load vessels unsafely, nor is it in </w:t>
      </w:r>
      <w:proofErr w:type="spellStart"/>
      <w:r>
        <w:rPr>
          <w:rFonts w:cs="Arial"/>
          <w:szCs w:val="20"/>
        </w:rPr>
        <w:t>Viterra’s</w:t>
      </w:r>
      <w:proofErr w:type="spellEnd"/>
      <w:r>
        <w:rPr>
          <w:rFonts w:cs="Arial"/>
          <w:szCs w:val="20"/>
        </w:rPr>
        <w:t xml:space="preserve"> int</w:t>
      </w:r>
      <w:r w:rsidR="004C5C36">
        <w:rPr>
          <w:rFonts w:cs="Arial"/>
          <w:szCs w:val="20"/>
        </w:rPr>
        <w:t xml:space="preserve">erests to cause delay at port. </w:t>
      </w:r>
      <w:r>
        <w:rPr>
          <w:rFonts w:cs="Arial"/>
          <w:szCs w:val="20"/>
        </w:rPr>
        <w:t>To the contrary, the discretion to load additional tonnage without the need for an exporter to acquire additional capacity may reduce delay in that the administrative tasks associated with transferring small volumes of capacity may be avoided.</w:t>
      </w:r>
    </w:p>
    <w:p w:rsidR="00633670" w:rsidRPr="00737600" w:rsidRDefault="00633670" w:rsidP="00633670">
      <w:pPr>
        <w:rPr>
          <w:rFonts w:cs="Arial"/>
          <w:szCs w:val="20"/>
        </w:rPr>
      </w:pPr>
      <w:r w:rsidRPr="00737600">
        <w:rPr>
          <w:rFonts w:cs="Arial"/>
          <w:szCs w:val="20"/>
        </w:rPr>
        <w:t xml:space="preserve">The </w:t>
      </w:r>
      <w:r w:rsidR="0074787B">
        <w:rPr>
          <w:rFonts w:cs="Arial"/>
          <w:szCs w:val="20"/>
        </w:rPr>
        <w:t xml:space="preserve">ACCC therefore considers the </w:t>
      </w:r>
      <w:r w:rsidRPr="00737600">
        <w:rPr>
          <w:rFonts w:cs="Arial"/>
          <w:szCs w:val="20"/>
        </w:rPr>
        <w:t xml:space="preserve">clause 5.6(b) to be in the </w:t>
      </w:r>
      <w:r>
        <w:rPr>
          <w:rFonts w:cs="Arial"/>
          <w:szCs w:val="20"/>
        </w:rPr>
        <w:t xml:space="preserve">legitimate business </w:t>
      </w:r>
      <w:r w:rsidRPr="00737600">
        <w:rPr>
          <w:rFonts w:cs="Arial"/>
          <w:szCs w:val="20"/>
        </w:rPr>
        <w:t xml:space="preserve">interests of </w:t>
      </w:r>
      <w:proofErr w:type="spellStart"/>
      <w:r w:rsidRPr="00737600">
        <w:rPr>
          <w:rFonts w:cs="Arial"/>
          <w:szCs w:val="20"/>
        </w:rPr>
        <w:t>Viterra</w:t>
      </w:r>
      <w:proofErr w:type="spellEnd"/>
      <w:r w:rsidRPr="00737600">
        <w:rPr>
          <w:rFonts w:cs="Arial"/>
          <w:szCs w:val="20"/>
        </w:rPr>
        <w:t xml:space="preserve"> in maximising </w:t>
      </w:r>
      <w:r>
        <w:rPr>
          <w:rFonts w:cs="Arial"/>
          <w:szCs w:val="20"/>
        </w:rPr>
        <w:t xml:space="preserve">the efficiency of </w:t>
      </w:r>
      <w:r w:rsidRPr="00737600">
        <w:rPr>
          <w:rFonts w:cs="Arial"/>
          <w:szCs w:val="20"/>
        </w:rPr>
        <w:t>its port operations</w:t>
      </w:r>
      <w:r>
        <w:rPr>
          <w:rFonts w:cs="Arial"/>
          <w:szCs w:val="20"/>
        </w:rPr>
        <w:t>,</w:t>
      </w:r>
      <w:r w:rsidRPr="00737600">
        <w:rPr>
          <w:rFonts w:cs="Arial"/>
          <w:szCs w:val="20"/>
        </w:rPr>
        <w:t xml:space="preserve"> and </w:t>
      </w:r>
      <w:r>
        <w:rPr>
          <w:rFonts w:cs="Arial"/>
          <w:szCs w:val="20"/>
        </w:rPr>
        <w:t xml:space="preserve">the interests of </w:t>
      </w:r>
      <w:r w:rsidRPr="00737600">
        <w:rPr>
          <w:rFonts w:cs="Arial"/>
          <w:szCs w:val="20"/>
        </w:rPr>
        <w:t>access seekers in being able to have their vessels loaded without the need for further transactions, having regard to s</w:t>
      </w:r>
      <w:r>
        <w:rPr>
          <w:rFonts w:cs="Arial"/>
          <w:szCs w:val="20"/>
        </w:rPr>
        <w:t>ub</w:t>
      </w:r>
      <w:r w:rsidRPr="00737600">
        <w:rPr>
          <w:rFonts w:cs="Arial"/>
          <w:szCs w:val="20"/>
        </w:rPr>
        <w:t>s</w:t>
      </w:r>
      <w:r>
        <w:rPr>
          <w:rFonts w:cs="Arial"/>
          <w:szCs w:val="20"/>
        </w:rPr>
        <w:t>ections</w:t>
      </w:r>
      <w:r w:rsidRPr="00737600">
        <w:rPr>
          <w:rFonts w:cs="Arial"/>
          <w:szCs w:val="20"/>
        </w:rPr>
        <w:t xml:space="preserve"> 44ZZA(3)(a) and 44ZZA(3)(c) of the CCA. The ACCC also c</w:t>
      </w:r>
      <w:r w:rsidR="0074787B">
        <w:rPr>
          <w:rFonts w:cs="Arial"/>
          <w:szCs w:val="20"/>
        </w:rPr>
        <w:t xml:space="preserve">onsiders that </w:t>
      </w:r>
      <w:r w:rsidRPr="00737600">
        <w:rPr>
          <w:rFonts w:cs="Arial"/>
          <w:szCs w:val="20"/>
        </w:rPr>
        <w:t>clause 5.6(b) promotes the economically efficient use of the port terminal inf</w:t>
      </w:r>
      <w:r>
        <w:rPr>
          <w:rFonts w:cs="Arial"/>
          <w:szCs w:val="20"/>
        </w:rPr>
        <w:t>rastructure, having regard to subsection</w:t>
      </w:r>
      <w:r w:rsidRPr="00737600">
        <w:rPr>
          <w:rFonts w:cs="Arial"/>
          <w:szCs w:val="20"/>
        </w:rPr>
        <w:t xml:space="preserve"> </w:t>
      </w:r>
      <w:proofErr w:type="gramStart"/>
      <w:r w:rsidRPr="00737600">
        <w:rPr>
          <w:rFonts w:cs="Arial"/>
          <w:szCs w:val="20"/>
        </w:rPr>
        <w:t>44ZZA(</w:t>
      </w:r>
      <w:proofErr w:type="gramEnd"/>
      <w:r w:rsidRPr="00737600">
        <w:rPr>
          <w:rFonts w:cs="Arial"/>
          <w:szCs w:val="20"/>
        </w:rPr>
        <w:t>3)(</w:t>
      </w:r>
      <w:proofErr w:type="spellStart"/>
      <w:r w:rsidRPr="00737600">
        <w:rPr>
          <w:rFonts w:cs="Arial"/>
          <w:szCs w:val="20"/>
        </w:rPr>
        <w:t>aa</w:t>
      </w:r>
      <w:proofErr w:type="spellEnd"/>
      <w:r w:rsidRPr="00737600">
        <w:rPr>
          <w:rFonts w:cs="Arial"/>
          <w:szCs w:val="20"/>
        </w:rPr>
        <w:t>) of the CCA.</w:t>
      </w:r>
      <w:r w:rsidR="004C5C36">
        <w:rPr>
          <w:rFonts w:cs="Arial"/>
          <w:szCs w:val="20"/>
        </w:rPr>
        <w:t xml:space="preserve"> </w:t>
      </w:r>
      <w:r w:rsidRPr="00737600">
        <w:rPr>
          <w:rFonts w:cs="Arial"/>
          <w:szCs w:val="20"/>
        </w:rPr>
        <w:t xml:space="preserve"> </w:t>
      </w:r>
    </w:p>
    <w:p w:rsidR="00633670" w:rsidRPr="00C37FAE" w:rsidRDefault="00633670" w:rsidP="00633670">
      <w:pPr>
        <w:rPr>
          <w:rFonts w:cs="Arial"/>
          <w:szCs w:val="20"/>
        </w:rPr>
      </w:pPr>
      <w:r>
        <w:rPr>
          <w:rFonts w:cs="Arial"/>
          <w:szCs w:val="20"/>
        </w:rPr>
        <w:t>In consideration of the abov</w:t>
      </w:r>
      <w:r w:rsidR="0074787B">
        <w:rPr>
          <w:rFonts w:cs="Arial"/>
          <w:szCs w:val="20"/>
        </w:rPr>
        <w:t xml:space="preserve">e matters it is the ACCC’s </w:t>
      </w:r>
      <w:r w:rsidR="00FA08B9">
        <w:rPr>
          <w:rFonts w:cs="Arial"/>
          <w:szCs w:val="20"/>
        </w:rPr>
        <w:t>decision</w:t>
      </w:r>
      <w:r>
        <w:rPr>
          <w:rFonts w:cs="Arial"/>
          <w:szCs w:val="20"/>
        </w:rPr>
        <w:t xml:space="preserve"> to accept the proposed clause 5.6(b) as a</w:t>
      </w:r>
      <w:r w:rsidR="0074787B">
        <w:rPr>
          <w:rFonts w:cs="Arial"/>
          <w:szCs w:val="20"/>
        </w:rPr>
        <w:t xml:space="preserve">ppropriate, having regard to subsection </w:t>
      </w:r>
      <w:r>
        <w:rPr>
          <w:rFonts w:cs="Arial"/>
          <w:szCs w:val="20"/>
        </w:rPr>
        <w:t>44ZZA(3) of the CCA.</w:t>
      </w:r>
    </w:p>
    <w:p w:rsidR="00633670" w:rsidRPr="000F2FB4" w:rsidRDefault="00633670" w:rsidP="000F2FB4">
      <w:pPr>
        <w:pStyle w:val="Numberedheading2"/>
      </w:pPr>
      <w:bookmarkStart w:id="27" w:name="_Toc378322942"/>
      <w:r w:rsidRPr="000F2FB4">
        <w:t>Two port loading</w:t>
      </w:r>
      <w:bookmarkEnd w:id="27"/>
    </w:p>
    <w:p w:rsidR="00633670" w:rsidRPr="00AE6A75" w:rsidRDefault="00633670" w:rsidP="00633670">
      <w:pPr>
        <w:rPr>
          <w:rFonts w:cs="Arial"/>
          <w:szCs w:val="20"/>
        </w:rPr>
      </w:pPr>
      <w:r w:rsidRPr="00AE6A75">
        <w:rPr>
          <w:rFonts w:cs="Arial"/>
          <w:szCs w:val="20"/>
        </w:rPr>
        <w:t>The procedural rules regarding two</w:t>
      </w:r>
      <w:r>
        <w:rPr>
          <w:rFonts w:cs="Arial"/>
          <w:szCs w:val="20"/>
        </w:rPr>
        <w:t xml:space="preserve"> </w:t>
      </w:r>
      <w:r w:rsidRPr="00AE6A75">
        <w:rPr>
          <w:rFonts w:cs="Arial"/>
          <w:szCs w:val="20"/>
        </w:rPr>
        <w:t xml:space="preserve">port loading are outlined at clause 5.7 of the PLPs. </w:t>
      </w:r>
      <w:r>
        <w:rPr>
          <w:rFonts w:cs="Arial"/>
          <w:szCs w:val="20"/>
        </w:rPr>
        <w:t>Clause 5.7</w:t>
      </w:r>
      <w:r w:rsidRPr="00AE6A75">
        <w:rPr>
          <w:rFonts w:cs="Arial"/>
          <w:szCs w:val="20"/>
        </w:rPr>
        <w:t xml:space="preserve"> govern</w:t>
      </w:r>
      <w:r>
        <w:rPr>
          <w:rFonts w:cs="Arial"/>
          <w:szCs w:val="20"/>
        </w:rPr>
        <w:t>s</w:t>
      </w:r>
      <w:r w:rsidRPr="00AE6A75">
        <w:rPr>
          <w:rFonts w:cs="Arial"/>
          <w:szCs w:val="20"/>
        </w:rPr>
        <w:t xml:space="preserve"> the situation where a customer of </w:t>
      </w:r>
      <w:proofErr w:type="spellStart"/>
      <w:r w:rsidRPr="00AE6A75">
        <w:rPr>
          <w:rFonts w:cs="Arial"/>
          <w:szCs w:val="20"/>
        </w:rPr>
        <w:t>Viterra</w:t>
      </w:r>
      <w:proofErr w:type="spellEnd"/>
      <w:r w:rsidRPr="00AE6A75">
        <w:rPr>
          <w:rFonts w:cs="Arial"/>
          <w:szCs w:val="20"/>
        </w:rPr>
        <w:t xml:space="preserve"> has arranged to load its vessel at two ports, arrives within its original boo</w:t>
      </w:r>
      <w:r>
        <w:rPr>
          <w:rFonts w:cs="Arial"/>
          <w:szCs w:val="20"/>
        </w:rPr>
        <w:t xml:space="preserve">king slot at the first port and then suffers a delay which causes the vessel to arrive </w:t>
      </w:r>
      <w:r w:rsidRPr="00AE6A75">
        <w:rPr>
          <w:rFonts w:cs="Arial"/>
          <w:szCs w:val="20"/>
        </w:rPr>
        <w:t xml:space="preserve">outside of its booking slot at the second port. </w:t>
      </w:r>
    </w:p>
    <w:p w:rsidR="00633670" w:rsidRPr="000D39DF" w:rsidRDefault="00633670" w:rsidP="00633670">
      <w:pPr>
        <w:rPr>
          <w:rFonts w:cs="Arial"/>
          <w:szCs w:val="20"/>
        </w:rPr>
      </w:pPr>
      <w:r>
        <w:rPr>
          <w:rFonts w:cs="Arial"/>
          <w:szCs w:val="20"/>
        </w:rPr>
        <w:t xml:space="preserve">These rules are intended to provide operational flexibility to </w:t>
      </w:r>
      <w:proofErr w:type="spellStart"/>
      <w:r>
        <w:rPr>
          <w:rFonts w:cs="Arial"/>
          <w:szCs w:val="20"/>
        </w:rPr>
        <w:t>Viterra</w:t>
      </w:r>
      <w:proofErr w:type="spellEnd"/>
      <w:r>
        <w:rPr>
          <w:rFonts w:cs="Arial"/>
          <w:szCs w:val="20"/>
        </w:rPr>
        <w:t xml:space="preserve"> to manage delays efficiently and to reduce the impact of those delays on affected customers.</w:t>
      </w:r>
      <w:r w:rsidRPr="00AA5F5C">
        <w:rPr>
          <w:rFonts w:cs="Arial"/>
          <w:szCs w:val="20"/>
        </w:rPr>
        <w:t xml:space="preserve"> </w:t>
      </w:r>
      <w:proofErr w:type="spellStart"/>
      <w:r>
        <w:rPr>
          <w:rFonts w:cs="Arial"/>
          <w:szCs w:val="20"/>
        </w:rPr>
        <w:t>Viterra’s</w:t>
      </w:r>
      <w:proofErr w:type="spellEnd"/>
      <w:r>
        <w:rPr>
          <w:rFonts w:cs="Arial"/>
          <w:szCs w:val="20"/>
        </w:rPr>
        <w:t xml:space="preserve"> A</w:t>
      </w:r>
      <w:r w:rsidR="007F71AD">
        <w:rPr>
          <w:rFonts w:cs="Arial"/>
          <w:szCs w:val="20"/>
        </w:rPr>
        <w:t>mended a</w:t>
      </w:r>
      <w:r>
        <w:rPr>
          <w:rFonts w:cs="Arial"/>
          <w:szCs w:val="20"/>
        </w:rPr>
        <w:t xml:space="preserve">pplication to extend and vary seeks to change these rules to clarify the terms and nature of its discretion. </w:t>
      </w:r>
    </w:p>
    <w:p w:rsidR="00633670" w:rsidRPr="000D39DF" w:rsidRDefault="002F2D99" w:rsidP="00633670">
      <w:pPr>
        <w:rPr>
          <w:rFonts w:cs="Arial"/>
          <w:szCs w:val="20"/>
        </w:rPr>
      </w:pPr>
      <w:proofErr w:type="spellStart"/>
      <w:r>
        <w:rPr>
          <w:rFonts w:cs="Arial"/>
          <w:szCs w:val="20"/>
        </w:rPr>
        <w:t>Viterra</w:t>
      </w:r>
      <w:proofErr w:type="spellEnd"/>
      <w:r>
        <w:rPr>
          <w:rFonts w:cs="Arial"/>
          <w:szCs w:val="20"/>
        </w:rPr>
        <w:t xml:space="preserve"> propose</w:t>
      </w:r>
      <w:r w:rsidR="00155A78">
        <w:rPr>
          <w:rFonts w:cs="Arial"/>
          <w:szCs w:val="20"/>
        </w:rPr>
        <w:t>s</w:t>
      </w:r>
      <w:r w:rsidR="00633670" w:rsidRPr="000D39DF">
        <w:rPr>
          <w:rFonts w:cs="Arial"/>
          <w:szCs w:val="20"/>
        </w:rPr>
        <w:t xml:space="preserve"> to amend clause 5.7(a</w:t>
      </w:r>
      <w:proofErr w:type="gramStart"/>
      <w:r w:rsidR="00633670" w:rsidRPr="000D39DF">
        <w:rPr>
          <w:rFonts w:cs="Arial"/>
          <w:szCs w:val="20"/>
        </w:rPr>
        <w:t>)(</w:t>
      </w:r>
      <w:proofErr w:type="gramEnd"/>
      <w:r w:rsidR="00633670" w:rsidRPr="000D39DF">
        <w:rPr>
          <w:rFonts w:cs="Arial"/>
          <w:szCs w:val="20"/>
        </w:rPr>
        <w:t>ii) to include a reference to a vessel, scheduled for two port loading, arriving in its grace period at the first port.</w:t>
      </w:r>
      <w:r w:rsidR="00633670" w:rsidRPr="000D39DF">
        <w:rPr>
          <w:rStyle w:val="FootnoteReference"/>
          <w:rFonts w:cs="Arial"/>
          <w:szCs w:val="20"/>
        </w:rPr>
        <w:footnoteReference w:id="56"/>
      </w:r>
      <w:r w:rsidR="00633670" w:rsidRPr="000D39DF">
        <w:rPr>
          <w:rFonts w:cs="Arial"/>
          <w:szCs w:val="20"/>
        </w:rPr>
        <w:t xml:space="preserve"> </w:t>
      </w:r>
    </w:p>
    <w:p w:rsidR="00633670" w:rsidRPr="000D39DF" w:rsidRDefault="002F2D99" w:rsidP="00633670">
      <w:pPr>
        <w:rPr>
          <w:rFonts w:cs="Arial"/>
          <w:szCs w:val="20"/>
        </w:rPr>
      </w:pPr>
      <w:proofErr w:type="spellStart"/>
      <w:r>
        <w:rPr>
          <w:rFonts w:cs="Arial"/>
          <w:szCs w:val="20"/>
        </w:rPr>
        <w:t>Viterra</w:t>
      </w:r>
      <w:proofErr w:type="spellEnd"/>
      <w:r>
        <w:rPr>
          <w:rFonts w:cs="Arial"/>
          <w:szCs w:val="20"/>
        </w:rPr>
        <w:t xml:space="preserve"> also propose</w:t>
      </w:r>
      <w:r w:rsidR="00155A78">
        <w:rPr>
          <w:rFonts w:cs="Arial"/>
          <w:szCs w:val="20"/>
        </w:rPr>
        <w:t>s</w:t>
      </w:r>
      <w:r w:rsidR="00633670" w:rsidRPr="000D39DF">
        <w:rPr>
          <w:rFonts w:cs="Arial"/>
          <w:szCs w:val="20"/>
        </w:rPr>
        <w:t xml:space="preserve"> to amend clause 5.7(c) so that exporters can, with the consent of </w:t>
      </w:r>
      <w:proofErr w:type="spellStart"/>
      <w:r w:rsidR="00633670" w:rsidRPr="000D39DF">
        <w:rPr>
          <w:rFonts w:cs="Arial"/>
          <w:szCs w:val="20"/>
        </w:rPr>
        <w:t>Viterra</w:t>
      </w:r>
      <w:proofErr w:type="spellEnd"/>
      <w:r w:rsidR="00633670" w:rsidRPr="000D39DF">
        <w:rPr>
          <w:rFonts w:cs="Arial"/>
          <w:szCs w:val="20"/>
        </w:rPr>
        <w:t>, redistribute the booked tonnage across the two bookings within a tolerance of plus or minus of 10 per cent. This includes the tolerance specified in clause 5.</w:t>
      </w:r>
      <w:r w:rsidR="00633670">
        <w:rPr>
          <w:rFonts w:cs="Arial"/>
          <w:szCs w:val="20"/>
        </w:rPr>
        <w:t>6</w:t>
      </w:r>
      <w:r w:rsidR="00633670" w:rsidRPr="000D39DF">
        <w:rPr>
          <w:rFonts w:cs="Arial"/>
          <w:szCs w:val="20"/>
        </w:rPr>
        <w:t>(a) of the PLPs.</w:t>
      </w:r>
    </w:p>
    <w:p w:rsidR="00633670" w:rsidRPr="000D39DF" w:rsidRDefault="00633670" w:rsidP="00633670">
      <w:pPr>
        <w:rPr>
          <w:rFonts w:cs="Arial"/>
          <w:szCs w:val="20"/>
        </w:rPr>
      </w:pPr>
      <w:r w:rsidRPr="000D39DF">
        <w:rPr>
          <w:rFonts w:cs="Arial"/>
          <w:szCs w:val="20"/>
        </w:rPr>
        <w:lastRenderedPageBreak/>
        <w:t xml:space="preserve">Further, the variation specifies that the total tolerance allowed by clause 5.7(a) to the two bookings can be allocated to one of those bookings.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517047">
        <w:rPr>
          <w:rFonts w:ascii="Lucida Fax" w:eastAsia="Times New Roman" w:hAnsi="Lucida Fax" w:cs="Times New Roman"/>
          <w:b/>
          <w:bCs/>
          <w:sz w:val="24"/>
          <w:szCs w:val="28"/>
        </w:rPr>
        <w:t>Viterra’s</w:t>
      </w:r>
      <w:proofErr w:type="spellEnd"/>
      <w:r w:rsidRPr="00517047">
        <w:rPr>
          <w:rFonts w:ascii="Lucida Fax" w:eastAsia="Times New Roman" w:hAnsi="Lucida Fax" w:cs="Times New Roman"/>
          <w:b/>
          <w:bCs/>
          <w:sz w:val="24"/>
          <w:szCs w:val="28"/>
        </w:rPr>
        <w:t xml:space="preserve"> supporting submissions</w:t>
      </w:r>
    </w:p>
    <w:p w:rsidR="00633670" w:rsidRPr="00AA5F5C" w:rsidRDefault="00633670" w:rsidP="00633670">
      <w:pPr>
        <w:rPr>
          <w:rFonts w:cs="Arial"/>
          <w:szCs w:val="20"/>
        </w:rPr>
      </w:pPr>
      <w:r w:rsidRPr="00AA5F5C">
        <w:rPr>
          <w:rFonts w:cs="Arial"/>
          <w:szCs w:val="20"/>
        </w:rPr>
        <w:t>Regarding the proposed amendment to cl</w:t>
      </w:r>
      <w:r w:rsidR="002F2D99">
        <w:rPr>
          <w:rFonts w:cs="Arial"/>
          <w:szCs w:val="20"/>
        </w:rPr>
        <w:t>ause 5.7(a</w:t>
      </w:r>
      <w:proofErr w:type="gramStart"/>
      <w:r w:rsidR="002F2D99">
        <w:rPr>
          <w:rFonts w:cs="Arial"/>
          <w:szCs w:val="20"/>
        </w:rPr>
        <w:t>)(</w:t>
      </w:r>
      <w:proofErr w:type="gramEnd"/>
      <w:r w:rsidR="002F2D99">
        <w:rPr>
          <w:rFonts w:cs="Arial"/>
          <w:szCs w:val="20"/>
        </w:rPr>
        <w:t xml:space="preserve">ii), </w:t>
      </w:r>
      <w:proofErr w:type="spellStart"/>
      <w:r w:rsidR="002F2D99">
        <w:rPr>
          <w:rFonts w:cs="Arial"/>
          <w:szCs w:val="20"/>
        </w:rPr>
        <w:t>Viterra</w:t>
      </w:r>
      <w:proofErr w:type="spellEnd"/>
      <w:r w:rsidR="002F2D99">
        <w:rPr>
          <w:rFonts w:cs="Arial"/>
          <w:szCs w:val="20"/>
        </w:rPr>
        <w:t xml:space="preserve"> submitted</w:t>
      </w:r>
      <w:r w:rsidRPr="00AA5F5C">
        <w:rPr>
          <w:rFonts w:cs="Arial"/>
          <w:szCs w:val="20"/>
        </w:rPr>
        <w:t>:</w:t>
      </w:r>
    </w:p>
    <w:p w:rsidR="00633670" w:rsidRPr="00AA5F5C" w:rsidRDefault="00633670" w:rsidP="00633670">
      <w:pPr>
        <w:ind w:left="720"/>
        <w:rPr>
          <w:rFonts w:cs="Arial"/>
          <w:sz w:val="18"/>
          <w:szCs w:val="18"/>
        </w:rPr>
      </w:pPr>
      <w:r w:rsidRPr="00AA5F5C">
        <w:rPr>
          <w:rFonts w:cs="Arial"/>
          <w:sz w:val="18"/>
          <w:szCs w:val="18"/>
        </w:rPr>
        <w:t>The proposed amendment is intended to make it clear that two-port loading vessels will not lose their booking at the second port if they are delayed at the first port after having arrived within their slot or the Grace Period.</w:t>
      </w:r>
      <w:r w:rsidRPr="00AA5F5C">
        <w:rPr>
          <w:rStyle w:val="FootnoteReference"/>
          <w:rFonts w:cs="Arial"/>
          <w:sz w:val="18"/>
          <w:szCs w:val="18"/>
        </w:rPr>
        <w:footnoteReference w:id="57"/>
      </w:r>
      <w:r w:rsidR="004C5C36">
        <w:rPr>
          <w:rFonts w:cs="Arial"/>
          <w:sz w:val="18"/>
          <w:szCs w:val="18"/>
        </w:rPr>
        <w:t xml:space="preserve"> </w:t>
      </w:r>
    </w:p>
    <w:p w:rsidR="00633670" w:rsidRPr="00AA5F5C" w:rsidRDefault="00633670" w:rsidP="00633670">
      <w:pPr>
        <w:rPr>
          <w:rFonts w:cs="Arial"/>
          <w:szCs w:val="20"/>
        </w:rPr>
      </w:pPr>
      <w:r w:rsidRPr="00AA5F5C">
        <w:rPr>
          <w:rFonts w:cs="Arial"/>
          <w:szCs w:val="20"/>
        </w:rPr>
        <w:t>Regarding the proposed amendment t</w:t>
      </w:r>
      <w:r w:rsidR="002F2D99">
        <w:rPr>
          <w:rFonts w:cs="Arial"/>
          <w:szCs w:val="20"/>
        </w:rPr>
        <w:t xml:space="preserve">o clause 5.7(c), </w:t>
      </w:r>
      <w:proofErr w:type="spellStart"/>
      <w:r w:rsidR="002F2D99">
        <w:rPr>
          <w:rFonts w:cs="Arial"/>
          <w:szCs w:val="20"/>
        </w:rPr>
        <w:t>Viterra</w:t>
      </w:r>
      <w:proofErr w:type="spellEnd"/>
      <w:r w:rsidR="002F2D99">
        <w:rPr>
          <w:rFonts w:cs="Arial"/>
          <w:szCs w:val="20"/>
        </w:rPr>
        <w:t xml:space="preserve"> submitted</w:t>
      </w:r>
      <w:r w:rsidRPr="00AA5F5C">
        <w:rPr>
          <w:rFonts w:cs="Arial"/>
          <w:szCs w:val="20"/>
        </w:rPr>
        <w:t>:</w:t>
      </w:r>
    </w:p>
    <w:p w:rsidR="00633670" w:rsidRPr="00AA5F5C" w:rsidRDefault="00633670" w:rsidP="00633670">
      <w:pPr>
        <w:ind w:left="720"/>
        <w:rPr>
          <w:rFonts w:cs="Arial"/>
          <w:sz w:val="18"/>
          <w:szCs w:val="18"/>
        </w:rPr>
      </w:pPr>
      <w:r w:rsidRPr="00AA5F5C">
        <w:rPr>
          <w:rFonts w:cs="Arial"/>
          <w:sz w:val="18"/>
          <w:szCs w:val="18"/>
        </w:rPr>
        <w:t xml:space="preserve">The proposed amendment is intended to clarify the flexibility that is available to Clients undertaking two-port loading in terms of the ways that they can re-distribute the loading of tonnes across the two ports. This flexibility is intended to provide benefits both for Clients and in terms of the operational efficiency of the Port Terminals. </w:t>
      </w:r>
      <w:r w:rsidRPr="00AA5F5C">
        <w:rPr>
          <w:rStyle w:val="FootnoteReference"/>
          <w:rFonts w:cs="Arial"/>
          <w:sz w:val="18"/>
          <w:szCs w:val="18"/>
        </w:rPr>
        <w:footnoteReference w:id="58"/>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 xml:space="preserve">Stakeholders’ views </w:t>
      </w:r>
    </w:p>
    <w:p w:rsidR="00633670" w:rsidRDefault="002F2D99" w:rsidP="00633670">
      <w:pPr>
        <w:pStyle w:val="CommentText"/>
        <w:rPr>
          <w:rFonts w:cs="Arial"/>
        </w:rPr>
      </w:pPr>
      <w:proofErr w:type="spellStart"/>
      <w:r>
        <w:rPr>
          <w:rFonts w:cs="Arial"/>
        </w:rPr>
        <w:t>Toepfer</w:t>
      </w:r>
      <w:proofErr w:type="spellEnd"/>
      <w:r>
        <w:rPr>
          <w:rFonts w:cs="Arial"/>
        </w:rPr>
        <w:t xml:space="preserve"> </w:t>
      </w:r>
      <w:r w:rsidR="005F7020">
        <w:rPr>
          <w:rFonts w:cs="Arial"/>
        </w:rPr>
        <w:t>submitted</w:t>
      </w:r>
      <w:r w:rsidR="00633670">
        <w:rPr>
          <w:rFonts w:cs="Arial"/>
        </w:rPr>
        <w:t xml:space="preserve"> its support to the variation to increase operational flexibility through two </w:t>
      </w:r>
      <w:proofErr w:type="gramStart"/>
      <w:r w:rsidR="00633670">
        <w:rPr>
          <w:rFonts w:cs="Arial"/>
        </w:rPr>
        <w:t>port</w:t>
      </w:r>
      <w:proofErr w:type="gramEnd"/>
      <w:r w:rsidR="00633670">
        <w:rPr>
          <w:rFonts w:cs="Arial"/>
        </w:rPr>
        <w:t xml:space="preserve"> loading that facilitates commercial utilisation of the port infrastructure. </w:t>
      </w:r>
    </w:p>
    <w:p w:rsidR="00633670" w:rsidRPr="00C6506A" w:rsidRDefault="002F2D99" w:rsidP="00633670">
      <w:pPr>
        <w:pStyle w:val="CommentText"/>
        <w:rPr>
          <w:rFonts w:cs="Arial"/>
        </w:rPr>
      </w:pPr>
      <w:proofErr w:type="spellStart"/>
      <w:r>
        <w:rPr>
          <w:rFonts w:cs="Arial"/>
        </w:rPr>
        <w:t>Toepfer</w:t>
      </w:r>
      <w:proofErr w:type="spellEnd"/>
      <w:r>
        <w:rPr>
          <w:rFonts w:cs="Arial"/>
        </w:rPr>
        <w:t xml:space="preserve"> added</w:t>
      </w:r>
      <w:r w:rsidR="00633670" w:rsidRPr="00C6506A">
        <w:rPr>
          <w:rFonts w:cs="Arial"/>
        </w:rPr>
        <w:t>:</w:t>
      </w:r>
    </w:p>
    <w:p w:rsidR="00633670" w:rsidRPr="00C6506A" w:rsidRDefault="00633670" w:rsidP="00633670">
      <w:pPr>
        <w:pStyle w:val="CommentText"/>
        <w:ind w:left="720"/>
        <w:rPr>
          <w:rFonts w:cs="Arial"/>
          <w:sz w:val="18"/>
          <w:szCs w:val="18"/>
        </w:rPr>
      </w:pPr>
      <w:r w:rsidRPr="00C6506A">
        <w:rPr>
          <w:rFonts w:cs="Arial"/>
          <w:sz w:val="18"/>
          <w:szCs w:val="18"/>
        </w:rPr>
        <w:t>Such flexibility should be executed without subsequent impact on the remainder of the shipping stem.</w:t>
      </w:r>
      <w:r w:rsidRPr="00C6506A">
        <w:rPr>
          <w:rStyle w:val="FootnoteReference"/>
          <w:rFonts w:cs="Arial"/>
          <w:sz w:val="18"/>
          <w:szCs w:val="18"/>
        </w:rPr>
        <w:footnoteReference w:id="59"/>
      </w:r>
      <w:r w:rsidRPr="00C6506A">
        <w:rPr>
          <w:rFonts w:cs="Arial"/>
          <w:sz w:val="18"/>
          <w:szCs w:val="18"/>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 xml:space="preserve">The ACCC’s view </w:t>
      </w:r>
    </w:p>
    <w:p w:rsidR="00633670" w:rsidRDefault="00633670" w:rsidP="00633670">
      <w:pPr>
        <w:rPr>
          <w:rFonts w:cs="Arial"/>
          <w:szCs w:val="20"/>
        </w:rPr>
      </w:pPr>
      <w:r>
        <w:rPr>
          <w:rFonts w:cs="Arial"/>
          <w:szCs w:val="20"/>
        </w:rPr>
        <w:t xml:space="preserve">The ACCC considers the two port loading provisions in </w:t>
      </w:r>
      <w:proofErr w:type="spellStart"/>
      <w:r>
        <w:rPr>
          <w:rFonts w:cs="Arial"/>
          <w:szCs w:val="20"/>
        </w:rPr>
        <w:t>Viterra’s</w:t>
      </w:r>
      <w:proofErr w:type="spellEnd"/>
      <w:r>
        <w:rPr>
          <w:rFonts w:cs="Arial"/>
          <w:szCs w:val="20"/>
        </w:rPr>
        <w:t xml:space="preserve"> PLPs to be in the legitimate business interests of </w:t>
      </w:r>
      <w:proofErr w:type="spellStart"/>
      <w:r>
        <w:rPr>
          <w:rFonts w:cs="Arial"/>
          <w:szCs w:val="20"/>
        </w:rPr>
        <w:t>Viterra</w:t>
      </w:r>
      <w:proofErr w:type="spellEnd"/>
      <w:r>
        <w:rPr>
          <w:rFonts w:cs="Arial"/>
          <w:szCs w:val="20"/>
        </w:rPr>
        <w:t xml:space="preserve"> and also in the interests of access seekers. The A</w:t>
      </w:r>
      <w:r w:rsidR="002F2D99">
        <w:rPr>
          <w:rFonts w:cs="Arial"/>
          <w:szCs w:val="20"/>
        </w:rPr>
        <w:t xml:space="preserve">CCC also considers that the </w:t>
      </w:r>
      <w:r>
        <w:rPr>
          <w:rFonts w:cs="Arial"/>
          <w:szCs w:val="20"/>
        </w:rPr>
        <w:t xml:space="preserve">variations to these provisions improve and clarify the provisions of clause 5.7. </w:t>
      </w:r>
    </w:p>
    <w:p w:rsidR="00633670" w:rsidRPr="002530CA" w:rsidRDefault="002F2D99" w:rsidP="00633670">
      <w:pPr>
        <w:rPr>
          <w:rFonts w:cs="Arial"/>
          <w:szCs w:val="20"/>
        </w:rPr>
      </w:pPr>
      <w:r>
        <w:rPr>
          <w:rFonts w:cs="Arial"/>
          <w:szCs w:val="20"/>
        </w:rPr>
        <w:t xml:space="preserve">The </w:t>
      </w:r>
      <w:r w:rsidR="00633670" w:rsidRPr="002530CA">
        <w:rPr>
          <w:rFonts w:cs="Arial"/>
          <w:szCs w:val="20"/>
        </w:rPr>
        <w:t>clarification in clause 5.7(a</w:t>
      </w:r>
      <w:proofErr w:type="gramStart"/>
      <w:r w:rsidR="00633670" w:rsidRPr="002530CA">
        <w:rPr>
          <w:rFonts w:cs="Arial"/>
          <w:szCs w:val="20"/>
        </w:rPr>
        <w:t>)(</w:t>
      </w:r>
      <w:proofErr w:type="gramEnd"/>
      <w:r w:rsidR="00633670" w:rsidRPr="002530CA">
        <w:rPr>
          <w:rFonts w:cs="Arial"/>
          <w:szCs w:val="20"/>
        </w:rPr>
        <w:t xml:space="preserve">ii) that an exporter will not forfeit a booking at a second port if arriving within the grace period at the first port </w:t>
      </w:r>
      <w:r w:rsidR="00633670">
        <w:rPr>
          <w:rFonts w:cs="Arial"/>
          <w:szCs w:val="20"/>
        </w:rPr>
        <w:t>provides additional flexibility to access seekers. The addition of the 10-day grace period (defined in clause 5.5(a)(</w:t>
      </w:r>
      <w:proofErr w:type="spellStart"/>
      <w:r w:rsidR="00633670">
        <w:rPr>
          <w:rFonts w:cs="Arial"/>
          <w:szCs w:val="20"/>
        </w:rPr>
        <w:t>i</w:t>
      </w:r>
      <w:proofErr w:type="spellEnd"/>
      <w:r w:rsidR="00633670">
        <w:rPr>
          <w:rFonts w:cs="Arial"/>
          <w:szCs w:val="20"/>
        </w:rPr>
        <w:t xml:space="preserve">) of the PLPs) provides </w:t>
      </w:r>
      <w:proofErr w:type="spellStart"/>
      <w:r w:rsidR="00633670">
        <w:rPr>
          <w:rFonts w:cs="Arial"/>
          <w:szCs w:val="20"/>
        </w:rPr>
        <w:t>Viterra</w:t>
      </w:r>
      <w:proofErr w:type="spellEnd"/>
      <w:r w:rsidR="00633670">
        <w:rPr>
          <w:rFonts w:cs="Arial"/>
          <w:szCs w:val="20"/>
        </w:rPr>
        <w:t xml:space="preserve"> additional time in which to commence the loading process and reduces the likelihood that minor delays will have major impacts (for example, where an exporter arrives outside of its original booking slot and is required to make an additional booking). The ACCC considers that this additional 10-day window also provides access seekers with additional commercial flexibility</w:t>
      </w:r>
      <w:r w:rsidR="00633670" w:rsidRPr="005F73B9">
        <w:rPr>
          <w:rFonts w:cs="Arial"/>
          <w:szCs w:val="20"/>
        </w:rPr>
        <w:t xml:space="preserve"> </w:t>
      </w:r>
      <w:r w:rsidR="00633670">
        <w:rPr>
          <w:rFonts w:cs="Arial"/>
          <w:szCs w:val="20"/>
        </w:rPr>
        <w:t>and to be generally in the interests of access seekers</w:t>
      </w:r>
      <w:r w:rsidR="00633670" w:rsidRPr="002530CA">
        <w:rPr>
          <w:rFonts w:cs="Arial"/>
          <w:szCs w:val="20"/>
        </w:rPr>
        <w:t>, having rega</w:t>
      </w:r>
      <w:r w:rsidR="00633670">
        <w:rPr>
          <w:rFonts w:cs="Arial"/>
          <w:szCs w:val="20"/>
        </w:rPr>
        <w:t>rd to subsection 44ZZA(3)(c) of the CCA.</w:t>
      </w:r>
      <w:r w:rsidR="004C5C36">
        <w:rPr>
          <w:rFonts w:cs="Arial"/>
          <w:szCs w:val="20"/>
        </w:rPr>
        <w:t xml:space="preserve">  </w:t>
      </w:r>
      <w:r w:rsidR="00633670">
        <w:rPr>
          <w:rFonts w:cs="Arial"/>
          <w:szCs w:val="20"/>
        </w:rPr>
        <w:t xml:space="preserve"> </w:t>
      </w:r>
    </w:p>
    <w:p w:rsidR="00633670" w:rsidRDefault="002F2D99" w:rsidP="00633670">
      <w:pPr>
        <w:rPr>
          <w:rFonts w:cs="Arial"/>
          <w:szCs w:val="20"/>
        </w:rPr>
      </w:pPr>
      <w:r>
        <w:rPr>
          <w:rFonts w:cs="Arial"/>
          <w:szCs w:val="20"/>
        </w:rPr>
        <w:t xml:space="preserve">The </w:t>
      </w:r>
      <w:r w:rsidR="00633670" w:rsidRPr="002530CA">
        <w:rPr>
          <w:rFonts w:cs="Arial"/>
          <w:szCs w:val="20"/>
        </w:rPr>
        <w:t>amendment to clause 5.7(c), similarly, provides exporters with additional flexibility in the way that they accumulate</w:t>
      </w:r>
      <w:r w:rsidR="00633670">
        <w:rPr>
          <w:rFonts w:cs="Arial"/>
          <w:szCs w:val="20"/>
        </w:rPr>
        <w:t xml:space="preserve"> grain against booked capacity</w:t>
      </w:r>
      <w:r w:rsidR="00633670" w:rsidRPr="002530CA">
        <w:rPr>
          <w:rFonts w:cs="Arial"/>
          <w:szCs w:val="20"/>
        </w:rPr>
        <w:t xml:space="preserve">. The ACCC considers that </w:t>
      </w:r>
      <w:r w:rsidR="00633670">
        <w:rPr>
          <w:rFonts w:cs="Arial"/>
          <w:szCs w:val="20"/>
        </w:rPr>
        <w:t>the additional</w:t>
      </w:r>
      <w:r w:rsidR="00633670" w:rsidRPr="002530CA">
        <w:rPr>
          <w:rFonts w:cs="Arial"/>
          <w:szCs w:val="20"/>
        </w:rPr>
        <w:t xml:space="preserve"> flexibility t</w:t>
      </w:r>
      <w:r w:rsidR="00633670">
        <w:rPr>
          <w:rFonts w:cs="Arial"/>
          <w:szCs w:val="20"/>
        </w:rPr>
        <w:t xml:space="preserve">o complete two port loading in desired proportions to be in </w:t>
      </w:r>
      <w:r w:rsidR="00633670" w:rsidRPr="002530CA">
        <w:rPr>
          <w:rFonts w:cs="Arial"/>
          <w:szCs w:val="20"/>
        </w:rPr>
        <w:t xml:space="preserve">the interests of access seekers, having regard to </w:t>
      </w:r>
      <w:r w:rsidR="00633670">
        <w:rPr>
          <w:rFonts w:cs="Arial"/>
          <w:szCs w:val="20"/>
        </w:rPr>
        <w:t>subsection</w:t>
      </w:r>
      <w:r w:rsidR="00633670" w:rsidRPr="002530CA">
        <w:rPr>
          <w:rFonts w:cs="Arial"/>
          <w:szCs w:val="20"/>
        </w:rPr>
        <w:t xml:space="preserve"> 44ZZA(3)(c) of the CCA. The ACCC also considers that the efficient distribution of tonnages to be in the interests of </w:t>
      </w:r>
      <w:proofErr w:type="spellStart"/>
      <w:r w:rsidR="00633670" w:rsidRPr="002530CA">
        <w:rPr>
          <w:rFonts w:cs="Arial"/>
          <w:szCs w:val="20"/>
        </w:rPr>
        <w:t>Viterra’s</w:t>
      </w:r>
      <w:proofErr w:type="spellEnd"/>
      <w:r w:rsidR="00633670" w:rsidRPr="002530CA">
        <w:rPr>
          <w:rFonts w:cs="Arial"/>
          <w:szCs w:val="20"/>
        </w:rPr>
        <w:t xml:space="preserve"> port operations and the general efficient use of the port infrastructure, having regard to </w:t>
      </w:r>
      <w:r w:rsidR="00633670">
        <w:rPr>
          <w:rFonts w:cs="Arial"/>
          <w:szCs w:val="20"/>
        </w:rPr>
        <w:t xml:space="preserve">subsections </w:t>
      </w:r>
      <w:proofErr w:type="gramStart"/>
      <w:r w:rsidR="00633670">
        <w:rPr>
          <w:rFonts w:cs="Arial"/>
          <w:szCs w:val="20"/>
        </w:rPr>
        <w:t>44ZZA(</w:t>
      </w:r>
      <w:proofErr w:type="gramEnd"/>
      <w:r w:rsidR="00633670">
        <w:rPr>
          <w:rFonts w:cs="Arial"/>
          <w:szCs w:val="20"/>
        </w:rPr>
        <w:t>3)(c) and 44ZZA(3)(</w:t>
      </w:r>
      <w:proofErr w:type="spellStart"/>
      <w:r w:rsidR="00633670">
        <w:rPr>
          <w:rFonts w:cs="Arial"/>
          <w:szCs w:val="20"/>
        </w:rPr>
        <w:t>aa</w:t>
      </w:r>
      <w:proofErr w:type="spellEnd"/>
      <w:r w:rsidR="00633670">
        <w:rPr>
          <w:rFonts w:cs="Arial"/>
          <w:szCs w:val="20"/>
        </w:rPr>
        <w:t xml:space="preserve">) </w:t>
      </w:r>
      <w:r w:rsidR="00633670" w:rsidRPr="002530CA">
        <w:rPr>
          <w:rFonts w:cs="Arial"/>
          <w:szCs w:val="20"/>
        </w:rPr>
        <w:t>of the CCA.</w:t>
      </w:r>
      <w:r w:rsidR="00633670">
        <w:rPr>
          <w:rFonts w:cs="Arial"/>
          <w:szCs w:val="20"/>
        </w:rPr>
        <w:t xml:space="preserve"> </w:t>
      </w:r>
    </w:p>
    <w:p w:rsidR="00633670" w:rsidRPr="00737600" w:rsidRDefault="00633670" w:rsidP="00633670">
      <w:pPr>
        <w:rPr>
          <w:rFonts w:cs="Arial"/>
          <w:szCs w:val="20"/>
        </w:rPr>
      </w:pPr>
      <w:r>
        <w:rPr>
          <w:rFonts w:cs="Arial"/>
          <w:szCs w:val="20"/>
        </w:rPr>
        <w:t>In consideration of the above matte</w:t>
      </w:r>
      <w:r w:rsidR="002F2D99">
        <w:rPr>
          <w:rFonts w:cs="Arial"/>
          <w:szCs w:val="20"/>
        </w:rPr>
        <w:t xml:space="preserve">rs it is the ACCC’s </w:t>
      </w:r>
      <w:r w:rsidR="00FA08B9">
        <w:rPr>
          <w:rFonts w:cs="Arial"/>
          <w:szCs w:val="20"/>
        </w:rPr>
        <w:t>decision</w:t>
      </w:r>
      <w:r>
        <w:rPr>
          <w:rFonts w:cs="Arial"/>
          <w:szCs w:val="20"/>
        </w:rPr>
        <w:t xml:space="preserve"> to accept the proposed amendments to clause 5.7(a)(ii) and 5.7(c), having regard to subsection 44ZZA(3) of the CCA.</w:t>
      </w:r>
    </w:p>
    <w:p w:rsidR="00633670" w:rsidRPr="000F2FB4" w:rsidRDefault="00633670" w:rsidP="000F2FB4">
      <w:pPr>
        <w:pStyle w:val="Numberedheading2"/>
      </w:pPr>
      <w:bookmarkStart w:id="28" w:name="_Toc378322943"/>
      <w:r w:rsidRPr="000F2FB4">
        <w:lastRenderedPageBreak/>
        <w:t>Movement of first in, first served bookings</w:t>
      </w:r>
      <w:bookmarkEnd w:id="28"/>
    </w:p>
    <w:p w:rsidR="00633670" w:rsidRPr="001D076B" w:rsidRDefault="00633670" w:rsidP="00633670">
      <w:pPr>
        <w:rPr>
          <w:rFonts w:cs="Arial"/>
          <w:szCs w:val="20"/>
        </w:rPr>
      </w:pPr>
      <w:r w:rsidRPr="001D076B">
        <w:rPr>
          <w:rFonts w:cs="Arial"/>
          <w:szCs w:val="20"/>
        </w:rPr>
        <w:t xml:space="preserve">Clause 7 of </w:t>
      </w:r>
      <w:proofErr w:type="spellStart"/>
      <w:r w:rsidRPr="001D076B">
        <w:rPr>
          <w:rFonts w:cs="Arial"/>
          <w:szCs w:val="20"/>
        </w:rPr>
        <w:t>Viterra’s</w:t>
      </w:r>
      <w:proofErr w:type="spellEnd"/>
      <w:r w:rsidRPr="001D076B">
        <w:rPr>
          <w:rFonts w:cs="Arial"/>
          <w:szCs w:val="20"/>
        </w:rPr>
        <w:t xml:space="preserve"> PLPs allow for the movement of any capacity acquired at auction, or through the </w:t>
      </w:r>
      <w:r>
        <w:rPr>
          <w:rFonts w:cs="Arial"/>
          <w:szCs w:val="20"/>
        </w:rPr>
        <w:t xml:space="preserve">FIFS </w:t>
      </w:r>
      <w:r w:rsidRPr="001D076B">
        <w:rPr>
          <w:rFonts w:cs="Arial"/>
          <w:szCs w:val="20"/>
        </w:rPr>
        <w:t>system to different shipping slots or ports, provided a number of conditions are met.</w:t>
      </w:r>
    </w:p>
    <w:p w:rsidR="00633670" w:rsidRPr="001D076B" w:rsidRDefault="00633670" w:rsidP="00633670">
      <w:pPr>
        <w:rPr>
          <w:rFonts w:cs="Arial"/>
          <w:szCs w:val="20"/>
        </w:rPr>
      </w:pPr>
      <w:proofErr w:type="spellStart"/>
      <w:r w:rsidRPr="001D076B">
        <w:rPr>
          <w:rFonts w:cs="Arial"/>
          <w:szCs w:val="20"/>
        </w:rPr>
        <w:t>Viterra’s</w:t>
      </w:r>
      <w:proofErr w:type="spellEnd"/>
      <w:r w:rsidRPr="001D076B">
        <w:rPr>
          <w:rFonts w:cs="Arial"/>
          <w:szCs w:val="20"/>
        </w:rPr>
        <w:t xml:space="preserve"> PLPs are silent on the earliest time an exporter can apply to move a booking following an auction. However, until the details of available capacity are published pursuant to clause 2.4, exporters are unable to determine whether capacity is available in the shipping slot, or at the port they would like to move bookings to. </w:t>
      </w:r>
    </w:p>
    <w:p w:rsidR="00633670" w:rsidRPr="001D076B" w:rsidRDefault="00633670" w:rsidP="00633670">
      <w:pPr>
        <w:rPr>
          <w:rFonts w:cs="Arial"/>
          <w:szCs w:val="20"/>
        </w:rPr>
      </w:pPr>
      <w:r w:rsidRPr="001D076B">
        <w:rPr>
          <w:rFonts w:cs="Arial"/>
          <w:szCs w:val="20"/>
        </w:rPr>
        <w:t xml:space="preserve">It has been </w:t>
      </w:r>
      <w:proofErr w:type="spellStart"/>
      <w:r w:rsidRPr="001D076B">
        <w:rPr>
          <w:rFonts w:cs="Arial"/>
          <w:szCs w:val="20"/>
        </w:rPr>
        <w:t>Viterra’s</w:t>
      </w:r>
      <w:proofErr w:type="spellEnd"/>
      <w:r w:rsidRPr="001D076B">
        <w:rPr>
          <w:rFonts w:cs="Arial"/>
          <w:szCs w:val="20"/>
        </w:rPr>
        <w:t xml:space="preserve"> practice to accept applications to move bookings on the opening of the </w:t>
      </w:r>
      <w:r>
        <w:rPr>
          <w:rFonts w:cs="Arial"/>
          <w:szCs w:val="20"/>
        </w:rPr>
        <w:t xml:space="preserve">shipping </w:t>
      </w:r>
      <w:r w:rsidRPr="001D076B">
        <w:rPr>
          <w:rFonts w:cs="Arial"/>
          <w:szCs w:val="20"/>
        </w:rPr>
        <w:t xml:space="preserve">stem for </w:t>
      </w:r>
      <w:r>
        <w:rPr>
          <w:rFonts w:cs="Arial"/>
          <w:szCs w:val="20"/>
        </w:rPr>
        <w:t>FIFS</w:t>
      </w:r>
      <w:r w:rsidRPr="001D076B">
        <w:rPr>
          <w:rFonts w:cs="Arial"/>
          <w:szCs w:val="20"/>
        </w:rPr>
        <w:t xml:space="preserve"> bookings. </w:t>
      </w:r>
      <w:r w:rsidR="00333754">
        <w:rPr>
          <w:rFonts w:cs="Arial"/>
          <w:szCs w:val="20"/>
        </w:rPr>
        <w:t>However, the restrictions on new FIFS bookings, as discussed above at chapter 4.3, do not apply to the movement of auction bookings.</w:t>
      </w:r>
    </w:p>
    <w:p w:rsidR="00633670" w:rsidRPr="001D076B" w:rsidRDefault="00633670" w:rsidP="00633670">
      <w:pPr>
        <w:rPr>
          <w:rFonts w:cs="Arial"/>
          <w:szCs w:val="20"/>
        </w:rPr>
      </w:pPr>
      <w:proofErr w:type="spellStart"/>
      <w:r w:rsidRPr="001D076B">
        <w:rPr>
          <w:rFonts w:cs="Arial"/>
          <w:szCs w:val="20"/>
        </w:rPr>
        <w:t>Viterra</w:t>
      </w:r>
      <w:proofErr w:type="spellEnd"/>
      <w:r w:rsidRPr="001D076B">
        <w:rPr>
          <w:rFonts w:cs="Arial"/>
          <w:szCs w:val="20"/>
        </w:rPr>
        <w:t xml:space="preserve"> propose</w:t>
      </w:r>
      <w:r w:rsidR="00155A78">
        <w:rPr>
          <w:rFonts w:cs="Arial"/>
          <w:szCs w:val="20"/>
        </w:rPr>
        <w:t>s</w:t>
      </w:r>
      <w:r w:rsidRPr="001D076B">
        <w:rPr>
          <w:rFonts w:cs="Arial"/>
          <w:szCs w:val="20"/>
        </w:rPr>
        <w:t xml:space="preserve"> to amend clause 7(e) to specify that </w:t>
      </w:r>
      <w:proofErr w:type="spellStart"/>
      <w:r w:rsidRPr="001D076B">
        <w:rPr>
          <w:rFonts w:cs="Arial"/>
          <w:szCs w:val="20"/>
        </w:rPr>
        <w:t>Viterra</w:t>
      </w:r>
      <w:proofErr w:type="spellEnd"/>
      <w:r w:rsidRPr="001D076B">
        <w:rPr>
          <w:rFonts w:cs="Arial"/>
          <w:szCs w:val="20"/>
        </w:rPr>
        <w:t xml:space="preserve"> will not accept any request or agree to move a booking to a slot at a port terminal where:</w:t>
      </w:r>
    </w:p>
    <w:p w:rsidR="00633670" w:rsidRPr="001D076B" w:rsidRDefault="00633670" w:rsidP="00633670">
      <w:pPr>
        <w:ind w:left="720"/>
        <w:rPr>
          <w:rFonts w:cs="Arial"/>
          <w:sz w:val="18"/>
          <w:szCs w:val="18"/>
        </w:rPr>
      </w:pPr>
      <w:r w:rsidRPr="001D076B">
        <w:rPr>
          <w:rFonts w:cs="Arial"/>
          <w:sz w:val="18"/>
          <w:szCs w:val="18"/>
        </w:rPr>
        <w:t xml:space="preserve">(iii) </w:t>
      </w:r>
      <w:proofErr w:type="gramStart"/>
      <w:r w:rsidRPr="001D076B">
        <w:rPr>
          <w:rFonts w:cs="Arial"/>
          <w:sz w:val="18"/>
          <w:szCs w:val="18"/>
        </w:rPr>
        <w:t>the</w:t>
      </w:r>
      <w:proofErr w:type="gramEnd"/>
      <w:r w:rsidRPr="001D076B">
        <w:rPr>
          <w:rFonts w:cs="Arial"/>
          <w:sz w:val="18"/>
          <w:szCs w:val="18"/>
        </w:rPr>
        <w:t xml:space="preserve"> Capacity at the Slot to which the Client has requested the Booking be moved has not yet become available for booking on a first-in-first served basis in accordance with clause 2.4(d). For the avoidance of doubt, clause 2.4(g) does not apply to the movement of any Booking.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517047">
        <w:rPr>
          <w:rFonts w:ascii="Lucida Fax" w:eastAsia="Times New Roman" w:hAnsi="Lucida Fax" w:cs="Times New Roman"/>
          <w:b/>
          <w:bCs/>
          <w:sz w:val="24"/>
          <w:szCs w:val="28"/>
        </w:rPr>
        <w:t>Viterra’s</w:t>
      </w:r>
      <w:proofErr w:type="spellEnd"/>
      <w:r w:rsidRPr="00517047">
        <w:rPr>
          <w:rFonts w:ascii="Lucida Fax" w:eastAsia="Times New Roman" w:hAnsi="Lucida Fax" w:cs="Times New Roman"/>
          <w:b/>
          <w:bCs/>
          <w:sz w:val="24"/>
          <w:szCs w:val="28"/>
        </w:rPr>
        <w:t xml:space="preserve"> supporting submissions</w:t>
      </w:r>
    </w:p>
    <w:p w:rsidR="00633670" w:rsidRPr="001D076B" w:rsidRDefault="005E1225" w:rsidP="00633670">
      <w:pPr>
        <w:spacing w:before="240"/>
        <w:rPr>
          <w:rFonts w:eastAsiaTheme="majorEastAsia" w:cs="Arial"/>
          <w:bCs/>
          <w:szCs w:val="20"/>
        </w:rPr>
      </w:pPr>
      <w:proofErr w:type="spellStart"/>
      <w:r>
        <w:rPr>
          <w:rFonts w:eastAsiaTheme="majorEastAsia" w:cs="Arial"/>
          <w:bCs/>
          <w:szCs w:val="20"/>
        </w:rPr>
        <w:t>Viterra</w:t>
      </w:r>
      <w:proofErr w:type="spellEnd"/>
      <w:r>
        <w:rPr>
          <w:rFonts w:eastAsiaTheme="majorEastAsia" w:cs="Arial"/>
          <w:bCs/>
          <w:szCs w:val="20"/>
        </w:rPr>
        <w:t xml:space="preserve"> submitted</w:t>
      </w:r>
      <w:r w:rsidR="00633670" w:rsidRPr="001D076B">
        <w:rPr>
          <w:rFonts w:eastAsiaTheme="majorEastAsia" w:cs="Arial"/>
          <w:bCs/>
          <w:szCs w:val="20"/>
        </w:rPr>
        <w:t>:</w:t>
      </w:r>
    </w:p>
    <w:p w:rsidR="00633670" w:rsidRDefault="00633670" w:rsidP="00633670">
      <w:pPr>
        <w:ind w:left="720"/>
        <w:rPr>
          <w:rFonts w:cs="Arial"/>
          <w:sz w:val="18"/>
          <w:szCs w:val="18"/>
        </w:rPr>
      </w:pPr>
      <w:r w:rsidRPr="001D076B">
        <w:rPr>
          <w:rFonts w:cs="Arial"/>
          <w:sz w:val="18"/>
          <w:szCs w:val="18"/>
        </w:rPr>
        <w:t>The proposed amendment clarifies that Clients cannot move a booking until after the shipping stem opens for first-in-first-served booking in respect of the relevant period. Applications for the movement of bookings will be assessed in the same way as applications for new bookings (i.e. with booking priority granted to the first in time). This amendment also makes clear that movements made after the opening of the shipping stem will not be subject to the “half hour rule” (i.e. there is no requirement that Clients can move only one Booking in each half hour period).</w:t>
      </w:r>
      <w:r w:rsidRPr="001D076B">
        <w:rPr>
          <w:rStyle w:val="FootnoteReference"/>
          <w:rFonts w:cs="Arial"/>
          <w:sz w:val="18"/>
          <w:szCs w:val="18"/>
        </w:rPr>
        <w:footnoteReference w:id="60"/>
      </w:r>
      <w:r w:rsidRPr="001D076B">
        <w:rPr>
          <w:rFonts w:cs="Arial"/>
          <w:sz w:val="18"/>
          <w:szCs w:val="18"/>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 xml:space="preserve">Stakeholders’ views </w:t>
      </w:r>
    </w:p>
    <w:p w:rsidR="00633670" w:rsidRPr="001D076B" w:rsidRDefault="00633670" w:rsidP="00633670">
      <w:pPr>
        <w:rPr>
          <w:b/>
        </w:rPr>
      </w:pPr>
      <w:bookmarkStart w:id="29" w:name="_Toc370977033"/>
      <w:bookmarkStart w:id="30" w:name="_Toc370977137"/>
      <w:bookmarkStart w:id="31" w:name="_Toc370977203"/>
      <w:bookmarkStart w:id="32" w:name="_Toc370979011"/>
      <w:proofErr w:type="spellStart"/>
      <w:r w:rsidRPr="001D076B">
        <w:t>Toepfer</w:t>
      </w:r>
      <w:proofErr w:type="spellEnd"/>
      <w:r w:rsidRPr="001D076B">
        <w:t xml:space="preserve"> submit</w:t>
      </w:r>
      <w:r w:rsidR="005E1225">
        <w:t>ted</w:t>
      </w:r>
      <w:r w:rsidRPr="001D076B">
        <w:t xml:space="preserve"> its general concern regarding the movement of </w:t>
      </w:r>
      <w:r>
        <w:t>FIFS</w:t>
      </w:r>
      <w:r w:rsidRPr="001D076B">
        <w:t xml:space="preserve"> capacity:</w:t>
      </w:r>
      <w:bookmarkEnd w:id="29"/>
      <w:bookmarkEnd w:id="30"/>
      <w:bookmarkEnd w:id="31"/>
      <w:bookmarkEnd w:id="32"/>
    </w:p>
    <w:p w:rsidR="00633670" w:rsidRPr="001D076B" w:rsidRDefault="00633670" w:rsidP="00633670">
      <w:pPr>
        <w:ind w:left="720"/>
        <w:rPr>
          <w:rFonts w:cs="Arial"/>
          <w:sz w:val="18"/>
          <w:szCs w:val="18"/>
        </w:rPr>
      </w:pPr>
      <w:proofErr w:type="spellStart"/>
      <w:r w:rsidRPr="001D076B">
        <w:rPr>
          <w:rFonts w:cs="Arial"/>
          <w:sz w:val="18"/>
          <w:szCs w:val="18"/>
        </w:rPr>
        <w:t>Toepfer</w:t>
      </w:r>
      <w:proofErr w:type="spellEnd"/>
      <w:r w:rsidRPr="001D076B">
        <w:rPr>
          <w:rFonts w:cs="Arial"/>
          <w:sz w:val="18"/>
          <w:szCs w:val="18"/>
        </w:rPr>
        <w:t xml:space="preserve"> are of the opinion that simultaneous movement of booking acquired at auction once the first in, first serve opens has led to increased manipulation of the auction system. The intent of the auction is to allocate shipping capacity to those whom value it the most as the primary allocator of capacity. The relocation of capacity within auction from higher to lower demand slots/Ports, with the intent to reposition with multiple logins under the first in, first serve is clear conduct of manipulation.</w:t>
      </w:r>
      <w:r w:rsidRPr="001D076B">
        <w:rPr>
          <w:rStyle w:val="FootnoteReference"/>
          <w:rFonts w:cs="Arial"/>
          <w:sz w:val="18"/>
          <w:szCs w:val="18"/>
        </w:rPr>
        <w:footnoteReference w:id="61"/>
      </w:r>
      <w:r w:rsidRPr="001D076B">
        <w:rPr>
          <w:rFonts w:cs="Arial"/>
          <w:sz w:val="18"/>
          <w:szCs w:val="18"/>
        </w:rPr>
        <w:t xml:space="preserve"> </w:t>
      </w:r>
    </w:p>
    <w:p w:rsidR="00633670" w:rsidRPr="001D076B" w:rsidRDefault="00633670" w:rsidP="00633670">
      <w:pPr>
        <w:rPr>
          <w:rFonts w:cs="Arial"/>
          <w:szCs w:val="20"/>
        </w:rPr>
      </w:pPr>
      <w:proofErr w:type="spellStart"/>
      <w:r w:rsidRPr="001D076B">
        <w:rPr>
          <w:rFonts w:cs="Arial"/>
          <w:szCs w:val="20"/>
        </w:rPr>
        <w:t>Toepfer</w:t>
      </w:r>
      <w:proofErr w:type="spellEnd"/>
      <w:r w:rsidRPr="001D076B">
        <w:rPr>
          <w:rFonts w:cs="Arial"/>
          <w:szCs w:val="20"/>
        </w:rPr>
        <w:t xml:space="preserve"> further </w:t>
      </w:r>
      <w:r w:rsidR="005F7020" w:rsidRPr="001D076B">
        <w:rPr>
          <w:rFonts w:cs="Arial"/>
          <w:szCs w:val="20"/>
        </w:rPr>
        <w:t>submi</w:t>
      </w:r>
      <w:r w:rsidR="005F7020">
        <w:rPr>
          <w:rFonts w:cs="Arial"/>
          <w:szCs w:val="20"/>
        </w:rPr>
        <w:t>tte</w:t>
      </w:r>
      <w:r w:rsidR="005F7020" w:rsidRPr="001D076B">
        <w:rPr>
          <w:rFonts w:cs="Arial"/>
          <w:szCs w:val="20"/>
        </w:rPr>
        <w:t>d</w:t>
      </w:r>
      <w:r w:rsidRPr="001D076B">
        <w:rPr>
          <w:rFonts w:cs="Arial"/>
          <w:szCs w:val="20"/>
        </w:rPr>
        <w:t xml:space="preserve"> its </w:t>
      </w:r>
      <w:r>
        <w:rPr>
          <w:rFonts w:cs="Arial"/>
          <w:szCs w:val="20"/>
        </w:rPr>
        <w:t xml:space="preserve">specific </w:t>
      </w:r>
      <w:r w:rsidRPr="001D076B">
        <w:rPr>
          <w:rFonts w:cs="Arial"/>
          <w:szCs w:val="20"/>
        </w:rPr>
        <w:t>concern regarding the 2013/2014 auction process:</w:t>
      </w:r>
    </w:p>
    <w:p w:rsidR="00633670" w:rsidRDefault="00633670" w:rsidP="00633670">
      <w:pPr>
        <w:ind w:left="720"/>
        <w:rPr>
          <w:rFonts w:cs="Arial"/>
          <w:sz w:val="18"/>
          <w:szCs w:val="18"/>
        </w:rPr>
      </w:pPr>
      <w:r w:rsidRPr="001D076B">
        <w:rPr>
          <w:rFonts w:cs="Arial"/>
          <w:sz w:val="18"/>
          <w:szCs w:val="18"/>
        </w:rPr>
        <w:t>This was demonstrated in the 2013/14 capacity auction and subsequent opening of first in, first serve where 195,000mt of acquired auction capacity at Thevenard was repositioned to alternative Ports/slots of higher demand. Such conduct only further creates uncertainty in which capacity has been acquired under the first in, first serve and accordingly the movement of acquired capacity under auction should be governed by the same principles of the first in, first serve in the 48 hours after auction.</w:t>
      </w:r>
      <w:r w:rsidRPr="001D076B">
        <w:rPr>
          <w:rStyle w:val="FootnoteReference"/>
          <w:rFonts w:cs="Arial"/>
          <w:sz w:val="18"/>
          <w:szCs w:val="18"/>
        </w:rPr>
        <w:footnoteReference w:id="62"/>
      </w:r>
      <w:r w:rsidRPr="001D076B">
        <w:rPr>
          <w:rFonts w:cs="Arial"/>
          <w:sz w:val="18"/>
          <w:szCs w:val="18"/>
        </w:rPr>
        <w:t xml:space="preserve"> </w:t>
      </w:r>
    </w:p>
    <w:p w:rsidR="0071045F" w:rsidRPr="001D076B" w:rsidRDefault="0071045F" w:rsidP="00633670">
      <w:pPr>
        <w:ind w:left="720"/>
        <w:rPr>
          <w:rFonts w:cs="Arial"/>
          <w:sz w:val="18"/>
          <w:szCs w:val="18"/>
        </w:rPr>
      </w:pP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lastRenderedPageBreak/>
        <w:t>The ACCC’s view</w:t>
      </w:r>
    </w:p>
    <w:p w:rsidR="00633670" w:rsidRDefault="00633670" w:rsidP="00633670">
      <w:pPr>
        <w:rPr>
          <w:rFonts w:cs="Arial"/>
          <w:szCs w:val="20"/>
        </w:rPr>
      </w:pPr>
      <w:r>
        <w:rPr>
          <w:rFonts w:cs="Arial"/>
          <w:szCs w:val="20"/>
        </w:rPr>
        <w:t xml:space="preserve">The ACCC notes that </w:t>
      </w:r>
      <w:proofErr w:type="spellStart"/>
      <w:r>
        <w:rPr>
          <w:rFonts w:cs="Arial"/>
          <w:szCs w:val="20"/>
        </w:rPr>
        <w:t>Viterra’s</w:t>
      </w:r>
      <w:proofErr w:type="spellEnd"/>
      <w:r>
        <w:rPr>
          <w:rFonts w:cs="Arial"/>
          <w:szCs w:val="20"/>
        </w:rPr>
        <w:t xml:space="preserve"> amendment to clause 7 of its PLPs is not a material change to its </w:t>
      </w:r>
      <w:r w:rsidR="00514A67">
        <w:rPr>
          <w:rFonts w:cs="Arial"/>
          <w:szCs w:val="20"/>
        </w:rPr>
        <w:t xml:space="preserve">previous </w:t>
      </w:r>
      <w:r>
        <w:rPr>
          <w:rFonts w:cs="Arial"/>
          <w:szCs w:val="20"/>
        </w:rPr>
        <w:t xml:space="preserve">approach to the movement of FIFS bookings. The ACCC considers this amendment to be a clarification of existing arrangements that the ACCC considered appropriate in its assessment of </w:t>
      </w:r>
      <w:proofErr w:type="spellStart"/>
      <w:r>
        <w:rPr>
          <w:rFonts w:cs="Arial"/>
          <w:szCs w:val="20"/>
        </w:rPr>
        <w:t>Viterra’s</w:t>
      </w:r>
      <w:proofErr w:type="spellEnd"/>
      <w:r>
        <w:rPr>
          <w:rFonts w:cs="Arial"/>
          <w:szCs w:val="20"/>
        </w:rPr>
        <w:t xml:space="preserve"> 2011 </w:t>
      </w:r>
      <w:proofErr w:type="gramStart"/>
      <w:r>
        <w:rPr>
          <w:rFonts w:cs="Arial"/>
          <w:szCs w:val="20"/>
        </w:rPr>
        <w:t>Undertaking</w:t>
      </w:r>
      <w:proofErr w:type="gramEnd"/>
      <w:r>
        <w:rPr>
          <w:rFonts w:cs="Arial"/>
          <w:szCs w:val="20"/>
        </w:rPr>
        <w:t xml:space="preserve">. The ACCC considers that the amendment provides greater certainty to access seekers and is therefore appropriate, having regard to subsection </w:t>
      </w:r>
      <w:proofErr w:type="gramStart"/>
      <w:r>
        <w:rPr>
          <w:rFonts w:cs="Arial"/>
          <w:szCs w:val="20"/>
        </w:rPr>
        <w:t>44ZZA(</w:t>
      </w:r>
      <w:proofErr w:type="gramEnd"/>
      <w:r>
        <w:rPr>
          <w:rFonts w:cs="Arial"/>
          <w:szCs w:val="20"/>
        </w:rPr>
        <w:t xml:space="preserve">3)(c) of the CCA. </w:t>
      </w:r>
    </w:p>
    <w:p w:rsidR="00633670" w:rsidRDefault="00633670" w:rsidP="00633670">
      <w:pPr>
        <w:rPr>
          <w:rFonts w:cs="Arial"/>
          <w:szCs w:val="20"/>
        </w:rPr>
      </w:pPr>
      <w:r>
        <w:rPr>
          <w:rFonts w:cs="Arial"/>
          <w:szCs w:val="20"/>
        </w:rPr>
        <w:t xml:space="preserve">In response to </w:t>
      </w:r>
      <w:proofErr w:type="spellStart"/>
      <w:r>
        <w:rPr>
          <w:rFonts w:cs="Arial"/>
          <w:szCs w:val="20"/>
        </w:rPr>
        <w:t>Toepfer’s</w:t>
      </w:r>
      <w:proofErr w:type="spellEnd"/>
      <w:r>
        <w:rPr>
          <w:rFonts w:cs="Arial"/>
          <w:szCs w:val="20"/>
        </w:rPr>
        <w:t xml:space="preserve"> submission that applications to move bookings of capacity acquired at auction should be subject to the same restrictions as new capacity bookings, the ACCC notes that the capacity allocation systems operated by </w:t>
      </w:r>
      <w:proofErr w:type="spellStart"/>
      <w:r>
        <w:rPr>
          <w:rFonts w:cs="Arial"/>
          <w:szCs w:val="20"/>
        </w:rPr>
        <w:t>Viterra</w:t>
      </w:r>
      <w:proofErr w:type="spellEnd"/>
      <w:r>
        <w:rPr>
          <w:rFonts w:cs="Arial"/>
          <w:szCs w:val="20"/>
        </w:rPr>
        <w:t xml:space="preserve"> are designed so that the auction is the primary means of allocating capacity and that exporters are discouraged from attempting to acquire capacity through the FIFS system. The uncertainty in acquiring capacity via the FIFS system, and priority afforded to capacity acquired at auction, provides an incentive for exporters to acquire capacity at auction.</w:t>
      </w:r>
      <w:r w:rsidRPr="00E25D2A">
        <w:rPr>
          <w:rFonts w:cs="Arial"/>
          <w:szCs w:val="20"/>
        </w:rPr>
        <w:t xml:space="preserve"> </w:t>
      </w:r>
      <w:r>
        <w:rPr>
          <w:rFonts w:cs="Arial"/>
          <w:szCs w:val="20"/>
        </w:rPr>
        <w:t xml:space="preserve">The ACCC notes that the only way that exporters can be assured of securing preferred capacity is to do so through the auction system. Further, regarding </w:t>
      </w:r>
      <w:proofErr w:type="spellStart"/>
      <w:r>
        <w:rPr>
          <w:rFonts w:cs="Arial"/>
          <w:szCs w:val="20"/>
        </w:rPr>
        <w:t>Toepfer’s</w:t>
      </w:r>
      <w:proofErr w:type="spellEnd"/>
      <w:r>
        <w:rPr>
          <w:rFonts w:cs="Arial"/>
          <w:szCs w:val="20"/>
        </w:rPr>
        <w:t xml:space="preserve"> concern that capacity has been moved from high to low demand slots, the ACCC does not consider capacity to be in ‘high demand’ if exporters have not bid for it at auction.</w:t>
      </w:r>
    </w:p>
    <w:p w:rsidR="00633670" w:rsidRDefault="00633670" w:rsidP="00633670">
      <w:pPr>
        <w:rPr>
          <w:rFonts w:cs="Arial"/>
          <w:szCs w:val="20"/>
        </w:rPr>
      </w:pPr>
      <w:r>
        <w:rPr>
          <w:rFonts w:cs="Arial"/>
          <w:szCs w:val="20"/>
        </w:rPr>
        <w:t>In general the ACCC considers that the movement of bookings generally assists with the efficient use of</w:t>
      </w:r>
      <w:r w:rsidR="004C5C36">
        <w:rPr>
          <w:rFonts w:cs="Arial"/>
          <w:szCs w:val="20"/>
        </w:rPr>
        <w:t xml:space="preserve"> port terminal infrastructure. </w:t>
      </w:r>
      <w:r>
        <w:rPr>
          <w:rFonts w:cs="Arial"/>
          <w:szCs w:val="20"/>
        </w:rPr>
        <w:t>An ability to move bookings ensures that peak shipping capacit</w:t>
      </w:r>
      <w:r w:rsidR="004C5C36">
        <w:rPr>
          <w:rFonts w:cs="Arial"/>
          <w:szCs w:val="20"/>
        </w:rPr>
        <w:t xml:space="preserve">y is less likely to go unused. </w:t>
      </w:r>
      <w:r>
        <w:rPr>
          <w:rFonts w:cs="Arial"/>
          <w:szCs w:val="20"/>
        </w:rPr>
        <w:t>Further, the ability to move booking</w:t>
      </w:r>
      <w:r w:rsidR="005F7020">
        <w:rPr>
          <w:rFonts w:cs="Arial"/>
          <w:szCs w:val="20"/>
        </w:rPr>
        <w:t>s</w:t>
      </w:r>
      <w:r>
        <w:rPr>
          <w:rFonts w:cs="Arial"/>
          <w:szCs w:val="20"/>
        </w:rPr>
        <w:t xml:space="preserve"> provides greater operational flexibility to exporters in terms of executing an export program.</w:t>
      </w:r>
    </w:p>
    <w:p w:rsidR="00633670" w:rsidRPr="00737600" w:rsidRDefault="00633670" w:rsidP="00633670">
      <w:pPr>
        <w:rPr>
          <w:rFonts w:cs="Arial"/>
          <w:szCs w:val="20"/>
        </w:rPr>
      </w:pPr>
      <w:r>
        <w:rPr>
          <w:rFonts w:cs="Arial"/>
          <w:szCs w:val="20"/>
        </w:rPr>
        <w:t>In consideration of the</w:t>
      </w:r>
      <w:r w:rsidR="00514A67">
        <w:rPr>
          <w:rFonts w:cs="Arial"/>
          <w:szCs w:val="20"/>
        </w:rPr>
        <w:t xml:space="preserve"> above matters it is the ACCC’s </w:t>
      </w:r>
      <w:r w:rsidR="00FA08B9">
        <w:rPr>
          <w:rFonts w:cs="Arial"/>
          <w:szCs w:val="20"/>
        </w:rPr>
        <w:t xml:space="preserve">decision </w:t>
      </w:r>
      <w:r>
        <w:rPr>
          <w:rFonts w:cs="Arial"/>
          <w:szCs w:val="20"/>
        </w:rPr>
        <w:t>to accept the proposed amendments to clause 7(e) of the PLPs as appropriate, having regard to subsection 44ZZA(3) of the CCA.</w:t>
      </w:r>
    </w:p>
    <w:p w:rsidR="00633670" w:rsidRPr="000F2FB4" w:rsidRDefault="00633670" w:rsidP="000F2FB4">
      <w:pPr>
        <w:pStyle w:val="Numberedheading2"/>
      </w:pPr>
      <w:bookmarkStart w:id="33" w:name="_Toc378322944"/>
      <w:r w:rsidRPr="000F2FB4">
        <w:t>Movement of bookings between Inner Harbour and Outer Harbor</w:t>
      </w:r>
      <w:bookmarkEnd w:id="33"/>
    </w:p>
    <w:p w:rsidR="00633670" w:rsidRPr="00262F3E" w:rsidRDefault="002152AF" w:rsidP="00633670">
      <w:pPr>
        <w:pStyle w:val="CommentText"/>
        <w:rPr>
          <w:rFonts w:cs="Arial"/>
        </w:rPr>
      </w:pPr>
      <w:proofErr w:type="spellStart"/>
      <w:r>
        <w:rPr>
          <w:rFonts w:cs="Arial"/>
        </w:rPr>
        <w:t>Viterra</w:t>
      </w:r>
      <w:proofErr w:type="spellEnd"/>
      <w:r>
        <w:rPr>
          <w:rFonts w:cs="Arial"/>
        </w:rPr>
        <w:t xml:space="preserve"> propose</w:t>
      </w:r>
      <w:r w:rsidR="00155A78">
        <w:rPr>
          <w:rFonts w:cs="Arial"/>
        </w:rPr>
        <w:t>s</w:t>
      </w:r>
      <w:r w:rsidR="00633670" w:rsidRPr="00262F3E">
        <w:rPr>
          <w:rFonts w:cs="Arial"/>
        </w:rPr>
        <w:t xml:space="preserve"> to insert a new clause 7(g) into </w:t>
      </w:r>
      <w:r w:rsidR="00633670">
        <w:rPr>
          <w:rFonts w:cs="Arial"/>
        </w:rPr>
        <w:t xml:space="preserve">the </w:t>
      </w:r>
      <w:r w:rsidR="00633670" w:rsidRPr="00262F3E">
        <w:rPr>
          <w:rFonts w:cs="Arial"/>
        </w:rPr>
        <w:t>PLPs to allow the movement of bookings between Inner Harbour and Outer Harbor. The new clause 7(g) reads:</w:t>
      </w:r>
    </w:p>
    <w:p w:rsidR="00633670" w:rsidRPr="00262F3E" w:rsidRDefault="00633670" w:rsidP="00633670">
      <w:pPr>
        <w:pStyle w:val="CommentText"/>
        <w:ind w:left="720"/>
        <w:rPr>
          <w:rFonts w:cs="Arial"/>
          <w:sz w:val="18"/>
          <w:szCs w:val="18"/>
        </w:rPr>
      </w:pPr>
      <w:r w:rsidRPr="00262F3E">
        <w:rPr>
          <w:rFonts w:cs="Arial"/>
          <w:sz w:val="18"/>
          <w:szCs w:val="18"/>
        </w:rPr>
        <w:t>Notwithstanding any other</w:t>
      </w:r>
      <w:r>
        <w:rPr>
          <w:rFonts w:cs="Arial"/>
          <w:sz w:val="18"/>
          <w:szCs w:val="18"/>
        </w:rPr>
        <w:t xml:space="preserve"> provision of these Protocols, </w:t>
      </w:r>
      <w:proofErr w:type="spellStart"/>
      <w:r w:rsidRPr="00262F3E">
        <w:rPr>
          <w:rFonts w:cs="Arial"/>
          <w:sz w:val="18"/>
          <w:szCs w:val="18"/>
        </w:rPr>
        <w:t>Viterra</w:t>
      </w:r>
      <w:proofErr w:type="spellEnd"/>
      <w:r w:rsidRPr="00262F3E">
        <w:rPr>
          <w:rFonts w:cs="Arial"/>
          <w:sz w:val="18"/>
          <w:szCs w:val="18"/>
        </w:rPr>
        <w:t xml:space="preserve"> Operations may at any time, with the Client’s consent, move a Booking for a Slot at Outer Harbor to a Slot in respect of the same half month period at Inner Harbour (or vi</w:t>
      </w:r>
      <w:r>
        <w:rPr>
          <w:rFonts w:cs="Arial"/>
          <w:sz w:val="18"/>
          <w:szCs w:val="18"/>
        </w:rPr>
        <w:t>ce</w:t>
      </w:r>
      <w:r w:rsidRPr="00262F3E">
        <w:rPr>
          <w:rFonts w:cs="Arial"/>
          <w:sz w:val="18"/>
          <w:szCs w:val="18"/>
        </w:rPr>
        <w:t xml:space="preserve"> versa), if it facilitates the efficiency of operations at either or both of Outer Harbor and Inner Harbour and </w:t>
      </w:r>
      <w:proofErr w:type="spellStart"/>
      <w:r w:rsidRPr="00262F3E">
        <w:rPr>
          <w:rFonts w:cs="Arial"/>
          <w:sz w:val="18"/>
          <w:szCs w:val="18"/>
        </w:rPr>
        <w:t>Viterra</w:t>
      </w:r>
      <w:proofErr w:type="spellEnd"/>
      <w:r w:rsidRPr="00262F3E">
        <w:rPr>
          <w:rFonts w:cs="Arial"/>
          <w:sz w:val="18"/>
          <w:szCs w:val="18"/>
        </w:rPr>
        <w:t xml:space="preserve"> Operations takes reasonable steps to minimise the impact on other Clients at those Port Terminals.</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517047">
        <w:rPr>
          <w:rFonts w:ascii="Lucida Fax" w:eastAsia="Times New Roman" w:hAnsi="Lucida Fax" w:cs="Times New Roman"/>
          <w:b/>
          <w:bCs/>
          <w:sz w:val="24"/>
          <w:szCs w:val="28"/>
        </w:rPr>
        <w:t>Viterra’s</w:t>
      </w:r>
      <w:proofErr w:type="spellEnd"/>
      <w:r w:rsidRPr="00517047">
        <w:rPr>
          <w:rFonts w:ascii="Lucida Fax" w:eastAsia="Times New Roman" w:hAnsi="Lucida Fax" w:cs="Times New Roman"/>
          <w:b/>
          <w:bCs/>
          <w:sz w:val="24"/>
          <w:szCs w:val="28"/>
        </w:rPr>
        <w:t xml:space="preserve"> supporting submissions</w:t>
      </w:r>
    </w:p>
    <w:p w:rsidR="00633670" w:rsidRPr="00262F3E" w:rsidRDefault="002152AF" w:rsidP="00633670">
      <w:pPr>
        <w:pStyle w:val="CommentText"/>
        <w:rPr>
          <w:rFonts w:cs="Arial"/>
        </w:rPr>
      </w:pPr>
      <w:proofErr w:type="spellStart"/>
      <w:r>
        <w:rPr>
          <w:rFonts w:cs="Arial"/>
        </w:rPr>
        <w:t>Viterra</w:t>
      </w:r>
      <w:proofErr w:type="spellEnd"/>
      <w:r>
        <w:rPr>
          <w:rFonts w:cs="Arial"/>
        </w:rPr>
        <w:t xml:space="preserve"> submitted</w:t>
      </w:r>
      <w:r w:rsidR="00633670" w:rsidRPr="00262F3E">
        <w:rPr>
          <w:rFonts w:cs="Arial"/>
        </w:rPr>
        <w:t xml:space="preserve"> regarding the purpose of the new clause:</w:t>
      </w:r>
    </w:p>
    <w:p w:rsidR="00633670" w:rsidRPr="00262F3E" w:rsidRDefault="00633670" w:rsidP="00633670">
      <w:pPr>
        <w:pStyle w:val="CommentText"/>
        <w:ind w:left="720"/>
        <w:rPr>
          <w:rFonts w:cs="Arial"/>
          <w:sz w:val="18"/>
          <w:szCs w:val="18"/>
        </w:rPr>
      </w:pPr>
      <w:r w:rsidRPr="00262F3E">
        <w:rPr>
          <w:rFonts w:cs="Arial"/>
          <w:sz w:val="18"/>
          <w:szCs w:val="18"/>
        </w:rPr>
        <w:t>The purpose of the change is to facilitate the operational efficiency of both Port Terminals (and reflect the reality that, in practice, they are best managed operationally as a single Port Terminal)</w:t>
      </w:r>
      <w:r>
        <w:rPr>
          <w:rFonts w:cs="Arial"/>
          <w:sz w:val="18"/>
          <w:szCs w:val="18"/>
        </w:rPr>
        <w:t>.</w:t>
      </w:r>
      <w:r>
        <w:rPr>
          <w:rStyle w:val="FootnoteReference"/>
          <w:rFonts w:cs="Arial"/>
          <w:szCs w:val="18"/>
        </w:rPr>
        <w:footnoteReference w:id="63"/>
      </w:r>
      <w:r w:rsidRPr="00262F3E">
        <w:rPr>
          <w:rFonts w:cs="Arial"/>
          <w:sz w:val="18"/>
          <w:szCs w:val="18"/>
        </w:rPr>
        <w:t xml:space="preserve"> </w:t>
      </w:r>
    </w:p>
    <w:p w:rsidR="00633670" w:rsidRPr="00262F3E" w:rsidRDefault="002152AF" w:rsidP="00633670">
      <w:pPr>
        <w:pStyle w:val="CommentText"/>
        <w:rPr>
          <w:rFonts w:cs="Arial"/>
        </w:rPr>
      </w:pPr>
      <w:proofErr w:type="spellStart"/>
      <w:r>
        <w:rPr>
          <w:rFonts w:cs="Arial"/>
        </w:rPr>
        <w:t>Viterra</w:t>
      </w:r>
      <w:proofErr w:type="spellEnd"/>
      <w:r>
        <w:rPr>
          <w:rFonts w:cs="Arial"/>
        </w:rPr>
        <w:t xml:space="preserve"> added</w:t>
      </w:r>
      <w:r w:rsidR="00633670" w:rsidRPr="00262F3E">
        <w:rPr>
          <w:rFonts w:cs="Arial"/>
        </w:rPr>
        <w:t xml:space="preserve"> in support:</w:t>
      </w:r>
    </w:p>
    <w:p w:rsidR="00633670" w:rsidRPr="00262F3E" w:rsidRDefault="00633670" w:rsidP="00633670">
      <w:pPr>
        <w:pStyle w:val="CommentText"/>
        <w:ind w:left="720"/>
        <w:rPr>
          <w:rFonts w:cs="Arial"/>
          <w:sz w:val="18"/>
          <w:szCs w:val="18"/>
        </w:rPr>
      </w:pPr>
      <w:r w:rsidRPr="00262F3E">
        <w:rPr>
          <w:rFonts w:cs="Arial"/>
          <w:sz w:val="18"/>
          <w:szCs w:val="18"/>
        </w:rPr>
        <w:t xml:space="preserve">The amendment clarifies that the movement can take place without the need for a new booking and that, in making any move, </w:t>
      </w:r>
      <w:proofErr w:type="spellStart"/>
      <w:r w:rsidRPr="00262F3E">
        <w:rPr>
          <w:rFonts w:cs="Arial"/>
          <w:sz w:val="18"/>
          <w:szCs w:val="18"/>
        </w:rPr>
        <w:t>Viterra</w:t>
      </w:r>
      <w:proofErr w:type="spellEnd"/>
      <w:r w:rsidRPr="00262F3E">
        <w:rPr>
          <w:rFonts w:cs="Arial"/>
          <w:sz w:val="18"/>
          <w:szCs w:val="18"/>
        </w:rPr>
        <w:t xml:space="preserve"> Operations will take reasonable steps to minimise the impact on other Clients.</w:t>
      </w:r>
    </w:p>
    <w:p w:rsidR="00633670" w:rsidRPr="00262F3E" w:rsidRDefault="00633670" w:rsidP="00633670">
      <w:pPr>
        <w:pStyle w:val="CommentText"/>
        <w:ind w:left="720"/>
        <w:rPr>
          <w:rFonts w:cs="Arial"/>
          <w:sz w:val="18"/>
          <w:szCs w:val="18"/>
        </w:rPr>
      </w:pPr>
      <w:r w:rsidRPr="00262F3E">
        <w:rPr>
          <w:rFonts w:cs="Arial"/>
          <w:sz w:val="18"/>
          <w:szCs w:val="18"/>
        </w:rPr>
        <w:lastRenderedPageBreak/>
        <w:t>The amendment will not have any impact on auction rebate payments as Outer Harbor and Inner Harbour form part of the same rebate pool for the purposes of any auction.</w:t>
      </w:r>
      <w:r>
        <w:rPr>
          <w:rStyle w:val="FootnoteReference"/>
          <w:rFonts w:cs="Arial"/>
          <w:szCs w:val="18"/>
        </w:rPr>
        <w:footnoteReference w:id="64"/>
      </w:r>
      <w:r w:rsidR="004C5C36">
        <w:rPr>
          <w:rFonts w:cs="Arial"/>
          <w:sz w:val="18"/>
          <w:szCs w:val="18"/>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 xml:space="preserve">Stakeholders’ views </w:t>
      </w:r>
    </w:p>
    <w:p w:rsidR="00633670" w:rsidRPr="00280B33" w:rsidRDefault="002152AF" w:rsidP="00633670">
      <w:pPr>
        <w:pStyle w:val="CommentText"/>
        <w:rPr>
          <w:rFonts w:cs="Arial"/>
        </w:rPr>
      </w:pPr>
      <w:proofErr w:type="spellStart"/>
      <w:r>
        <w:rPr>
          <w:rFonts w:cs="Arial"/>
        </w:rPr>
        <w:t>Toepfer</w:t>
      </w:r>
      <w:proofErr w:type="spellEnd"/>
      <w:r>
        <w:rPr>
          <w:rFonts w:cs="Arial"/>
        </w:rPr>
        <w:t xml:space="preserve"> submitted</w:t>
      </w:r>
      <w:r w:rsidR="00633670" w:rsidRPr="00280B33">
        <w:rPr>
          <w:rFonts w:cs="Arial"/>
        </w:rPr>
        <w:t xml:space="preserve"> regarding the movement of bookings between Inner Harbour and Outer Harbor:</w:t>
      </w:r>
    </w:p>
    <w:p w:rsidR="00633670" w:rsidRPr="00280B33" w:rsidRDefault="00633670" w:rsidP="00633670">
      <w:pPr>
        <w:pStyle w:val="CommentText"/>
        <w:ind w:left="720"/>
        <w:rPr>
          <w:rFonts w:cs="Arial"/>
          <w:sz w:val="18"/>
          <w:szCs w:val="18"/>
        </w:rPr>
      </w:pPr>
      <w:proofErr w:type="spellStart"/>
      <w:r w:rsidRPr="00280B33">
        <w:rPr>
          <w:rFonts w:cs="Arial"/>
          <w:sz w:val="18"/>
          <w:szCs w:val="18"/>
        </w:rPr>
        <w:t>Toepfer</w:t>
      </w:r>
      <w:proofErr w:type="spellEnd"/>
      <w:r w:rsidRPr="00280B33">
        <w:rPr>
          <w:rFonts w:cs="Arial"/>
          <w:sz w:val="18"/>
          <w:szCs w:val="18"/>
        </w:rPr>
        <w:t xml:space="preserve"> do not oppose the flexibility in repositioning acquired capacity between Outer Harbour and Inner Harbour for operational efficiency. If capacity is repositioned from Outer Harbour to Inner Harbour for the efficient utilisation of Port infrastructure and to mitigate Port congestion, the shipper should not be penalised the additional costs incurred through the additional transfer premium and Port, Handling and Shipping Fees. Assume this would be facilitated through commercial negotiation at time of reposition.</w:t>
      </w:r>
      <w:r w:rsidRPr="00280B33">
        <w:rPr>
          <w:rStyle w:val="FootnoteReference"/>
          <w:rFonts w:cs="Arial"/>
          <w:sz w:val="18"/>
          <w:szCs w:val="18"/>
        </w:rPr>
        <w:footnoteReference w:id="65"/>
      </w:r>
      <w:r w:rsidRPr="00280B33">
        <w:rPr>
          <w:rFonts w:cs="Arial"/>
          <w:sz w:val="18"/>
          <w:szCs w:val="18"/>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The ACCC’s view</w:t>
      </w:r>
    </w:p>
    <w:p w:rsidR="00633670" w:rsidRDefault="00633670" w:rsidP="00633670">
      <w:pPr>
        <w:rPr>
          <w:rFonts w:cs="Arial"/>
          <w:szCs w:val="20"/>
        </w:rPr>
      </w:pPr>
      <w:r>
        <w:rPr>
          <w:rFonts w:cs="Arial"/>
          <w:szCs w:val="20"/>
        </w:rPr>
        <w:t xml:space="preserve">The ACCC considers that the ability to move bookings between Inner Harbour and Outer Harbor is in the legitimate business interests of </w:t>
      </w:r>
      <w:proofErr w:type="spellStart"/>
      <w:r>
        <w:rPr>
          <w:rFonts w:cs="Arial"/>
          <w:szCs w:val="20"/>
        </w:rPr>
        <w:t>Viterra</w:t>
      </w:r>
      <w:proofErr w:type="spellEnd"/>
      <w:r>
        <w:rPr>
          <w:rFonts w:cs="Arial"/>
          <w:szCs w:val="20"/>
        </w:rPr>
        <w:t xml:space="preserve"> and th</w:t>
      </w:r>
      <w:r w:rsidR="004C5C36">
        <w:rPr>
          <w:rFonts w:cs="Arial"/>
          <w:szCs w:val="20"/>
        </w:rPr>
        <w:t xml:space="preserve">e interests of access seekers. </w:t>
      </w:r>
      <w:r>
        <w:rPr>
          <w:rFonts w:cs="Arial"/>
          <w:szCs w:val="20"/>
        </w:rPr>
        <w:t>The ACCC also considers that</w:t>
      </w:r>
      <w:r w:rsidR="0007022E">
        <w:rPr>
          <w:rFonts w:cs="Arial"/>
          <w:szCs w:val="20"/>
        </w:rPr>
        <w:t xml:space="preserve"> </w:t>
      </w:r>
      <w:r>
        <w:rPr>
          <w:rFonts w:cs="Arial"/>
          <w:szCs w:val="20"/>
        </w:rPr>
        <w:t xml:space="preserve">enabling </w:t>
      </w:r>
      <w:proofErr w:type="spellStart"/>
      <w:r>
        <w:rPr>
          <w:rFonts w:cs="Arial"/>
          <w:szCs w:val="20"/>
        </w:rPr>
        <w:t>Viterra</w:t>
      </w:r>
      <w:proofErr w:type="spellEnd"/>
      <w:r>
        <w:rPr>
          <w:rFonts w:cs="Arial"/>
          <w:szCs w:val="20"/>
        </w:rPr>
        <w:t xml:space="preserve"> to move bookings between Inner Harbour and Outer Harbor</w:t>
      </w:r>
      <w:r w:rsidR="0007022E">
        <w:rPr>
          <w:rFonts w:cs="Arial"/>
          <w:szCs w:val="20"/>
        </w:rPr>
        <w:t xml:space="preserve"> </w:t>
      </w:r>
      <w:r>
        <w:rPr>
          <w:rFonts w:cs="Arial"/>
          <w:szCs w:val="20"/>
        </w:rPr>
        <w:t>will increase the overall operational efficiency of the port terminal infrastructure.</w:t>
      </w:r>
    </w:p>
    <w:p w:rsidR="00633670" w:rsidRDefault="00633670" w:rsidP="00633670">
      <w:pPr>
        <w:rPr>
          <w:rFonts w:cs="Arial"/>
          <w:szCs w:val="20"/>
        </w:rPr>
      </w:pPr>
      <w:r>
        <w:rPr>
          <w:rFonts w:cs="Arial"/>
          <w:szCs w:val="20"/>
        </w:rPr>
        <w:t xml:space="preserve">The ACCC considers the ability to move </w:t>
      </w:r>
      <w:proofErr w:type="gramStart"/>
      <w:r>
        <w:rPr>
          <w:rFonts w:cs="Arial"/>
          <w:szCs w:val="20"/>
        </w:rPr>
        <w:t>bookings between Inner Harbour and Outer Harbor facilitates</w:t>
      </w:r>
      <w:proofErr w:type="gramEnd"/>
      <w:r>
        <w:rPr>
          <w:rFonts w:cs="Arial"/>
          <w:szCs w:val="20"/>
        </w:rPr>
        <w:t xml:space="preserve"> flexible shipping arrangements that are likely to assist in maximising throughput at port. The ACCC therefore considers the movement of bookings to be in the legitimate business interests of </w:t>
      </w:r>
      <w:proofErr w:type="spellStart"/>
      <w:r>
        <w:rPr>
          <w:rFonts w:cs="Arial"/>
          <w:szCs w:val="20"/>
        </w:rPr>
        <w:t>Viterra</w:t>
      </w:r>
      <w:proofErr w:type="spellEnd"/>
      <w:r>
        <w:rPr>
          <w:rFonts w:cs="Arial"/>
          <w:szCs w:val="20"/>
        </w:rPr>
        <w:t xml:space="preserve"> and the efficient use of the port terminal infrastructure, having regard to subsections 44ZZA(3)(a) and 44ZZA(3)(</w:t>
      </w:r>
      <w:proofErr w:type="spellStart"/>
      <w:r>
        <w:rPr>
          <w:rFonts w:cs="Arial"/>
          <w:szCs w:val="20"/>
        </w:rPr>
        <w:t>aa</w:t>
      </w:r>
      <w:proofErr w:type="spellEnd"/>
      <w:r>
        <w:rPr>
          <w:rFonts w:cs="Arial"/>
          <w:szCs w:val="20"/>
        </w:rPr>
        <w:t>) of the CCA. In addition, the ACCC considers that the ability to move bookings between Inner Harbour and Outer Harbor promotes the efficient operation of the bulk wheat export industry, which is consistent with the objects of the WEMA.</w:t>
      </w:r>
      <w:r>
        <w:rPr>
          <w:rStyle w:val="FootnoteReference"/>
          <w:rFonts w:cs="Arial"/>
          <w:szCs w:val="20"/>
        </w:rPr>
        <w:footnoteReference w:id="66"/>
      </w:r>
      <w:r w:rsidR="004C5C36">
        <w:rPr>
          <w:rFonts w:cs="Arial"/>
          <w:szCs w:val="20"/>
        </w:rPr>
        <w:t xml:space="preserve"> </w:t>
      </w:r>
      <w:r>
        <w:rPr>
          <w:rFonts w:cs="Arial"/>
          <w:szCs w:val="20"/>
        </w:rPr>
        <w:t xml:space="preserve"> </w:t>
      </w:r>
    </w:p>
    <w:p w:rsidR="00633670" w:rsidRDefault="00633670" w:rsidP="00633670">
      <w:pPr>
        <w:rPr>
          <w:rFonts w:cs="Arial"/>
          <w:szCs w:val="20"/>
        </w:rPr>
      </w:pPr>
      <w:r>
        <w:rPr>
          <w:rFonts w:cs="Arial"/>
          <w:szCs w:val="20"/>
        </w:rPr>
        <w:t xml:space="preserve">The ability of </w:t>
      </w:r>
      <w:proofErr w:type="spellStart"/>
      <w:r>
        <w:rPr>
          <w:rFonts w:cs="Arial"/>
          <w:szCs w:val="20"/>
        </w:rPr>
        <w:t>Viterra</w:t>
      </w:r>
      <w:proofErr w:type="spellEnd"/>
      <w:r>
        <w:rPr>
          <w:rFonts w:cs="Arial"/>
          <w:szCs w:val="20"/>
        </w:rPr>
        <w:t xml:space="preserve"> to move bookings between </w:t>
      </w:r>
      <w:r w:rsidR="00BC2AB0">
        <w:rPr>
          <w:rFonts w:cs="Arial"/>
          <w:szCs w:val="20"/>
        </w:rPr>
        <w:t xml:space="preserve">the Inner Harbour and Outer Harbor </w:t>
      </w:r>
      <w:r>
        <w:rPr>
          <w:rFonts w:cs="Arial"/>
          <w:szCs w:val="20"/>
        </w:rPr>
        <w:t>ports is likely to reduce delays at port and aid in the efficient deliv</w:t>
      </w:r>
      <w:r w:rsidR="004C5C36">
        <w:rPr>
          <w:rFonts w:cs="Arial"/>
          <w:szCs w:val="20"/>
        </w:rPr>
        <w:t xml:space="preserve">ery of port terminal services. </w:t>
      </w:r>
      <w:r>
        <w:rPr>
          <w:rFonts w:cs="Arial"/>
          <w:szCs w:val="20"/>
        </w:rPr>
        <w:t>This is likely to produce a benefit for access seekers in terms of minimising or avoiding any potential delays at port.</w:t>
      </w:r>
    </w:p>
    <w:p w:rsidR="00633670" w:rsidRDefault="00633670" w:rsidP="00633670">
      <w:pPr>
        <w:pStyle w:val="CommentText"/>
        <w:rPr>
          <w:rFonts w:cs="Arial"/>
        </w:rPr>
      </w:pPr>
      <w:r w:rsidRPr="006110C0">
        <w:rPr>
          <w:rFonts w:cs="Arial"/>
        </w:rPr>
        <w:t xml:space="preserve">Regarding </w:t>
      </w:r>
      <w:proofErr w:type="spellStart"/>
      <w:r w:rsidRPr="006110C0">
        <w:rPr>
          <w:rFonts w:cs="Arial"/>
        </w:rPr>
        <w:t>Toepfer’s</w:t>
      </w:r>
      <w:proofErr w:type="spellEnd"/>
      <w:r w:rsidRPr="006110C0">
        <w:rPr>
          <w:rFonts w:cs="Arial"/>
        </w:rPr>
        <w:t xml:space="preserve"> submission that it would be inappropriate for exporters to incur additional costs as a result of a booking movement between Inner Harbour and Outer Harbor, the ACCC notes that per clause 7(g)</w:t>
      </w:r>
      <w:r w:rsidR="00487257">
        <w:rPr>
          <w:rFonts w:cs="Arial"/>
        </w:rPr>
        <w:t xml:space="preserve"> of </w:t>
      </w:r>
      <w:proofErr w:type="spellStart"/>
      <w:r w:rsidR="00487257">
        <w:rPr>
          <w:rFonts w:cs="Arial"/>
        </w:rPr>
        <w:t>Viterra’s</w:t>
      </w:r>
      <w:proofErr w:type="spellEnd"/>
      <w:r w:rsidR="00487257">
        <w:rPr>
          <w:rFonts w:cs="Arial"/>
        </w:rPr>
        <w:t xml:space="preserve"> PLPs</w:t>
      </w:r>
      <w:r w:rsidRPr="006110C0">
        <w:rPr>
          <w:rFonts w:cs="Arial"/>
        </w:rPr>
        <w:t xml:space="preserve"> such movement can only take place ‘with the Client’s consent’. </w:t>
      </w:r>
      <w:r>
        <w:rPr>
          <w:rFonts w:cs="Arial"/>
        </w:rPr>
        <w:t>Further,</w:t>
      </w:r>
      <w:r w:rsidRPr="006110C0">
        <w:rPr>
          <w:rFonts w:cs="Arial"/>
        </w:rPr>
        <w:t xml:space="preserve"> it </w:t>
      </w:r>
      <w:r>
        <w:rPr>
          <w:rFonts w:cs="Arial"/>
        </w:rPr>
        <w:t>is unlikely to be in</w:t>
      </w:r>
      <w:r w:rsidRPr="006110C0">
        <w:rPr>
          <w:rFonts w:cs="Arial"/>
        </w:rPr>
        <w:t xml:space="preserve"> </w:t>
      </w:r>
      <w:proofErr w:type="spellStart"/>
      <w:r w:rsidRPr="006110C0">
        <w:rPr>
          <w:rFonts w:cs="Arial"/>
        </w:rPr>
        <w:t>Viterra’s</w:t>
      </w:r>
      <w:proofErr w:type="spellEnd"/>
      <w:r w:rsidRPr="006110C0">
        <w:rPr>
          <w:rFonts w:cs="Arial"/>
        </w:rPr>
        <w:t xml:space="preserve"> interests to </w:t>
      </w:r>
      <w:r>
        <w:rPr>
          <w:rFonts w:cs="Arial"/>
        </w:rPr>
        <w:t xml:space="preserve">discourage the efficiency gains of a mutually beneficial booking movement </w:t>
      </w:r>
      <w:r w:rsidRPr="006110C0">
        <w:rPr>
          <w:rFonts w:cs="Arial"/>
        </w:rPr>
        <w:t xml:space="preserve">by </w:t>
      </w:r>
      <w:r>
        <w:rPr>
          <w:rFonts w:cs="Arial"/>
        </w:rPr>
        <w:t>charging its customers to make that movement</w:t>
      </w:r>
      <w:r w:rsidRPr="006110C0">
        <w:rPr>
          <w:rFonts w:cs="Arial"/>
        </w:rPr>
        <w:t>. Reg</w:t>
      </w:r>
      <w:r>
        <w:rPr>
          <w:rFonts w:cs="Arial"/>
        </w:rPr>
        <w:t xml:space="preserve">ardless, clause 7(g) imposes no </w:t>
      </w:r>
      <w:r w:rsidRPr="006110C0">
        <w:rPr>
          <w:rFonts w:cs="Arial"/>
        </w:rPr>
        <w:t xml:space="preserve">obligation </w:t>
      </w:r>
      <w:r>
        <w:rPr>
          <w:rFonts w:cs="Arial"/>
        </w:rPr>
        <w:t xml:space="preserve">on a customer </w:t>
      </w:r>
      <w:r w:rsidRPr="006110C0">
        <w:rPr>
          <w:rFonts w:cs="Arial"/>
        </w:rPr>
        <w:t xml:space="preserve">to consent to the movement if the </w:t>
      </w:r>
      <w:r>
        <w:rPr>
          <w:rFonts w:cs="Arial"/>
        </w:rPr>
        <w:t xml:space="preserve">relevant </w:t>
      </w:r>
      <w:r w:rsidRPr="006110C0">
        <w:rPr>
          <w:rFonts w:cs="Arial"/>
        </w:rPr>
        <w:t>terms are not acceptable to them.</w:t>
      </w:r>
    </w:p>
    <w:p w:rsidR="00633670" w:rsidRPr="006110C0" w:rsidRDefault="00633670" w:rsidP="00633670">
      <w:pPr>
        <w:pStyle w:val="CommentText"/>
        <w:rPr>
          <w:rFonts w:cs="Arial"/>
        </w:rPr>
      </w:pPr>
      <w:r>
        <w:rPr>
          <w:rFonts w:cs="Arial"/>
        </w:rPr>
        <w:t xml:space="preserve">The ACCC notes that </w:t>
      </w:r>
      <w:proofErr w:type="spellStart"/>
      <w:r>
        <w:rPr>
          <w:rFonts w:cs="Arial"/>
        </w:rPr>
        <w:t>Viterra</w:t>
      </w:r>
      <w:proofErr w:type="spellEnd"/>
      <w:r w:rsidR="005C2170">
        <w:rPr>
          <w:rFonts w:cs="Arial"/>
        </w:rPr>
        <w:t xml:space="preserve"> may</w:t>
      </w:r>
      <w:r>
        <w:rPr>
          <w:rFonts w:cs="Arial"/>
        </w:rPr>
        <w:t xml:space="preserve"> exercise this discretion in a manner that causes a significant disadvanta</w:t>
      </w:r>
      <w:r w:rsidR="004C5C36">
        <w:rPr>
          <w:rFonts w:cs="Arial"/>
        </w:rPr>
        <w:t xml:space="preserve">ge to a minority of exporters. </w:t>
      </w:r>
      <w:r>
        <w:rPr>
          <w:rFonts w:cs="Arial"/>
        </w:rPr>
        <w:t>However, the ACCC notes further that the exercise of this discretion is subject to the ‘no hindering access’</w:t>
      </w:r>
      <w:r w:rsidR="004C5C36">
        <w:rPr>
          <w:rFonts w:cs="Arial"/>
        </w:rPr>
        <w:t xml:space="preserve"> provision of the Undertaking. </w:t>
      </w:r>
      <w:r>
        <w:rPr>
          <w:rFonts w:cs="Arial"/>
        </w:rPr>
        <w:t xml:space="preserve">The ACCC </w:t>
      </w:r>
      <w:r w:rsidR="005C2170">
        <w:rPr>
          <w:rFonts w:cs="Arial"/>
        </w:rPr>
        <w:t>expects</w:t>
      </w:r>
      <w:r>
        <w:rPr>
          <w:rFonts w:cs="Arial"/>
        </w:rPr>
        <w:t xml:space="preserve"> </w:t>
      </w:r>
      <w:proofErr w:type="spellStart"/>
      <w:r>
        <w:rPr>
          <w:rFonts w:cs="Arial"/>
        </w:rPr>
        <w:t>Viterra</w:t>
      </w:r>
      <w:proofErr w:type="spellEnd"/>
      <w:r>
        <w:rPr>
          <w:rFonts w:cs="Arial"/>
        </w:rPr>
        <w:t xml:space="preserve"> to have regard to this provision in making any decisions pursuant to this provision. The ACCC also notes that clause 7(g) itself requires </w:t>
      </w:r>
      <w:proofErr w:type="spellStart"/>
      <w:r>
        <w:rPr>
          <w:rFonts w:cs="Arial"/>
        </w:rPr>
        <w:t>Viterra</w:t>
      </w:r>
      <w:proofErr w:type="spellEnd"/>
      <w:r>
        <w:rPr>
          <w:rFonts w:cs="Arial"/>
        </w:rPr>
        <w:t xml:space="preserve"> to take </w:t>
      </w:r>
      <w:r w:rsidRPr="001E0FC0">
        <w:rPr>
          <w:rFonts w:cs="Arial"/>
        </w:rPr>
        <w:t>‘</w:t>
      </w:r>
      <w:r w:rsidRPr="00CB289C">
        <w:rPr>
          <w:rFonts w:cs="Arial"/>
        </w:rPr>
        <w:t>reasonable steps to minimise the impact on other Clients at those Port Terminals.’</w:t>
      </w:r>
    </w:p>
    <w:p w:rsidR="00633670" w:rsidRPr="00737600" w:rsidRDefault="00633670" w:rsidP="00633670">
      <w:pPr>
        <w:rPr>
          <w:rFonts w:cs="Arial"/>
          <w:szCs w:val="20"/>
        </w:rPr>
      </w:pPr>
      <w:r>
        <w:rPr>
          <w:rFonts w:cs="Arial"/>
          <w:szCs w:val="20"/>
        </w:rPr>
        <w:t>In consideration of the above matters it is the ACCC’s view to accept the proposed amendments to clause 7(g) of its PLPs as appropriate, having regard to section 44ZZA(3) of the CCA.</w:t>
      </w:r>
    </w:p>
    <w:p w:rsidR="00633670" w:rsidRPr="000F2FB4" w:rsidRDefault="00633670" w:rsidP="000F2FB4">
      <w:pPr>
        <w:pStyle w:val="Numberedheading2"/>
      </w:pPr>
      <w:bookmarkStart w:id="34" w:name="_Toc378322945"/>
      <w:r w:rsidRPr="000F2FB4">
        <w:lastRenderedPageBreak/>
        <w:t>Transferring bookings</w:t>
      </w:r>
      <w:bookmarkEnd w:id="34"/>
    </w:p>
    <w:p w:rsidR="00633670" w:rsidRDefault="005C2170" w:rsidP="00633670">
      <w:pPr>
        <w:rPr>
          <w:rFonts w:cs="Arial"/>
          <w:szCs w:val="20"/>
        </w:rPr>
      </w:pPr>
      <w:proofErr w:type="spellStart"/>
      <w:r>
        <w:rPr>
          <w:rFonts w:cs="Arial"/>
          <w:szCs w:val="20"/>
        </w:rPr>
        <w:t>Viterra</w:t>
      </w:r>
      <w:proofErr w:type="spellEnd"/>
      <w:r>
        <w:rPr>
          <w:rFonts w:cs="Arial"/>
          <w:szCs w:val="20"/>
        </w:rPr>
        <w:t xml:space="preserve"> propose</w:t>
      </w:r>
      <w:r w:rsidR="00CB12D1">
        <w:rPr>
          <w:rFonts w:cs="Arial"/>
          <w:szCs w:val="20"/>
        </w:rPr>
        <w:t>s</w:t>
      </w:r>
      <w:r w:rsidR="00633670">
        <w:rPr>
          <w:rFonts w:cs="Arial"/>
          <w:szCs w:val="20"/>
        </w:rPr>
        <w:t xml:space="preserve"> to vary clause 9(a</w:t>
      </w:r>
      <w:proofErr w:type="gramStart"/>
      <w:r w:rsidR="00633670">
        <w:rPr>
          <w:rFonts w:cs="Arial"/>
          <w:szCs w:val="20"/>
        </w:rPr>
        <w:t>)(</w:t>
      </w:r>
      <w:proofErr w:type="gramEnd"/>
      <w:r w:rsidR="00633670">
        <w:rPr>
          <w:rFonts w:cs="Arial"/>
          <w:szCs w:val="20"/>
        </w:rPr>
        <w:t>vii) of its PLPs to require the payment of fees prior to a booking being transferred. Specifically, an exporter may transfer a booking if, amongst other things:</w:t>
      </w:r>
    </w:p>
    <w:p w:rsidR="00633670" w:rsidRDefault="00633670" w:rsidP="00633670">
      <w:pPr>
        <w:ind w:left="720"/>
        <w:rPr>
          <w:rFonts w:cs="Arial"/>
          <w:sz w:val="18"/>
          <w:szCs w:val="18"/>
        </w:rPr>
      </w:pPr>
      <w:r>
        <w:rPr>
          <w:rFonts w:cs="Arial"/>
          <w:sz w:val="18"/>
          <w:szCs w:val="18"/>
        </w:rPr>
        <w:t>(vii)</w:t>
      </w:r>
      <w:r w:rsidR="004C5C36">
        <w:rPr>
          <w:rFonts w:cs="Arial"/>
          <w:sz w:val="18"/>
          <w:szCs w:val="18"/>
        </w:rPr>
        <w:t xml:space="preserve"> </w:t>
      </w:r>
      <w:proofErr w:type="gramStart"/>
      <w:r>
        <w:rPr>
          <w:rFonts w:cs="Arial"/>
          <w:sz w:val="18"/>
          <w:szCs w:val="18"/>
        </w:rPr>
        <w:t>the</w:t>
      </w:r>
      <w:proofErr w:type="gramEnd"/>
      <w:r>
        <w:rPr>
          <w:rFonts w:cs="Arial"/>
          <w:sz w:val="18"/>
          <w:szCs w:val="18"/>
        </w:rPr>
        <w:t xml:space="preserve"> Transferor has paid any booking fee. Auction Fee or Auction premiums payable to </w:t>
      </w:r>
      <w:proofErr w:type="spellStart"/>
      <w:r>
        <w:rPr>
          <w:rFonts w:cs="Arial"/>
          <w:sz w:val="18"/>
          <w:szCs w:val="18"/>
        </w:rPr>
        <w:t>Viterra</w:t>
      </w:r>
      <w:proofErr w:type="spellEnd"/>
      <w:r>
        <w:rPr>
          <w:rFonts w:cs="Arial"/>
          <w:sz w:val="18"/>
          <w:szCs w:val="18"/>
        </w:rPr>
        <w:t xml:space="preserve"> Operations in connection with the Grain the subject of the Transfer Notice, and any other fees or charges which are at that time due or payable to </w:t>
      </w:r>
      <w:proofErr w:type="spellStart"/>
      <w:r>
        <w:rPr>
          <w:rFonts w:cs="Arial"/>
          <w:sz w:val="18"/>
          <w:szCs w:val="18"/>
        </w:rPr>
        <w:t>Viterra</w:t>
      </w:r>
      <w:proofErr w:type="spellEnd"/>
      <w:r>
        <w:rPr>
          <w:rFonts w:cs="Arial"/>
          <w:sz w:val="18"/>
          <w:szCs w:val="18"/>
        </w:rPr>
        <w:t xml:space="preserve"> Operations in connection with that Grain.</w:t>
      </w:r>
    </w:p>
    <w:p w:rsidR="00633670" w:rsidRPr="00C1295A" w:rsidRDefault="00633670" w:rsidP="00633670">
      <w:pPr>
        <w:rPr>
          <w:rFonts w:cs="Arial"/>
          <w:szCs w:val="20"/>
        </w:rPr>
      </w:pPr>
      <w:r w:rsidRPr="00C1295A">
        <w:rPr>
          <w:rFonts w:cs="Arial"/>
          <w:szCs w:val="20"/>
        </w:rPr>
        <w:t xml:space="preserve">The payment of charges is governed by clause 8 of the </w:t>
      </w:r>
      <w:r w:rsidR="00446EED">
        <w:rPr>
          <w:rFonts w:cs="Arial"/>
          <w:szCs w:val="20"/>
        </w:rPr>
        <w:t>S</w:t>
      </w:r>
      <w:r w:rsidRPr="00C1295A">
        <w:rPr>
          <w:rFonts w:cs="Arial"/>
          <w:szCs w:val="20"/>
        </w:rPr>
        <w:t xml:space="preserve">tandard </w:t>
      </w:r>
      <w:r w:rsidR="00446EED">
        <w:rPr>
          <w:rFonts w:cs="Arial"/>
          <w:szCs w:val="20"/>
        </w:rPr>
        <w:t>T</w:t>
      </w:r>
      <w:r w:rsidR="004C5C36">
        <w:rPr>
          <w:rFonts w:cs="Arial"/>
          <w:szCs w:val="20"/>
        </w:rPr>
        <w:t xml:space="preserve">erms. </w:t>
      </w:r>
      <w:r w:rsidRPr="00C1295A">
        <w:rPr>
          <w:rFonts w:cs="Arial"/>
          <w:szCs w:val="20"/>
        </w:rPr>
        <w:t xml:space="preserve">The timing of invoices is specified in </w:t>
      </w:r>
      <w:proofErr w:type="spellStart"/>
      <w:r w:rsidR="00446EED">
        <w:rPr>
          <w:rFonts w:cs="Arial"/>
          <w:szCs w:val="20"/>
        </w:rPr>
        <w:t>Viterra’s</w:t>
      </w:r>
      <w:proofErr w:type="spellEnd"/>
      <w:r w:rsidR="00446EED" w:rsidRPr="00C1295A">
        <w:rPr>
          <w:rFonts w:cs="Arial"/>
          <w:szCs w:val="20"/>
        </w:rPr>
        <w:t xml:space="preserve"> </w:t>
      </w:r>
      <w:r w:rsidRPr="00C1295A">
        <w:rPr>
          <w:rFonts w:cs="Arial"/>
          <w:szCs w:val="20"/>
        </w:rPr>
        <w:t>reference prices and</w:t>
      </w:r>
      <w:r w:rsidR="00446EED">
        <w:rPr>
          <w:rFonts w:cs="Arial"/>
          <w:szCs w:val="20"/>
        </w:rPr>
        <w:t xml:space="preserve"> </w:t>
      </w:r>
      <w:r w:rsidRPr="00C1295A">
        <w:rPr>
          <w:rFonts w:cs="Arial"/>
          <w:szCs w:val="20"/>
        </w:rPr>
        <w:t>PLPs.</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proofErr w:type="spellStart"/>
      <w:r w:rsidRPr="00517047">
        <w:rPr>
          <w:rFonts w:ascii="Lucida Fax" w:eastAsia="Times New Roman" w:hAnsi="Lucida Fax" w:cs="Times New Roman"/>
          <w:b/>
          <w:bCs/>
          <w:sz w:val="24"/>
          <w:szCs w:val="28"/>
        </w:rPr>
        <w:t>Viterra’s</w:t>
      </w:r>
      <w:proofErr w:type="spellEnd"/>
      <w:r w:rsidRPr="00517047">
        <w:rPr>
          <w:rFonts w:ascii="Lucida Fax" w:eastAsia="Times New Roman" w:hAnsi="Lucida Fax" w:cs="Times New Roman"/>
          <w:b/>
          <w:bCs/>
          <w:sz w:val="24"/>
          <w:szCs w:val="28"/>
        </w:rPr>
        <w:t xml:space="preserve"> supporting submissions</w:t>
      </w:r>
    </w:p>
    <w:p w:rsidR="00633670" w:rsidRDefault="005C2170" w:rsidP="00633670">
      <w:pPr>
        <w:rPr>
          <w:rFonts w:cs="Arial"/>
          <w:szCs w:val="20"/>
        </w:rPr>
      </w:pPr>
      <w:proofErr w:type="spellStart"/>
      <w:r>
        <w:rPr>
          <w:rFonts w:cs="Arial"/>
          <w:szCs w:val="20"/>
        </w:rPr>
        <w:t>Viterra</w:t>
      </w:r>
      <w:proofErr w:type="spellEnd"/>
      <w:r>
        <w:rPr>
          <w:rFonts w:cs="Arial"/>
          <w:szCs w:val="20"/>
        </w:rPr>
        <w:t xml:space="preserve"> submitted</w:t>
      </w:r>
      <w:r w:rsidR="00633670">
        <w:rPr>
          <w:rFonts w:cs="Arial"/>
          <w:szCs w:val="20"/>
        </w:rPr>
        <w:t>:</w:t>
      </w:r>
    </w:p>
    <w:p w:rsidR="00633670" w:rsidRPr="00682432" w:rsidRDefault="00633670" w:rsidP="00633670">
      <w:pPr>
        <w:ind w:left="720"/>
        <w:rPr>
          <w:rFonts w:cs="Arial"/>
          <w:sz w:val="18"/>
          <w:szCs w:val="18"/>
        </w:rPr>
      </w:pPr>
      <w:r>
        <w:rPr>
          <w:rFonts w:cs="Arial"/>
          <w:sz w:val="18"/>
          <w:szCs w:val="18"/>
        </w:rPr>
        <w:t xml:space="preserve">The proposed amendment makes it clear that Clients cannot transfer a Booking unless and until they have paid both: (a) the booking fee or Auction Fee and premiums in relation to the Booking, and (b) any other fees and charges that are at that time due and payable to </w:t>
      </w:r>
      <w:proofErr w:type="spellStart"/>
      <w:r>
        <w:rPr>
          <w:rFonts w:cs="Arial"/>
          <w:sz w:val="18"/>
          <w:szCs w:val="18"/>
        </w:rPr>
        <w:t>Viterra</w:t>
      </w:r>
      <w:proofErr w:type="spellEnd"/>
      <w:r>
        <w:rPr>
          <w:rFonts w:cs="Arial"/>
          <w:sz w:val="18"/>
          <w:szCs w:val="18"/>
        </w:rPr>
        <w:t xml:space="preserve"> Operations. The purpose of the amendment is to discourage the speculative acquisition of capacity intended only for on-sale to other exporters.</w:t>
      </w:r>
      <w:r>
        <w:rPr>
          <w:rStyle w:val="FootnoteReference"/>
          <w:rFonts w:cs="Arial"/>
          <w:szCs w:val="18"/>
        </w:rPr>
        <w:footnoteReference w:id="67"/>
      </w:r>
      <w:r>
        <w:rPr>
          <w:rFonts w:cs="Arial"/>
          <w:sz w:val="18"/>
          <w:szCs w:val="18"/>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The ACCC’s view</w:t>
      </w:r>
    </w:p>
    <w:p w:rsidR="00633670" w:rsidRDefault="00633670" w:rsidP="00633670">
      <w:pPr>
        <w:rPr>
          <w:rFonts w:cs="Arial"/>
          <w:szCs w:val="20"/>
        </w:rPr>
      </w:pPr>
      <w:r>
        <w:rPr>
          <w:rFonts w:cs="Arial"/>
          <w:szCs w:val="20"/>
        </w:rPr>
        <w:t>The AC</w:t>
      </w:r>
      <w:r w:rsidR="005C2170">
        <w:rPr>
          <w:rFonts w:cs="Arial"/>
          <w:szCs w:val="20"/>
        </w:rPr>
        <w:t xml:space="preserve">CC considers </w:t>
      </w:r>
      <w:proofErr w:type="spellStart"/>
      <w:r w:rsidR="005C2170">
        <w:rPr>
          <w:rFonts w:cs="Arial"/>
          <w:szCs w:val="20"/>
        </w:rPr>
        <w:t>Viterra’s</w:t>
      </w:r>
      <w:proofErr w:type="spellEnd"/>
      <w:r w:rsidR="005C2170">
        <w:rPr>
          <w:rFonts w:cs="Arial"/>
          <w:szCs w:val="20"/>
        </w:rPr>
        <w:t xml:space="preserve"> </w:t>
      </w:r>
      <w:r>
        <w:rPr>
          <w:rFonts w:cs="Arial"/>
          <w:szCs w:val="20"/>
        </w:rPr>
        <w:t>amendment to clause 9(a</w:t>
      </w:r>
      <w:proofErr w:type="gramStart"/>
      <w:r>
        <w:rPr>
          <w:rFonts w:cs="Arial"/>
          <w:szCs w:val="20"/>
        </w:rPr>
        <w:t>)(</w:t>
      </w:r>
      <w:proofErr w:type="gramEnd"/>
      <w:r>
        <w:rPr>
          <w:rFonts w:cs="Arial"/>
          <w:szCs w:val="20"/>
        </w:rPr>
        <w:t xml:space="preserve">vii) of </w:t>
      </w:r>
      <w:r w:rsidR="00446EED">
        <w:rPr>
          <w:rFonts w:cs="Arial"/>
          <w:szCs w:val="20"/>
        </w:rPr>
        <w:t>its</w:t>
      </w:r>
      <w:r>
        <w:rPr>
          <w:rFonts w:cs="Arial"/>
          <w:szCs w:val="20"/>
        </w:rPr>
        <w:t xml:space="preserve"> PLPs provides greater certainty as to the payment of fees in relation to capacity that is transferred between exporters.</w:t>
      </w:r>
    </w:p>
    <w:p w:rsidR="00633670" w:rsidRDefault="005C2170" w:rsidP="00633670">
      <w:pPr>
        <w:rPr>
          <w:rFonts w:cs="Arial"/>
          <w:szCs w:val="20"/>
        </w:rPr>
      </w:pPr>
      <w:proofErr w:type="spellStart"/>
      <w:r>
        <w:rPr>
          <w:rFonts w:cs="Arial"/>
          <w:szCs w:val="20"/>
        </w:rPr>
        <w:t>Viterra’s</w:t>
      </w:r>
      <w:proofErr w:type="spellEnd"/>
      <w:r>
        <w:rPr>
          <w:rFonts w:cs="Arial"/>
          <w:szCs w:val="20"/>
        </w:rPr>
        <w:t xml:space="preserve"> amendment </w:t>
      </w:r>
      <w:r w:rsidR="00633670">
        <w:rPr>
          <w:rFonts w:cs="Arial"/>
          <w:szCs w:val="20"/>
        </w:rPr>
        <w:t>replace</w:t>
      </w:r>
      <w:r>
        <w:rPr>
          <w:rFonts w:cs="Arial"/>
          <w:szCs w:val="20"/>
        </w:rPr>
        <w:t>s</w:t>
      </w:r>
      <w:r w:rsidR="00633670">
        <w:rPr>
          <w:rFonts w:cs="Arial"/>
          <w:szCs w:val="20"/>
        </w:rPr>
        <w:t xml:space="preserve"> an obligation on transferors of bookings to pay ‘all fees and charges which are at that time due and payable’, to an obligation to pay ‘any booking fee, Auction Fee or Auction premiums payable’. The ACCC considers that this amendment appropriately clarifies that the exporter that acquires the capacity must pay the relevant fees, not a potential transferee. It is the ACCC’s view that greater certainty regarding the arrangements is in the interests of access seekers, having regard to subsection </w:t>
      </w:r>
      <w:proofErr w:type="gramStart"/>
      <w:r w:rsidR="00633670">
        <w:rPr>
          <w:rFonts w:cs="Arial"/>
          <w:szCs w:val="20"/>
        </w:rPr>
        <w:t>44ZZA(</w:t>
      </w:r>
      <w:proofErr w:type="gramEnd"/>
      <w:r w:rsidR="00633670">
        <w:rPr>
          <w:rFonts w:cs="Arial"/>
          <w:szCs w:val="20"/>
        </w:rPr>
        <w:t>3)(c) of the CCA.</w:t>
      </w:r>
      <w:r w:rsidR="004C5C36">
        <w:rPr>
          <w:rFonts w:cs="Arial"/>
          <w:szCs w:val="20"/>
        </w:rPr>
        <w:t xml:space="preserve"> </w:t>
      </w:r>
    </w:p>
    <w:p w:rsidR="00633670" w:rsidRDefault="00633670" w:rsidP="00633670">
      <w:pPr>
        <w:rPr>
          <w:rFonts w:cs="Arial"/>
          <w:szCs w:val="20"/>
        </w:rPr>
      </w:pPr>
      <w:r>
        <w:rPr>
          <w:rFonts w:cs="Arial"/>
          <w:szCs w:val="20"/>
        </w:rPr>
        <w:t xml:space="preserve">In relation to the submission made by </w:t>
      </w:r>
      <w:proofErr w:type="spellStart"/>
      <w:r>
        <w:rPr>
          <w:rFonts w:cs="Arial"/>
          <w:szCs w:val="20"/>
        </w:rPr>
        <w:t>Viterra</w:t>
      </w:r>
      <w:proofErr w:type="spellEnd"/>
      <w:r>
        <w:rPr>
          <w:rFonts w:cs="Arial"/>
          <w:szCs w:val="20"/>
        </w:rPr>
        <w:t xml:space="preserve">, the ACCC considers that the variation is consistent with the rules concerning transferability that are intended to prevent parties from booking capacity for another party’s benefit. These are discussed above at </w:t>
      </w:r>
      <w:r w:rsidR="00372BB9">
        <w:rPr>
          <w:rFonts w:cs="Arial"/>
          <w:szCs w:val="20"/>
        </w:rPr>
        <w:t>c</w:t>
      </w:r>
      <w:r w:rsidRPr="0064728B">
        <w:rPr>
          <w:rFonts w:cs="Arial"/>
          <w:szCs w:val="20"/>
        </w:rPr>
        <w:t>hapter 4.3.</w:t>
      </w:r>
    </w:p>
    <w:p w:rsidR="00633670" w:rsidRPr="00737600" w:rsidRDefault="00633670" w:rsidP="00633670">
      <w:pPr>
        <w:rPr>
          <w:rFonts w:cs="Arial"/>
          <w:szCs w:val="20"/>
        </w:rPr>
      </w:pPr>
      <w:r>
        <w:rPr>
          <w:rFonts w:cs="Arial"/>
          <w:szCs w:val="20"/>
        </w:rPr>
        <w:t>In consideration of the above matters it is the ACCC’s view to accept the proposed amendments to clause 9(a)(vii) of its PLPs as appropriate, having regard to section 44ZZA(3) of the CCA.</w:t>
      </w:r>
    </w:p>
    <w:p w:rsidR="00633670" w:rsidRPr="000F2FB4" w:rsidRDefault="00633670" w:rsidP="000F2FB4">
      <w:pPr>
        <w:pStyle w:val="Numberedheading2"/>
      </w:pPr>
      <w:bookmarkStart w:id="35" w:name="_Toc378322946"/>
      <w:r w:rsidRPr="000F2FB4">
        <w:t>Standard terms</w:t>
      </w:r>
      <w:bookmarkEnd w:id="35"/>
    </w:p>
    <w:p w:rsidR="00633670" w:rsidRPr="00FA432C" w:rsidRDefault="00633670" w:rsidP="00633670">
      <w:pPr>
        <w:rPr>
          <w:rFonts w:eastAsia="Times New Roman" w:cs="Arial"/>
          <w:szCs w:val="20"/>
        </w:rPr>
      </w:pPr>
      <w:r w:rsidRPr="00FA432C">
        <w:rPr>
          <w:rFonts w:eastAsia="Times New Roman" w:cs="Arial"/>
          <w:szCs w:val="20"/>
        </w:rPr>
        <w:t xml:space="preserve">The ACCC </w:t>
      </w:r>
      <w:r w:rsidR="00764519">
        <w:rPr>
          <w:rFonts w:eastAsia="Times New Roman" w:cs="Arial"/>
          <w:szCs w:val="20"/>
        </w:rPr>
        <w:t xml:space="preserve">notes that </w:t>
      </w:r>
      <w:proofErr w:type="spellStart"/>
      <w:r w:rsidR="00764519">
        <w:rPr>
          <w:rFonts w:eastAsia="Times New Roman" w:cs="Arial"/>
          <w:szCs w:val="20"/>
        </w:rPr>
        <w:t>Viterra</w:t>
      </w:r>
      <w:proofErr w:type="spellEnd"/>
      <w:r w:rsidR="00764519">
        <w:rPr>
          <w:rFonts w:eastAsia="Times New Roman" w:cs="Arial"/>
          <w:szCs w:val="20"/>
        </w:rPr>
        <w:t xml:space="preserve"> also propose</w:t>
      </w:r>
      <w:r w:rsidR="00155A78">
        <w:rPr>
          <w:rFonts w:eastAsia="Times New Roman" w:cs="Arial"/>
          <w:szCs w:val="20"/>
        </w:rPr>
        <w:t>s</w:t>
      </w:r>
      <w:r w:rsidR="005C2170">
        <w:rPr>
          <w:rFonts w:eastAsia="Times New Roman" w:cs="Arial"/>
          <w:szCs w:val="20"/>
        </w:rPr>
        <w:t xml:space="preserve"> a number of variations to the Standard T</w:t>
      </w:r>
      <w:r w:rsidRPr="00FA432C">
        <w:rPr>
          <w:rFonts w:eastAsia="Times New Roman" w:cs="Arial"/>
          <w:szCs w:val="20"/>
        </w:rPr>
        <w:t>erms, specifically in relation to the following:</w:t>
      </w:r>
    </w:p>
    <w:p w:rsidR="00633670" w:rsidRPr="00FA432C" w:rsidRDefault="00633670" w:rsidP="00BC3C8F">
      <w:pPr>
        <w:numPr>
          <w:ilvl w:val="0"/>
          <w:numId w:val="22"/>
        </w:numPr>
        <w:ind w:left="714" w:hanging="357"/>
        <w:rPr>
          <w:rFonts w:eastAsia="Times New Roman" w:cs="Arial"/>
          <w:szCs w:val="20"/>
        </w:rPr>
      </w:pPr>
      <w:r w:rsidRPr="00FA432C">
        <w:rPr>
          <w:rFonts w:eastAsia="Times New Roman" w:cs="Arial"/>
          <w:szCs w:val="20"/>
        </w:rPr>
        <w:t xml:space="preserve">Clause 7.13 – </w:t>
      </w:r>
      <w:r w:rsidR="009F7CCC">
        <w:rPr>
          <w:rFonts w:eastAsia="Times New Roman" w:cs="Arial"/>
          <w:szCs w:val="20"/>
        </w:rPr>
        <w:t>Reconciliation and adjustment</w:t>
      </w:r>
      <w:r w:rsidRPr="00FA432C">
        <w:rPr>
          <w:rFonts w:eastAsia="Times New Roman" w:cs="Arial"/>
          <w:szCs w:val="20"/>
          <w:vertAlign w:val="superscript"/>
        </w:rPr>
        <w:footnoteReference w:id="68"/>
      </w:r>
    </w:p>
    <w:p w:rsidR="00633670" w:rsidRPr="00FA432C" w:rsidRDefault="00633670" w:rsidP="00BC3C8F">
      <w:pPr>
        <w:numPr>
          <w:ilvl w:val="0"/>
          <w:numId w:val="22"/>
        </w:numPr>
        <w:ind w:left="714" w:hanging="357"/>
        <w:rPr>
          <w:rFonts w:eastAsia="Times New Roman" w:cs="Arial"/>
          <w:szCs w:val="20"/>
        </w:rPr>
      </w:pPr>
      <w:r w:rsidRPr="00FA432C">
        <w:rPr>
          <w:rFonts w:eastAsia="Times New Roman" w:cs="Arial"/>
          <w:szCs w:val="20"/>
        </w:rPr>
        <w:t>Clause 8.5 – Set off</w:t>
      </w:r>
      <w:r w:rsidRPr="00FA432C">
        <w:rPr>
          <w:rFonts w:eastAsia="Times New Roman" w:cs="Arial"/>
          <w:szCs w:val="20"/>
          <w:vertAlign w:val="superscript"/>
        </w:rPr>
        <w:footnoteReference w:id="69"/>
      </w:r>
    </w:p>
    <w:p w:rsidR="00633670" w:rsidRPr="00FA432C" w:rsidRDefault="00633670" w:rsidP="00BC3C8F">
      <w:pPr>
        <w:numPr>
          <w:ilvl w:val="0"/>
          <w:numId w:val="22"/>
        </w:numPr>
        <w:ind w:left="714" w:hanging="357"/>
        <w:rPr>
          <w:rFonts w:eastAsia="Times New Roman" w:cs="Arial"/>
          <w:szCs w:val="20"/>
        </w:rPr>
      </w:pPr>
      <w:r w:rsidRPr="00FA432C">
        <w:rPr>
          <w:rFonts w:eastAsia="Times New Roman" w:cs="Arial"/>
          <w:szCs w:val="20"/>
        </w:rPr>
        <w:lastRenderedPageBreak/>
        <w:t>Clause 10.1 – Company’s lien and security interest</w:t>
      </w:r>
      <w:r w:rsidRPr="00FA432C">
        <w:rPr>
          <w:rFonts w:eastAsia="Times New Roman" w:cs="Arial"/>
          <w:szCs w:val="20"/>
          <w:vertAlign w:val="superscript"/>
        </w:rPr>
        <w:footnoteReference w:id="70"/>
      </w:r>
    </w:p>
    <w:p w:rsidR="00633670" w:rsidRDefault="00633670" w:rsidP="00BC3C8F">
      <w:pPr>
        <w:numPr>
          <w:ilvl w:val="0"/>
          <w:numId w:val="22"/>
        </w:numPr>
        <w:ind w:left="714" w:hanging="357"/>
        <w:rPr>
          <w:rFonts w:eastAsia="Times New Roman" w:cs="Arial"/>
          <w:szCs w:val="20"/>
        </w:rPr>
      </w:pPr>
      <w:r w:rsidRPr="00FA432C">
        <w:rPr>
          <w:rFonts w:eastAsia="Times New Roman" w:cs="Arial"/>
          <w:szCs w:val="20"/>
        </w:rPr>
        <w:t>Clause 27A – PPS Law</w:t>
      </w:r>
      <w:r w:rsidRPr="00FA432C">
        <w:rPr>
          <w:rFonts w:eastAsia="Times New Roman" w:cs="Arial"/>
          <w:szCs w:val="20"/>
          <w:vertAlign w:val="superscript"/>
        </w:rPr>
        <w:footnoteReference w:id="71"/>
      </w:r>
    </w:p>
    <w:p w:rsidR="00E625C2" w:rsidRDefault="005C2170" w:rsidP="0064728B">
      <w:pPr>
        <w:rPr>
          <w:rFonts w:eastAsia="Times New Roman" w:cs="Arial"/>
          <w:szCs w:val="20"/>
        </w:rPr>
      </w:pPr>
      <w:r>
        <w:rPr>
          <w:rFonts w:eastAsia="Times New Roman" w:cs="Arial"/>
          <w:szCs w:val="20"/>
        </w:rPr>
        <w:t>In addition to variations set out in</w:t>
      </w:r>
      <w:r w:rsidR="00E625C2">
        <w:rPr>
          <w:rFonts w:eastAsia="Times New Roman" w:cs="Arial"/>
          <w:szCs w:val="20"/>
        </w:rPr>
        <w:t xml:space="preserve"> </w:t>
      </w:r>
      <w:proofErr w:type="spellStart"/>
      <w:r w:rsidR="00E625C2">
        <w:rPr>
          <w:rFonts w:eastAsia="Times New Roman" w:cs="Arial"/>
          <w:szCs w:val="20"/>
        </w:rPr>
        <w:t>Viterra’s</w:t>
      </w:r>
      <w:proofErr w:type="spellEnd"/>
      <w:r w:rsidR="00E625C2">
        <w:rPr>
          <w:rFonts w:eastAsia="Times New Roman" w:cs="Arial"/>
          <w:szCs w:val="20"/>
        </w:rPr>
        <w:t xml:space="preserve"> </w:t>
      </w:r>
      <w:r w:rsidR="00B06E67">
        <w:rPr>
          <w:rFonts w:eastAsia="Times New Roman" w:cs="Arial"/>
          <w:szCs w:val="20"/>
        </w:rPr>
        <w:t>O</w:t>
      </w:r>
      <w:r w:rsidR="00FE4B03">
        <w:rPr>
          <w:rFonts w:eastAsia="Times New Roman" w:cs="Arial"/>
          <w:szCs w:val="20"/>
        </w:rPr>
        <w:t xml:space="preserve">riginal </w:t>
      </w:r>
      <w:r w:rsidR="00E625C2">
        <w:rPr>
          <w:rFonts w:eastAsia="Times New Roman" w:cs="Arial"/>
          <w:szCs w:val="20"/>
        </w:rPr>
        <w:t>application</w:t>
      </w:r>
      <w:r w:rsidR="00B06E67">
        <w:rPr>
          <w:rFonts w:eastAsia="Times New Roman" w:cs="Arial"/>
          <w:szCs w:val="20"/>
        </w:rPr>
        <w:t xml:space="preserve"> to extend and vary</w:t>
      </w:r>
      <w:r w:rsidR="00E625C2">
        <w:rPr>
          <w:rFonts w:eastAsia="Times New Roman" w:cs="Arial"/>
          <w:szCs w:val="20"/>
        </w:rPr>
        <w:t xml:space="preserve">, </w:t>
      </w:r>
      <w:proofErr w:type="spellStart"/>
      <w:r w:rsidR="00E625C2">
        <w:rPr>
          <w:rFonts w:eastAsia="Times New Roman" w:cs="Arial"/>
          <w:szCs w:val="20"/>
        </w:rPr>
        <w:t>Viterra</w:t>
      </w:r>
      <w:proofErr w:type="spellEnd"/>
      <w:r w:rsidR="00E625C2">
        <w:rPr>
          <w:rFonts w:eastAsia="Times New Roman" w:cs="Arial"/>
          <w:szCs w:val="20"/>
        </w:rPr>
        <w:t xml:space="preserve"> propose</w:t>
      </w:r>
      <w:r w:rsidR="00155A78">
        <w:rPr>
          <w:rFonts w:eastAsia="Times New Roman" w:cs="Arial"/>
          <w:szCs w:val="20"/>
        </w:rPr>
        <w:t>s</w:t>
      </w:r>
      <w:r w:rsidR="00E625C2">
        <w:rPr>
          <w:rFonts w:eastAsia="Times New Roman" w:cs="Arial"/>
          <w:szCs w:val="20"/>
        </w:rPr>
        <w:t xml:space="preserve"> two additional changes in a letter of 2 </w:t>
      </w:r>
      <w:r w:rsidR="00FE4B03">
        <w:rPr>
          <w:rFonts w:eastAsia="Times New Roman" w:cs="Arial"/>
          <w:szCs w:val="20"/>
        </w:rPr>
        <w:t>October</w:t>
      </w:r>
      <w:r w:rsidR="00E625C2">
        <w:rPr>
          <w:rFonts w:eastAsia="Times New Roman" w:cs="Arial"/>
          <w:szCs w:val="20"/>
        </w:rPr>
        <w:t xml:space="preserve"> 2013. </w:t>
      </w:r>
      <w:proofErr w:type="spellStart"/>
      <w:r w:rsidR="00E625C2">
        <w:rPr>
          <w:rFonts w:eastAsia="Times New Roman" w:cs="Arial"/>
          <w:szCs w:val="20"/>
        </w:rPr>
        <w:t>Viterra</w:t>
      </w:r>
      <w:proofErr w:type="spellEnd"/>
      <w:r w:rsidR="00E625C2">
        <w:rPr>
          <w:rFonts w:eastAsia="Times New Roman" w:cs="Arial"/>
          <w:szCs w:val="20"/>
        </w:rPr>
        <w:t xml:space="preserve"> propose</w:t>
      </w:r>
      <w:r w:rsidR="00155A78">
        <w:rPr>
          <w:rFonts w:eastAsia="Times New Roman" w:cs="Arial"/>
          <w:szCs w:val="20"/>
        </w:rPr>
        <w:t>s</w:t>
      </w:r>
      <w:r w:rsidR="00E625C2">
        <w:rPr>
          <w:rFonts w:eastAsia="Times New Roman" w:cs="Arial"/>
          <w:szCs w:val="20"/>
        </w:rPr>
        <w:t xml:space="preserve"> to:</w:t>
      </w:r>
    </w:p>
    <w:p w:rsidR="00E625C2" w:rsidRDefault="00E625C2" w:rsidP="00BC3C8F">
      <w:pPr>
        <w:pStyle w:val="ListParagraph"/>
        <w:numPr>
          <w:ilvl w:val="0"/>
          <w:numId w:val="28"/>
        </w:numPr>
        <w:ind w:left="714" w:hanging="357"/>
        <w:contextualSpacing w:val="0"/>
        <w:rPr>
          <w:rFonts w:eastAsia="Times New Roman" w:cs="Arial"/>
          <w:szCs w:val="20"/>
        </w:rPr>
      </w:pPr>
      <w:proofErr w:type="gramStart"/>
      <w:r w:rsidRPr="00E625C2">
        <w:rPr>
          <w:rFonts w:eastAsia="Times New Roman" w:cs="Arial"/>
          <w:szCs w:val="20"/>
        </w:rPr>
        <w:t>vary</w:t>
      </w:r>
      <w:proofErr w:type="gramEnd"/>
      <w:r w:rsidRPr="00E625C2">
        <w:rPr>
          <w:rFonts w:eastAsia="Times New Roman" w:cs="Arial"/>
          <w:szCs w:val="20"/>
        </w:rPr>
        <w:t xml:space="preserve"> the definition of ‘reference prices’ to remove references to its 2011 Undertaking. </w:t>
      </w:r>
    </w:p>
    <w:p w:rsidR="005C2170" w:rsidRPr="00E625C2" w:rsidRDefault="00E625C2" w:rsidP="00BC3C8F">
      <w:pPr>
        <w:pStyle w:val="ListParagraph"/>
        <w:numPr>
          <w:ilvl w:val="0"/>
          <w:numId w:val="28"/>
        </w:numPr>
        <w:ind w:left="714" w:hanging="357"/>
        <w:contextualSpacing w:val="0"/>
        <w:rPr>
          <w:rFonts w:eastAsia="Times New Roman" w:cs="Arial"/>
          <w:szCs w:val="20"/>
        </w:rPr>
      </w:pPr>
      <w:proofErr w:type="gramStart"/>
      <w:r w:rsidRPr="00E625C2">
        <w:rPr>
          <w:rFonts w:eastAsia="Times New Roman" w:cs="Arial"/>
          <w:szCs w:val="20"/>
        </w:rPr>
        <w:t>replicate</w:t>
      </w:r>
      <w:proofErr w:type="gramEnd"/>
      <w:r w:rsidRPr="00E625C2">
        <w:rPr>
          <w:rFonts w:eastAsia="Times New Roman" w:cs="Arial"/>
          <w:szCs w:val="20"/>
        </w:rPr>
        <w:t xml:space="preserve">, from its 2011 Undertaking, a provision allowing it to vary reference prices from time to time provided that sufficient notice is given. </w:t>
      </w:r>
    </w:p>
    <w:p w:rsidR="005C2170" w:rsidRDefault="00E625C2" w:rsidP="001B45FB">
      <w:pPr>
        <w:rPr>
          <w:rFonts w:eastAsia="Times New Roman" w:cs="Arial"/>
          <w:szCs w:val="20"/>
        </w:rPr>
      </w:pPr>
      <w:proofErr w:type="spellStart"/>
      <w:r>
        <w:rPr>
          <w:rFonts w:eastAsia="Times New Roman" w:cs="Arial"/>
          <w:szCs w:val="20"/>
        </w:rPr>
        <w:t>Viterra</w:t>
      </w:r>
      <w:proofErr w:type="spellEnd"/>
      <w:r>
        <w:rPr>
          <w:rFonts w:eastAsia="Times New Roman" w:cs="Arial"/>
          <w:szCs w:val="20"/>
        </w:rPr>
        <w:t xml:space="preserve"> submitted that the changes clarify the process that </w:t>
      </w:r>
      <w:proofErr w:type="spellStart"/>
      <w:r>
        <w:rPr>
          <w:rFonts w:eastAsia="Times New Roman" w:cs="Arial"/>
          <w:szCs w:val="20"/>
        </w:rPr>
        <w:t>Viterra</w:t>
      </w:r>
      <w:proofErr w:type="spellEnd"/>
      <w:r>
        <w:rPr>
          <w:rFonts w:eastAsia="Times New Roman" w:cs="Arial"/>
          <w:szCs w:val="20"/>
        </w:rPr>
        <w:t xml:space="preserve"> will adopt in varying its reference prices, particularly if its access undertaking expires with the commencement of a wheat export mandatory code of conduct. </w:t>
      </w:r>
      <w:proofErr w:type="spellStart"/>
      <w:r>
        <w:rPr>
          <w:rFonts w:eastAsia="Times New Roman" w:cs="Arial"/>
          <w:szCs w:val="20"/>
        </w:rPr>
        <w:t>Viterra</w:t>
      </w:r>
      <w:proofErr w:type="spellEnd"/>
      <w:r>
        <w:rPr>
          <w:rFonts w:eastAsia="Times New Roman" w:cs="Arial"/>
          <w:szCs w:val="20"/>
        </w:rPr>
        <w:t xml:space="preserve"> also noted that the reference price variation process set out in the new clause 8.1(b) of the Standard </w:t>
      </w:r>
      <w:r w:rsidR="00FE4B03">
        <w:rPr>
          <w:rFonts w:eastAsia="Times New Roman" w:cs="Arial"/>
          <w:szCs w:val="20"/>
        </w:rPr>
        <w:t>Terms</w:t>
      </w:r>
      <w:r>
        <w:rPr>
          <w:rFonts w:eastAsia="Times New Roman" w:cs="Arial"/>
          <w:szCs w:val="20"/>
        </w:rPr>
        <w:t xml:space="preserve"> is taken directly from clause 5.6(b) of </w:t>
      </w:r>
      <w:proofErr w:type="spellStart"/>
      <w:r>
        <w:rPr>
          <w:rFonts w:eastAsia="Times New Roman" w:cs="Arial"/>
          <w:szCs w:val="20"/>
        </w:rPr>
        <w:t>Viterra’s</w:t>
      </w:r>
      <w:proofErr w:type="spellEnd"/>
      <w:r>
        <w:rPr>
          <w:rFonts w:eastAsia="Times New Roman" w:cs="Arial"/>
          <w:szCs w:val="20"/>
        </w:rPr>
        <w:t xml:space="preserve"> 2011 </w:t>
      </w:r>
      <w:proofErr w:type="gramStart"/>
      <w:r>
        <w:rPr>
          <w:rFonts w:eastAsia="Times New Roman" w:cs="Arial"/>
          <w:szCs w:val="20"/>
        </w:rPr>
        <w:t>Undertaking</w:t>
      </w:r>
      <w:proofErr w:type="gramEnd"/>
      <w:r>
        <w:rPr>
          <w:rFonts w:eastAsia="Times New Roman" w:cs="Arial"/>
          <w:szCs w:val="20"/>
        </w:rPr>
        <w:t xml:space="preserve">. </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The ACCC’s view</w:t>
      </w:r>
    </w:p>
    <w:p w:rsidR="00633670" w:rsidRDefault="00633670" w:rsidP="00633670">
      <w:pPr>
        <w:rPr>
          <w:rFonts w:eastAsia="Times New Roman" w:cs="Arial"/>
          <w:szCs w:val="20"/>
        </w:rPr>
      </w:pPr>
      <w:r>
        <w:rPr>
          <w:rFonts w:eastAsia="Times New Roman" w:cs="Arial"/>
          <w:szCs w:val="20"/>
        </w:rPr>
        <w:t xml:space="preserve">Consistent with the ACCC’s decision to accept </w:t>
      </w:r>
      <w:proofErr w:type="spellStart"/>
      <w:r>
        <w:rPr>
          <w:rFonts w:eastAsia="Times New Roman" w:cs="Arial"/>
          <w:szCs w:val="20"/>
        </w:rPr>
        <w:t>AusBulk’s</w:t>
      </w:r>
      <w:proofErr w:type="spellEnd"/>
      <w:r>
        <w:rPr>
          <w:rFonts w:eastAsia="Times New Roman" w:cs="Arial"/>
          <w:szCs w:val="20"/>
        </w:rPr>
        <w:t xml:space="preserve"> 2009 </w:t>
      </w:r>
      <w:r w:rsidR="00446EED">
        <w:rPr>
          <w:rFonts w:eastAsia="Times New Roman" w:cs="Arial"/>
          <w:szCs w:val="20"/>
        </w:rPr>
        <w:t>u</w:t>
      </w:r>
      <w:r>
        <w:rPr>
          <w:rFonts w:eastAsia="Times New Roman" w:cs="Arial"/>
          <w:szCs w:val="20"/>
        </w:rPr>
        <w:t xml:space="preserve">ndertaking (now </w:t>
      </w:r>
      <w:proofErr w:type="spellStart"/>
      <w:r>
        <w:rPr>
          <w:rFonts w:eastAsia="Times New Roman" w:cs="Arial"/>
          <w:szCs w:val="20"/>
        </w:rPr>
        <w:t>Viterra</w:t>
      </w:r>
      <w:proofErr w:type="spellEnd"/>
      <w:r>
        <w:rPr>
          <w:rFonts w:eastAsia="Times New Roman" w:cs="Arial"/>
          <w:szCs w:val="20"/>
        </w:rPr>
        <w:t xml:space="preserve">), and </w:t>
      </w:r>
      <w:proofErr w:type="spellStart"/>
      <w:r>
        <w:rPr>
          <w:rFonts w:eastAsia="Times New Roman" w:cs="Arial"/>
          <w:szCs w:val="20"/>
        </w:rPr>
        <w:t>Viterra’s</w:t>
      </w:r>
      <w:proofErr w:type="spellEnd"/>
      <w:r>
        <w:rPr>
          <w:rFonts w:eastAsia="Times New Roman" w:cs="Arial"/>
          <w:szCs w:val="20"/>
        </w:rPr>
        <w:t xml:space="preserve"> 2011 Undertaking, the ACCC remains of the view that it is necessary for the </w:t>
      </w:r>
      <w:r w:rsidR="00B06E67">
        <w:rPr>
          <w:rFonts w:eastAsia="Times New Roman" w:cs="Arial"/>
          <w:szCs w:val="20"/>
        </w:rPr>
        <w:t>S</w:t>
      </w:r>
      <w:r>
        <w:rPr>
          <w:rFonts w:eastAsia="Times New Roman" w:cs="Arial"/>
          <w:szCs w:val="20"/>
        </w:rPr>
        <w:t xml:space="preserve">tandard </w:t>
      </w:r>
      <w:r w:rsidR="00B06E67">
        <w:rPr>
          <w:rFonts w:eastAsia="Times New Roman" w:cs="Arial"/>
          <w:szCs w:val="20"/>
        </w:rPr>
        <w:t>T</w:t>
      </w:r>
      <w:r>
        <w:rPr>
          <w:rFonts w:eastAsia="Times New Roman" w:cs="Arial"/>
          <w:szCs w:val="20"/>
        </w:rPr>
        <w:t>erms to ensure the following:</w:t>
      </w:r>
    </w:p>
    <w:p w:rsidR="00633670" w:rsidRDefault="00633670" w:rsidP="000F6832">
      <w:pPr>
        <w:pStyle w:val="ListParagraph"/>
        <w:numPr>
          <w:ilvl w:val="0"/>
          <w:numId w:val="24"/>
        </w:numPr>
        <w:ind w:left="714" w:hanging="357"/>
        <w:contextualSpacing w:val="0"/>
        <w:rPr>
          <w:rFonts w:eastAsia="Times New Roman" w:cs="Arial"/>
          <w:szCs w:val="20"/>
        </w:rPr>
      </w:pPr>
      <w:r>
        <w:rPr>
          <w:rFonts w:eastAsia="Times New Roman" w:cs="Arial"/>
          <w:szCs w:val="20"/>
        </w:rPr>
        <w:t>the inclusion of a robust dispute resolution process that balances the legitimate business interests of the port terminal operator with the interests of access seekers</w:t>
      </w:r>
      <w:r w:rsidR="00446EED">
        <w:rPr>
          <w:rFonts w:eastAsia="Times New Roman" w:cs="Arial"/>
          <w:szCs w:val="20"/>
        </w:rPr>
        <w:t>,</w:t>
      </w:r>
    </w:p>
    <w:p w:rsidR="00633670" w:rsidRDefault="00633670" w:rsidP="000F6832">
      <w:pPr>
        <w:pStyle w:val="ListParagraph"/>
        <w:numPr>
          <w:ilvl w:val="0"/>
          <w:numId w:val="24"/>
        </w:numPr>
        <w:ind w:left="714" w:hanging="357"/>
        <w:contextualSpacing w:val="0"/>
        <w:rPr>
          <w:rFonts w:eastAsia="Times New Roman" w:cs="Arial"/>
          <w:szCs w:val="20"/>
        </w:rPr>
      </w:pPr>
      <w:r>
        <w:rPr>
          <w:rFonts w:eastAsia="Times New Roman" w:cs="Arial"/>
          <w:szCs w:val="20"/>
        </w:rPr>
        <w:t>any ability of the port terminal operator to unilaterally vary the terms of an executed indicative access agreement is only to be exercised in appropriate circumstances</w:t>
      </w:r>
      <w:r w:rsidR="00446EED">
        <w:rPr>
          <w:rFonts w:eastAsia="Times New Roman" w:cs="Arial"/>
          <w:szCs w:val="20"/>
        </w:rPr>
        <w:t>, and</w:t>
      </w:r>
    </w:p>
    <w:p w:rsidR="00633670" w:rsidRDefault="00633670" w:rsidP="000F6832">
      <w:pPr>
        <w:pStyle w:val="ListParagraph"/>
        <w:numPr>
          <w:ilvl w:val="0"/>
          <w:numId w:val="24"/>
        </w:numPr>
        <w:ind w:left="714" w:hanging="357"/>
        <w:contextualSpacing w:val="0"/>
        <w:rPr>
          <w:rFonts w:eastAsia="Times New Roman" w:cs="Arial"/>
          <w:szCs w:val="20"/>
        </w:rPr>
      </w:pPr>
      <w:proofErr w:type="gramStart"/>
      <w:r>
        <w:rPr>
          <w:rFonts w:eastAsia="Times New Roman" w:cs="Arial"/>
          <w:szCs w:val="20"/>
        </w:rPr>
        <w:t>the</w:t>
      </w:r>
      <w:proofErr w:type="gramEnd"/>
      <w:r>
        <w:rPr>
          <w:rFonts w:eastAsia="Times New Roman" w:cs="Arial"/>
          <w:szCs w:val="20"/>
        </w:rPr>
        <w:t xml:space="preserve"> terms and conditions of the indicative access agreement must provide for sufficient certainty and clarity in their terms, effect and operation.</w:t>
      </w:r>
      <w:r>
        <w:rPr>
          <w:rStyle w:val="FootnoteReference"/>
          <w:rFonts w:eastAsia="Times New Roman" w:cs="Arial"/>
          <w:szCs w:val="20"/>
        </w:rPr>
        <w:footnoteReference w:id="72"/>
      </w:r>
    </w:p>
    <w:p w:rsidR="00633670" w:rsidRDefault="00633670" w:rsidP="00AB18F9">
      <w:pPr>
        <w:spacing w:before="240" w:after="200"/>
        <w:rPr>
          <w:rFonts w:eastAsia="Times New Roman" w:cs="Arial"/>
          <w:szCs w:val="20"/>
        </w:rPr>
      </w:pPr>
      <w:r>
        <w:rPr>
          <w:rFonts w:eastAsia="Times New Roman" w:cs="Arial"/>
          <w:szCs w:val="20"/>
        </w:rPr>
        <w:t>The ACCC is of the view that the Standard Terms, and the proposed variations, remain consistent with the above elements.</w:t>
      </w:r>
    </w:p>
    <w:p w:rsidR="00633670" w:rsidRDefault="00633670" w:rsidP="00AB18F9">
      <w:pPr>
        <w:spacing w:before="240" w:after="200"/>
        <w:rPr>
          <w:rFonts w:eastAsia="Times New Roman" w:cs="Arial"/>
          <w:szCs w:val="20"/>
        </w:rPr>
      </w:pPr>
      <w:r>
        <w:rPr>
          <w:rFonts w:eastAsia="Times New Roman" w:cs="Arial"/>
          <w:szCs w:val="20"/>
        </w:rPr>
        <w:t xml:space="preserve">The ACCC acknowledges that all elements of the Standard Terms, including the proposed variations listed above, are subject to negotiation between </w:t>
      </w:r>
      <w:proofErr w:type="spellStart"/>
      <w:r>
        <w:rPr>
          <w:rFonts w:eastAsia="Times New Roman" w:cs="Arial"/>
          <w:szCs w:val="20"/>
        </w:rPr>
        <w:t>Viterra</w:t>
      </w:r>
      <w:proofErr w:type="spellEnd"/>
      <w:r>
        <w:rPr>
          <w:rFonts w:eastAsia="Times New Roman" w:cs="Arial"/>
          <w:szCs w:val="20"/>
        </w:rPr>
        <w:t xml:space="preserve"> and access seekers in accordance with the publ</w:t>
      </w:r>
      <w:r w:rsidR="004C5C36">
        <w:rPr>
          <w:rFonts w:eastAsia="Times New Roman" w:cs="Arial"/>
          <w:szCs w:val="20"/>
        </w:rPr>
        <w:t xml:space="preserve">ish-negotiate-arbitrate model. </w:t>
      </w:r>
      <w:r>
        <w:rPr>
          <w:rFonts w:eastAsia="Times New Roman" w:cs="Arial"/>
          <w:szCs w:val="20"/>
        </w:rPr>
        <w:t xml:space="preserve">The Standard Terms represent an appropriate ‘starting point’ for those negotiations and in the event that negotiations between </w:t>
      </w:r>
      <w:proofErr w:type="spellStart"/>
      <w:r>
        <w:rPr>
          <w:rFonts w:eastAsia="Times New Roman" w:cs="Arial"/>
          <w:szCs w:val="20"/>
        </w:rPr>
        <w:t>Viterra</w:t>
      </w:r>
      <w:proofErr w:type="spellEnd"/>
      <w:r>
        <w:rPr>
          <w:rFonts w:eastAsia="Times New Roman" w:cs="Arial"/>
          <w:szCs w:val="20"/>
        </w:rPr>
        <w:t xml:space="preserve"> and access seekers fail, parties are able to apply to the ACCC for arbitration.</w:t>
      </w:r>
    </w:p>
    <w:p w:rsidR="00633670" w:rsidRDefault="00633670" w:rsidP="00AB18F9">
      <w:pPr>
        <w:spacing w:before="240"/>
        <w:rPr>
          <w:rFonts w:eastAsia="Times New Roman" w:cs="Arial"/>
          <w:szCs w:val="20"/>
        </w:rPr>
      </w:pPr>
      <w:r>
        <w:rPr>
          <w:rFonts w:eastAsia="Times New Roman" w:cs="Arial"/>
          <w:szCs w:val="20"/>
        </w:rPr>
        <w:t>Considering the above, the commercial nature of the cont</w:t>
      </w:r>
      <w:r w:rsidR="00764519">
        <w:rPr>
          <w:rFonts w:eastAsia="Times New Roman" w:cs="Arial"/>
          <w:szCs w:val="20"/>
        </w:rPr>
        <w:t xml:space="preserve">ract terms that </w:t>
      </w:r>
      <w:proofErr w:type="spellStart"/>
      <w:r w:rsidR="00764519">
        <w:rPr>
          <w:rFonts w:eastAsia="Times New Roman" w:cs="Arial"/>
          <w:szCs w:val="20"/>
        </w:rPr>
        <w:t>Viterra</w:t>
      </w:r>
      <w:proofErr w:type="spellEnd"/>
      <w:r w:rsidR="00764519">
        <w:rPr>
          <w:rFonts w:eastAsia="Times New Roman" w:cs="Arial"/>
          <w:szCs w:val="20"/>
        </w:rPr>
        <w:t xml:space="preserve"> propose</w:t>
      </w:r>
      <w:r w:rsidR="00155A78">
        <w:rPr>
          <w:rFonts w:eastAsia="Times New Roman" w:cs="Arial"/>
          <w:szCs w:val="20"/>
        </w:rPr>
        <w:t>s</w:t>
      </w:r>
      <w:r>
        <w:rPr>
          <w:rFonts w:eastAsia="Times New Roman" w:cs="Arial"/>
          <w:szCs w:val="20"/>
        </w:rPr>
        <w:t xml:space="preserve"> to vary, that access seekers are able to negotiate different terms (with recourse to dispute resolution), and the lack of concerns raised by access seekers about the changes to these terms, the ACCC has not formed a specific view on each of the</w:t>
      </w:r>
      <w:r w:rsidR="00B06E67">
        <w:rPr>
          <w:rFonts w:eastAsia="Times New Roman" w:cs="Arial"/>
          <w:szCs w:val="20"/>
        </w:rPr>
        <w:t>se</w:t>
      </w:r>
      <w:r>
        <w:rPr>
          <w:rFonts w:eastAsia="Times New Roman" w:cs="Arial"/>
          <w:szCs w:val="20"/>
        </w:rPr>
        <w:t xml:space="preserve"> proposed variations. The ACCC’s view is that the</w:t>
      </w:r>
      <w:r w:rsidR="00B06E67">
        <w:rPr>
          <w:rFonts w:eastAsia="Times New Roman" w:cs="Arial"/>
          <w:szCs w:val="20"/>
        </w:rPr>
        <w:t>se</w:t>
      </w:r>
      <w:r>
        <w:rPr>
          <w:rFonts w:eastAsia="Times New Roman" w:cs="Arial"/>
          <w:szCs w:val="20"/>
        </w:rPr>
        <w:t xml:space="preserve"> proposed amendments to the Standard Terms do not</w:t>
      </w:r>
      <w:r w:rsidR="00764519">
        <w:rPr>
          <w:rFonts w:eastAsia="Times New Roman" w:cs="Arial"/>
          <w:szCs w:val="20"/>
        </w:rPr>
        <w:t xml:space="preserve"> raise any concerns and </w:t>
      </w:r>
      <w:r w:rsidR="00B06E67">
        <w:rPr>
          <w:rFonts w:eastAsia="Times New Roman" w:cs="Arial"/>
          <w:szCs w:val="20"/>
        </w:rPr>
        <w:t xml:space="preserve">the ACCC </w:t>
      </w:r>
      <w:r>
        <w:rPr>
          <w:rFonts w:eastAsia="Times New Roman" w:cs="Arial"/>
          <w:szCs w:val="20"/>
        </w:rPr>
        <w:t>consent</w:t>
      </w:r>
      <w:r w:rsidR="00FE4B03">
        <w:rPr>
          <w:rFonts w:eastAsia="Times New Roman" w:cs="Arial"/>
          <w:szCs w:val="20"/>
        </w:rPr>
        <w:t>s</w:t>
      </w:r>
      <w:r>
        <w:rPr>
          <w:rFonts w:eastAsia="Times New Roman" w:cs="Arial"/>
          <w:szCs w:val="20"/>
        </w:rPr>
        <w:t xml:space="preserve"> to the proposed variations.</w:t>
      </w:r>
    </w:p>
    <w:p w:rsidR="00E625C2" w:rsidRPr="006B30B7" w:rsidRDefault="00E625C2" w:rsidP="00AB18F9">
      <w:pPr>
        <w:spacing w:before="240" w:after="200"/>
        <w:rPr>
          <w:rFonts w:eastAsia="Times New Roman" w:cs="Arial"/>
          <w:szCs w:val="20"/>
        </w:rPr>
      </w:pPr>
      <w:r>
        <w:rPr>
          <w:rFonts w:eastAsia="Times New Roman" w:cs="Arial"/>
          <w:szCs w:val="20"/>
        </w:rPr>
        <w:t xml:space="preserve">Regarding the two additional changes proposed on 2 December 2013, the ACCC does not consider </w:t>
      </w:r>
      <w:r w:rsidR="00446EED">
        <w:rPr>
          <w:rFonts w:eastAsia="Times New Roman" w:cs="Arial"/>
          <w:szCs w:val="20"/>
        </w:rPr>
        <w:t xml:space="preserve">that </w:t>
      </w:r>
      <w:r>
        <w:rPr>
          <w:rFonts w:eastAsia="Times New Roman" w:cs="Arial"/>
          <w:szCs w:val="20"/>
        </w:rPr>
        <w:t xml:space="preserve">these changes impact on the operation of the 2011 Undertaking and do not alter an access seeker’s ability to negotiate different terms. Accordingly, the ACCC’s view is that </w:t>
      </w:r>
      <w:r>
        <w:rPr>
          <w:rFonts w:eastAsia="Times New Roman" w:cs="Arial"/>
          <w:szCs w:val="20"/>
        </w:rPr>
        <w:lastRenderedPageBreak/>
        <w:t>these additional changes also do not raise any concerns</w:t>
      </w:r>
      <w:r w:rsidR="00656E06">
        <w:rPr>
          <w:rFonts w:eastAsia="Times New Roman" w:cs="Arial"/>
          <w:szCs w:val="20"/>
        </w:rPr>
        <w:t xml:space="preserve"> and </w:t>
      </w:r>
      <w:r w:rsidR="00B06E67">
        <w:rPr>
          <w:rFonts w:eastAsia="Times New Roman" w:cs="Arial"/>
          <w:szCs w:val="20"/>
        </w:rPr>
        <w:t xml:space="preserve">the ACCC </w:t>
      </w:r>
      <w:r w:rsidR="00656E06">
        <w:rPr>
          <w:rFonts w:eastAsia="Times New Roman" w:cs="Arial"/>
          <w:szCs w:val="20"/>
        </w:rPr>
        <w:t>consent</w:t>
      </w:r>
      <w:r w:rsidR="00D46A77">
        <w:rPr>
          <w:rFonts w:eastAsia="Times New Roman" w:cs="Arial"/>
          <w:szCs w:val="20"/>
        </w:rPr>
        <w:t>s</w:t>
      </w:r>
      <w:r w:rsidR="00656E06">
        <w:rPr>
          <w:rFonts w:eastAsia="Times New Roman" w:cs="Arial"/>
          <w:szCs w:val="20"/>
        </w:rPr>
        <w:t xml:space="preserve"> to the</w:t>
      </w:r>
      <w:r w:rsidR="00B06E67">
        <w:rPr>
          <w:rFonts w:eastAsia="Times New Roman" w:cs="Arial"/>
          <w:szCs w:val="20"/>
        </w:rPr>
        <w:t>se</w:t>
      </w:r>
      <w:r w:rsidR="00656E06">
        <w:rPr>
          <w:rFonts w:eastAsia="Times New Roman" w:cs="Arial"/>
          <w:szCs w:val="20"/>
        </w:rPr>
        <w:t xml:space="preserve"> proposed variations</w:t>
      </w:r>
      <w:r w:rsidR="00D46A77">
        <w:rPr>
          <w:rFonts w:eastAsia="Times New Roman" w:cs="Arial"/>
          <w:szCs w:val="20"/>
        </w:rPr>
        <w:t>.</w:t>
      </w:r>
      <w:r w:rsidR="004C5C36">
        <w:rPr>
          <w:rFonts w:eastAsia="Times New Roman" w:cs="Arial"/>
          <w:szCs w:val="20"/>
        </w:rPr>
        <w:t xml:space="preserve">  </w:t>
      </w:r>
      <w:r w:rsidR="00656E06">
        <w:rPr>
          <w:rFonts w:eastAsia="Times New Roman" w:cs="Arial"/>
          <w:szCs w:val="20"/>
        </w:rPr>
        <w:t xml:space="preserve"> </w:t>
      </w:r>
    </w:p>
    <w:p w:rsidR="00633670" w:rsidRPr="000F2FB4" w:rsidRDefault="00633670" w:rsidP="000F2FB4">
      <w:pPr>
        <w:pStyle w:val="Numberedheading2"/>
      </w:pPr>
      <w:bookmarkStart w:id="36" w:name="_Toc378322947"/>
      <w:r w:rsidRPr="000F2FB4">
        <w:t>Other variations</w:t>
      </w:r>
      <w:bookmarkEnd w:id="36"/>
    </w:p>
    <w:p w:rsidR="00633670" w:rsidRDefault="00633670" w:rsidP="00633670">
      <w:pPr>
        <w:pStyle w:val="AERbodytext"/>
        <w:rPr>
          <w:rFonts w:ascii="Arial" w:hAnsi="Arial" w:cs="Arial"/>
          <w:sz w:val="20"/>
          <w:szCs w:val="20"/>
        </w:rPr>
      </w:pPr>
      <w:r w:rsidRPr="00E314C2">
        <w:rPr>
          <w:rFonts w:ascii="Arial" w:hAnsi="Arial" w:cs="Arial"/>
          <w:sz w:val="20"/>
          <w:szCs w:val="20"/>
        </w:rPr>
        <w:t>In addition to the variations s</w:t>
      </w:r>
      <w:r w:rsidR="00764519">
        <w:rPr>
          <w:rFonts w:ascii="Arial" w:hAnsi="Arial" w:cs="Arial"/>
          <w:sz w:val="20"/>
          <w:szCs w:val="20"/>
        </w:rPr>
        <w:t xml:space="preserve">pecified above, </w:t>
      </w:r>
      <w:proofErr w:type="spellStart"/>
      <w:r w:rsidR="00764519">
        <w:rPr>
          <w:rFonts w:ascii="Arial" w:hAnsi="Arial" w:cs="Arial"/>
          <w:sz w:val="20"/>
          <w:szCs w:val="20"/>
        </w:rPr>
        <w:t>Viterra</w:t>
      </w:r>
      <w:proofErr w:type="spellEnd"/>
      <w:r w:rsidR="00764519">
        <w:rPr>
          <w:rFonts w:ascii="Arial" w:hAnsi="Arial" w:cs="Arial"/>
          <w:sz w:val="20"/>
          <w:szCs w:val="20"/>
        </w:rPr>
        <w:t xml:space="preserve"> propose</w:t>
      </w:r>
      <w:r w:rsidR="00155A78">
        <w:rPr>
          <w:rFonts w:ascii="Arial" w:hAnsi="Arial" w:cs="Arial"/>
          <w:sz w:val="20"/>
          <w:szCs w:val="20"/>
        </w:rPr>
        <w:t>s</w:t>
      </w:r>
      <w:r w:rsidRPr="00E314C2">
        <w:rPr>
          <w:rFonts w:ascii="Arial" w:hAnsi="Arial" w:cs="Arial"/>
          <w:sz w:val="20"/>
          <w:szCs w:val="20"/>
        </w:rPr>
        <w:t xml:space="preserve"> a number of other amendments that have the intention of:</w:t>
      </w:r>
    </w:p>
    <w:p w:rsidR="00633670" w:rsidRDefault="00FE4B03" w:rsidP="000F6832">
      <w:pPr>
        <w:pStyle w:val="AERbodytext"/>
        <w:numPr>
          <w:ilvl w:val="0"/>
          <w:numId w:val="26"/>
        </w:numPr>
        <w:rPr>
          <w:rFonts w:ascii="Arial" w:hAnsi="Arial" w:cs="Arial"/>
          <w:sz w:val="20"/>
          <w:szCs w:val="20"/>
        </w:rPr>
      </w:pPr>
      <w:proofErr w:type="gramStart"/>
      <w:r>
        <w:rPr>
          <w:rFonts w:ascii="Arial" w:hAnsi="Arial" w:cs="Arial"/>
          <w:sz w:val="20"/>
          <w:szCs w:val="20"/>
        </w:rPr>
        <w:t>r</w:t>
      </w:r>
      <w:r w:rsidR="00633670" w:rsidRPr="00E314C2">
        <w:rPr>
          <w:rFonts w:ascii="Arial" w:hAnsi="Arial" w:cs="Arial"/>
          <w:sz w:val="20"/>
          <w:szCs w:val="20"/>
        </w:rPr>
        <w:t>emoving</w:t>
      </w:r>
      <w:proofErr w:type="gramEnd"/>
      <w:r w:rsidR="00633670" w:rsidRPr="00E314C2">
        <w:rPr>
          <w:rFonts w:ascii="Arial" w:hAnsi="Arial" w:cs="Arial"/>
          <w:sz w:val="20"/>
          <w:szCs w:val="20"/>
        </w:rPr>
        <w:t xml:space="preserve"> obsolete references or clauses (for example regarding the accreditation scheme previously regulated by the WEMA or the introduction of an auction).</w:t>
      </w:r>
    </w:p>
    <w:p w:rsidR="00633670" w:rsidRPr="000E680B" w:rsidRDefault="00FE4B03" w:rsidP="000F6832">
      <w:pPr>
        <w:pStyle w:val="AERbodytext"/>
        <w:numPr>
          <w:ilvl w:val="1"/>
          <w:numId w:val="23"/>
        </w:numPr>
        <w:ind w:left="709"/>
        <w:rPr>
          <w:rFonts w:ascii="Arial" w:hAnsi="Arial" w:cs="Arial"/>
          <w:sz w:val="20"/>
          <w:szCs w:val="20"/>
        </w:rPr>
      </w:pPr>
      <w:r>
        <w:rPr>
          <w:rFonts w:ascii="Arial" w:hAnsi="Arial" w:cs="Arial"/>
          <w:sz w:val="20"/>
          <w:szCs w:val="20"/>
        </w:rPr>
        <w:t>u</w:t>
      </w:r>
      <w:r w:rsidR="00633670" w:rsidRPr="000E680B">
        <w:rPr>
          <w:rFonts w:ascii="Arial" w:hAnsi="Arial" w:cs="Arial"/>
          <w:sz w:val="20"/>
          <w:szCs w:val="20"/>
        </w:rPr>
        <w:t xml:space="preserve">pdating references to other legislation or concepts contained in other </w:t>
      </w:r>
      <w:r>
        <w:rPr>
          <w:rFonts w:ascii="Arial" w:hAnsi="Arial" w:cs="Arial"/>
          <w:sz w:val="20"/>
          <w:szCs w:val="20"/>
        </w:rPr>
        <w:t>legislation</w:t>
      </w:r>
      <w:r w:rsidR="00633670" w:rsidRPr="000E680B">
        <w:rPr>
          <w:rFonts w:ascii="Arial" w:hAnsi="Arial" w:cs="Arial"/>
          <w:sz w:val="20"/>
          <w:szCs w:val="20"/>
        </w:rPr>
        <w:t xml:space="preserve"> (for example, the replacement of ‘related body corporates to associated entities’)</w:t>
      </w:r>
    </w:p>
    <w:p w:rsidR="00633670" w:rsidRDefault="00FE4B03" w:rsidP="000F6832">
      <w:pPr>
        <w:pStyle w:val="AERbodytext"/>
        <w:numPr>
          <w:ilvl w:val="1"/>
          <w:numId w:val="23"/>
        </w:numPr>
        <w:ind w:left="709"/>
        <w:rPr>
          <w:rFonts w:ascii="Arial" w:hAnsi="Arial" w:cs="Arial"/>
          <w:sz w:val="20"/>
          <w:szCs w:val="20"/>
        </w:rPr>
      </w:pPr>
      <w:proofErr w:type="gramStart"/>
      <w:r>
        <w:rPr>
          <w:rFonts w:ascii="Arial" w:hAnsi="Arial" w:cs="Arial"/>
          <w:sz w:val="20"/>
          <w:szCs w:val="20"/>
        </w:rPr>
        <w:t>e</w:t>
      </w:r>
      <w:r w:rsidR="00633670" w:rsidRPr="00E314C2">
        <w:rPr>
          <w:rFonts w:ascii="Arial" w:hAnsi="Arial" w:cs="Arial"/>
          <w:sz w:val="20"/>
          <w:szCs w:val="20"/>
        </w:rPr>
        <w:t>nsuring</w:t>
      </w:r>
      <w:proofErr w:type="gramEnd"/>
      <w:r w:rsidR="00633670" w:rsidRPr="00E314C2">
        <w:rPr>
          <w:rFonts w:ascii="Arial" w:hAnsi="Arial" w:cs="Arial"/>
          <w:sz w:val="20"/>
          <w:szCs w:val="20"/>
        </w:rPr>
        <w:t xml:space="preserve"> that the PLPs and the Standard Terms continue to operate as stand</w:t>
      </w:r>
      <w:r w:rsidR="00633670">
        <w:rPr>
          <w:rFonts w:ascii="Arial" w:hAnsi="Arial" w:cs="Arial"/>
          <w:sz w:val="20"/>
          <w:szCs w:val="20"/>
        </w:rPr>
        <w:t>-</w:t>
      </w:r>
      <w:r w:rsidR="00633670" w:rsidRPr="00E314C2">
        <w:rPr>
          <w:rFonts w:ascii="Arial" w:hAnsi="Arial" w:cs="Arial"/>
          <w:sz w:val="20"/>
          <w:szCs w:val="20"/>
        </w:rPr>
        <w:t>alone documents following the expiration of the undertaking</w:t>
      </w:r>
      <w:r w:rsidR="00633670">
        <w:rPr>
          <w:rFonts w:ascii="Arial" w:hAnsi="Arial" w:cs="Arial"/>
          <w:sz w:val="20"/>
          <w:szCs w:val="20"/>
        </w:rPr>
        <w:t>.</w:t>
      </w:r>
    </w:p>
    <w:p w:rsidR="00633670" w:rsidRDefault="00633670" w:rsidP="00633670">
      <w:pPr>
        <w:pStyle w:val="AERbodytext"/>
        <w:rPr>
          <w:rFonts w:ascii="Arial" w:hAnsi="Arial" w:cs="Arial"/>
          <w:sz w:val="20"/>
          <w:szCs w:val="20"/>
        </w:rPr>
      </w:pPr>
      <w:r>
        <w:rPr>
          <w:rFonts w:ascii="Arial" w:hAnsi="Arial" w:cs="Arial"/>
          <w:sz w:val="20"/>
          <w:szCs w:val="20"/>
        </w:rPr>
        <w:t xml:space="preserve">All variations, including a summary document drafted by </w:t>
      </w:r>
      <w:proofErr w:type="spellStart"/>
      <w:r>
        <w:rPr>
          <w:rFonts w:ascii="Arial" w:hAnsi="Arial" w:cs="Arial"/>
          <w:sz w:val="20"/>
          <w:szCs w:val="20"/>
        </w:rPr>
        <w:t>Viterra</w:t>
      </w:r>
      <w:proofErr w:type="spellEnd"/>
      <w:r>
        <w:rPr>
          <w:rFonts w:ascii="Arial" w:hAnsi="Arial" w:cs="Arial"/>
          <w:sz w:val="20"/>
          <w:szCs w:val="20"/>
        </w:rPr>
        <w:t xml:space="preserve"> are available on the ACCC’s website.</w:t>
      </w:r>
    </w:p>
    <w:p w:rsidR="00633670" w:rsidRPr="00517047" w:rsidRDefault="00633670" w:rsidP="00633670">
      <w:pPr>
        <w:numPr>
          <w:ilvl w:val="2"/>
          <w:numId w:val="1"/>
        </w:numPr>
        <w:spacing w:before="360" w:after="120"/>
        <w:rPr>
          <w:rFonts w:ascii="Lucida Fax" w:eastAsia="Times New Roman" w:hAnsi="Lucida Fax" w:cs="Times New Roman"/>
          <w:b/>
          <w:bCs/>
          <w:sz w:val="24"/>
          <w:szCs w:val="28"/>
        </w:rPr>
      </w:pPr>
      <w:r w:rsidRPr="00517047">
        <w:rPr>
          <w:rFonts w:ascii="Lucida Fax" w:eastAsia="Times New Roman" w:hAnsi="Lucida Fax" w:cs="Times New Roman"/>
          <w:b/>
          <w:bCs/>
          <w:sz w:val="24"/>
          <w:szCs w:val="28"/>
        </w:rPr>
        <w:t>The ACCC’s view</w:t>
      </w:r>
    </w:p>
    <w:p w:rsidR="00633670" w:rsidRPr="000D34C9" w:rsidRDefault="00633670" w:rsidP="00633670">
      <w:pPr>
        <w:pStyle w:val="AERbodytext"/>
        <w:rPr>
          <w:rFonts w:ascii="Arial" w:hAnsi="Arial" w:cs="Arial"/>
          <w:sz w:val="20"/>
          <w:szCs w:val="20"/>
        </w:rPr>
      </w:pPr>
      <w:r>
        <w:rPr>
          <w:rFonts w:ascii="Arial" w:hAnsi="Arial" w:cs="Arial"/>
          <w:sz w:val="20"/>
          <w:szCs w:val="20"/>
        </w:rPr>
        <w:t xml:space="preserve">The ACCC considers these variations </w:t>
      </w:r>
      <w:r w:rsidR="00FE4B03">
        <w:rPr>
          <w:rFonts w:ascii="Arial" w:hAnsi="Arial" w:cs="Arial"/>
          <w:sz w:val="20"/>
          <w:szCs w:val="20"/>
        </w:rPr>
        <w:t>to be</w:t>
      </w:r>
      <w:r>
        <w:rPr>
          <w:rFonts w:ascii="Arial" w:hAnsi="Arial" w:cs="Arial"/>
          <w:sz w:val="20"/>
          <w:szCs w:val="20"/>
        </w:rPr>
        <w:t xml:space="preserve"> relatively minor or technic</w:t>
      </w:r>
      <w:r w:rsidR="004C5C36">
        <w:rPr>
          <w:rFonts w:ascii="Arial" w:hAnsi="Arial" w:cs="Arial"/>
          <w:sz w:val="20"/>
          <w:szCs w:val="20"/>
        </w:rPr>
        <w:t xml:space="preserve">al in effect. </w:t>
      </w:r>
      <w:r w:rsidR="00024E08">
        <w:rPr>
          <w:rFonts w:ascii="Arial" w:hAnsi="Arial" w:cs="Arial"/>
          <w:sz w:val="20"/>
          <w:szCs w:val="20"/>
        </w:rPr>
        <w:t xml:space="preserve">It is the ACCC’s </w:t>
      </w:r>
      <w:r>
        <w:rPr>
          <w:rFonts w:ascii="Arial" w:hAnsi="Arial" w:cs="Arial"/>
          <w:sz w:val="20"/>
          <w:szCs w:val="20"/>
        </w:rPr>
        <w:t>view that it is appropriate to consent to these minor variations as they should provide greater clarity and certainty with respect to the operation of the 2011 Undert</w:t>
      </w:r>
      <w:r w:rsidR="004C5C36">
        <w:rPr>
          <w:rFonts w:ascii="Arial" w:hAnsi="Arial" w:cs="Arial"/>
          <w:sz w:val="20"/>
          <w:szCs w:val="20"/>
        </w:rPr>
        <w:t xml:space="preserve">aking and its component parts. </w:t>
      </w:r>
      <w:r>
        <w:rPr>
          <w:rFonts w:ascii="Arial" w:hAnsi="Arial" w:cs="Arial"/>
          <w:sz w:val="20"/>
          <w:szCs w:val="20"/>
        </w:rPr>
        <w:t>Acc</w:t>
      </w:r>
      <w:r w:rsidR="00024E08">
        <w:rPr>
          <w:rFonts w:ascii="Arial" w:hAnsi="Arial" w:cs="Arial"/>
          <w:sz w:val="20"/>
          <w:szCs w:val="20"/>
        </w:rPr>
        <w:t xml:space="preserve">ordingly, having regard to subsection </w:t>
      </w:r>
      <w:proofErr w:type="gramStart"/>
      <w:r>
        <w:rPr>
          <w:rFonts w:ascii="Arial" w:hAnsi="Arial" w:cs="Arial"/>
          <w:sz w:val="20"/>
          <w:szCs w:val="20"/>
        </w:rPr>
        <w:t>44ZZA(</w:t>
      </w:r>
      <w:proofErr w:type="gramEnd"/>
      <w:r>
        <w:rPr>
          <w:rFonts w:ascii="Arial" w:hAnsi="Arial" w:cs="Arial"/>
          <w:sz w:val="20"/>
          <w:szCs w:val="20"/>
        </w:rPr>
        <w:t>3)(c), it is the ACCC’s view that clarity as to the operation of these provisions is in the interests of access seekers.</w:t>
      </w:r>
    </w:p>
    <w:p w:rsidR="00633670" w:rsidRDefault="00633670" w:rsidP="00633670">
      <w:pPr>
        <w:spacing w:before="240" w:after="200" w:line="276" w:lineRule="auto"/>
        <w:rPr>
          <w:rFonts w:ascii="Lucida Fax" w:eastAsia="Times New Roman" w:hAnsi="Lucida Fax" w:cs="Times New Roman"/>
          <w:b/>
          <w:bCs/>
          <w:sz w:val="32"/>
          <w:szCs w:val="28"/>
        </w:rPr>
      </w:pPr>
    </w:p>
    <w:p w:rsidR="00633670" w:rsidRPr="001212C2" w:rsidRDefault="00633670" w:rsidP="00633670">
      <w:pPr>
        <w:pStyle w:val="Numberedheading1"/>
      </w:pPr>
      <w:bookmarkStart w:id="37" w:name="_Toc372790894"/>
      <w:bookmarkStart w:id="38" w:name="_Toc378322948"/>
      <w:r>
        <w:lastRenderedPageBreak/>
        <w:t>Decision</w:t>
      </w:r>
      <w:bookmarkEnd w:id="37"/>
      <w:bookmarkEnd w:id="38"/>
    </w:p>
    <w:p w:rsidR="00FE4B03" w:rsidRDefault="00633670" w:rsidP="00AD1CBF">
      <w:pPr>
        <w:rPr>
          <w:rFonts w:cs="Arial"/>
          <w:szCs w:val="20"/>
        </w:rPr>
      </w:pPr>
      <w:r>
        <w:rPr>
          <w:rFonts w:cs="Arial"/>
          <w:szCs w:val="20"/>
        </w:rPr>
        <w:t>The ACCC has considered</w:t>
      </w:r>
      <w:r w:rsidR="0067717E">
        <w:rPr>
          <w:rFonts w:cs="Arial"/>
          <w:szCs w:val="20"/>
        </w:rPr>
        <w:t xml:space="preserve">, </w:t>
      </w:r>
      <w:r w:rsidR="0067717E" w:rsidRPr="00C320BB">
        <w:rPr>
          <w:rFonts w:cs="Arial"/>
          <w:szCs w:val="20"/>
        </w:rPr>
        <w:t xml:space="preserve">pursuant to subsections 44ZZBB and </w:t>
      </w:r>
      <w:proofErr w:type="gramStart"/>
      <w:r w:rsidR="0067717E" w:rsidRPr="00C320BB">
        <w:rPr>
          <w:rFonts w:cs="Arial"/>
          <w:szCs w:val="20"/>
        </w:rPr>
        <w:t>44ZZA(</w:t>
      </w:r>
      <w:proofErr w:type="gramEnd"/>
      <w:r w:rsidR="0067717E" w:rsidRPr="00C320BB">
        <w:rPr>
          <w:rFonts w:cs="Arial"/>
          <w:szCs w:val="20"/>
        </w:rPr>
        <w:t>7) of the CCA</w:t>
      </w:r>
      <w:r w:rsidR="0067717E">
        <w:rPr>
          <w:rFonts w:cs="Arial"/>
          <w:szCs w:val="20"/>
        </w:rPr>
        <w:t>,</w:t>
      </w:r>
      <w:r>
        <w:rPr>
          <w:rFonts w:cs="Arial"/>
          <w:szCs w:val="20"/>
        </w:rPr>
        <w:t xml:space="preserve"> the</w:t>
      </w:r>
      <w:r w:rsidRPr="00C320BB">
        <w:rPr>
          <w:rFonts w:cs="Arial"/>
          <w:szCs w:val="20"/>
        </w:rPr>
        <w:t xml:space="preserve"> </w:t>
      </w:r>
      <w:r w:rsidR="007F453D">
        <w:rPr>
          <w:rFonts w:cs="Arial"/>
          <w:szCs w:val="20"/>
        </w:rPr>
        <w:t xml:space="preserve">Amended </w:t>
      </w:r>
      <w:r w:rsidR="00F61551">
        <w:rPr>
          <w:rFonts w:cs="Arial"/>
          <w:szCs w:val="20"/>
        </w:rPr>
        <w:t>a</w:t>
      </w:r>
      <w:r w:rsidRPr="00C320BB">
        <w:rPr>
          <w:rFonts w:cs="Arial"/>
          <w:szCs w:val="20"/>
        </w:rPr>
        <w:t xml:space="preserve">pplication to extend and vary provided to the ACCC by </w:t>
      </w:r>
      <w:proofErr w:type="spellStart"/>
      <w:r w:rsidRPr="00C320BB">
        <w:rPr>
          <w:rFonts w:cs="Arial"/>
          <w:szCs w:val="20"/>
        </w:rPr>
        <w:t>Viterra</w:t>
      </w:r>
      <w:proofErr w:type="spellEnd"/>
      <w:r w:rsidRPr="00C320BB">
        <w:rPr>
          <w:rFonts w:cs="Arial"/>
          <w:szCs w:val="20"/>
        </w:rPr>
        <w:t xml:space="preserve"> on </w:t>
      </w:r>
      <w:r w:rsidR="007F453D">
        <w:rPr>
          <w:rFonts w:cs="Arial"/>
          <w:szCs w:val="20"/>
        </w:rPr>
        <w:t>12 December</w:t>
      </w:r>
      <w:r w:rsidRPr="00C320BB">
        <w:rPr>
          <w:rFonts w:cs="Arial"/>
          <w:szCs w:val="20"/>
        </w:rPr>
        <w:t xml:space="preserve"> 2013</w:t>
      </w:r>
      <w:r>
        <w:rPr>
          <w:rFonts w:cs="Arial"/>
          <w:szCs w:val="20"/>
        </w:rPr>
        <w:t>.</w:t>
      </w:r>
      <w:r w:rsidRPr="00C320BB">
        <w:rPr>
          <w:rFonts w:cs="Arial"/>
          <w:szCs w:val="20"/>
        </w:rPr>
        <w:t xml:space="preserve"> </w:t>
      </w:r>
    </w:p>
    <w:p w:rsidR="00801B8F" w:rsidRDefault="00801B8F" w:rsidP="00AD1CBF">
      <w:pPr>
        <w:rPr>
          <w:rFonts w:cs="Arial"/>
          <w:szCs w:val="20"/>
        </w:rPr>
      </w:pPr>
      <w:r>
        <w:rPr>
          <w:rFonts w:cs="Arial"/>
          <w:szCs w:val="20"/>
        </w:rPr>
        <w:t xml:space="preserve">In making its </w:t>
      </w:r>
      <w:r w:rsidR="00545BC7">
        <w:rPr>
          <w:rFonts w:cs="Arial"/>
          <w:szCs w:val="20"/>
        </w:rPr>
        <w:t>decision</w:t>
      </w:r>
      <w:r>
        <w:rPr>
          <w:rFonts w:cs="Arial"/>
          <w:szCs w:val="20"/>
        </w:rPr>
        <w:t>, the ACCC has considered the submissions received in response to the ACCC’s Issues Paper</w:t>
      </w:r>
      <w:r w:rsidR="00446EED">
        <w:rPr>
          <w:rFonts w:cs="Arial"/>
          <w:szCs w:val="20"/>
        </w:rPr>
        <w:t xml:space="preserve">, </w:t>
      </w:r>
      <w:r>
        <w:rPr>
          <w:rFonts w:cs="Arial"/>
          <w:szCs w:val="20"/>
        </w:rPr>
        <w:t>the lack of submissions in response to the ACCC’s Draft Decision</w:t>
      </w:r>
      <w:r w:rsidR="00446EED">
        <w:rPr>
          <w:rFonts w:cs="Arial"/>
          <w:szCs w:val="20"/>
        </w:rPr>
        <w:t xml:space="preserve"> on </w:t>
      </w:r>
      <w:proofErr w:type="spellStart"/>
      <w:r w:rsidR="00446EED">
        <w:rPr>
          <w:rFonts w:cs="Arial"/>
          <w:szCs w:val="20"/>
        </w:rPr>
        <w:t>Viterra’s</w:t>
      </w:r>
      <w:proofErr w:type="spellEnd"/>
      <w:r w:rsidR="00446EED">
        <w:rPr>
          <w:rFonts w:cs="Arial"/>
          <w:szCs w:val="20"/>
        </w:rPr>
        <w:t xml:space="preserve"> original application</w:t>
      </w:r>
      <w:r>
        <w:rPr>
          <w:rFonts w:cs="Arial"/>
          <w:szCs w:val="20"/>
        </w:rPr>
        <w:t xml:space="preserve">, </w:t>
      </w:r>
      <w:r w:rsidR="00446EED">
        <w:rPr>
          <w:rFonts w:cs="Arial"/>
          <w:szCs w:val="20"/>
        </w:rPr>
        <w:t xml:space="preserve">and the fact that </w:t>
      </w:r>
      <w:proofErr w:type="spellStart"/>
      <w:r>
        <w:rPr>
          <w:rFonts w:cs="Arial"/>
          <w:szCs w:val="20"/>
        </w:rPr>
        <w:t>Viterra’s</w:t>
      </w:r>
      <w:proofErr w:type="spellEnd"/>
      <w:r>
        <w:rPr>
          <w:rFonts w:cs="Arial"/>
          <w:szCs w:val="20"/>
        </w:rPr>
        <w:t xml:space="preserve"> original application</w:t>
      </w:r>
      <w:r w:rsidR="00446EED">
        <w:rPr>
          <w:rFonts w:cs="Arial"/>
          <w:szCs w:val="20"/>
        </w:rPr>
        <w:t xml:space="preserve"> </w:t>
      </w:r>
      <w:r>
        <w:rPr>
          <w:rFonts w:cs="Arial"/>
          <w:szCs w:val="20"/>
        </w:rPr>
        <w:t>substantively mirrors the amended application.</w:t>
      </w:r>
      <w:r w:rsidR="004C5C36">
        <w:rPr>
          <w:rFonts w:cs="Arial"/>
          <w:szCs w:val="20"/>
        </w:rPr>
        <w:t xml:space="preserve"> </w:t>
      </w:r>
    </w:p>
    <w:p w:rsidR="00801B8F" w:rsidRDefault="00801B8F" w:rsidP="00AD1CBF">
      <w:pPr>
        <w:rPr>
          <w:rFonts w:cs="Arial"/>
          <w:szCs w:val="20"/>
        </w:rPr>
      </w:pPr>
      <w:r>
        <w:rPr>
          <w:rFonts w:cs="Arial"/>
          <w:szCs w:val="20"/>
        </w:rPr>
        <w:t xml:space="preserve">The ACCC’s view is that, having regard to the matters listed in subsection </w:t>
      </w:r>
      <w:proofErr w:type="gramStart"/>
      <w:r>
        <w:rPr>
          <w:rFonts w:cs="Arial"/>
          <w:szCs w:val="20"/>
        </w:rPr>
        <w:t>44ZZA(</w:t>
      </w:r>
      <w:proofErr w:type="gramEnd"/>
      <w:r>
        <w:rPr>
          <w:rFonts w:cs="Arial"/>
          <w:szCs w:val="20"/>
        </w:rPr>
        <w:t>3)</w:t>
      </w:r>
      <w:r w:rsidR="005D17BB">
        <w:rPr>
          <w:rFonts w:cs="Arial"/>
          <w:szCs w:val="20"/>
        </w:rPr>
        <w:t xml:space="preserve"> </w:t>
      </w:r>
      <w:bookmarkStart w:id="39" w:name="_GoBack"/>
      <w:bookmarkEnd w:id="39"/>
      <w:r w:rsidR="005D17BB">
        <w:rPr>
          <w:rFonts w:cs="Arial"/>
          <w:szCs w:val="20"/>
        </w:rPr>
        <w:t xml:space="preserve">of the CCA, overall the ACCC considers </w:t>
      </w:r>
      <w:r w:rsidR="005F5AA2">
        <w:rPr>
          <w:rFonts w:cs="Arial"/>
          <w:szCs w:val="20"/>
        </w:rPr>
        <w:t>the application to be</w:t>
      </w:r>
      <w:r w:rsidR="00545BC7">
        <w:rPr>
          <w:rFonts w:cs="Arial"/>
          <w:szCs w:val="20"/>
        </w:rPr>
        <w:t xml:space="preserve"> </w:t>
      </w:r>
      <w:r w:rsidR="005D17BB">
        <w:rPr>
          <w:rFonts w:cs="Arial"/>
          <w:szCs w:val="20"/>
        </w:rPr>
        <w:t>appropriate</w:t>
      </w:r>
      <w:r w:rsidR="00446EED">
        <w:rPr>
          <w:rFonts w:cs="Arial"/>
          <w:szCs w:val="20"/>
        </w:rPr>
        <w:t xml:space="preserve">. Accordingly, </w:t>
      </w:r>
      <w:r w:rsidR="00B06E67">
        <w:rPr>
          <w:rFonts w:cs="Arial"/>
          <w:szCs w:val="20"/>
        </w:rPr>
        <w:t xml:space="preserve">the ACCC has decided to </w:t>
      </w:r>
      <w:r w:rsidR="005D17BB">
        <w:rPr>
          <w:rFonts w:cs="Arial"/>
          <w:szCs w:val="20"/>
        </w:rPr>
        <w:t xml:space="preserve">consent to </w:t>
      </w:r>
      <w:proofErr w:type="spellStart"/>
      <w:r w:rsidR="00446EED">
        <w:rPr>
          <w:rFonts w:cs="Arial"/>
          <w:szCs w:val="20"/>
        </w:rPr>
        <w:t>Viterra’s</w:t>
      </w:r>
      <w:proofErr w:type="spellEnd"/>
      <w:r w:rsidR="00446EED">
        <w:rPr>
          <w:rFonts w:cs="Arial"/>
          <w:szCs w:val="20"/>
        </w:rPr>
        <w:t xml:space="preserve"> Amended application to extend and vary its 2011 Undertaking.</w:t>
      </w:r>
      <w:r w:rsidR="004C5C36">
        <w:rPr>
          <w:rFonts w:cs="Arial"/>
          <w:szCs w:val="20"/>
        </w:rPr>
        <w:t xml:space="preserve"> </w:t>
      </w:r>
    </w:p>
    <w:p w:rsidR="00AD1CBF" w:rsidRPr="00221EEC" w:rsidRDefault="00AD1CBF" w:rsidP="00221EEC"/>
    <w:p w:rsidR="00986989" w:rsidRDefault="00986989" w:rsidP="0051013C"/>
    <w:p w:rsidR="002525FF" w:rsidRDefault="007D31A6" w:rsidP="0051013C">
      <w:r>
        <w:t xml:space="preserve"> </w:t>
      </w:r>
    </w:p>
    <w:p w:rsidR="002525FF" w:rsidRDefault="002525FF" w:rsidP="0051013C"/>
    <w:p w:rsidR="002525FF" w:rsidRPr="00EC46DE" w:rsidRDefault="002525FF" w:rsidP="0051013C"/>
    <w:p w:rsidR="0067580A" w:rsidRPr="0067580A" w:rsidRDefault="0067580A" w:rsidP="0067580A"/>
    <w:p w:rsidR="000B05BF" w:rsidRDefault="004C5C36" w:rsidP="000B05BF">
      <w:r>
        <w:t xml:space="preserve"> </w:t>
      </w:r>
    </w:p>
    <w:p w:rsidR="002B56EE" w:rsidRDefault="002B56EE"/>
    <w:sectPr w:rsidR="002B56EE" w:rsidSect="002862E8">
      <w:footerReference w:type="default" r:id="rId19"/>
      <w:pgSz w:w="11906" w:h="16838"/>
      <w:pgMar w:top="1440" w:right="1729" w:bottom="1582" w:left="172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CC" w:rsidRDefault="009F7CCC" w:rsidP="00F01F5A">
      <w:pPr>
        <w:spacing w:after="0"/>
      </w:pPr>
      <w:r>
        <w:separator/>
      </w:r>
    </w:p>
  </w:endnote>
  <w:endnote w:type="continuationSeparator" w:id="0">
    <w:p w:rsidR="009F7CCC" w:rsidRDefault="009F7CCC" w:rsidP="00F01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74355"/>
      <w:docPartObj>
        <w:docPartGallery w:val="Page Numbers (Bottom of Page)"/>
        <w:docPartUnique/>
      </w:docPartObj>
    </w:sdtPr>
    <w:sdtEndPr>
      <w:rPr>
        <w:noProof/>
      </w:rPr>
    </w:sdtEndPr>
    <w:sdtContent>
      <w:p w:rsidR="009F7CCC" w:rsidRDefault="009F7CCC">
        <w:pPr>
          <w:pStyle w:val="Footer"/>
          <w:jc w:val="center"/>
        </w:pPr>
        <w:r>
          <w:fldChar w:fldCharType="begin"/>
        </w:r>
        <w:r>
          <w:instrText xml:space="preserve"> PAGE   \* MERGEFORMAT </w:instrText>
        </w:r>
        <w:r>
          <w:fldChar w:fldCharType="separate"/>
        </w:r>
        <w:r w:rsidR="00146E2E">
          <w:rPr>
            <w:noProof/>
          </w:rPr>
          <w:t>ii</w:t>
        </w:r>
        <w:r>
          <w:rPr>
            <w:noProof/>
          </w:rPr>
          <w:fldChar w:fldCharType="end"/>
        </w:r>
      </w:p>
    </w:sdtContent>
  </w:sdt>
  <w:p w:rsidR="009F7CCC" w:rsidRDefault="009F7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04963"/>
      <w:docPartObj>
        <w:docPartGallery w:val="Page Numbers (Bottom of Page)"/>
        <w:docPartUnique/>
      </w:docPartObj>
    </w:sdtPr>
    <w:sdtEndPr>
      <w:rPr>
        <w:noProof/>
      </w:rPr>
    </w:sdtEndPr>
    <w:sdtContent>
      <w:p w:rsidR="009F7CCC" w:rsidRDefault="009F7CCC">
        <w:pPr>
          <w:pStyle w:val="Footer"/>
          <w:jc w:val="center"/>
        </w:pPr>
        <w:r>
          <w:fldChar w:fldCharType="begin"/>
        </w:r>
        <w:r>
          <w:instrText xml:space="preserve"> PAGE   \* MERGEFORMAT </w:instrText>
        </w:r>
        <w:r>
          <w:fldChar w:fldCharType="separate"/>
        </w:r>
        <w:r w:rsidR="00146E2E">
          <w:rPr>
            <w:noProof/>
          </w:rPr>
          <w:t>7</w:t>
        </w:r>
        <w:r>
          <w:rPr>
            <w:noProof/>
          </w:rPr>
          <w:fldChar w:fldCharType="end"/>
        </w:r>
      </w:p>
    </w:sdtContent>
  </w:sdt>
  <w:p w:rsidR="009F7CCC" w:rsidRDefault="009F7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CC" w:rsidRDefault="009F7CCC" w:rsidP="00F01F5A">
      <w:pPr>
        <w:spacing w:after="0"/>
      </w:pPr>
      <w:r>
        <w:separator/>
      </w:r>
    </w:p>
  </w:footnote>
  <w:footnote w:type="continuationSeparator" w:id="0">
    <w:p w:rsidR="009F7CCC" w:rsidRDefault="009F7CCC" w:rsidP="00F01F5A">
      <w:pPr>
        <w:spacing w:after="0"/>
      </w:pPr>
      <w:r>
        <w:continuationSeparator/>
      </w:r>
    </w:p>
  </w:footnote>
  <w:footnote w:id="1">
    <w:p w:rsidR="009F7CCC" w:rsidRDefault="009F7CCC" w:rsidP="000D3091">
      <w:pPr>
        <w:pStyle w:val="FootnoteText"/>
      </w:pPr>
      <w:r>
        <w:rPr>
          <w:rStyle w:val="FootnoteReference"/>
        </w:rPr>
        <w:footnoteRef/>
      </w:r>
      <w:r>
        <w:t xml:space="preserve"> On 2 December 2013 </w:t>
      </w:r>
      <w:proofErr w:type="spellStart"/>
      <w:r>
        <w:t>Viterra</w:t>
      </w:r>
      <w:proofErr w:type="spellEnd"/>
      <w:r>
        <w:t xml:space="preserve"> proposed two additional changes to its Port Terminal Services Agreement (Standard Terms). </w:t>
      </w:r>
      <w:proofErr w:type="spellStart"/>
      <w:r>
        <w:t>Viterra</w:t>
      </w:r>
      <w:proofErr w:type="spellEnd"/>
      <w:r>
        <w:t xml:space="preserve"> proposed these changes to allow its Standard Terms to operate independently of the 2011 </w:t>
      </w:r>
      <w:proofErr w:type="gramStart"/>
      <w:r>
        <w:t>Undertaking</w:t>
      </w:r>
      <w:proofErr w:type="gramEnd"/>
      <w:r>
        <w:t xml:space="preserve"> by removing references to the 2011 Undertaking and replicating a provision of the 2011 Undertaking allowing </w:t>
      </w:r>
      <w:proofErr w:type="spellStart"/>
      <w:r>
        <w:t>Viterra</w:t>
      </w:r>
      <w:proofErr w:type="spellEnd"/>
      <w:r>
        <w:t xml:space="preserve"> to vary its reference prices from time to time. These changes are set out at chapter 4.9. </w:t>
      </w:r>
    </w:p>
  </w:footnote>
  <w:footnote w:id="2">
    <w:p w:rsidR="009F7CCC" w:rsidRDefault="009F7CCC" w:rsidP="0064728B">
      <w:pPr>
        <w:pStyle w:val="Footnote"/>
      </w:pPr>
      <w:r>
        <w:rPr>
          <w:rStyle w:val="FootnoteReference"/>
        </w:rPr>
        <w:footnoteRef/>
      </w:r>
      <w:r>
        <w:t xml:space="preserve"> Content relating to </w:t>
      </w:r>
      <w:proofErr w:type="spellStart"/>
      <w:r>
        <w:t>Viterra’s</w:t>
      </w:r>
      <w:proofErr w:type="spellEnd"/>
      <w:r>
        <w:t xml:space="preserve"> Amended application to extend and vary is available directly via the following link: </w:t>
      </w:r>
      <w:r w:rsidRPr="00EC7EB9">
        <w:t>http://www.accc.gov.au/regulated-infrastructure/wheat-export/viterra-2011/further-application-to-extend-and-vary</w:t>
      </w:r>
      <w:r>
        <w:t>.</w:t>
      </w:r>
    </w:p>
  </w:footnote>
  <w:footnote w:id="3">
    <w:p w:rsidR="009F7CCC" w:rsidRDefault="009F7CCC" w:rsidP="0064728B">
      <w:pPr>
        <w:pStyle w:val="Footnote"/>
      </w:pPr>
      <w:r>
        <w:rPr>
          <w:rStyle w:val="FootnoteReference"/>
        </w:rPr>
        <w:footnoteRef/>
      </w:r>
      <w:r>
        <w:t xml:space="preserve"> Section </w:t>
      </w:r>
      <w:proofErr w:type="gramStart"/>
      <w:r>
        <w:t>44ZZA(</w:t>
      </w:r>
      <w:proofErr w:type="gramEnd"/>
      <w:r>
        <w:t>1) &amp; (3) of Part IIIA of the CCA.</w:t>
      </w:r>
    </w:p>
  </w:footnote>
  <w:footnote w:id="4">
    <w:p w:rsidR="009F7CCC" w:rsidRPr="00EF0943" w:rsidRDefault="009F7CCC" w:rsidP="0064728B">
      <w:pPr>
        <w:pStyle w:val="Footnote"/>
      </w:pPr>
      <w:r>
        <w:rPr>
          <w:rStyle w:val="FootnoteReference"/>
        </w:rPr>
        <w:footnoteRef/>
      </w:r>
      <w:r>
        <w:t xml:space="preserve"> Subsection </w:t>
      </w:r>
      <w:proofErr w:type="gramStart"/>
      <w:r>
        <w:t>44ZZBB(</w:t>
      </w:r>
      <w:proofErr w:type="gramEnd"/>
      <w:r>
        <w:t xml:space="preserve">1), CCA. </w:t>
      </w:r>
    </w:p>
  </w:footnote>
  <w:footnote w:id="5">
    <w:p w:rsidR="009F7CCC" w:rsidRDefault="009F7CCC" w:rsidP="0064728B">
      <w:pPr>
        <w:pStyle w:val="Footnote"/>
      </w:pPr>
      <w:r>
        <w:rPr>
          <w:rStyle w:val="FootnoteReference"/>
        </w:rPr>
        <w:footnoteRef/>
      </w:r>
      <w:r>
        <w:t xml:space="preserve"> Subsection </w:t>
      </w:r>
      <w:proofErr w:type="gramStart"/>
      <w:r>
        <w:t>44ZZA(</w:t>
      </w:r>
      <w:proofErr w:type="gramEnd"/>
      <w:r>
        <w:t>7), CCA.</w:t>
      </w:r>
    </w:p>
  </w:footnote>
  <w:footnote w:id="6">
    <w:p w:rsidR="009F7CCC" w:rsidRPr="003B66B4" w:rsidRDefault="009F7CCC" w:rsidP="0064728B">
      <w:pPr>
        <w:pStyle w:val="Footnote"/>
      </w:pPr>
      <w:r>
        <w:rPr>
          <w:rStyle w:val="FootnoteReference"/>
        </w:rPr>
        <w:footnoteRef/>
      </w:r>
      <w:r>
        <w:t xml:space="preserve"> </w:t>
      </w:r>
      <w:proofErr w:type="gramStart"/>
      <w:r>
        <w:t>WEMA section 2 and Schedule 3.</w:t>
      </w:r>
      <w:proofErr w:type="gramEnd"/>
    </w:p>
  </w:footnote>
  <w:footnote w:id="7">
    <w:p w:rsidR="009F7CCC" w:rsidRDefault="009F7CCC" w:rsidP="0064728B">
      <w:pPr>
        <w:pStyle w:val="Footnote"/>
      </w:pPr>
      <w:r>
        <w:rPr>
          <w:rStyle w:val="FootnoteReference"/>
        </w:rPr>
        <w:footnoteRef/>
      </w:r>
      <w:r>
        <w:t xml:space="preserve"> </w:t>
      </w:r>
      <w:proofErr w:type="gramStart"/>
      <w:r>
        <w:t xml:space="preserve">Section 12 of the </w:t>
      </w:r>
      <w:r w:rsidRPr="006E23FA">
        <w:t>WEMA</w:t>
      </w:r>
      <w:r>
        <w:t>.</w:t>
      </w:r>
      <w:proofErr w:type="gramEnd"/>
      <w:r w:rsidRPr="00CC028F">
        <w:t xml:space="preserve"> </w:t>
      </w:r>
    </w:p>
  </w:footnote>
  <w:footnote w:id="8">
    <w:p w:rsidR="009F7CCC" w:rsidRPr="00D27E8B" w:rsidRDefault="009F7CCC" w:rsidP="0064728B">
      <w:pPr>
        <w:pStyle w:val="Footnote"/>
      </w:pPr>
      <w:r>
        <w:rPr>
          <w:rStyle w:val="FootnoteReference"/>
        </w:rPr>
        <w:footnoteRef/>
      </w:r>
      <w:r>
        <w:t xml:space="preserve"> </w:t>
      </w:r>
      <w:r w:rsidRPr="006266AC">
        <w:rPr>
          <w:i/>
        </w:rPr>
        <w:t>Competition and Consumer Act 2010</w:t>
      </w:r>
      <w:r w:rsidRPr="006266AC">
        <w:t xml:space="preserve"> (</w:t>
      </w:r>
      <w:proofErr w:type="spellStart"/>
      <w:r w:rsidRPr="006266AC">
        <w:t>Cth</w:t>
      </w:r>
      <w:proofErr w:type="spellEnd"/>
      <w:r w:rsidRPr="006266AC">
        <w:t xml:space="preserve">) subsection </w:t>
      </w:r>
      <w:proofErr w:type="gramStart"/>
      <w:r w:rsidRPr="006266AC">
        <w:t>44ZZBD(</w:t>
      </w:r>
      <w:proofErr w:type="gramEnd"/>
      <w:r w:rsidRPr="006266AC">
        <w:t>1).</w:t>
      </w:r>
      <w:r>
        <w:t xml:space="preserve"> </w:t>
      </w:r>
    </w:p>
  </w:footnote>
  <w:footnote w:id="9">
    <w:p w:rsidR="009F7CCC" w:rsidRDefault="009F7CCC" w:rsidP="0064728B">
      <w:pPr>
        <w:pStyle w:val="Footnote"/>
      </w:pPr>
      <w:r>
        <w:rPr>
          <w:rStyle w:val="FootnoteReference"/>
        </w:rPr>
        <w:footnoteRef/>
      </w:r>
      <w:r>
        <w:t xml:space="preserve"> Cargill’s one page submission noted that it has no issues or concerns regarding </w:t>
      </w:r>
      <w:proofErr w:type="spellStart"/>
      <w:r>
        <w:t>Viterra</w:t>
      </w:r>
      <w:proofErr w:type="spellEnd"/>
      <w:r>
        <w:t xml:space="preserve"> Operations Limited’s application to extend and vary. </w:t>
      </w:r>
      <w:proofErr w:type="spellStart"/>
      <w:r>
        <w:t>Toepfer’s</w:t>
      </w:r>
      <w:proofErr w:type="spellEnd"/>
      <w:r>
        <w:t xml:space="preserve"> submission was more extensive and is referenced in this Final Decision.</w:t>
      </w:r>
    </w:p>
  </w:footnote>
  <w:footnote w:id="10">
    <w:p w:rsidR="009F7CCC" w:rsidRDefault="009F7CCC" w:rsidP="0064728B">
      <w:pPr>
        <w:pStyle w:val="Footnote"/>
      </w:pPr>
      <w:r>
        <w:rPr>
          <w:rStyle w:val="FootnoteReference"/>
        </w:rPr>
        <w:footnoteRef/>
      </w:r>
      <w:r>
        <w:t xml:space="preserve"> That is, auctions in addition to the single harvest auction and two non-harvest auctions specifically provided for in the PLPs. </w:t>
      </w:r>
    </w:p>
  </w:footnote>
  <w:footnote w:id="11">
    <w:p w:rsidR="009F7CCC" w:rsidRDefault="009F7CCC" w:rsidP="0064728B">
      <w:pPr>
        <w:pStyle w:val="Footnote"/>
      </w:pPr>
      <w:r>
        <w:rPr>
          <w:rStyle w:val="FootnoteReference"/>
        </w:rPr>
        <w:footnoteRef/>
      </w:r>
      <w:r>
        <w:t xml:space="preserve"> </w:t>
      </w:r>
      <w:proofErr w:type="spellStart"/>
      <w:r>
        <w:t>Viterra</w:t>
      </w:r>
      <w:proofErr w:type="spellEnd"/>
      <w:r>
        <w:t xml:space="preserve"> Operations Limited, </w:t>
      </w:r>
      <w:r w:rsidRPr="00A533A3">
        <w:rPr>
          <w:i/>
        </w:rPr>
        <w:t>Variation Notice: Proposed variations to the Port Loading Protocols</w:t>
      </w:r>
      <w:r>
        <w:t>, 18 October 2013.</w:t>
      </w:r>
    </w:p>
  </w:footnote>
  <w:footnote w:id="12">
    <w:p w:rsidR="009F7CCC" w:rsidRPr="0064728B" w:rsidRDefault="009F7CCC" w:rsidP="0064728B">
      <w:pPr>
        <w:pStyle w:val="Footnote"/>
      </w:pPr>
      <w:r w:rsidRPr="0064728B">
        <w:rPr>
          <w:rStyle w:val="FootnoteReference"/>
          <w:sz w:val="17"/>
          <w:vertAlign w:val="baseline"/>
        </w:rPr>
        <w:footnoteRef/>
      </w:r>
      <w:r w:rsidRPr="0064728B">
        <w:t xml:space="preserve"> </w:t>
      </w:r>
      <w:proofErr w:type="spellStart"/>
      <w:r w:rsidRPr="0064728B">
        <w:t>Viterra</w:t>
      </w:r>
      <w:proofErr w:type="spellEnd"/>
      <w:r w:rsidRPr="0064728B">
        <w:t xml:space="preserve"> proposed to vary both its Standard Terms and PLPs via the undertaking variation process under Division 6, Part IIIA of the CCA. </w:t>
      </w:r>
      <w:proofErr w:type="spellStart"/>
      <w:r w:rsidRPr="0064728B">
        <w:t>Viterra</w:t>
      </w:r>
      <w:proofErr w:type="spellEnd"/>
      <w:r w:rsidRPr="0064728B">
        <w:t xml:space="preserve"> is not relying on the separate process set out in its 2011 </w:t>
      </w:r>
      <w:proofErr w:type="gramStart"/>
      <w:r w:rsidRPr="0064728B">
        <w:t>Undertaking</w:t>
      </w:r>
      <w:proofErr w:type="gramEnd"/>
      <w:r w:rsidRPr="0064728B">
        <w:t xml:space="preserve"> which can be used to vary the PLPs. </w:t>
      </w:r>
    </w:p>
  </w:footnote>
  <w:footnote w:id="13">
    <w:p w:rsidR="009F7CCC" w:rsidRPr="00651FBA" w:rsidRDefault="009F7CCC" w:rsidP="00EF1904">
      <w:pPr>
        <w:pStyle w:val="Footnote"/>
      </w:pPr>
      <w:r w:rsidRPr="00651FBA">
        <w:rPr>
          <w:rStyle w:val="FootnoteReference"/>
        </w:rPr>
        <w:footnoteRef/>
      </w:r>
      <w:r w:rsidRPr="00651FBA">
        <w:t xml:space="preserve"> </w:t>
      </w:r>
      <w:proofErr w:type="gramStart"/>
      <w:r w:rsidRPr="0064728B">
        <w:rPr>
          <w:i/>
        </w:rPr>
        <w:t>Personal Property Securities Act 2009</w:t>
      </w:r>
      <w:r w:rsidRPr="00651FBA">
        <w:t xml:space="preserve"> (</w:t>
      </w:r>
      <w:proofErr w:type="spellStart"/>
      <w:r w:rsidRPr="00651FBA">
        <w:t>Cth</w:t>
      </w:r>
      <w:proofErr w:type="spellEnd"/>
      <w:r w:rsidRPr="00651FBA">
        <w:t>).</w:t>
      </w:r>
      <w:proofErr w:type="gramEnd"/>
    </w:p>
  </w:footnote>
  <w:footnote w:id="14">
    <w:p w:rsidR="009F7CCC" w:rsidRPr="00651FBA" w:rsidRDefault="009F7CCC" w:rsidP="0064728B">
      <w:pPr>
        <w:pStyle w:val="Footnote"/>
        <w:rPr>
          <w:lang w:val="en-US"/>
        </w:rPr>
      </w:pPr>
      <w:r w:rsidRPr="00651FBA">
        <w:rPr>
          <w:rStyle w:val="FootnoteReference"/>
        </w:rPr>
        <w:footnoteRef/>
      </w:r>
      <w:r w:rsidRPr="00651FBA">
        <w:t xml:space="preserve"> Subsection </w:t>
      </w:r>
      <w:proofErr w:type="gramStart"/>
      <w:r w:rsidRPr="00651FBA">
        <w:t>44ZZA(</w:t>
      </w:r>
      <w:proofErr w:type="gramEnd"/>
      <w:r w:rsidRPr="00651FBA">
        <w:t>3)(</w:t>
      </w:r>
      <w:proofErr w:type="spellStart"/>
      <w:r w:rsidRPr="00651FBA">
        <w:t>aa</w:t>
      </w:r>
      <w:proofErr w:type="spellEnd"/>
      <w:r w:rsidRPr="00651FBA">
        <w:t>).</w:t>
      </w:r>
    </w:p>
  </w:footnote>
  <w:footnote w:id="15">
    <w:p w:rsidR="009F7CCC" w:rsidRPr="00987EBF" w:rsidRDefault="009F7CCC" w:rsidP="0064728B">
      <w:pPr>
        <w:pStyle w:val="Footnote"/>
      </w:pPr>
      <w:r w:rsidRPr="00651FBA">
        <w:rPr>
          <w:rStyle w:val="FootnoteReference"/>
        </w:rPr>
        <w:footnoteRef/>
      </w:r>
      <w:r w:rsidRPr="00651FBA">
        <w:t xml:space="preserve"> Section 44AA sets out the objects of Part IIIA.</w:t>
      </w:r>
    </w:p>
  </w:footnote>
  <w:footnote w:id="16">
    <w:p w:rsidR="009F7CCC" w:rsidRPr="00221EEC" w:rsidRDefault="009F7CCC" w:rsidP="0064728B">
      <w:pPr>
        <w:pStyle w:val="Footnote"/>
      </w:pPr>
      <w:r w:rsidRPr="00D94BE4">
        <w:rPr>
          <w:rStyle w:val="FootnoteReference"/>
        </w:rPr>
        <w:footnoteRef/>
      </w:r>
      <w:r w:rsidRPr="00D94BE4">
        <w:t xml:space="preserve"> The relevant transitional legislation is the </w:t>
      </w:r>
      <w:r w:rsidRPr="0064728B">
        <w:rPr>
          <w:i/>
        </w:rPr>
        <w:t>Wheat Export Marketing (Repeal and Consequential Amendments) Act 2008</w:t>
      </w:r>
      <w:r w:rsidRPr="00D94BE4">
        <w:t xml:space="preserve"> (</w:t>
      </w:r>
      <w:proofErr w:type="spellStart"/>
      <w:r w:rsidRPr="00D94BE4">
        <w:t>Cth</w:t>
      </w:r>
      <w:proofErr w:type="spellEnd"/>
      <w:r w:rsidRPr="00D94BE4">
        <w:t>).</w:t>
      </w:r>
    </w:p>
  </w:footnote>
  <w:footnote w:id="17">
    <w:p w:rsidR="009F7CCC" w:rsidRPr="00712BCD" w:rsidRDefault="009F7CCC" w:rsidP="0064728B">
      <w:pPr>
        <w:pStyle w:val="Footnote"/>
      </w:pPr>
      <w:r w:rsidRPr="005E4AAE">
        <w:rPr>
          <w:rStyle w:val="FootnoteReference"/>
        </w:rPr>
        <w:footnoteRef/>
      </w:r>
      <w:r>
        <w:t xml:space="preserve"> These are set out in section 9(4) of the WEMA. </w:t>
      </w:r>
      <w:r w:rsidRPr="00712BCD">
        <w:t>In summary, the continuou</w:t>
      </w:r>
      <w:r>
        <w:t xml:space="preserve">s disclosure rules require port </w:t>
      </w:r>
      <w:r w:rsidRPr="00712BCD">
        <w:t>terminal operators to publish on their website their policies and procedures for managing deman</w:t>
      </w:r>
      <w:r>
        <w:t xml:space="preserve">d for port terminal services; a </w:t>
      </w:r>
      <w:r w:rsidRPr="00712BCD">
        <w:t>statement, updated daily, setting out, amongst other things, the name of each ship scheduled to load grain using port terminal services, the estimated date on which grain will be loaded into the ship (if known), the date on which the ship was nominated and the date on which the nomination was accepted (this statement is termed the ‘Loading</w:t>
      </w:r>
      <w:r>
        <w:t xml:space="preserve"> </w:t>
      </w:r>
      <w:r w:rsidRPr="00712BCD">
        <w:t>Statement’).</w:t>
      </w:r>
    </w:p>
  </w:footnote>
  <w:footnote w:id="18">
    <w:p w:rsidR="009F7CCC" w:rsidRPr="00D319AE" w:rsidRDefault="009F7CCC" w:rsidP="0064728B">
      <w:pPr>
        <w:pStyle w:val="Footnote"/>
      </w:pPr>
      <w:r>
        <w:rPr>
          <w:rStyle w:val="FootnoteReference"/>
        </w:rPr>
        <w:footnoteRef/>
      </w:r>
      <w:r>
        <w:t xml:space="preserve"> Wheat Export Marketing Amendment Act 2012 (</w:t>
      </w:r>
      <w:proofErr w:type="spellStart"/>
      <w:r>
        <w:t>Cth</w:t>
      </w:r>
      <w:proofErr w:type="spellEnd"/>
      <w:r>
        <w:t>) section 2 and Schedule 3.</w:t>
      </w:r>
    </w:p>
  </w:footnote>
  <w:footnote w:id="19">
    <w:p w:rsidR="009F7CCC" w:rsidRPr="006F338B" w:rsidRDefault="009F7CCC" w:rsidP="0064728B">
      <w:pPr>
        <w:pStyle w:val="Footnote"/>
      </w:pPr>
      <w:r>
        <w:rPr>
          <w:rStyle w:val="FootnoteReference"/>
        </w:rPr>
        <w:footnoteRef/>
      </w:r>
      <w:r>
        <w:t xml:space="preserve"> </w:t>
      </w:r>
      <w:proofErr w:type="gramStart"/>
      <w:r>
        <w:t xml:space="preserve">Clause 12 of Schedule 1 to the </w:t>
      </w:r>
      <w:r w:rsidRPr="0064728B">
        <w:rPr>
          <w:i/>
        </w:rPr>
        <w:t>Wheat Export Marketing Amendment Act 2012</w:t>
      </w:r>
      <w:r>
        <w:t xml:space="preserve"> (</w:t>
      </w:r>
      <w:proofErr w:type="spellStart"/>
      <w:r>
        <w:t>Cth</w:t>
      </w:r>
      <w:proofErr w:type="spellEnd"/>
      <w:r>
        <w:t>).</w:t>
      </w:r>
      <w:proofErr w:type="gramEnd"/>
    </w:p>
  </w:footnote>
  <w:footnote w:id="20">
    <w:p w:rsidR="009F7CCC" w:rsidRPr="009422E0" w:rsidRDefault="009F7CCC" w:rsidP="00633670">
      <w:pPr>
        <w:pStyle w:val="FootnoteText"/>
        <w:rPr>
          <w:rFonts w:cs="Arial"/>
          <w:szCs w:val="17"/>
        </w:rPr>
      </w:pPr>
      <w:r w:rsidRPr="009422E0">
        <w:rPr>
          <w:rStyle w:val="FootnoteReference"/>
          <w:rFonts w:cs="Arial"/>
          <w:szCs w:val="17"/>
        </w:rPr>
        <w:footnoteRef/>
      </w:r>
      <w:r w:rsidRPr="009422E0">
        <w:rPr>
          <w:rFonts w:cs="Arial"/>
          <w:szCs w:val="17"/>
        </w:rPr>
        <w:t xml:space="preserve"> </w:t>
      </w:r>
      <w:proofErr w:type="spellStart"/>
      <w:r w:rsidRPr="009422E0">
        <w:rPr>
          <w:rFonts w:cs="Arial"/>
          <w:szCs w:val="17"/>
        </w:rPr>
        <w:t>Viterra</w:t>
      </w:r>
      <w:proofErr w:type="spellEnd"/>
      <w:r w:rsidRPr="009422E0">
        <w:rPr>
          <w:rFonts w:cs="Arial"/>
          <w:szCs w:val="17"/>
        </w:rPr>
        <w:t xml:space="preserve">, </w:t>
      </w:r>
      <w:r w:rsidRPr="009422E0">
        <w:rPr>
          <w:rFonts w:cs="Arial"/>
          <w:i/>
          <w:szCs w:val="17"/>
        </w:rPr>
        <w:t>Submission in support</w:t>
      </w:r>
      <w:r w:rsidRPr="009422E0">
        <w:rPr>
          <w:rFonts w:cs="Arial"/>
          <w:szCs w:val="17"/>
        </w:rPr>
        <w:t>, p. 2.</w:t>
      </w:r>
    </w:p>
  </w:footnote>
  <w:footnote w:id="21">
    <w:p w:rsidR="009F7CCC" w:rsidRPr="00E8055D" w:rsidRDefault="009F7CCC" w:rsidP="00E8055D">
      <w:pPr>
        <w:pStyle w:val="FootnoteText"/>
        <w:rPr>
          <w:rFonts w:cs="Arial"/>
          <w:szCs w:val="17"/>
        </w:rPr>
      </w:pPr>
      <w:r w:rsidRPr="009422E0">
        <w:rPr>
          <w:rStyle w:val="FootnoteReference"/>
          <w:rFonts w:cs="Arial"/>
          <w:szCs w:val="17"/>
        </w:rPr>
        <w:footnoteRef/>
      </w:r>
      <w:r w:rsidRPr="009422E0">
        <w:rPr>
          <w:rFonts w:cs="Arial"/>
          <w:szCs w:val="17"/>
        </w:rPr>
        <w:t xml:space="preserve"> </w:t>
      </w:r>
      <w:proofErr w:type="spellStart"/>
      <w:r w:rsidRPr="009422E0">
        <w:rPr>
          <w:rFonts w:cs="Arial"/>
          <w:szCs w:val="17"/>
        </w:rPr>
        <w:t>Toepfer</w:t>
      </w:r>
      <w:proofErr w:type="spellEnd"/>
      <w:r w:rsidRPr="009422E0">
        <w:rPr>
          <w:rFonts w:cs="Arial"/>
          <w:szCs w:val="17"/>
        </w:rPr>
        <w:t xml:space="preserve">, </w:t>
      </w:r>
      <w:r w:rsidRPr="009422E0">
        <w:rPr>
          <w:rFonts w:cs="Arial"/>
          <w:i/>
          <w:szCs w:val="17"/>
        </w:rPr>
        <w:t xml:space="preserve">Submission in response to ACCC Issues Paper regarding </w:t>
      </w:r>
      <w:proofErr w:type="spellStart"/>
      <w:r w:rsidRPr="009422E0">
        <w:rPr>
          <w:rFonts w:cs="Arial"/>
          <w:i/>
          <w:szCs w:val="17"/>
        </w:rPr>
        <w:t>Viterra’s</w:t>
      </w:r>
      <w:proofErr w:type="spellEnd"/>
      <w:r w:rsidRPr="009422E0">
        <w:rPr>
          <w:rFonts w:cs="Arial"/>
          <w:i/>
          <w:szCs w:val="17"/>
        </w:rPr>
        <w:t xml:space="preserve"> Application to extend and vary</w:t>
      </w:r>
      <w:r>
        <w:rPr>
          <w:rFonts w:cs="Arial"/>
          <w:szCs w:val="17"/>
        </w:rPr>
        <w:t xml:space="preserve">, 20 </w:t>
      </w:r>
      <w:r w:rsidRPr="009422E0">
        <w:rPr>
          <w:rFonts w:cs="Arial"/>
          <w:szCs w:val="17"/>
        </w:rPr>
        <w:t>September 2013, p.</w:t>
      </w:r>
      <w:r>
        <w:rPr>
          <w:rFonts w:cs="Arial"/>
          <w:szCs w:val="17"/>
        </w:rPr>
        <w:t xml:space="preserve"> </w:t>
      </w:r>
      <w:r w:rsidRPr="009422E0">
        <w:rPr>
          <w:rFonts w:cs="Arial"/>
          <w:szCs w:val="17"/>
        </w:rPr>
        <w:t xml:space="preserve">2. </w:t>
      </w:r>
    </w:p>
  </w:footnote>
  <w:footnote w:id="22">
    <w:p w:rsidR="009F7CCC" w:rsidRPr="009422E0" w:rsidRDefault="009F7CCC" w:rsidP="00633670">
      <w:pPr>
        <w:pStyle w:val="FootnoteText"/>
        <w:rPr>
          <w:rFonts w:cs="Arial"/>
          <w:szCs w:val="17"/>
        </w:rPr>
      </w:pPr>
      <w:r w:rsidRPr="009422E0">
        <w:rPr>
          <w:rStyle w:val="FootnoteReference"/>
          <w:rFonts w:cs="Arial"/>
          <w:szCs w:val="17"/>
        </w:rPr>
        <w:footnoteRef/>
      </w:r>
      <w:r w:rsidRPr="009422E0">
        <w:rPr>
          <w:rFonts w:cs="Arial"/>
          <w:szCs w:val="17"/>
        </w:rPr>
        <w:t xml:space="preserve"> </w:t>
      </w:r>
      <w:proofErr w:type="spellStart"/>
      <w:r w:rsidRPr="009422E0">
        <w:rPr>
          <w:rFonts w:cs="Arial"/>
          <w:szCs w:val="17"/>
        </w:rPr>
        <w:t>Toepfer</w:t>
      </w:r>
      <w:proofErr w:type="spellEnd"/>
      <w:r w:rsidRPr="009422E0">
        <w:rPr>
          <w:rFonts w:cs="Arial"/>
          <w:szCs w:val="17"/>
        </w:rPr>
        <w:t xml:space="preserve">, </w:t>
      </w:r>
      <w:r w:rsidRPr="009422E0">
        <w:rPr>
          <w:rFonts w:cs="Arial"/>
          <w:i/>
          <w:szCs w:val="17"/>
        </w:rPr>
        <w:t>Submission in response</w:t>
      </w:r>
      <w:r w:rsidRPr="009422E0">
        <w:rPr>
          <w:rFonts w:cs="Arial"/>
          <w:szCs w:val="17"/>
        </w:rPr>
        <w:t>, p. 1.</w:t>
      </w:r>
    </w:p>
  </w:footnote>
  <w:footnote w:id="23">
    <w:p w:rsidR="009F7CCC" w:rsidRPr="0064728B" w:rsidRDefault="009F7CCC" w:rsidP="0064728B">
      <w:pPr>
        <w:pStyle w:val="FootnoteText"/>
        <w:rPr>
          <w:rFonts w:cs="Arial"/>
          <w:szCs w:val="17"/>
        </w:rPr>
      </w:pPr>
      <w:r w:rsidRPr="009422E0">
        <w:rPr>
          <w:rStyle w:val="FootnoteReference"/>
          <w:rFonts w:cs="Arial"/>
          <w:szCs w:val="17"/>
        </w:rPr>
        <w:footnoteRef/>
      </w:r>
      <w:r w:rsidRPr="009422E0">
        <w:rPr>
          <w:rFonts w:cs="Arial"/>
          <w:szCs w:val="17"/>
        </w:rPr>
        <w:t xml:space="preserve"> </w:t>
      </w:r>
      <w:proofErr w:type="gramStart"/>
      <w:r w:rsidRPr="009422E0">
        <w:rPr>
          <w:rFonts w:cs="Arial"/>
          <w:szCs w:val="17"/>
        </w:rPr>
        <w:t xml:space="preserve">ACCC, </w:t>
      </w:r>
      <w:proofErr w:type="spellStart"/>
      <w:r w:rsidRPr="009422E0">
        <w:rPr>
          <w:rFonts w:cs="Arial"/>
          <w:i/>
          <w:szCs w:val="17"/>
        </w:rPr>
        <w:t>Viterra</w:t>
      </w:r>
      <w:proofErr w:type="spellEnd"/>
      <w:r w:rsidRPr="009422E0">
        <w:rPr>
          <w:rFonts w:cs="Arial"/>
          <w:i/>
          <w:szCs w:val="17"/>
        </w:rPr>
        <w:t xml:space="preserve"> Operations Limited, Port Terminal Services Access Undertaking, Decision to accept</w:t>
      </w:r>
      <w:r>
        <w:rPr>
          <w:rFonts w:cs="Arial"/>
          <w:szCs w:val="17"/>
        </w:rPr>
        <w:t xml:space="preserve">, 29 September 2011, p. </w:t>
      </w:r>
      <w:r w:rsidRPr="009422E0">
        <w:rPr>
          <w:rFonts w:cs="Arial"/>
          <w:szCs w:val="17"/>
        </w:rPr>
        <w:t>39.</w:t>
      </w:r>
      <w:proofErr w:type="gramEnd"/>
    </w:p>
  </w:footnote>
  <w:footnote w:id="24">
    <w:p w:rsidR="009F7CCC" w:rsidRPr="0064728B" w:rsidRDefault="009F7CCC" w:rsidP="0064728B">
      <w:pPr>
        <w:pStyle w:val="FootnoteText"/>
        <w:rPr>
          <w:rFonts w:eastAsia="Calibri" w:cs="Times New Roman"/>
        </w:rPr>
      </w:pPr>
      <w:r>
        <w:rPr>
          <w:rStyle w:val="FootnoteReference"/>
        </w:rPr>
        <w:footnoteRef/>
      </w:r>
      <w:r>
        <w:t xml:space="preserve"> </w:t>
      </w:r>
      <w:r>
        <w:rPr>
          <w:rFonts w:eastAsia="Calibri" w:cs="Times New Roman"/>
        </w:rPr>
        <w:t xml:space="preserve">The no hindering access clause is at clause 9.7 of </w:t>
      </w:r>
      <w:proofErr w:type="spellStart"/>
      <w:r>
        <w:rPr>
          <w:rFonts w:eastAsia="Calibri" w:cs="Times New Roman"/>
        </w:rPr>
        <w:t>Viterra’s</w:t>
      </w:r>
      <w:proofErr w:type="spellEnd"/>
      <w:r>
        <w:rPr>
          <w:rFonts w:eastAsia="Calibri" w:cs="Times New Roman"/>
        </w:rPr>
        <w:t xml:space="preserve"> 2011 Undertaking and clause 9.5 of </w:t>
      </w:r>
      <w:proofErr w:type="spellStart"/>
      <w:r>
        <w:rPr>
          <w:rFonts w:eastAsia="Calibri" w:cs="Times New Roman"/>
        </w:rPr>
        <w:t>Viterra’s</w:t>
      </w:r>
      <w:proofErr w:type="spellEnd"/>
      <w:r>
        <w:rPr>
          <w:rFonts w:eastAsia="Calibri" w:cs="Times New Roman"/>
        </w:rPr>
        <w:t xml:space="preserve"> Amended application to extend and vary.</w:t>
      </w:r>
    </w:p>
  </w:footnote>
  <w:footnote w:id="25">
    <w:p w:rsidR="009F7CCC" w:rsidRPr="009422E0" w:rsidRDefault="009F7CCC" w:rsidP="00633670">
      <w:pPr>
        <w:pStyle w:val="FootnoteText"/>
        <w:rPr>
          <w:rFonts w:cs="Arial"/>
          <w:szCs w:val="17"/>
        </w:rPr>
      </w:pPr>
      <w:r w:rsidRPr="009422E0">
        <w:rPr>
          <w:rStyle w:val="FootnoteReference"/>
          <w:rFonts w:cs="Arial"/>
          <w:szCs w:val="17"/>
        </w:rPr>
        <w:footnoteRef/>
      </w:r>
      <w:r w:rsidRPr="009422E0">
        <w:rPr>
          <w:rFonts w:cs="Arial"/>
          <w:szCs w:val="17"/>
        </w:rPr>
        <w:t xml:space="preserve"> </w:t>
      </w:r>
      <w:proofErr w:type="gramStart"/>
      <w:r w:rsidRPr="009422E0">
        <w:rPr>
          <w:rFonts w:cs="Arial"/>
          <w:szCs w:val="17"/>
        </w:rPr>
        <w:t xml:space="preserve">ACCC, </w:t>
      </w:r>
      <w:proofErr w:type="spellStart"/>
      <w:r w:rsidRPr="009422E0">
        <w:rPr>
          <w:rFonts w:cs="Arial"/>
          <w:i/>
          <w:szCs w:val="17"/>
        </w:rPr>
        <w:t>Ausbulk</w:t>
      </w:r>
      <w:proofErr w:type="spellEnd"/>
      <w:r w:rsidRPr="009422E0">
        <w:rPr>
          <w:rFonts w:cs="Arial"/>
          <w:i/>
          <w:szCs w:val="17"/>
        </w:rPr>
        <w:t xml:space="preserve"> decision to accept</w:t>
      </w:r>
      <w:r w:rsidRPr="009422E0">
        <w:rPr>
          <w:rFonts w:cs="Arial"/>
          <w:szCs w:val="17"/>
        </w:rPr>
        <w:t>, 29 September 2009 p. 180.</w:t>
      </w:r>
      <w:proofErr w:type="gramEnd"/>
    </w:p>
  </w:footnote>
  <w:footnote w:id="26">
    <w:p w:rsidR="009F7CCC" w:rsidRPr="009422E0" w:rsidRDefault="009F7CCC" w:rsidP="00633670">
      <w:pPr>
        <w:pStyle w:val="FootnoteText"/>
        <w:rPr>
          <w:rFonts w:cs="Arial"/>
          <w:szCs w:val="17"/>
        </w:rPr>
      </w:pPr>
      <w:r w:rsidRPr="009422E0">
        <w:rPr>
          <w:rStyle w:val="FootnoteReference"/>
          <w:rFonts w:cs="Arial"/>
          <w:szCs w:val="17"/>
        </w:rPr>
        <w:footnoteRef/>
      </w:r>
      <w:r w:rsidRPr="009422E0">
        <w:rPr>
          <w:rFonts w:cs="Arial"/>
          <w:szCs w:val="17"/>
        </w:rPr>
        <w:t xml:space="preserve"> ACCC, </w:t>
      </w:r>
      <w:r w:rsidRPr="009422E0">
        <w:rPr>
          <w:rFonts w:cs="Arial"/>
          <w:i/>
          <w:szCs w:val="17"/>
        </w:rPr>
        <w:t xml:space="preserve">Final Decision – 2011 </w:t>
      </w:r>
      <w:proofErr w:type="spellStart"/>
      <w:r w:rsidRPr="009422E0">
        <w:rPr>
          <w:rFonts w:cs="Arial"/>
          <w:i/>
          <w:szCs w:val="17"/>
        </w:rPr>
        <w:t>Viterra</w:t>
      </w:r>
      <w:proofErr w:type="spellEnd"/>
      <w:r w:rsidRPr="009422E0">
        <w:rPr>
          <w:rFonts w:cs="Arial"/>
          <w:i/>
          <w:szCs w:val="17"/>
        </w:rPr>
        <w:t xml:space="preserve"> Undertaking</w:t>
      </w:r>
      <w:r w:rsidRPr="009422E0">
        <w:rPr>
          <w:rFonts w:cs="Arial"/>
          <w:szCs w:val="17"/>
        </w:rPr>
        <w:t>,</w:t>
      </w:r>
      <w:r>
        <w:rPr>
          <w:rFonts w:cs="Arial"/>
          <w:szCs w:val="17"/>
        </w:rPr>
        <w:t xml:space="preserve"> 28 September 2011,</w:t>
      </w:r>
      <w:r w:rsidRPr="009422E0">
        <w:rPr>
          <w:rFonts w:cs="Arial"/>
          <w:szCs w:val="17"/>
        </w:rPr>
        <w:t xml:space="preserve"> p. 30.</w:t>
      </w:r>
    </w:p>
  </w:footnote>
  <w:footnote w:id="27">
    <w:p w:rsidR="009F7CCC" w:rsidRDefault="009F7CCC" w:rsidP="00633670">
      <w:pPr>
        <w:pStyle w:val="FootnoteText"/>
      </w:pPr>
      <w:r w:rsidRPr="009422E0">
        <w:rPr>
          <w:rStyle w:val="FootnoteReference"/>
          <w:rFonts w:cs="Arial"/>
          <w:szCs w:val="17"/>
        </w:rPr>
        <w:footnoteRef/>
      </w:r>
      <w:r w:rsidRPr="009422E0">
        <w:rPr>
          <w:rFonts w:cs="Arial"/>
          <w:szCs w:val="17"/>
        </w:rPr>
        <w:t xml:space="preserve"> </w:t>
      </w:r>
      <w:proofErr w:type="gramStart"/>
      <w:r w:rsidRPr="009422E0">
        <w:rPr>
          <w:rFonts w:cs="Arial"/>
          <w:szCs w:val="17"/>
        </w:rPr>
        <w:t>s.3(</w:t>
      </w:r>
      <w:proofErr w:type="gramEnd"/>
      <w:r w:rsidRPr="009422E0">
        <w:rPr>
          <w:rFonts w:cs="Arial"/>
          <w:szCs w:val="17"/>
        </w:rPr>
        <w:t>a) of the WEMA.</w:t>
      </w:r>
      <w:r>
        <w:t xml:space="preserve"> </w:t>
      </w:r>
    </w:p>
  </w:footnote>
  <w:footnote w:id="28">
    <w:p w:rsidR="009F7CCC" w:rsidRPr="009422E0" w:rsidRDefault="009F7CCC" w:rsidP="00633670">
      <w:pPr>
        <w:pStyle w:val="FootnoteText"/>
        <w:rPr>
          <w:rFonts w:cs="Arial"/>
          <w:szCs w:val="17"/>
        </w:rPr>
      </w:pPr>
      <w:r w:rsidRPr="009422E0">
        <w:rPr>
          <w:rStyle w:val="FootnoteReference"/>
          <w:rFonts w:cs="Arial"/>
          <w:szCs w:val="17"/>
        </w:rPr>
        <w:footnoteRef/>
      </w:r>
      <w:r>
        <w:rPr>
          <w:rFonts w:cs="Arial"/>
          <w:szCs w:val="17"/>
        </w:rPr>
        <w:t xml:space="preserve"> ibid</w:t>
      </w:r>
      <w:r w:rsidRPr="009422E0">
        <w:rPr>
          <w:rFonts w:cs="Arial"/>
          <w:szCs w:val="17"/>
        </w:rPr>
        <w:t>.</w:t>
      </w:r>
    </w:p>
  </w:footnote>
  <w:footnote w:id="29">
    <w:p w:rsidR="009F7CCC" w:rsidRPr="009422E0" w:rsidRDefault="009F7CCC" w:rsidP="00633670">
      <w:pPr>
        <w:pStyle w:val="FootnoteText"/>
        <w:rPr>
          <w:rFonts w:cs="Arial"/>
          <w:szCs w:val="17"/>
        </w:rPr>
      </w:pPr>
      <w:r w:rsidRPr="009422E0">
        <w:rPr>
          <w:rStyle w:val="FootnoteReference"/>
          <w:rFonts w:cs="Arial"/>
          <w:szCs w:val="17"/>
        </w:rPr>
        <w:footnoteRef/>
      </w:r>
      <w:r w:rsidRPr="009422E0">
        <w:rPr>
          <w:rFonts w:cs="Arial"/>
          <w:szCs w:val="17"/>
        </w:rPr>
        <w:t xml:space="preserve"> The expiration date of </w:t>
      </w:r>
      <w:proofErr w:type="spellStart"/>
      <w:r w:rsidRPr="009422E0">
        <w:rPr>
          <w:rFonts w:cs="Arial"/>
          <w:szCs w:val="17"/>
        </w:rPr>
        <w:t>Viterra’s</w:t>
      </w:r>
      <w:proofErr w:type="spellEnd"/>
      <w:r w:rsidRPr="009422E0">
        <w:rPr>
          <w:rFonts w:cs="Arial"/>
          <w:szCs w:val="17"/>
        </w:rPr>
        <w:t xml:space="preserve"> Undertaking is detailed in clause 3.2(a). </w:t>
      </w:r>
    </w:p>
  </w:footnote>
  <w:footnote w:id="30">
    <w:p w:rsidR="009F7CCC" w:rsidRPr="009422E0" w:rsidRDefault="009F7CCC" w:rsidP="00633670">
      <w:pPr>
        <w:pStyle w:val="FootnoteText"/>
        <w:rPr>
          <w:rFonts w:cs="Arial"/>
          <w:szCs w:val="17"/>
        </w:rPr>
      </w:pPr>
      <w:r w:rsidRPr="009422E0">
        <w:rPr>
          <w:rStyle w:val="FootnoteReference"/>
          <w:rFonts w:cs="Arial"/>
          <w:szCs w:val="17"/>
        </w:rPr>
        <w:footnoteRef/>
      </w:r>
      <w:r w:rsidRPr="009422E0">
        <w:rPr>
          <w:rFonts w:cs="Arial"/>
          <w:szCs w:val="17"/>
        </w:rPr>
        <w:t xml:space="preserve"> </w:t>
      </w:r>
      <w:proofErr w:type="spellStart"/>
      <w:r w:rsidRPr="009422E0">
        <w:rPr>
          <w:rFonts w:cs="Arial"/>
          <w:szCs w:val="17"/>
        </w:rPr>
        <w:t>Viterra</w:t>
      </w:r>
      <w:proofErr w:type="spellEnd"/>
      <w:r w:rsidRPr="009422E0">
        <w:rPr>
          <w:rFonts w:cs="Arial"/>
          <w:szCs w:val="17"/>
        </w:rPr>
        <w:t xml:space="preserve">, </w:t>
      </w:r>
      <w:r w:rsidRPr="009422E0">
        <w:rPr>
          <w:rFonts w:cs="Arial"/>
          <w:i/>
          <w:szCs w:val="17"/>
        </w:rPr>
        <w:t xml:space="preserve">Application to extend and vary </w:t>
      </w:r>
      <w:proofErr w:type="gramStart"/>
      <w:r w:rsidRPr="009422E0">
        <w:rPr>
          <w:rFonts w:cs="Arial"/>
          <w:i/>
          <w:szCs w:val="17"/>
        </w:rPr>
        <w:t>Undertaking</w:t>
      </w:r>
      <w:proofErr w:type="gramEnd"/>
      <w:r w:rsidRPr="009422E0">
        <w:rPr>
          <w:rFonts w:cs="Arial"/>
          <w:szCs w:val="17"/>
        </w:rPr>
        <w:t xml:space="preserve">, 25 July 2013, clause 3.2. </w:t>
      </w:r>
    </w:p>
  </w:footnote>
  <w:footnote w:id="31">
    <w:p w:rsidR="009F7CCC" w:rsidRDefault="009F7CCC" w:rsidP="00633670">
      <w:pPr>
        <w:pStyle w:val="FootnoteText"/>
      </w:pPr>
      <w:r w:rsidRPr="009422E0">
        <w:rPr>
          <w:rStyle w:val="FootnoteReference"/>
          <w:rFonts w:cs="Arial"/>
          <w:szCs w:val="17"/>
        </w:rPr>
        <w:footnoteRef/>
      </w:r>
      <w:r w:rsidRPr="009422E0">
        <w:rPr>
          <w:rFonts w:cs="Arial"/>
          <w:szCs w:val="17"/>
        </w:rPr>
        <w:t xml:space="preserve"> </w:t>
      </w:r>
      <w:proofErr w:type="gramStart"/>
      <w:r w:rsidRPr="009422E0">
        <w:rPr>
          <w:rFonts w:cs="Arial"/>
          <w:szCs w:val="17"/>
        </w:rPr>
        <w:t>ibid, p.</w:t>
      </w:r>
      <w:r>
        <w:rPr>
          <w:rFonts w:cs="Arial"/>
          <w:szCs w:val="17"/>
        </w:rPr>
        <w:t xml:space="preserve"> </w:t>
      </w:r>
      <w:r w:rsidRPr="009422E0">
        <w:rPr>
          <w:rFonts w:cs="Arial"/>
          <w:szCs w:val="17"/>
        </w:rPr>
        <w:t>6.</w:t>
      </w:r>
      <w:proofErr w:type="gramEnd"/>
    </w:p>
  </w:footnote>
  <w:footnote w:id="32">
    <w:p w:rsidR="009F7CCC" w:rsidRDefault="009F7CCC" w:rsidP="00633670">
      <w:pPr>
        <w:pStyle w:val="FootnoteText"/>
      </w:pPr>
      <w:r>
        <w:rPr>
          <w:rStyle w:val="FootnoteReference"/>
        </w:rPr>
        <w:footnoteRef/>
      </w:r>
      <w:r>
        <w:t xml:space="preserve"> </w:t>
      </w:r>
      <w:proofErr w:type="gramStart"/>
      <w:r>
        <w:t>s.3(</w:t>
      </w:r>
      <w:proofErr w:type="gramEnd"/>
      <w:r>
        <w:t xml:space="preserve">a) of the WEMA. </w:t>
      </w:r>
    </w:p>
  </w:footnote>
  <w:footnote w:id="33">
    <w:p w:rsidR="009F7CCC" w:rsidRDefault="009F7CCC" w:rsidP="00764519">
      <w:pPr>
        <w:pStyle w:val="FootnoteText"/>
      </w:pPr>
      <w:r>
        <w:rPr>
          <w:rStyle w:val="FootnoteReference"/>
        </w:rPr>
        <w:footnoteRef/>
      </w:r>
      <w:r>
        <w:t xml:space="preserve"> </w:t>
      </w:r>
      <w:proofErr w:type="spellStart"/>
      <w:r>
        <w:t>Viterra’s</w:t>
      </w:r>
      <w:proofErr w:type="spellEnd"/>
      <w:r>
        <w:t xml:space="preserve"> 2011 Undertaking was due to expire on 30 September 2014. The ACCC’s Final Decision consents to </w:t>
      </w:r>
      <w:proofErr w:type="spellStart"/>
      <w:r>
        <w:t>Viterra’s</w:t>
      </w:r>
      <w:proofErr w:type="spellEnd"/>
      <w:r>
        <w:t xml:space="preserve"> proposal to extend the operation of the 2011 Undertaking to 30 September 2015.</w:t>
      </w:r>
    </w:p>
  </w:footnote>
  <w:footnote w:id="34">
    <w:p w:rsidR="009F7CCC" w:rsidRDefault="009F7CCC" w:rsidP="0064728B">
      <w:pPr>
        <w:pStyle w:val="FootnoteText"/>
      </w:pPr>
      <w:r>
        <w:rPr>
          <w:rStyle w:val="FootnoteReference"/>
        </w:rPr>
        <w:footnoteRef/>
      </w:r>
      <w:r>
        <w:t xml:space="preserve"> At page 202 of the ACCC’s 2009 decision to accept </w:t>
      </w:r>
      <w:proofErr w:type="spellStart"/>
      <w:r>
        <w:t>Viterra’s</w:t>
      </w:r>
      <w:proofErr w:type="spellEnd"/>
      <w:r>
        <w:t xml:space="preserve"> (then </w:t>
      </w:r>
      <w:proofErr w:type="spellStart"/>
      <w:r>
        <w:t>Ausbulk</w:t>
      </w:r>
      <w:proofErr w:type="spellEnd"/>
      <w:r>
        <w:t xml:space="preserve">) undertaking, the ACCC considered it appropriate that the PLPs form part of the undertaking. However, in the interests of retaining flexibility and efficiency, the ACCC accepted the inclusion of a PLP variation process based on robust industry consultation as opposed to a formal ACCC consultation process. </w:t>
      </w:r>
    </w:p>
  </w:footnote>
  <w:footnote w:id="35">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Pr>
          <w:i/>
        </w:rPr>
        <w:t>S</w:t>
      </w:r>
      <w:r w:rsidRPr="00A31A0C">
        <w:rPr>
          <w:i/>
        </w:rPr>
        <w:t>ubmission in support</w:t>
      </w:r>
      <w:r>
        <w:t xml:space="preserve">, p. 2. </w:t>
      </w:r>
    </w:p>
  </w:footnote>
  <w:footnote w:id="36">
    <w:p w:rsidR="009F7CCC" w:rsidRDefault="009F7CCC" w:rsidP="00633670">
      <w:pPr>
        <w:pStyle w:val="FootnoteText"/>
      </w:pPr>
      <w:r>
        <w:rPr>
          <w:rStyle w:val="FootnoteReference"/>
        </w:rPr>
        <w:footnoteRef/>
      </w:r>
      <w:r>
        <w:t xml:space="preserve"> </w:t>
      </w:r>
      <w:proofErr w:type="spellStart"/>
      <w:r>
        <w:t>Toepfer</w:t>
      </w:r>
      <w:proofErr w:type="spellEnd"/>
      <w:r>
        <w:t xml:space="preserve">, </w:t>
      </w:r>
      <w:r>
        <w:rPr>
          <w:i/>
        </w:rPr>
        <w:t>S</w:t>
      </w:r>
      <w:r w:rsidRPr="00A31A0C">
        <w:rPr>
          <w:i/>
        </w:rPr>
        <w:t>ubmission in response</w:t>
      </w:r>
      <w:r>
        <w:t>, p. 2.</w:t>
      </w:r>
    </w:p>
  </w:footnote>
  <w:footnote w:id="37">
    <w:p w:rsidR="009F7CCC" w:rsidRDefault="009F7CCC" w:rsidP="00633670">
      <w:pPr>
        <w:pStyle w:val="FootnoteText"/>
      </w:pPr>
      <w:r>
        <w:rPr>
          <w:rStyle w:val="FootnoteReference"/>
        </w:rPr>
        <w:footnoteRef/>
      </w:r>
      <w:r>
        <w:t xml:space="preserve"> The equivalent provision is at clause 9.3(g) of </w:t>
      </w:r>
      <w:proofErr w:type="spellStart"/>
      <w:r>
        <w:t>GrainCorp’s</w:t>
      </w:r>
      <w:proofErr w:type="spellEnd"/>
      <w:r>
        <w:t xml:space="preserve"> 2011 undertaking. </w:t>
      </w:r>
    </w:p>
  </w:footnote>
  <w:footnote w:id="38">
    <w:p w:rsidR="009F7CCC" w:rsidRDefault="009F7CCC" w:rsidP="00633670">
      <w:pPr>
        <w:pStyle w:val="FootnoteText"/>
      </w:pPr>
      <w:r>
        <w:rPr>
          <w:rStyle w:val="FootnoteReference"/>
        </w:rPr>
        <w:footnoteRef/>
      </w:r>
      <w:r>
        <w:t xml:space="preserve"> </w:t>
      </w:r>
      <w:proofErr w:type="spellStart"/>
      <w:proofErr w:type="gramStart"/>
      <w:r>
        <w:t>Viterra</w:t>
      </w:r>
      <w:proofErr w:type="spellEnd"/>
      <w:r>
        <w:t>, submission in support, p. 9.</w:t>
      </w:r>
      <w:proofErr w:type="gramEnd"/>
    </w:p>
  </w:footnote>
  <w:footnote w:id="39">
    <w:p w:rsidR="009F7CCC" w:rsidRDefault="009F7CCC" w:rsidP="00633670">
      <w:pPr>
        <w:pStyle w:val="FootnoteText"/>
      </w:pPr>
      <w:r>
        <w:rPr>
          <w:rStyle w:val="FootnoteReference"/>
        </w:rPr>
        <w:footnoteRef/>
      </w:r>
      <w:r>
        <w:t xml:space="preserve"> ibid.</w:t>
      </w:r>
    </w:p>
  </w:footnote>
  <w:footnote w:id="40">
    <w:p w:rsidR="009F7CCC" w:rsidRPr="00752B61" w:rsidRDefault="009F7CCC" w:rsidP="00633670">
      <w:pPr>
        <w:pStyle w:val="FootnoteText"/>
        <w:rPr>
          <w:rFonts w:cs="Arial"/>
          <w:szCs w:val="17"/>
        </w:rPr>
      </w:pPr>
      <w:r w:rsidRPr="00752B61">
        <w:rPr>
          <w:rStyle w:val="FootnoteReference"/>
          <w:rFonts w:cs="Arial"/>
          <w:szCs w:val="17"/>
        </w:rPr>
        <w:footnoteRef/>
      </w:r>
      <w:r w:rsidRPr="00752B61">
        <w:rPr>
          <w:rFonts w:cs="Arial"/>
          <w:szCs w:val="17"/>
        </w:rPr>
        <w:t xml:space="preserve"> </w:t>
      </w:r>
      <w:proofErr w:type="spellStart"/>
      <w:r w:rsidRPr="00752B61">
        <w:rPr>
          <w:rFonts w:cs="Arial"/>
          <w:szCs w:val="17"/>
        </w:rPr>
        <w:t>Viterra</w:t>
      </w:r>
      <w:proofErr w:type="spellEnd"/>
      <w:r w:rsidRPr="00752B61">
        <w:rPr>
          <w:rFonts w:cs="Arial"/>
          <w:szCs w:val="17"/>
        </w:rPr>
        <w:t xml:space="preserve">, </w:t>
      </w:r>
      <w:r w:rsidRPr="00A421D4">
        <w:rPr>
          <w:rFonts w:cs="Arial"/>
          <w:i/>
          <w:szCs w:val="17"/>
        </w:rPr>
        <w:t>PLPs</w:t>
      </w:r>
      <w:r w:rsidRPr="00752B61">
        <w:rPr>
          <w:rFonts w:cs="Arial"/>
          <w:szCs w:val="17"/>
        </w:rPr>
        <w:t>, clause 2.3(a).</w:t>
      </w:r>
    </w:p>
  </w:footnote>
  <w:footnote w:id="41">
    <w:p w:rsidR="009F7CCC" w:rsidRDefault="009F7CCC" w:rsidP="00633670">
      <w:pPr>
        <w:pStyle w:val="FootnoteText"/>
      </w:pPr>
      <w:r w:rsidRPr="00752B61">
        <w:rPr>
          <w:rStyle w:val="FootnoteReference"/>
          <w:rFonts w:cs="Arial"/>
          <w:szCs w:val="17"/>
        </w:rPr>
        <w:footnoteRef/>
      </w:r>
      <w:r w:rsidRPr="00752B61">
        <w:rPr>
          <w:rFonts w:cs="Arial"/>
          <w:szCs w:val="17"/>
        </w:rPr>
        <w:t xml:space="preserve"> </w:t>
      </w:r>
      <w:proofErr w:type="spellStart"/>
      <w:r w:rsidRPr="00752B61">
        <w:rPr>
          <w:rFonts w:cs="Arial"/>
          <w:szCs w:val="17"/>
        </w:rPr>
        <w:t>Viterra</w:t>
      </w:r>
      <w:proofErr w:type="spellEnd"/>
      <w:r w:rsidRPr="00752B61">
        <w:rPr>
          <w:rFonts w:cs="Arial"/>
          <w:szCs w:val="17"/>
        </w:rPr>
        <w:t xml:space="preserve">, </w:t>
      </w:r>
      <w:r w:rsidRPr="00A421D4">
        <w:rPr>
          <w:rFonts w:cs="Arial"/>
          <w:i/>
          <w:szCs w:val="17"/>
        </w:rPr>
        <w:t>PLPs</w:t>
      </w:r>
      <w:r w:rsidRPr="00752B61">
        <w:rPr>
          <w:rFonts w:cs="Arial"/>
          <w:szCs w:val="17"/>
        </w:rPr>
        <w:t>, clause 2.3(b).</w:t>
      </w:r>
    </w:p>
  </w:footnote>
  <w:footnote w:id="42">
    <w:p w:rsidR="009F7CCC" w:rsidRDefault="009F7CCC" w:rsidP="0064728B">
      <w:pPr>
        <w:pStyle w:val="FootnoteText"/>
      </w:pPr>
      <w:r>
        <w:rPr>
          <w:rStyle w:val="FootnoteReference"/>
        </w:rPr>
        <w:footnoteRef/>
      </w:r>
      <w:r>
        <w:t xml:space="preserve"> </w:t>
      </w:r>
      <w:proofErr w:type="spellStart"/>
      <w:proofErr w:type="gramStart"/>
      <w:r>
        <w:t>Viterra</w:t>
      </w:r>
      <w:proofErr w:type="spellEnd"/>
      <w:r>
        <w:t xml:space="preserve">, </w:t>
      </w:r>
      <w:r>
        <w:rPr>
          <w:i/>
        </w:rPr>
        <w:t xml:space="preserve">Application to extend and vary Undertaking - </w:t>
      </w:r>
      <w:r w:rsidRPr="00E451F7">
        <w:rPr>
          <w:i/>
        </w:rPr>
        <w:t>Port Loading Protocols</w:t>
      </w:r>
      <w:r>
        <w:t>, 25 July 2013, clause 2.1(c) and clause 2.4.</w:t>
      </w:r>
      <w:proofErr w:type="gramEnd"/>
    </w:p>
  </w:footnote>
  <w:footnote w:id="43">
    <w:p w:rsidR="009F7CCC" w:rsidRDefault="009F7CCC" w:rsidP="00633670">
      <w:pPr>
        <w:pStyle w:val="FootnoteText"/>
      </w:pPr>
      <w:r>
        <w:rPr>
          <w:rStyle w:val="FootnoteReference"/>
        </w:rPr>
        <w:footnoteRef/>
      </w:r>
      <w:r>
        <w:t xml:space="preserve"> ACCC, </w:t>
      </w:r>
      <w:r w:rsidRPr="00F675A6">
        <w:rPr>
          <w:i/>
        </w:rPr>
        <w:t xml:space="preserve">Decision to accept </w:t>
      </w:r>
      <w:proofErr w:type="spellStart"/>
      <w:r w:rsidRPr="00F675A6">
        <w:rPr>
          <w:i/>
        </w:rPr>
        <w:t>Viterra’s</w:t>
      </w:r>
      <w:proofErr w:type="spellEnd"/>
      <w:r w:rsidRPr="00F675A6">
        <w:rPr>
          <w:i/>
        </w:rPr>
        <w:t xml:space="preserve"> Port Terminal Services Access Undertaking</w:t>
      </w:r>
      <w:r>
        <w:t xml:space="preserve">, 29 September 2011, p. 29. </w:t>
      </w:r>
    </w:p>
  </w:footnote>
  <w:footnote w:id="44">
    <w:p w:rsidR="009F7CCC" w:rsidRPr="006B15F9" w:rsidRDefault="009F7CCC" w:rsidP="00633670">
      <w:pPr>
        <w:pStyle w:val="FootnoteText"/>
      </w:pPr>
      <w:r>
        <w:rPr>
          <w:rStyle w:val="FootnoteReference"/>
        </w:rPr>
        <w:footnoteRef/>
      </w:r>
      <w:r>
        <w:t xml:space="preserve"> ACCC, </w:t>
      </w:r>
      <w:r>
        <w:rPr>
          <w:i/>
        </w:rPr>
        <w:t xml:space="preserve">Decision to accept </w:t>
      </w:r>
      <w:proofErr w:type="spellStart"/>
      <w:r>
        <w:rPr>
          <w:i/>
        </w:rPr>
        <w:t>Viterra’s</w:t>
      </w:r>
      <w:proofErr w:type="spellEnd"/>
      <w:r>
        <w:rPr>
          <w:i/>
        </w:rPr>
        <w:t xml:space="preserve"> 2011 Undertaking</w:t>
      </w:r>
      <w:r>
        <w:t xml:space="preserve">, p. 30. </w:t>
      </w:r>
    </w:p>
  </w:footnote>
  <w:footnote w:id="45">
    <w:p w:rsidR="009F7CCC" w:rsidRDefault="009F7CCC" w:rsidP="0064728B">
      <w:pPr>
        <w:pStyle w:val="FootnoteText"/>
      </w:pPr>
      <w:r>
        <w:rPr>
          <w:rStyle w:val="FootnoteReference"/>
        </w:rPr>
        <w:footnoteRef/>
      </w:r>
      <w:r>
        <w:t xml:space="preserve"> On 17 February 2012 </w:t>
      </w:r>
      <w:proofErr w:type="spellStart"/>
      <w:r>
        <w:t>Viterra</w:t>
      </w:r>
      <w:proofErr w:type="spellEnd"/>
      <w:r>
        <w:t xml:space="preserve"> submitted an Auction Variation Notice containing the details of its proposed auction system. On 11 April 2012 the ACCC issued an Auction Objection Notice in objection to certain aspects of that proposal. Following consultation with industry </w:t>
      </w:r>
      <w:proofErr w:type="spellStart"/>
      <w:r>
        <w:t>Viterra</w:t>
      </w:r>
      <w:proofErr w:type="spellEnd"/>
      <w:r>
        <w:t xml:space="preserve"> submitted a Revised Variation Notice on 24 August 2012. On 5 September 2012 the ACCC decided to withdraw its Auction Objection Notice.</w:t>
      </w:r>
    </w:p>
  </w:footnote>
  <w:footnote w:id="46">
    <w:p w:rsidR="009F7CCC" w:rsidRPr="0064728B" w:rsidRDefault="009F7CCC" w:rsidP="0064728B">
      <w:pPr>
        <w:pStyle w:val="FootnoteText"/>
        <w:rPr>
          <w:i/>
        </w:rPr>
      </w:pPr>
      <w:r>
        <w:rPr>
          <w:rStyle w:val="FootnoteReference"/>
        </w:rPr>
        <w:footnoteRef/>
      </w:r>
      <w:r>
        <w:t xml:space="preserve"> </w:t>
      </w:r>
      <w:proofErr w:type="gramStart"/>
      <w:r>
        <w:t xml:space="preserve">ACCC, </w:t>
      </w:r>
      <w:proofErr w:type="spellStart"/>
      <w:r w:rsidRPr="001B56F5">
        <w:rPr>
          <w:i/>
        </w:rPr>
        <w:t>Viterra</w:t>
      </w:r>
      <w:proofErr w:type="spellEnd"/>
      <w:r w:rsidRPr="001B56F5">
        <w:rPr>
          <w:i/>
        </w:rPr>
        <w:t xml:space="preserve"> Operations Limited Port Terminal Services Access Undertaking </w:t>
      </w:r>
      <w:r>
        <w:rPr>
          <w:i/>
        </w:rPr>
        <w:t xml:space="preserve">Decision to withdraw the ACCC’s </w:t>
      </w:r>
      <w:r w:rsidRPr="001B56F5">
        <w:rPr>
          <w:i/>
        </w:rPr>
        <w:t>Auction Objection Notice</w:t>
      </w:r>
      <w:r>
        <w:t>, 5 September 2012, p. 23.</w:t>
      </w:r>
      <w:proofErr w:type="gramEnd"/>
    </w:p>
  </w:footnote>
  <w:footnote w:id="47">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E451F7">
        <w:rPr>
          <w:i/>
        </w:rPr>
        <w:t>Submission in support of Application to extend and vary</w:t>
      </w:r>
      <w:r>
        <w:t>, 25 July 2013, p. 10.</w:t>
      </w:r>
    </w:p>
  </w:footnote>
  <w:footnote w:id="48">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E451F7">
        <w:rPr>
          <w:i/>
        </w:rPr>
        <w:t>Application to extend and vary Undertaking</w:t>
      </w:r>
      <w:r>
        <w:t xml:space="preserve"> – </w:t>
      </w:r>
      <w:r>
        <w:rPr>
          <w:i/>
        </w:rPr>
        <w:t xml:space="preserve">PLPs </w:t>
      </w:r>
      <w:r>
        <w:t>clause 2.4(g</w:t>
      </w:r>
      <w:proofErr w:type="gramStart"/>
      <w:r>
        <w:t>)(</w:t>
      </w:r>
      <w:proofErr w:type="spellStart"/>
      <w:proofErr w:type="gramEnd"/>
      <w:r>
        <w:t>i</w:t>
      </w:r>
      <w:proofErr w:type="spellEnd"/>
      <w:r>
        <w:t xml:space="preserve">). </w:t>
      </w:r>
    </w:p>
  </w:footnote>
  <w:footnote w:id="49">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CB2BE3">
        <w:rPr>
          <w:i/>
        </w:rPr>
        <w:t>Submission in support</w:t>
      </w:r>
      <w:r>
        <w:t>, p. 10.</w:t>
      </w:r>
    </w:p>
  </w:footnote>
  <w:footnote w:id="50">
    <w:p w:rsidR="009F7CCC" w:rsidRPr="00CD2FDB" w:rsidRDefault="009F7CCC" w:rsidP="00633670">
      <w:pPr>
        <w:pStyle w:val="FootnoteText"/>
      </w:pPr>
      <w:r>
        <w:rPr>
          <w:rStyle w:val="FootnoteReference"/>
        </w:rPr>
        <w:footnoteRef/>
      </w:r>
      <w:r>
        <w:t xml:space="preserve"> </w:t>
      </w:r>
      <w:proofErr w:type="spellStart"/>
      <w:r>
        <w:t>Toepfer</w:t>
      </w:r>
      <w:proofErr w:type="spellEnd"/>
      <w:r>
        <w:t xml:space="preserve">, </w:t>
      </w:r>
      <w:r>
        <w:rPr>
          <w:i/>
        </w:rPr>
        <w:t>Submission in response</w:t>
      </w:r>
      <w:r>
        <w:t>, 20 September 2013, p. 2.</w:t>
      </w:r>
    </w:p>
  </w:footnote>
  <w:footnote w:id="51">
    <w:p w:rsidR="009F7CCC" w:rsidRPr="0064728B" w:rsidRDefault="009F7CCC" w:rsidP="0064728B">
      <w:pPr>
        <w:pStyle w:val="FootnoteText"/>
        <w:rPr>
          <w:rFonts w:eastAsia="Calibri" w:cs="Times New Roman"/>
        </w:rPr>
      </w:pPr>
      <w:r>
        <w:rPr>
          <w:rStyle w:val="FootnoteReference"/>
        </w:rPr>
        <w:footnoteRef/>
      </w:r>
      <w:r>
        <w:t xml:space="preserve"> </w:t>
      </w:r>
      <w:r>
        <w:rPr>
          <w:rFonts w:eastAsia="Calibri" w:cs="Times New Roman"/>
        </w:rPr>
        <w:t xml:space="preserve">The no hindering access clause is at clause 9.7 of </w:t>
      </w:r>
      <w:proofErr w:type="spellStart"/>
      <w:r>
        <w:rPr>
          <w:rFonts w:eastAsia="Calibri" w:cs="Times New Roman"/>
        </w:rPr>
        <w:t>Viterra’s</w:t>
      </w:r>
      <w:proofErr w:type="spellEnd"/>
      <w:r>
        <w:rPr>
          <w:rFonts w:eastAsia="Calibri" w:cs="Times New Roman"/>
        </w:rPr>
        <w:t xml:space="preserve"> 2011 Undertaking and clause 9.5 of the Undertaking after </w:t>
      </w:r>
      <w:proofErr w:type="spellStart"/>
      <w:r>
        <w:rPr>
          <w:rFonts w:eastAsia="Calibri" w:cs="Times New Roman"/>
        </w:rPr>
        <w:t>Viterra’s</w:t>
      </w:r>
      <w:proofErr w:type="spellEnd"/>
      <w:r>
        <w:rPr>
          <w:rFonts w:eastAsia="Calibri" w:cs="Times New Roman"/>
        </w:rPr>
        <w:t xml:space="preserve"> Amended application to extend and vary.</w:t>
      </w:r>
    </w:p>
  </w:footnote>
  <w:footnote w:id="52">
    <w:p w:rsidR="009F7CCC" w:rsidRDefault="009F7CCC" w:rsidP="00633670">
      <w:pPr>
        <w:pStyle w:val="FootnoteText"/>
      </w:pPr>
      <w:r>
        <w:rPr>
          <w:rStyle w:val="FootnoteReference"/>
        </w:rPr>
        <w:footnoteRef/>
      </w:r>
      <w:r>
        <w:t xml:space="preserve"> </w:t>
      </w:r>
      <w:proofErr w:type="gramStart"/>
      <w:r>
        <w:t>ibid, p. 10.</w:t>
      </w:r>
      <w:proofErr w:type="gramEnd"/>
    </w:p>
  </w:footnote>
  <w:footnote w:id="53">
    <w:p w:rsidR="009F7CCC" w:rsidRDefault="009F7CCC" w:rsidP="00633670">
      <w:pPr>
        <w:pStyle w:val="FootnoteText"/>
      </w:pPr>
      <w:r>
        <w:rPr>
          <w:rStyle w:val="FootnoteReference"/>
        </w:rPr>
        <w:footnoteRef/>
      </w:r>
      <w:r>
        <w:t xml:space="preserve"> </w:t>
      </w:r>
      <w:proofErr w:type="spellStart"/>
      <w:proofErr w:type="gramStart"/>
      <w:r>
        <w:t>Toepfer</w:t>
      </w:r>
      <w:proofErr w:type="spellEnd"/>
      <w:r>
        <w:t>, submission in response, p. 2.</w:t>
      </w:r>
      <w:proofErr w:type="gramEnd"/>
      <w:r>
        <w:t xml:space="preserve"> </w:t>
      </w:r>
    </w:p>
  </w:footnote>
  <w:footnote w:id="54">
    <w:p w:rsidR="009F7CCC" w:rsidRDefault="009F7CCC" w:rsidP="00633670">
      <w:pPr>
        <w:pStyle w:val="FootnoteText"/>
      </w:pPr>
      <w:r>
        <w:rPr>
          <w:rStyle w:val="FootnoteReference"/>
        </w:rPr>
        <w:footnoteRef/>
      </w:r>
      <w:r>
        <w:t xml:space="preserve"> </w:t>
      </w:r>
      <w:proofErr w:type="spellStart"/>
      <w:proofErr w:type="gramStart"/>
      <w:r>
        <w:t>Viterra</w:t>
      </w:r>
      <w:proofErr w:type="spellEnd"/>
      <w:r>
        <w:t xml:space="preserve">, </w:t>
      </w:r>
      <w:r w:rsidRPr="00C37FAE">
        <w:rPr>
          <w:i/>
        </w:rPr>
        <w:t>submission in support</w:t>
      </w:r>
      <w:r>
        <w:t>, p. 11.</w:t>
      </w:r>
      <w:proofErr w:type="gramEnd"/>
      <w:r>
        <w:t xml:space="preserve"> </w:t>
      </w:r>
    </w:p>
  </w:footnote>
  <w:footnote w:id="55">
    <w:p w:rsidR="009F7CCC" w:rsidRDefault="009F7CCC" w:rsidP="00633670">
      <w:pPr>
        <w:pStyle w:val="FootnoteText"/>
      </w:pPr>
      <w:r>
        <w:rPr>
          <w:rStyle w:val="FootnoteReference"/>
        </w:rPr>
        <w:footnoteRef/>
      </w:r>
      <w:r>
        <w:t xml:space="preserve"> </w:t>
      </w:r>
      <w:proofErr w:type="spellStart"/>
      <w:proofErr w:type="gramStart"/>
      <w:r>
        <w:t>Toepfer</w:t>
      </w:r>
      <w:proofErr w:type="spellEnd"/>
      <w:r>
        <w:t xml:space="preserve">, </w:t>
      </w:r>
      <w:r w:rsidRPr="00525A06">
        <w:rPr>
          <w:i/>
        </w:rPr>
        <w:t>submission in response</w:t>
      </w:r>
      <w:r>
        <w:t>, p. 1.</w:t>
      </w:r>
      <w:proofErr w:type="gramEnd"/>
      <w:r>
        <w:t xml:space="preserve"> </w:t>
      </w:r>
    </w:p>
  </w:footnote>
  <w:footnote w:id="56">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525A06">
        <w:rPr>
          <w:i/>
        </w:rPr>
        <w:t>PLPs</w:t>
      </w:r>
      <w:r>
        <w:t xml:space="preserve">, clause 5.7. </w:t>
      </w:r>
    </w:p>
  </w:footnote>
  <w:footnote w:id="57">
    <w:p w:rsidR="009F7CCC" w:rsidRDefault="009F7CCC" w:rsidP="00633670">
      <w:pPr>
        <w:pStyle w:val="FootnoteText"/>
      </w:pPr>
      <w:r>
        <w:rPr>
          <w:rStyle w:val="FootnoteReference"/>
        </w:rPr>
        <w:footnoteRef/>
      </w:r>
      <w:r>
        <w:t xml:space="preserve"> </w:t>
      </w:r>
      <w:proofErr w:type="spellStart"/>
      <w:proofErr w:type="gramStart"/>
      <w:r>
        <w:t>Viterra</w:t>
      </w:r>
      <w:proofErr w:type="spellEnd"/>
      <w:r>
        <w:t xml:space="preserve">, </w:t>
      </w:r>
      <w:r w:rsidRPr="00C37FAE">
        <w:rPr>
          <w:i/>
        </w:rPr>
        <w:t>submission in support</w:t>
      </w:r>
      <w:r>
        <w:t>, p. 11.</w:t>
      </w:r>
      <w:proofErr w:type="gramEnd"/>
    </w:p>
  </w:footnote>
  <w:footnote w:id="58">
    <w:p w:rsidR="009F7CCC" w:rsidRDefault="009F7CCC" w:rsidP="00633670">
      <w:pPr>
        <w:pStyle w:val="FootnoteText"/>
      </w:pPr>
      <w:r>
        <w:rPr>
          <w:rStyle w:val="FootnoteReference"/>
        </w:rPr>
        <w:footnoteRef/>
      </w:r>
      <w:r>
        <w:t xml:space="preserve"> </w:t>
      </w:r>
      <w:proofErr w:type="gramStart"/>
      <w:r>
        <w:t>ibid.</w:t>
      </w:r>
      <w:proofErr w:type="gramEnd"/>
      <w:r>
        <w:t xml:space="preserve"> </w:t>
      </w:r>
    </w:p>
  </w:footnote>
  <w:footnote w:id="59">
    <w:p w:rsidR="009F7CCC" w:rsidRDefault="009F7CCC" w:rsidP="00633670">
      <w:pPr>
        <w:pStyle w:val="FootnoteText"/>
      </w:pPr>
      <w:r>
        <w:rPr>
          <w:rStyle w:val="FootnoteReference"/>
        </w:rPr>
        <w:footnoteRef/>
      </w:r>
      <w:r>
        <w:t xml:space="preserve"> </w:t>
      </w:r>
      <w:proofErr w:type="spellStart"/>
      <w:proofErr w:type="gramStart"/>
      <w:r>
        <w:t>Toepfer</w:t>
      </w:r>
      <w:proofErr w:type="spellEnd"/>
      <w:r>
        <w:t xml:space="preserve">, </w:t>
      </w:r>
      <w:r w:rsidRPr="00C37FAE">
        <w:rPr>
          <w:i/>
        </w:rPr>
        <w:t>submission in response</w:t>
      </w:r>
      <w:r>
        <w:t>, p. 1.</w:t>
      </w:r>
      <w:proofErr w:type="gramEnd"/>
      <w:r>
        <w:t xml:space="preserve"> </w:t>
      </w:r>
    </w:p>
  </w:footnote>
  <w:footnote w:id="60">
    <w:p w:rsidR="009F7CCC" w:rsidRDefault="009F7CCC" w:rsidP="00633670">
      <w:pPr>
        <w:pStyle w:val="FootnoteText"/>
      </w:pPr>
      <w:r>
        <w:rPr>
          <w:rStyle w:val="FootnoteReference"/>
        </w:rPr>
        <w:footnoteRef/>
      </w:r>
      <w:r>
        <w:t xml:space="preserve"> </w:t>
      </w:r>
      <w:proofErr w:type="spellStart"/>
      <w:proofErr w:type="gramStart"/>
      <w:r>
        <w:t>Viterra</w:t>
      </w:r>
      <w:proofErr w:type="spellEnd"/>
      <w:r>
        <w:t xml:space="preserve">, </w:t>
      </w:r>
      <w:r w:rsidRPr="00C37FAE">
        <w:rPr>
          <w:i/>
        </w:rPr>
        <w:t>submission in support</w:t>
      </w:r>
      <w:r>
        <w:t>, p. 11.</w:t>
      </w:r>
      <w:proofErr w:type="gramEnd"/>
      <w:r>
        <w:t xml:space="preserve"> </w:t>
      </w:r>
    </w:p>
  </w:footnote>
  <w:footnote w:id="61">
    <w:p w:rsidR="009F7CCC" w:rsidRDefault="009F7CCC" w:rsidP="00633670">
      <w:pPr>
        <w:pStyle w:val="FootnoteText"/>
      </w:pPr>
      <w:r>
        <w:rPr>
          <w:rStyle w:val="FootnoteReference"/>
        </w:rPr>
        <w:footnoteRef/>
      </w:r>
      <w:r>
        <w:t xml:space="preserve"> </w:t>
      </w:r>
      <w:proofErr w:type="spellStart"/>
      <w:proofErr w:type="gramStart"/>
      <w:r>
        <w:t>Toepfer</w:t>
      </w:r>
      <w:proofErr w:type="spellEnd"/>
      <w:r>
        <w:t xml:space="preserve">, </w:t>
      </w:r>
      <w:r w:rsidRPr="001B45FB">
        <w:rPr>
          <w:i/>
        </w:rPr>
        <w:t>submission in response</w:t>
      </w:r>
      <w:r>
        <w:t>, p. 3.</w:t>
      </w:r>
      <w:proofErr w:type="gramEnd"/>
      <w:r>
        <w:t xml:space="preserve"> </w:t>
      </w:r>
    </w:p>
  </w:footnote>
  <w:footnote w:id="62">
    <w:p w:rsidR="009F7CCC" w:rsidRDefault="009F7CCC" w:rsidP="00633670">
      <w:pPr>
        <w:pStyle w:val="FootnoteText"/>
      </w:pPr>
      <w:r>
        <w:rPr>
          <w:rStyle w:val="FootnoteReference"/>
        </w:rPr>
        <w:footnoteRef/>
      </w:r>
      <w:r>
        <w:t xml:space="preserve"> </w:t>
      </w:r>
      <w:proofErr w:type="gramStart"/>
      <w:r>
        <w:t>ibid.</w:t>
      </w:r>
      <w:proofErr w:type="gramEnd"/>
      <w:r>
        <w:t xml:space="preserve"> </w:t>
      </w:r>
    </w:p>
  </w:footnote>
  <w:footnote w:id="63">
    <w:p w:rsidR="009F7CCC" w:rsidRPr="00262F3E" w:rsidRDefault="009F7CCC" w:rsidP="00633670">
      <w:pPr>
        <w:pStyle w:val="FootnoteText"/>
      </w:pPr>
      <w:r>
        <w:rPr>
          <w:rStyle w:val="FootnoteReference"/>
        </w:rPr>
        <w:footnoteRef/>
      </w:r>
      <w:r>
        <w:t xml:space="preserve"> </w:t>
      </w:r>
      <w:proofErr w:type="spellStart"/>
      <w:proofErr w:type="gramStart"/>
      <w:r>
        <w:t>Viterra</w:t>
      </w:r>
      <w:proofErr w:type="spellEnd"/>
      <w:r>
        <w:t xml:space="preserve">, </w:t>
      </w:r>
      <w:r>
        <w:rPr>
          <w:i/>
        </w:rPr>
        <w:t>submission in support</w:t>
      </w:r>
      <w:r>
        <w:t>, p. 11.</w:t>
      </w:r>
      <w:proofErr w:type="gramEnd"/>
    </w:p>
  </w:footnote>
  <w:footnote w:id="64">
    <w:p w:rsidR="009F7CCC" w:rsidRPr="00262F3E" w:rsidRDefault="009F7CCC" w:rsidP="00633670">
      <w:pPr>
        <w:pStyle w:val="FootnoteText"/>
      </w:pPr>
      <w:r>
        <w:rPr>
          <w:rStyle w:val="FootnoteReference"/>
        </w:rPr>
        <w:footnoteRef/>
      </w:r>
      <w:r>
        <w:t xml:space="preserve"> </w:t>
      </w:r>
      <w:proofErr w:type="gramStart"/>
      <w:r>
        <w:t>ibid, p. 11.</w:t>
      </w:r>
      <w:proofErr w:type="gramEnd"/>
    </w:p>
  </w:footnote>
  <w:footnote w:id="65">
    <w:p w:rsidR="009F7CCC" w:rsidRDefault="009F7CCC" w:rsidP="00633670">
      <w:pPr>
        <w:pStyle w:val="FootnoteText"/>
      </w:pPr>
      <w:r>
        <w:rPr>
          <w:rStyle w:val="FootnoteReference"/>
        </w:rPr>
        <w:footnoteRef/>
      </w:r>
      <w:r>
        <w:t xml:space="preserve"> </w:t>
      </w:r>
      <w:proofErr w:type="spellStart"/>
      <w:proofErr w:type="gramStart"/>
      <w:r>
        <w:t>Toepfer</w:t>
      </w:r>
      <w:proofErr w:type="spellEnd"/>
      <w:r>
        <w:t xml:space="preserve">, </w:t>
      </w:r>
      <w:r w:rsidRPr="00E473AC">
        <w:rPr>
          <w:i/>
        </w:rPr>
        <w:t>submission in response</w:t>
      </w:r>
      <w:r>
        <w:t>, p. 34.</w:t>
      </w:r>
      <w:proofErr w:type="gramEnd"/>
    </w:p>
  </w:footnote>
  <w:footnote w:id="66">
    <w:p w:rsidR="009F7CCC" w:rsidRDefault="009F7CCC" w:rsidP="00633670">
      <w:pPr>
        <w:pStyle w:val="FootnoteText"/>
      </w:pPr>
      <w:r>
        <w:rPr>
          <w:rStyle w:val="FootnoteReference"/>
        </w:rPr>
        <w:footnoteRef/>
      </w:r>
      <w:r>
        <w:t xml:space="preserve"> </w:t>
      </w:r>
      <w:proofErr w:type="gramStart"/>
      <w:r>
        <w:t>s.3(</w:t>
      </w:r>
      <w:proofErr w:type="gramEnd"/>
      <w:r>
        <w:t>b) of the WEMA.</w:t>
      </w:r>
    </w:p>
  </w:footnote>
  <w:footnote w:id="67">
    <w:p w:rsidR="009F7CCC" w:rsidRDefault="009F7CCC" w:rsidP="00633670">
      <w:pPr>
        <w:pStyle w:val="FootnoteText"/>
      </w:pPr>
      <w:r>
        <w:rPr>
          <w:rStyle w:val="FootnoteReference"/>
        </w:rPr>
        <w:footnoteRef/>
      </w:r>
      <w:r>
        <w:t xml:space="preserve"> </w:t>
      </w:r>
      <w:proofErr w:type="spellStart"/>
      <w:proofErr w:type="gramStart"/>
      <w:r>
        <w:t>Viterra</w:t>
      </w:r>
      <w:proofErr w:type="spellEnd"/>
      <w:r>
        <w:t xml:space="preserve">, </w:t>
      </w:r>
      <w:r w:rsidRPr="00D43A59">
        <w:rPr>
          <w:i/>
        </w:rPr>
        <w:t>submission in support</w:t>
      </w:r>
      <w:r>
        <w:t>, p. 11.</w:t>
      </w:r>
      <w:proofErr w:type="gramEnd"/>
      <w:r>
        <w:t xml:space="preserve"> </w:t>
      </w:r>
    </w:p>
  </w:footnote>
  <w:footnote w:id="68">
    <w:p w:rsidR="009F7CCC" w:rsidRDefault="009F7CCC" w:rsidP="00633670">
      <w:pPr>
        <w:pStyle w:val="FootnoteText"/>
      </w:pPr>
      <w:r>
        <w:rPr>
          <w:rStyle w:val="FootnoteReference"/>
        </w:rPr>
        <w:footnoteRef/>
      </w:r>
      <w:r>
        <w:t xml:space="preserve"> </w:t>
      </w:r>
      <w:proofErr w:type="spellStart"/>
      <w:proofErr w:type="gramStart"/>
      <w:r>
        <w:t>Viterra</w:t>
      </w:r>
      <w:proofErr w:type="spellEnd"/>
      <w:r>
        <w:t xml:space="preserve">, </w:t>
      </w:r>
      <w:r w:rsidRPr="006D1A57">
        <w:rPr>
          <w:i/>
        </w:rPr>
        <w:t>Application to extend and vary Undertaking; Standard terms</w:t>
      </w:r>
      <w:r>
        <w:t>, clause 7.13.</w:t>
      </w:r>
      <w:proofErr w:type="gramEnd"/>
      <w:r>
        <w:t xml:space="preserve"> </w:t>
      </w:r>
    </w:p>
  </w:footnote>
  <w:footnote w:id="69">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6D1A57">
        <w:rPr>
          <w:i/>
        </w:rPr>
        <w:t>Standard terms</w:t>
      </w:r>
      <w:r>
        <w:t>, clause 8.5.</w:t>
      </w:r>
    </w:p>
  </w:footnote>
  <w:footnote w:id="70">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6D1A57">
        <w:rPr>
          <w:i/>
        </w:rPr>
        <w:t>Standard terms</w:t>
      </w:r>
      <w:r>
        <w:t>, clause 10.1.</w:t>
      </w:r>
    </w:p>
  </w:footnote>
  <w:footnote w:id="71">
    <w:p w:rsidR="009F7CCC" w:rsidRDefault="009F7CCC" w:rsidP="00633670">
      <w:pPr>
        <w:pStyle w:val="FootnoteText"/>
      </w:pPr>
      <w:r>
        <w:rPr>
          <w:rStyle w:val="FootnoteReference"/>
        </w:rPr>
        <w:footnoteRef/>
      </w:r>
      <w:r>
        <w:t xml:space="preserve"> </w:t>
      </w:r>
      <w:proofErr w:type="spellStart"/>
      <w:r>
        <w:t>Viterra</w:t>
      </w:r>
      <w:proofErr w:type="spellEnd"/>
      <w:r>
        <w:t xml:space="preserve">, </w:t>
      </w:r>
      <w:r w:rsidRPr="006D1A57">
        <w:rPr>
          <w:i/>
        </w:rPr>
        <w:t>Standard terms</w:t>
      </w:r>
      <w:r>
        <w:t>, clause 27A.</w:t>
      </w:r>
    </w:p>
  </w:footnote>
  <w:footnote w:id="72">
    <w:p w:rsidR="009F7CCC" w:rsidRPr="006B30B7" w:rsidRDefault="009F7CCC" w:rsidP="00BF290E">
      <w:pPr>
        <w:pStyle w:val="FootnoteText"/>
      </w:pPr>
      <w:r>
        <w:rPr>
          <w:rStyle w:val="FootnoteReference"/>
        </w:rPr>
        <w:footnoteRef/>
      </w:r>
      <w:r>
        <w:t xml:space="preserve"> ACCC, </w:t>
      </w:r>
      <w:proofErr w:type="spellStart"/>
      <w:r>
        <w:rPr>
          <w:i/>
        </w:rPr>
        <w:t>Viterra</w:t>
      </w:r>
      <w:proofErr w:type="spellEnd"/>
      <w:r>
        <w:rPr>
          <w:i/>
        </w:rPr>
        <w:t xml:space="preserve"> Operations Limited Port Terminal Services Access Undertaking, Draft Decision, </w:t>
      </w:r>
      <w:r>
        <w:t>11 August 2011, p.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D1F"/>
    <w:multiLevelType w:val="hybridMultilevel"/>
    <w:tmpl w:val="AB045D3A"/>
    <w:lvl w:ilvl="0" w:tplc="02FA74A4">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B73523"/>
    <w:multiLevelType w:val="hybridMultilevel"/>
    <w:tmpl w:val="961A0CAC"/>
    <w:lvl w:ilvl="0" w:tplc="749E3A5A">
      <w:start w:val="1"/>
      <w:numFmt w:val="bullet"/>
      <w:pStyle w:val="Tabletextlist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14415"/>
    <w:multiLevelType w:val="hybridMultilevel"/>
    <w:tmpl w:val="252A139A"/>
    <w:lvl w:ilvl="0" w:tplc="74A0AA4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1ED5649"/>
    <w:multiLevelType w:val="hybridMultilevel"/>
    <w:tmpl w:val="FB5EF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2C1D88"/>
    <w:multiLevelType w:val="multilevel"/>
    <w:tmpl w:val="321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D6DF9"/>
    <w:multiLevelType w:val="multilevel"/>
    <w:tmpl w:val="F0ACBA50"/>
    <w:lvl w:ilvl="0">
      <w:start w:val="1"/>
      <w:numFmt w:val="upperLetter"/>
      <w:pStyle w:val="Appendixheading1"/>
      <w:lvlText w:val="%1"/>
      <w:lvlJc w:val="left"/>
      <w:pPr>
        <w:tabs>
          <w:tab w:val="num" w:pos="958"/>
        </w:tabs>
        <w:ind w:left="958" w:hanging="958"/>
      </w:pPr>
      <w:rPr>
        <w:rFonts w:hint="default"/>
      </w:rPr>
    </w:lvl>
    <w:lvl w:ilvl="1">
      <w:start w:val="1"/>
      <w:numFmt w:val="decimal"/>
      <w:pStyle w:val="Appendixheading2"/>
      <w:lvlText w:val="%1.%2"/>
      <w:lvlJc w:val="left"/>
      <w:pPr>
        <w:tabs>
          <w:tab w:val="num" w:pos="958"/>
        </w:tabs>
        <w:ind w:left="958" w:hanging="958"/>
      </w:pPr>
      <w:rPr>
        <w:rFonts w:hint="default"/>
      </w:rPr>
    </w:lvl>
    <w:lvl w:ilvl="2">
      <w:start w:val="1"/>
      <w:numFmt w:val="decimal"/>
      <w:pStyle w:val="Appendixheading3"/>
      <w:lvlText w:val="%1.%2.%3"/>
      <w:lvlJc w:val="left"/>
      <w:pPr>
        <w:tabs>
          <w:tab w:val="num" w:pos="958"/>
        </w:tabs>
        <w:ind w:left="958" w:hanging="958"/>
      </w:pPr>
      <w:rPr>
        <w:rFonts w:hint="default"/>
      </w:rPr>
    </w:lvl>
    <w:lvl w:ilvl="3">
      <w:start w:val="1"/>
      <w:numFmt w:val="decimal"/>
      <w:pStyle w:val="Appendixheading4"/>
      <w:lvlText w:val="%1.%2.%3.%4"/>
      <w:lvlJc w:val="left"/>
      <w:pPr>
        <w:tabs>
          <w:tab w:val="num" w:pos="958"/>
        </w:tabs>
        <w:ind w:left="958" w:hanging="958"/>
      </w:pPr>
      <w:rPr>
        <w:rFonts w:hint="default"/>
      </w:rPr>
    </w:lvl>
    <w:lvl w:ilvl="4">
      <w:start w:val="1"/>
      <w:numFmt w:val="decimal"/>
      <w:lvlRestart w:val="1"/>
      <w:pStyle w:val="Appendixtabletitle"/>
      <w:lvlText w:val="Table %1.%5:"/>
      <w:lvlJc w:val="left"/>
      <w:pPr>
        <w:tabs>
          <w:tab w:val="num" w:pos="958"/>
        </w:tabs>
        <w:ind w:left="0" w:firstLine="0"/>
      </w:pPr>
      <w:rPr>
        <w:rFonts w:ascii="Lucida Fax" w:hAnsi="Lucida Fax"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D86694"/>
    <w:multiLevelType w:val="hybridMultilevel"/>
    <w:tmpl w:val="15604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3B29F6"/>
    <w:multiLevelType w:val="hybridMultilevel"/>
    <w:tmpl w:val="DFD47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4A67C2"/>
    <w:multiLevelType w:val="hybridMultilevel"/>
    <w:tmpl w:val="389C1864"/>
    <w:lvl w:ilvl="0" w:tplc="2B06F7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B333CB"/>
    <w:multiLevelType w:val="hybridMultilevel"/>
    <w:tmpl w:val="63F642D4"/>
    <w:lvl w:ilvl="0" w:tplc="28CEB94E">
      <w:start w:val="1"/>
      <w:numFmt w:val="bullet"/>
      <w:pStyle w:val="Listbullet1"/>
      <w:lvlText w:val=""/>
      <w:lvlJc w:val="left"/>
      <w:pPr>
        <w:ind w:left="360" w:hanging="360"/>
      </w:pPr>
      <w:rPr>
        <w:rFonts w:ascii="Symbol" w:hAnsi="Symbol" w:hint="default"/>
        <w:color w:val="auto"/>
        <w:sz w:val="20"/>
        <w:szCs w:val="20"/>
      </w:rPr>
    </w:lvl>
    <w:lvl w:ilvl="1" w:tplc="16E24C40">
      <w:start w:val="1"/>
      <w:numFmt w:val="bullet"/>
      <w:lvlText w:val="o"/>
      <w:lvlJc w:val="left"/>
      <w:pPr>
        <w:ind w:left="1440" w:hanging="360"/>
      </w:pPr>
      <w:rPr>
        <w:rFonts w:ascii="Courier New" w:hAnsi="Courier New" w:cs="Courier New" w:hint="default"/>
      </w:rPr>
    </w:lvl>
    <w:lvl w:ilvl="2" w:tplc="97F86E82" w:tentative="1">
      <w:start w:val="1"/>
      <w:numFmt w:val="bullet"/>
      <w:lvlText w:val=""/>
      <w:lvlJc w:val="left"/>
      <w:pPr>
        <w:ind w:left="2160" w:hanging="360"/>
      </w:pPr>
      <w:rPr>
        <w:rFonts w:ascii="Wingdings" w:hAnsi="Wingdings" w:hint="default"/>
      </w:rPr>
    </w:lvl>
    <w:lvl w:ilvl="3" w:tplc="0C8CD990" w:tentative="1">
      <w:start w:val="1"/>
      <w:numFmt w:val="bullet"/>
      <w:lvlText w:val=""/>
      <w:lvlJc w:val="left"/>
      <w:pPr>
        <w:ind w:left="2880" w:hanging="360"/>
      </w:pPr>
      <w:rPr>
        <w:rFonts w:ascii="Symbol" w:hAnsi="Symbol" w:hint="default"/>
      </w:rPr>
    </w:lvl>
    <w:lvl w:ilvl="4" w:tplc="13F86290" w:tentative="1">
      <w:start w:val="1"/>
      <w:numFmt w:val="bullet"/>
      <w:lvlText w:val="o"/>
      <w:lvlJc w:val="left"/>
      <w:pPr>
        <w:ind w:left="3600" w:hanging="360"/>
      </w:pPr>
      <w:rPr>
        <w:rFonts w:ascii="Courier New" w:hAnsi="Courier New" w:cs="Courier New" w:hint="default"/>
      </w:rPr>
    </w:lvl>
    <w:lvl w:ilvl="5" w:tplc="C428A5CE" w:tentative="1">
      <w:start w:val="1"/>
      <w:numFmt w:val="bullet"/>
      <w:lvlText w:val=""/>
      <w:lvlJc w:val="left"/>
      <w:pPr>
        <w:ind w:left="4320" w:hanging="360"/>
      </w:pPr>
      <w:rPr>
        <w:rFonts w:ascii="Wingdings" w:hAnsi="Wingdings" w:hint="default"/>
      </w:rPr>
    </w:lvl>
    <w:lvl w:ilvl="6" w:tplc="68D4171C" w:tentative="1">
      <w:start w:val="1"/>
      <w:numFmt w:val="bullet"/>
      <w:lvlText w:val=""/>
      <w:lvlJc w:val="left"/>
      <w:pPr>
        <w:ind w:left="5040" w:hanging="360"/>
      </w:pPr>
      <w:rPr>
        <w:rFonts w:ascii="Symbol" w:hAnsi="Symbol" w:hint="default"/>
      </w:rPr>
    </w:lvl>
    <w:lvl w:ilvl="7" w:tplc="0C209AF8" w:tentative="1">
      <w:start w:val="1"/>
      <w:numFmt w:val="bullet"/>
      <w:lvlText w:val="o"/>
      <w:lvlJc w:val="left"/>
      <w:pPr>
        <w:ind w:left="5760" w:hanging="360"/>
      </w:pPr>
      <w:rPr>
        <w:rFonts w:ascii="Courier New" w:hAnsi="Courier New" w:cs="Courier New" w:hint="default"/>
      </w:rPr>
    </w:lvl>
    <w:lvl w:ilvl="8" w:tplc="9B5ECC4E" w:tentative="1">
      <w:start w:val="1"/>
      <w:numFmt w:val="bullet"/>
      <w:lvlText w:val=""/>
      <w:lvlJc w:val="left"/>
      <w:pPr>
        <w:ind w:left="6480" w:hanging="360"/>
      </w:pPr>
      <w:rPr>
        <w:rFonts w:ascii="Wingdings" w:hAnsi="Wingdings" w:hint="default"/>
      </w:rPr>
    </w:lvl>
  </w:abstractNum>
  <w:abstractNum w:abstractNumId="10">
    <w:nsid w:val="2D892AC3"/>
    <w:multiLevelType w:val="hybridMultilevel"/>
    <w:tmpl w:val="53CC4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0343BB"/>
    <w:multiLevelType w:val="multilevel"/>
    <w:tmpl w:val="E0908028"/>
    <w:lvl w:ilvl="0">
      <w:start w:val="1"/>
      <w:numFmt w:val="bullet"/>
      <w:lvlText w:val=""/>
      <w:lvlJc w:val="left"/>
      <w:pPr>
        <w:tabs>
          <w:tab w:val="num" w:pos="714"/>
        </w:tabs>
        <w:ind w:left="714" w:hanging="357"/>
      </w:pPr>
      <w:rPr>
        <w:rFonts w:ascii="Symbol" w:hAnsi="Symbol" w:hint="default"/>
        <w:sz w:val="20"/>
        <w:szCs w:val="20"/>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517"/>
        </w:tabs>
        <w:ind w:left="2517" w:hanging="360"/>
      </w:pPr>
      <w:rPr>
        <w:rFonts w:ascii="Times New Roman" w:hAnsi="Times New Roman" w:cs="Times New Roman"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2">
    <w:nsid w:val="38E8487C"/>
    <w:multiLevelType w:val="hybridMultilevel"/>
    <w:tmpl w:val="EB3CDBF4"/>
    <w:lvl w:ilvl="0" w:tplc="02FA74A4">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B27583"/>
    <w:multiLevelType w:val="hybridMultilevel"/>
    <w:tmpl w:val="E2ACA4D6"/>
    <w:lvl w:ilvl="0" w:tplc="B5ECBAF8">
      <w:start w:val="2"/>
      <w:numFmt w:val="lowerLetter"/>
      <w:lvlText w:val="(%1)"/>
      <w:lvlJc w:val="left"/>
      <w:pPr>
        <w:ind w:left="1080" w:hanging="36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14">
    <w:nsid w:val="3B95751E"/>
    <w:multiLevelType w:val="hybridMultilevel"/>
    <w:tmpl w:val="8474E678"/>
    <w:lvl w:ilvl="0" w:tplc="94286FB2">
      <w:start w:val="7"/>
      <w:numFmt w:val="lowerLetter"/>
      <w:lvlText w:val="(%1)"/>
      <w:lvlJc w:val="left"/>
      <w:pPr>
        <w:ind w:left="720" w:hanging="360"/>
      </w:pPr>
      <w:rPr>
        <w:rFonts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BD7B0C"/>
    <w:multiLevelType w:val="hybridMultilevel"/>
    <w:tmpl w:val="925EBC74"/>
    <w:lvl w:ilvl="0" w:tplc="82DA5754">
      <w:start w:val="1"/>
      <w:numFmt w:val="lowerLetter"/>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A12E4B"/>
    <w:multiLevelType w:val="hybridMultilevel"/>
    <w:tmpl w:val="B7EC79F6"/>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42710D"/>
    <w:multiLevelType w:val="multilevel"/>
    <w:tmpl w:val="B128005A"/>
    <w:lvl w:ilvl="0">
      <w:start w:val="1"/>
      <w:numFmt w:val="decimal"/>
      <w:pStyle w:val="Numberedheading1"/>
      <w:lvlText w:val="%1"/>
      <w:lvlJc w:val="left"/>
      <w:pPr>
        <w:tabs>
          <w:tab w:val="num" w:pos="958"/>
        </w:tabs>
        <w:ind w:left="958" w:hanging="958"/>
      </w:pPr>
      <w:rPr>
        <w:rFonts w:hint="default"/>
      </w:rPr>
    </w:lvl>
    <w:lvl w:ilvl="1">
      <w:start w:val="1"/>
      <w:numFmt w:val="decimal"/>
      <w:pStyle w:val="Numberedheading2"/>
      <w:lvlText w:val="%1.%2"/>
      <w:lvlJc w:val="left"/>
      <w:pPr>
        <w:tabs>
          <w:tab w:val="num" w:pos="958"/>
        </w:tabs>
        <w:ind w:left="958" w:hanging="958"/>
      </w:pPr>
      <w:rPr>
        <w:rFonts w:hint="default"/>
      </w:rPr>
    </w:lvl>
    <w:lvl w:ilvl="2">
      <w:start w:val="1"/>
      <w:numFmt w:val="decimal"/>
      <w:pStyle w:val="Numberedheading3"/>
      <w:lvlText w:val="%1.%2.%3"/>
      <w:lvlJc w:val="left"/>
      <w:pPr>
        <w:tabs>
          <w:tab w:val="num" w:pos="958"/>
        </w:tabs>
        <w:ind w:left="958" w:hanging="958"/>
      </w:pPr>
      <w:rPr>
        <w:rFonts w:hint="default"/>
      </w:rPr>
    </w:lvl>
    <w:lvl w:ilvl="3">
      <w:start w:val="1"/>
      <w:numFmt w:val="decimal"/>
      <w:pStyle w:val="Numberedheading4"/>
      <w:lvlText w:val="%1.%2.%3.%4"/>
      <w:lvlJc w:val="left"/>
      <w:pPr>
        <w:tabs>
          <w:tab w:val="num" w:pos="958"/>
        </w:tabs>
        <w:ind w:left="958" w:hanging="958"/>
      </w:pPr>
      <w:rPr>
        <w:rFonts w:hint="default"/>
      </w:rPr>
    </w:lvl>
    <w:lvl w:ilvl="4">
      <w:start w:val="1"/>
      <w:numFmt w:val="decimal"/>
      <w:lvlRestart w:val="1"/>
      <w:pStyle w:val="Numberedtabletitle"/>
      <w:lvlText w:val="Table %1.%5:"/>
      <w:lvlJc w:val="left"/>
      <w:pPr>
        <w:tabs>
          <w:tab w:val="num" w:pos="958"/>
        </w:tabs>
        <w:ind w:left="0" w:firstLine="1440"/>
      </w:pPr>
      <w:rPr>
        <w:rFonts w:ascii="Lucida Fax" w:hAnsi="Lucida Fax"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B106D32"/>
    <w:multiLevelType w:val="hybridMultilevel"/>
    <w:tmpl w:val="C652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53412"/>
    <w:multiLevelType w:val="hybridMultilevel"/>
    <w:tmpl w:val="91AE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A202EE"/>
    <w:multiLevelType w:val="hybridMultilevel"/>
    <w:tmpl w:val="149C1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1C2C1B"/>
    <w:multiLevelType w:val="hybridMultilevel"/>
    <w:tmpl w:val="81EE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7703DB"/>
    <w:multiLevelType w:val="hybridMultilevel"/>
    <w:tmpl w:val="9DC65BA6"/>
    <w:lvl w:ilvl="0" w:tplc="82DA5754">
      <w:start w:val="1"/>
      <w:numFmt w:val="lowerLetter"/>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CA721D"/>
    <w:multiLevelType w:val="hybridMultilevel"/>
    <w:tmpl w:val="3D4A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6307EF0"/>
    <w:multiLevelType w:val="hybridMultilevel"/>
    <w:tmpl w:val="306E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197E71"/>
    <w:multiLevelType w:val="hybridMultilevel"/>
    <w:tmpl w:val="1566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231B6B"/>
    <w:multiLevelType w:val="hybridMultilevel"/>
    <w:tmpl w:val="5434A36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72266FB6"/>
    <w:multiLevelType w:val="hybridMultilevel"/>
    <w:tmpl w:val="EDDE06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2E05048"/>
    <w:multiLevelType w:val="hybridMultilevel"/>
    <w:tmpl w:val="3CFC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6478AC"/>
    <w:multiLevelType w:val="hybridMultilevel"/>
    <w:tmpl w:val="5558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5"/>
  </w:num>
  <w:num w:numId="5">
    <w:abstractNumId w:val="7"/>
  </w:num>
  <w:num w:numId="6">
    <w:abstractNumId w:val="3"/>
  </w:num>
  <w:num w:numId="7">
    <w:abstractNumId w:val="23"/>
  </w:num>
  <w:num w:numId="8">
    <w:abstractNumId w:val="27"/>
  </w:num>
  <w:num w:numId="9">
    <w:abstractNumId w:val="29"/>
  </w:num>
  <w:num w:numId="10">
    <w:abstractNumId w:val="24"/>
  </w:num>
  <w:num w:numId="11">
    <w:abstractNumId w:val="20"/>
  </w:num>
  <w:num w:numId="12">
    <w:abstractNumId w:val="2"/>
  </w:num>
  <w:num w:numId="13">
    <w:abstractNumId w:val="22"/>
  </w:num>
  <w:num w:numId="14">
    <w:abstractNumId w:val="15"/>
  </w:num>
  <w:num w:numId="15">
    <w:abstractNumId w:val="11"/>
  </w:num>
  <w:num w:numId="16">
    <w:abstractNumId w:val="10"/>
  </w:num>
  <w:num w:numId="17">
    <w:abstractNumId w:val="26"/>
  </w:num>
  <w:num w:numId="18">
    <w:abstractNumId w:val="8"/>
  </w:num>
  <w:num w:numId="19">
    <w:abstractNumId w:val="13"/>
  </w:num>
  <w:num w:numId="20">
    <w:abstractNumId w:val="14"/>
  </w:num>
  <w:num w:numId="21">
    <w:abstractNumId w:val="18"/>
  </w:num>
  <w:num w:numId="22">
    <w:abstractNumId w:val="6"/>
  </w:num>
  <w:num w:numId="23">
    <w:abstractNumId w:val="16"/>
  </w:num>
  <w:num w:numId="24">
    <w:abstractNumId w:val="2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21"/>
  </w:num>
  <w:num w:numId="29">
    <w:abstractNumId w:val="12"/>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4"/>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docVars>
    <w:docVar w:name="currentname" w:val="H:\TRIMDATA\TRIM\TEMP\HPTRIM.4028\D14 4086  RAWP-20140120 - Viterra Application to extend and vary 2011 Undertaking - Final Decision [RAPM FINAL VERSION].DOCX"/>
  </w:docVars>
  <w:rsids>
    <w:rsidRoot w:val="008B1F26"/>
    <w:rsid w:val="000013EF"/>
    <w:rsid w:val="00003446"/>
    <w:rsid w:val="00004E67"/>
    <w:rsid w:val="00006141"/>
    <w:rsid w:val="00007557"/>
    <w:rsid w:val="0001027F"/>
    <w:rsid w:val="0001243A"/>
    <w:rsid w:val="000133A6"/>
    <w:rsid w:val="00013415"/>
    <w:rsid w:val="00013497"/>
    <w:rsid w:val="00013D9C"/>
    <w:rsid w:val="000152E4"/>
    <w:rsid w:val="00016790"/>
    <w:rsid w:val="00016A1B"/>
    <w:rsid w:val="00016D11"/>
    <w:rsid w:val="00020F0C"/>
    <w:rsid w:val="00023CF6"/>
    <w:rsid w:val="00024E08"/>
    <w:rsid w:val="00026F3E"/>
    <w:rsid w:val="0002784E"/>
    <w:rsid w:val="00030642"/>
    <w:rsid w:val="00042E0A"/>
    <w:rsid w:val="000435D1"/>
    <w:rsid w:val="00043C97"/>
    <w:rsid w:val="00044707"/>
    <w:rsid w:val="000452A7"/>
    <w:rsid w:val="00045957"/>
    <w:rsid w:val="00053958"/>
    <w:rsid w:val="000543D2"/>
    <w:rsid w:val="0005481F"/>
    <w:rsid w:val="00055045"/>
    <w:rsid w:val="00063A52"/>
    <w:rsid w:val="00064EF2"/>
    <w:rsid w:val="000652D9"/>
    <w:rsid w:val="0006549C"/>
    <w:rsid w:val="0007022E"/>
    <w:rsid w:val="00070623"/>
    <w:rsid w:val="000736DA"/>
    <w:rsid w:val="00074BB8"/>
    <w:rsid w:val="00074D2A"/>
    <w:rsid w:val="00076BB2"/>
    <w:rsid w:val="00081280"/>
    <w:rsid w:val="00081DC0"/>
    <w:rsid w:val="0008204C"/>
    <w:rsid w:val="00082A2C"/>
    <w:rsid w:val="0008331F"/>
    <w:rsid w:val="00084805"/>
    <w:rsid w:val="00085A72"/>
    <w:rsid w:val="00086032"/>
    <w:rsid w:val="00086847"/>
    <w:rsid w:val="00086FCA"/>
    <w:rsid w:val="000903E6"/>
    <w:rsid w:val="00091600"/>
    <w:rsid w:val="000932BD"/>
    <w:rsid w:val="000941D6"/>
    <w:rsid w:val="00094AEE"/>
    <w:rsid w:val="00094B8C"/>
    <w:rsid w:val="000964F6"/>
    <w:rsid w:val="00097951"/>
    <w:rsid w:val="000A0008"/>
    <w:rsid w:val="000A0D2C"/>
    <w:rsid w:val="000A29A2"/>
    <w:rsid w:val="000A31A3"/>
    <w:rsid w:val="000A3C76"/>
    <w:rsid w:val="000A49A0"/>
    <w:rsid w:val="000A57F4"/>
    <w:rsid w:val="000A5B4D"/>
    <w:rsid w:val="000A7C8C"/>
    <w:rsid w:val="000B05BF"/>
    <w:rsid w:val="000B3766"/>
    <w:rsid w:val="000B4C22"/>
    <w:rsid w:val="000B4E2F"/>
    <w:rsid w:val="000B5376"/>
    <w:rsid w:val="000B580D"/>
    <w:rsid w:val="000D1832"/>
    <w:rsid w:val="000D3091"/>
    <w:rsid w:val="000D42BA"/>
    <w:rsid w:val="000D4F11"/>
    <w:rsid w:val="000D5D03"/>
    <w:rsid w:val="000D66F2"/>
    <w:rsid w:val="000E0231"/>
    <w:rsid w:val="000E053B"/>
    <w:rsid w:val="000E56A9"/>
    <w:rsid w:val="000E6030"/>
    <w:rsid w:val="000E74D5"/>
    <w:rsid w:val="000E7A2F"/>
    <w:rsid w:val="000F09F9"/>
    <w:rsid w:val="000F1B5A"/>
    <w:rsid w:val="000F2FB4"/>
    <w:rsid w:val="000F3088"/>
    <w:rsid w:val="000F3447"/>
    <w:rsid w:val="000F3B9D"/>
    <w:rsid w:val="000F42CC"/>
    <w:rsid w:val="000F435A"/>
    <w:rsid w:val="000F5A5E"/>
    <w:rsid w:val="000F6832"/>
    <w:rsid w:val="000F78EA"/>
    <w:rsid w:val="001023D1"/>
    <w:rsid w:val="0010425C"/>
    <w:rsid w:val="0010473B"/>
    <w:rsid w:val="00106BB8"/>
    <w:rsid w:val="00107019"/>
    <w:rsid w:val="00107AB0"/>
    <w:rsid w:val="00112902"/>
    <w:rsid w:val="00112941"/>
    <w:rsid w:val="00113A3F"/>
    <w:rsid w:val="00113C70"/>
    <w:rsid w:val="00117BC8"/>
    <w:rsid w:val="001209CE"/>
    <w:rsid w:val="0012128F"/>
    <w:rsid w:val="001215E6"/>
    <w:rsid w:val="00121E08"/>
    <w:rsid w:val="00124025"/>
    <w:rsid w:val="00126B31"/>
    <w:rsid w:val="00133612"/>
    <w:rsid w:val="00136CA1"/>
    <w:rsid w:val="00137CF0"/>
    <w:rsid w:val="001400BA"/>
    <w:rsid w:val="00141C82"/>
    <w:rsid w:val="00144E1A"/>
    <w:rsid w:val="001465E4"/>
    <w:rsid w:val="00146E2E"/>
    <w:rsid w:val="00147056"/>
    <w:rsid w:val="00147B38"/>
    <w:rsid w:val="00150A1E"/>
    <w:rsid w:val="00151905"/>
    <w:rsid w:val="00151F43"/>
    <w:rsid w:val="00153FB0"/>
    <w:rsid w:val="00154DDC"/>
    <w:rsid w:val="00155557"/>
    <w:rsid w:val="00155A78"/>
    <w:rsid w:val="00155F87"/>
    <w:rsid w:val="00156168"/>
    <w:rsid w:val="001563CE"/>
    <w:rsid w:val="00157A13"/>
    <w:rsid w:val="00160A23"/>
    <w:rsid w:val="00161078"/>
    <w:rsid w:val="001628C3"/>
    <w:rsid w:val="0016493D"/>
    <w:rsid w:val="00165EFB"/>
    <w:rsid w:val="00166E3E"/>
    <w:rsid w:val="001712A5"/>
    <w:rsid w:val="001717B2"/>
    <w:rsid w:val="001717E8"/>
    <w:rsid w:val="001731D7"/>
    <w:rsid w:val="00174A88"/>
    <w:rsid w:val="00177310"/>
    <w:rsid w:val="0017787C"/>
    <w:rsid w:val="00177EAA"/>
    <w:rsid w:val="001811BD"/>
    <w:rsid w:val="00183A61"/>
    <w:rsid w:val="00184748"/>
    <w:rsid w:val="00193BBF"/>
    <w:rsid w:val="00196D01"/>
    <w:rsid w:val="001A00E8"/>
    <w:rsid w:val="001A0E87"/>
    <w:rsid w:val="001A268B"/>
    <w:rsid w:val="001A5E9E"/>
    <w:rsid w:val="001B3195"/>
    <w:rsid w:val="001B41EB"/>
    <w:rsid w:val="001B4500"/>
    <w:rsid w:val="001B45FB"/>
    <w:rsid w:val="001B5E68"/>
    <w:rsid w:val="001B7967"/>
    <w:rsid w:val="001C1BCB"/>
    <w:rsid w:val="001C3C1C"/>
    <w:rsid w:val="001C46F8"/>
    <w:rsid w:val="001D680E"/>
    <w:rsid w:val="001D7188"/>
    <w:rsid w:val="001D77AF"/>
    <w:rsid w:val="001E4C58"/>
    <w:rsid w:val="001E7404"/>
    <w:rsid w:val="001E7781"/>
    <w:rsid w:val="001F0E6B"/>
    <w:rsid w:val="001F3E5F"/>
    <w:rsid w:val="001F4338"/>
    <w:rsid w:val="001F4AC5"/>
    <w:rsid w:val="001F4C4D"/>
    <w:rsid w:val="001F743A"/>
    <w:rsid w:val="001F7458"/>
    <w:rsid w:val="001F77AF"/>
    <w:rsid w:val="00200833"/>
    <w:rsid w:val="00204792"/>
    <w:rsid w:val="00206231"/>
    <w:rsid w:val="002064A5"/>
    <w:rsid w:val="00207065"/>
    <w:rsid w:val="00207451"/>
    <w:rsid w:val="00210C72"/>
    <w:rsid w:val="002134F6"/>
    <w:rsid w:val="00213936"/>
    <w:rsid w:val="002152AF"/>
    <w:rsid w:val="00215516"/>
    <w:rsid w:val="002179B1"/>
    <w:rsid w:val="002203B2"/>
    <w:rsid w:val="00221EEC"/>
    <w:rsid w:val="00223A8F"/>
    <w:rsid w:val="00223B6A"/>
    <w:rsid w:val="002240CB"/>
    <w:rsid w:val="002250AA"/>
    <w:rsid w:val="00227781"/>
    <w:rsid w:val="00231945"/>
    <w:rsid w:val="002323A8"/>
    <w:rsid w:val="00232757"/>
    <w:rsid w:val="00233D17"/>
    <w:rsid w:val="00234B92"/>
    <w:rsid w:val="00235A2C"/>
    <w:rsid w:val="00240C8A"/>
    <w:rsid w:val="0024244D"/>
    <w:rsid w:val="00242E2E"/>
    <w:rsid w:val="00245204"/>
    <w:rsid w:val="0024615A"/>
    <w:rsid w:val="00246367"/>
    <w:rsid w:val="002514FA"/>
    <w:rsid w:val="002525FF"/>
    <w:rsid w:val="00252CAB"/>
    <w:rsid w:val="00253256"/>
    <w:rsid w:val="002539DD"/>
    <w:rsid w:val="002555BB"/>
    <w:rsid w:val="00265138"/>
    <w:rsid w:val="002651EE"/>
    <w:rsid w:val="002676B0"/>
    <w:rsid w:val="00267C6D"/>
    <w:rsid w:val="00271A24"/>
    <w:rsid w:val="00272FB6"/>
    <w:rsid w:val="00280E94"/>
    <w:rsid w:val="002821A5"/>
    <w:rsid w:val="00282B57"/>
    <w:rsid w:val="00282D26"/>
    <w:rsid w:val="00283E1C"/>
    <w:rsid w:val="00285BAA"/>
    <w:rsid w:val="002862E8"/>
    <w:rsid w:val="00286BA8"/>
    <w:rsid w:val="0028767A"/>
    <w:rsid w:val="00290F49"/>
    <w:rsid w:val="0029484F"/>
    <w:rsid w:val="00295F18"/>
    <w:rsid w:val="002962CC"/>
    <w:rsid w:val="0029636C"/>
    <w:rsid w:val="00297944"/>
    <w:rsid w:val="002A49D3"/>
    <w:rsid w:val="002A4B7A"/>
    <w:rsid w:val="002B120E"/>
    <w:rsid w:val="002B56EE"/>
    <w:rsid w:val="002B5F4B"/>
    <w:rsid w:val="002B7389"/>
    <w:rsid w:val="002C0F27"/>
    <w:rsid w:val="002C1795"/>
    <w:rsid w:val="002C2433"/>
    <w:rsid w:val="002C4C33"/>
    <w:rsid w:val="002D4448"/>
    <w:rsid w:val="002D4824"/>
    <w:rsid w:val="002D58FD"/>
    <w:rsid w:val="002D6F2D"/>
    <w:rsid w:val="002D7BE5"/>
    <w:rsid w:val="002E0AEF"/>
    <w:rsid w:val="002E18EA"/>
    <w:rsid w:val="002E1B78"/>
    <w:rsid w:val="002E2457"/>
    <w:rsid w:val="002E2CCF"/>
    <w:rsid w:val="002E4D34"/>
    <w:rsid w:val="002E4DB4"/>
    <w:rsid w:val="002E6761"/>
    <w:rsid w:val="002F2D99"/>
    <w:rsid w:val="002F3AD2"/>
    <w:rsid w:val="002F6284"/>
    <w:rsid w:val="00303B13"/>
    <w:rsid w:val="003048FF"/>
    <w:rsid w:val="00306179"/>
    <w:rsid w:val="00306DBD"/>
    <w:rsid w:val="00307674"/>
    <w:rsid w:val="00312A53"/>
    <w:rsid w:val="003152F9"/>
    <w:rsid w:val="00317B82"/>
    <w:rsid w:val="0032245D"/>
    <w:rsid w:val="00322820"/>
    <w:rsid w:val="00322E6F"/>
    <w:rsid w:val="003250E1"/>
    <w:rsid w:val="0032607D"/>
    <w:rsid w:val="003273B5"/>
    <w:rsid w:val="0033117A"/>
    <w:rsid w:val="003317FD"/>
    <w:rsid w:val="00332520"/>
    <w:rsid w:val="00333754"/>
    <w:rsid w:val="003341EF"/>
    <w:rsid w:val="00335E01"/>
    <w:rsid w:val="0033619F"/>
    <w:rsid w:val="00336FAC"/>
    <w:rsid w:val="0033710F"/>
    <w:rsid w:val="003406F8"/>
    <w:rsid w:val="0034195B"/>
    <w:rsid w:val="00343851"/>
    <w:rsid w:val="003538AB"/>
    <w:rsid w:val="00354468"/>
    <w:rsid w:val="00355A98"/>
    <w:rsid w:val="00356620"/>
    <w:rsid w:val="003603EF"/>
    <w:rsid w:val="00360FBE"/>
    <w:rsid w:val="003636E0"/>
    <w:rsid w:val="00364A86"/>
    <w:rsid w:val="00367D5A"/>
    <w:rsid w:val="003714F7"/>
    <w:rsid w:val="00372BB9"/>
    <w:rsid w:val="00372D5E"/>
    <w:rsid w:val="003736D4"/>
    <w:rsid w:val="0037468F"/>
    <w:rsid w:val="003777ED"/>
    <w:rsid w:val="00383E4B"/>
    <w:rsid w:val="0039028D"/>
    <w:rsid w:val="00392B22"/>
    <w:rsid w:val="00393D24"/>
    <w:rsid w:val="00396784"/>
    <w:rsid w:val="00396D07"/>
    <w:rsid w:val="003A0D86"/>
    <w:rsid w:val="003A2045"/>
    <w:rsid w:val="003A25C3"/>
    <w:rsid w:val="003A4832"/>
    <w:rsid w:val="003A695A"/>
    <w:rsid w:val="003A7A7B"/>
    <w:rsid w:val="003B10F9"/>
    <w:rsid w:val="003B1301"/>
    <w:rsid w:val="003B3E17"/>
    <w:rsid w:val="003B6E53"/>
    <w:rsid w:val="003B74F8"/>
    <w:rsid w:val="003C0654"/>
    <w:rsid w:val="003C2F39"/>
    <w:rsid w:val="003C42D8"/>
    <w:rsid w:val="003C4D90"/>
    <w:rsid w:val="003C51B3"/>
    <w:rsid w:val="003C5DC3"/>
    <w:rsid w:val="003C6609"/>
    <w:rsid w:val="003D40F4"/>
    <w:rsid w:val="003D6D52"/>
    <w:rsid w:val="003E05A9"/>
    <w:rsid w:val="003E0864"/>
    <w:rsid w:val="003E5D3D"/>
    <w:rsid w:val="003E67D5"/>
    <w:rsid w:val="003E72F6"/>
    <w:rsid w:val="003E7502"/>
    <w:rsid w:val="003E7CFB"/>
    <w:rsid w:val="003F05C0"/>
    <w:rsid w:val="003F0B02"/>
    <w:rsid w:val="003F0C57"/>
    <w:rsid w:val="003F1A0D"/>
    <w:rsid w:val="003F366C"/>
    <w:rsid w:val="003F3B18"/>
    <w:rsid w:val="003F4866"/>
    <w:rsid w:val="003F6E7B"/>
    <w:rsid w:val="003F7F00"/>
    <w:rsid w:val="00401194"/>
    <w:rsid w:val="0040131F"/>
    <w:rsid w:val="00401A17"/>
    <w:rsid w:val="00407D7D"/>
    <w:rsid w:val="00412220"/>
    <w:rsid w:val="004138B1"/>
    <w:rsid w:val="004163C3"/>
    <w:rsid w:val="004172AE"/>
    <w:rsid w:val="004205D8"/>
    <w:rsid w:val="004209E1"/>
    <w:rsid w:val="0042298B"/>
    <w:rsid w:val="00426D4F"/>
    <w:rsid w:val="00432104"/>
    <w:rsid w:val="00432325"/>
    <w:rsid w:val="0043487A"/>
    <w:rsid w:val="00434D3B"/>
    <w:rsid w:val="00435463"/>
    <w:rsid w:val="004355FD"/>
    <w:rsid w:val="00435BDD"/>
    <w:rsid w:val="00436531"/>
    <w:rsid w:val="0044006E"/>
    <w:rsid w:val="004400CA"/>
    <w:rsid w:val="00443D2F"/>
    <w:rsid w:val="0044468C"/>
    <w:rsid w:val="00445F34"/>
    <w:rsid w:val="00445F59"/>
    <w:rsid w:val="00446EED"/>
    <w:rsid w:val="00453E4D"/>
    <w:rsid w:val="004544B0"/>
    <w:rsid w:val="00455EF3"/>
    <w:rsid w:val="00461C50"/>
    <w:rsid w:val="0046351B"/>
    <w:rsid w:val="00465B1A"/>
    <w:rsid w:val="00466950"/>
    <w:rsid w:val="00470903"/>
    <w:rsid w:val="00470E25"/>
    <w:rsid w:val="00472282"/>
    <w:rsid w:val="00474608"/>
    <w:rsid w:val="00475237"/>
    <w:rsid w:val="00475B4E"/>
    <w:rsid w:val="0047613D"/>
    <w:rsid w:val="004763FB"/>
    <w:rsid w:val="00480789"/>
    <w:rsid w:val="0048105E"/>
    <w:rsid w:val="004810DD"/>
    <w:rsid w:val="0048184D"/>
    <w:rsid w:val="004819E8"/>
    <w:rsid w:val="00483A39"/>
    <w:rsid w:val="00483A49"/>
    <w:rsid w:val="00484554"/>
    <w:rsid w:val="00484DA8"/>
    <w:rsid w:val="00487257"/>
    <w:rsid w:val="00487EA9"/>
    <w:rsid w:val="0049030A"/>
    <w:rsid w:val="0049167C"/>
    <w:rsid w:val="00491C67"/>
    <w:rsid w:val="0049274C"/>
    <w:rsid w:val="00493589"/>
    <w:rsid w:val="00494E89"/>
    <w:rsid w:val="00497F86"/>
    <w:rsid w:val="004A1EB4"/>
    <w:rsid w:val="004A4AF4"/>
    <w:rsid w:val="004A4F62"/>
    <w:rsid w:val="004A4FF2"/>
    <w:rsid w:val="004B2E77"/>
    <w:rsid w:val="004B2E8D"/>
    <w:rsid w:val="004B3370"/>
    <w:rsid w:val="004B4433"/>
    <w:rsid w:val="004B4A33"/>
    <w:rsid w:val="004B7DF1"/>
    <w:rsid w:val="004B7F92"/>
    <w:rsid w:val="004C07D5"/>
    <w:rsid w:val="004C0AAA"/>
    <w:rsid w:val="004C1E65"/>
    <w:rsid w:val="004C2695"/>
    <w:rsid w:val="004C492F"/>
    <w:rsid w:val="004C524A"/>
    <w:rsid w:val="004C5C36"/>
    <w:rsid w:val="004C6DE0"/>
    <w:rsid w:val="004D0471"/>
    <w:rsid w:val="004D1263"/>
    <w:rsid w:val="004D2235"/>
    <w:rsid w:val="004D296B"/>
    <w:rsid w:val="004D43C9"/>
    <w:rsid w:val="004D4F70"/>
    <w:rsid w:val="004D733B"/>
    <w:rsid w:val="004D76D9"/>
    <w:rsid w:val="004D79D8"/>
    <w:rsid w:val="004E0CDC"/>
    <w:rsid w:val="004E0E49"/>
    <w:rsid w:val="004E22AA"/>
    <w:rsid w:val="004E421E"/>
    <w:rsid w:val="004E50E9"/>
    <w:rsid w:val="004E5513"/>
    <w:rsid w:val="004E5E50"/>
    <w:rsid w:val="004E7884"/>
    <w:rsid w:val="004E7E32"/>
    <w:rsid w:val="004F6AFE"/>
    <w:rsid w:val="00500775"/>
    <w:rsid w:val="00501436"/>
    <w:rsid w:val="00502DC0"/>
    <w:rsid w:val="00504C78"/>
    <w:rsid w:val="0051013C"/>
    <w:rsid w:val="0051018E"/>
    <w:rsid w:val="00510735"/>
    <w:rsid w:val="00512938"/>
    <w:rsid w:val="00513631"/>
    <w:rsid w:val="00514A67"/>
    <w:rsid w:val="005242D7"/>
    <w:rsid w:val="005249B4"/>
    <w:rsid w:val="005252A2"/>
    <w:rsid w:val="00530530"/>
    <w:rsid w:val="0053345D"/>
    <w:rsid w:val="005334D1"/>
    <w:rsid w:val="0053526A"/>
    <w:rsid w:val="00542345"/>
    <w:rsid w:val="00542ACF"/>
    <w:rsid w:val="00544053"/>
    <w:rsid w:val="0054450C"/>
    <w:rsid w:val="00545BC7"/>
    <w:rsid w:val="00547A08"/>
    <w:rsid w:val="00551023"/>
    <w:rsid w:val="00554306"/>
    <w:rsid w:val="00554B3F"/>
    <w:rsid w:val="00554BED"/>
    <w:rsid w:val="005560EA"/>
    <w:rsid w:val="00556455"/>
    <w:rsid w:val="00564247"/>
    <w:rsid w:val="00564487"/>
    <w:rsid w:val="00570CC4"/>
    <w:rsid w:val="00572ED2"/>
    <w:rsid w:val="005768BA"/>
    <w:rsid w:val="00577F04"/>
    <w:rsid w:val="00580202"/>
    <w:rsid w:val="00580DF7"/>
    <w:rsid w:val="00582B24"/>
    <w:rsid w:val="00586293"/>
    <w:rsid w:val="00587780"/>
    <w:rsid w:val="00590B04"/>
    <w:rsid w:val="00591453"/>
    <w:rsid w:val="0059394D"/>
    <w:rsid w:val="0059400B"/>
    <w:rsid w:val="005951F0"/>
    <w:rsid w:val="00596090"/>
    <w:rsid w:val="005972DA"/>
    <w:rsid w:val="005972EE"/>
    <w:rsid w:val="005979E2"/>
    <w:rsid w:val="005A0887"/>
    <w:rsid w:val="005A1154"/>
    <w:rsid w:val="005A54B9"/>
    <w:rsid w:val="005A62E7"/>
    <w:rsid w:val="005B0C00"/>
    <w:rsid w:val="005B1471"/>
    <w:rsid w:val="005B1604"/>
    <w:rsid w:val="005B2266"/>
    <w:rsid w:val="005B631F"/>
    <w:rsid w:val="005C2170"/>
    <w:rsid w:val="005C3196"/>
    <w:rsid w:val="005C42B3"/>
    <w:rsid w:val="005C4C28"/>
    <w:rsid w:val="005C6B0B"/>
    <w:rsid w:val="005C6C9E"/>
    <w:rsid w:val="005D0778"/>
    <w:rsid w:val="005D17BB"/>
    <w:rsid w:val="005D4040"/>
    <w:rsid w:val="005D540C"/>
    <w:rsid w:val="005D6D13"/>
    <w:rsid w:val="005E0322"/>
    <w:rsid w:val="005E0CEE"/>
    <w:rsid w:val="005E1225"/>
    <w:rsid w:val="005E2696"/>
    <w:rsid w:val="005E28AC"/>
    <w:rsid w:val="005E2989"/>
    <w:rsid w:val="005E4A86"/>
    <w:rsid w:val="005E553F"/>
    <w:rsid w:val="005F27E2"/>
    <w:rsid w:val="005F2B25"/>
    <w:rsid w:val="005F3007"/>
    <w:rsid w:val="005F366A"/>
    <w:rsid w:val="005F3968"/>
    <w:rsid w:val="005F49E8"/>
    <w:rsid w:val="005F5A19"/>
    <w:rsid w:val="005F5AA2"/>
    <w:rsid w:val="005F7020"/>
    <w:rsid w:val="00600340"/>
    <w:rsid w:val="006011F6"/>
    <w:rsid w:val="00601ACA"/>
    <w:rsid w:val="00603FDC"/>
    <w:rsid w:val="006040DD"/>
    <w:rsid w:val="00604AEF"/>
    <w:rsid w:val="00604FD2"/>
    <w:rsid w:val="006057B0"/>
    <w:rsid w:val="006057E8"/>
    <w:rsid w:val="006101AB"/>
    <w:rsid w:val="00615123"/>
    <w:rsid w:val="0061709A"/>
    <w:rsid w:val="00620B8C"/>
    <w:rsid w:val="00624307"/>
    <w:rsid w:val="00625983"/>
    <w:rsid w:val="00625CD5"/>
    <w:rsid w:val="00626180"/>
    <w:rsid w:val="006266AC"/>
    <w:rsid w:val="00626A9A"/>
    <w:rsid w:val="00630593"/>
    <w:rsid w:val="00631C90"/>
    <w:rsid w:val="00631FA6"/>
    <w:rsid w:val="00632DC8"/>
    <w:rsid w:val="00633670"/>
    <w:rsid w:val="00634FF9"/>
    <w:rsid w:val="00635B90"/>
    <w:rsid w:val="00636844"/>
    <w:rsid w:val="00641019"/>
    <w:rsid w:val="006428AB"/>
    <w:rsid w:val="00643711"/>
    <w:rsid w:val="00643722"/>
    <w:rsid w:val="00644100"/>
    <w:rsid w:val="00645FF8"/>
    <w:rsid w:val="0064728B"/>
    <w:rsid w:val="006526ED"/>
    <w:rsid w:val="00652F2E"/>
    <w:rsid w:val="0065342B"/>
    <w:rsid w:val="00654897"/>
    <w:rsid w:val="00654D79"/>
    <w:rsid w:val="006566C1"/>
    <w:rsid w:val="00656E06"/>
    <w:rsid w:val="00657480"/>
    <w:rsid w:val="00657FF9"/>
    <w:rsid w:val="00660E68"/>
    <w:rsid w:val="0066145E"/>
    <w:rsid w:val="006616A1"/>
    <w:rsid w:val="00664A41"/>
    <w:rsid w:val="006662D2"/>
    <w:rsid w:val="006713FD"/>
    <w:rsid w:val="00671688"/>
    <w:rsid w:val="00672488"/>
    <w:rsid w:val="00673553"/>
    <w:rsid w:val="00674559"/>
    <w:rsid w:val="00674E54"/>
    <w:rsid w:val="0067580A"/>
    <w:rsid w:val="006758C5"/>
    <w:rsid w:val="00676801"/>
    <w:rsid w:val="0067717E"/>
    <w:rsid w:val="00680EF0"/>
    <w:rsid w:val="006906A4"/>
    <w:rsid w:val="00690FB1"/>
    <w:rsid w:val="00692141"/>
    <w:rsid w:val="00692947"/>
    <w:rsid w:val="00695034"/>
    <w:rsid w:val="00696C40"/>
    <w:rsid w:val="0069761C"/>
    <w:rsid w:val="006A07CA"/>
    <w:rsid w:val="006A0FF7"/>
    <w:rsid w:val="006A2C95"/>
    <w:rsid w:val="006A4A52"/>
    <w:rsid w:val="006A4ADA"/>
    <w:rsid w:val="006B06CD"/>
    <w:rsid w:val="006B07AD"/>
    <w:rsid w:val="006B10C7"/>
    <w:rsid w:val="006B30D9"/>
    <w:rsid w:val="006B31AC"/>
    <w:rsid w:val="006B3A19"/>
    <w:rsid w:val="006B3DF6"/>
    <w:rsid w:val="006B4F4B"/>
    <w:rsid w:val="006B5D80"/>
    <w:rsid w:val="006B7259"/>
    <w:rsid w:val="006B7653"/>
    <w:rsid w:val="006C03E7"/>
    <w:rsid w:val="006C4A42"/>
    <w:rsid w:val="006C6007"/>
    <w:rsid w:val="006C65CA"/>
    <w:rsid w:val="006D1B00"/>
    <w:rsid w:val="006D33D5"/>
    <w:rsid w:val="006E1047"/>
    <w:rsid w:val="006E122C"/>
    <w:rsid w:val="006E2382"/>
    <w:rsid w:val="006E2984"/>
    <w:rsid w:val="006F046B"/>
    <w:rsid w:val="006F1103"/>
    <w:rsid w:val="006F15BD"/>
    <w:rsid w:val="006F615F"/>
    <w:rsid w:val="006F66D0"/>
    <w:rsid w:val="006F7270"/>
    <w:rsid w:val="006F760C"/>
    <w:rsid w:val="00701C42"/>
    <w:rsid w:val="00703136"/>
    <w:rsid w:val="00704583"/>
    <w:rsid w:val="00705233"/>
    <w:rsid w:val="00705963"/>
    <w:rsid w:val="00705DF1"/>
    <w:rsid w:val="0070634F"/>
    <w:rsid w:val="0071045F"/>
    <w:rsid w:val="007120FA"/>
    <w:rsid w:val="0071251B"/>
    <w:rsid w:val="007125A5"/>
    <w:rsid w:val="00713B3F"/>
    <w:rsid w:val="0071615D"/>
    <w:rsid w:val="007164EE"/>
    <w:rsid w:val="00716676"/>
    <w:rsid w:val="00717238"/>
    <w:rsid w:val="007204DC"/>
    <w:rsid w:val="0072173C"/>
    <w:rsid w:val="0072190F"/>
    <w:rsid w:val="00721A1E"/>
    <w:rsid w:val="007237F9"/>
    <w:rsid w:val="007242D4"/>
    <w:rsid w:val="007244D2"/>
    <w:rsid w:val="00726F8D"/>
    <w:rsid w:val="00734FEE"/>
    <w:rsid w:val="00735AE7"/>
    <w:rsid w:val="00735FDB"/>
    <w:rsid w:val="00736425"/>
    <w:rsid w:val="00736602"/>
    <w:rsid w:val="00737047"/>
    <w:rsid w:val="00742FC8"/>
    <w:rsid w:val="00743FE7"/>
    <w:rsid w:val="00744937"/>
    <w:rsid w:val="007477D1"/>
    <w:rsid w:val="0074787B"/>
    <w:rsid w:val="00754716"/>
    <w:rsid w:val="007626B4"/>
    <w:rsid w:val="00763673"/>
    <w:rsid w:val="007638EA"/>
    <w:rsid w:val="00764519"/>
    <w:rsid w:val="0076560D"/>
    <w:rsid w:val="0076585B"/>
    <w:rsid w:val="00765AFB"/>
    <w:rsid w:val="00777634"/>
    <w:rsid w:val="0078458A"/>
    <w:rsid w:val="00786136"/>
    <w:rsid w:val="00791181"/>
    <w:rsid w:val="00791873"/>
    <w:rsid w:val="0079286B"/>
    <w:rsid w:val="00792887"/>
    <w:rsid w:val="00792F2A"/>
    <w:rsid w:val="0079345E"/>
    <w:rsid w:val="00795B2E"/>
    <w:rsid w:val="00795E1A"/>
    <w:rsid w:val="00796014"/>
    <w:rsid w:val="00796A75"/>
    <w:rsid w:val="007A036A"/>
    <w:rsid w:val="007A13DB"/>
    <w:rsid w:val="007A1728"/>
    <w:rsid w:val="007A1E56"/>
    <w:rsid w:val="007A386E"/>
    <w:rsid w:val="007A3AE2"/>
    <w:rsid w:val="007A3F64"/>
    <w:rsid w:val="007A5108"/>
    <w:rsid w:val="007A61DB"/>
    <w:rsid w:val="007A7145"/>
    <w:rsid w:val="007B28D8"/>
    <w:rsid w:val="007B3503"/>
    <w:rsid w:val="007B3878"/>
    <w:rsid w:val="007B3943"/>
    <w:rsid w:val="007B3BB1"/>
    <w:rsid w:val="007B47AE"/>
    <w:rsid w:val="007B50FD"/>
    <w:rsid w:val="007B64B4"/>
    <w:rsid w:val="007B6C99"/>
    <w:rsid w:val="007B7101"/>
    <w:rsid w:val="007C289C"/>
    <w:rsid w:val="007C3194"/>
    <w:rsid w:val="007C3F97"/>
    <w:rsid w:val="007C5F52"/>
    <w:rsid w:val="007C65D8"/>
    <w:rsid w:val="007C7791"/>
    <w:rsid w:val="007D01FD"/>
    <w:rsid w:val="007D04C5"/>
    <w:rsid w:val="007D1001"/>
    <w:rsid w:val="007D31A6"/>
    <w:rsid w:val="007D36C9"/>
    <w:rsid w:val="007D3DBE"/>
    <w:rsid w:val="007E1336"/>
    <w:rsid w:val="007E2927"/>
    <w:rsid w:val="007E2E37"/>
    <w:rsid w:val="007E301C"/>
    <w:rsid w:val="007E435E"/>
    <w:rsid w:val="007E5475"/>
    <w:rsid w:val="007E61A7"/>
    <w:rsid w:val="007F0099"/>
    <w:rsid w:val="007F1A3C"/>
    <w:rsid w:val="007F21F2"/>
    <w:rsid w:val="007F2AC1"/>
    <w:rsid w:val="007F35C9"/>
    <w:rsid w:val="007F453D"/>
    <w:rsid w:val="007F4B49"/>
    <w:rsid w:val="007F71AD"/>
    <w:rsid w:val="00801638"/>
    <w:rsid w:val="00801B8F"/>
    <w:rsid w:val="0080200B"/>
    <w:rsid w:val="00803C90"/>
    <w:rsid w:val="0080411F"/>
    <w:rsid w:val="0080686E"/>
    <w:rsid w:val="00806BA2"/>
    <w:rsid w:val="0081256A"/>
    <w:rsid w:val="00812BB5"/>
    <w:rsid w:val="00814408"/>
    <w:rsid w:val="00815C42"/>
    <w:rsid w:val="008209AA"/>
    <w:rsid w:val="008228FC"/>
    <w:rsid w:val="00824642"/>
    <w:rsid w:val="00825BB7"/>
    <w:rsid w:val="00826146"/>
    <w:rsid w:val="00826CE3"/>
    <w:rsid w:val="00826D01"/>
    <w:rsid w:val="00827F27"/>
    <w:rsid w:val="00831F19"/>
    <w:rsid w:val="008321A0"/>
    <w:rsid w:val="00832FCC"/>
    <w:rsid w:val="00833616"/>
    <w:rsid w:val="00833D0C"/>
    <w:rsid w:val="00837A98"/>
    <w:rsid w:val="00845736"/>
    <w:rsid w:val="008524D1"/>
    <w:rsid w:val="00855125"/>
    <w:rsid w:val="0085786F"/>
    <w:rsid w:val="00857A59"/>
    <w:rsid w:val="008601C2"/>
    <w:rsid w:val="008623BD"/>
    <w:rsid w:val="00862EA5"/>
    <w:rsid w:val="00862FE5"/>
    <w:rsid w:val="00864BBC"/>
    <w:rsid w:val="0087490D"/>
    <w:rsid w:val="00876A65"/>
    <w:rsid w:val="00877DA3"/>
    <w:rsid w:val="00880209"/>
    <w:rsid w:val="008870B4"/>
    <w:rsid w:val="0088764C"/>
    <w:rsid w:val="00887E94"/>
    <w:rsid w:val="00891C12"/>
    <w:rsid w:val="00895053"/>
    <w:rsid w:val="00896C8A"/>
    <w:rsid w:val="008A0764"/>
    <w:rsid w:val="008A104D"/>
    <w:rsid w:val="008A3A72"/>
    <w:rsid w:val="008A50DF"/>
    <w:rsid w:val="008B19DA"/>
    <w:rsid w:val="008B1F26"/>
    <w:rsid w:val="008B41A6"/>
    <w:rsid w:val="008B6E46"/>
    <w:rsid w:val="008C0801"/>
    <w:rsid w:val="008D059A"/>
    <w:rsid w:val="008D07A8"/>
    <w:rsid w:val="008D2701"/>
    <w:rsid w:val="008D3247"/>
    <w:rsid w:val="008D4368"/>
    <w:rsid w:val="008D4619"/>
    <w:rsid w:val="008D47D4"/>
    <w:rsid w:val="008E0F1A"/>
    <w:rsid w:val="008E60EF"/>
    <w:rsid w:val="008E6C5D"/>
    <w:rsid w:val="008E6C76"/>
    <w:rsid w:val="008E73C1"/>
    <w:rsid w:val="008E7DBC"/>
    <w:rsid w:val="008F2140"/>
    <w:rsid w:val="008F2610"/>
    <w:rsid w:val="008F4532"/>
    <w:rsid w:val="008F49C1"/>
    <w:rsid w:val="008F75AE"/>
    <w:rsid w:val="008F7D91"/>
    <w:rsid w:val="008F7F5D"/>
    <w:rsid w:val="00900D27"/>
    <w:rsid w:val="00902C87"/>
    <w:rsid w:val="009031CA"/>
    <w:rsid w:val="00903C78"/>
    <w:rsid w:val="00904815"/>
    <w:rsid w:val="00905E7A"/>
    <w:rsid w:val="00906DB5"/>
    <w:rsid w:val="00912694"/>
    <w:rsid w:val="00912FC3"/>
    <w:rsid w:val="00913014"/>
    <w:rsid w:val="00914AF1"/>
    <w:rsid w:val="0091615D"/>
    <w:rsid w:val="00916D93"/>
    <w:rsid w:val="00916EDD"/>
    <w:rsid w:val="00917C10"/>
    <w:rsid w:val="00920E10"/>
    <w:rsid w:val="00922ABF"/>
    <w:rsid w:val="00927F64"/>
    <w:rsid w:val="00930B40"/>
    <w:rsid w:val="00930CDB"/>
    <w:rsid w:val="009325EE"/>
    <w:rsid w:val="0093379C"/>
    <w:rsid w:val="00933F26"/>
    <w:rsid w:val="00940B7E"/>
    <w:rsid w:val="0094202B"/>
    <w:rsid w:val="00946381"/>
    <w:rsid w:val="00952B93"/>
    <w:rsid w:val="00956262"/>
    <w:rsid w:val="00957D3E"/>
    <w:rsid w:val="009606DC"/>
    <w:rsid w:val="00962282"/>
    <w:rsid w:val="0096386D"/>
    <w:rsid w:val="00964A8D"/>
    <w:rsid w:val="00964D08"/>
    <w:rsid w:val="00964E50"/>
    <w:rsid w:val="00965137"/>
    <w:rsid w:val="0097235E"/>
    <w:rsid w:val="00974382"/>
    <w:rsid w:val="00981B27"/>
    <w:rsid w:val="00982F09"/>
    <w:rsid w:val="00983FE2"/>
    <w:rsid w:val="009850CE"/>
    <w:rsid w:val="009850DA"/>
    <w:rsid w:val="00985A4C"/>
    <w:rsid w:val="0098633C"/>
    <w:rsid w:val="00986989"/>
    <w:rsid w:val="00994D72"/>
    <w:rsid w:val="009957C2"/>
    <w:rsid w:val="00995B8B"/>
    <w:rsid w:val="00995FC0"/>
    <w:rsid w:val="00997B29"/>
    <w:rsid w:val="009A2335"/>
    <w:rsid w:val="009A308E"/>
    <w:rsid w:val="009A4929"/>
    <w:rsid w:val="009A6E9A"/>
    <w:rsid w:val="009A73DE"/>
    <w:rsid w:val="009B0B38"/>
    <w:rsid w:val="009B0F6E"/>
    <w:rsid w:val="009B14EE"/>
    <w:rsid w:val="009B1540"/>
    <w:rsid w:val="009B3116"/>
    <w:rsid w:val="009B5AE6"/>
    <w:rsid w:val="009C06BD"/>
    <w:rsid w:val="009C1820"/>
    <w:rsid w:val="009C1C13"/>
    <w:rsid w:val="009C1DF8"/>
    <w:rsid w:val="009C29A5"/>
    <w:rsid w:val="009C41B8"/>
    <w:rsid w:val="009C4C6D"/>
    <w:rsid w:val="009C50E4"/>
    <w:rsid w:val="009C51EC"/>
    <w:rsid w:val="009C64D9"/>
    <w:rsid w:val="009C7D14"/>
    <w:rsid w:val="009D0309"/>
    <w:rsid w:val="009D1B8C"/>
    <w:rsid w:val="009D2948"/>
    <w:rsid w:val="009D584F"/>
    <w:rsid w:val="009E430C"/>
    <w:rsid w:val="009E4400"/>
    <w:rsid w:val="009E7831"/>
    <w:rsid w:val="009F2548"/>
    <w:rsid w:val="009F3869"/>
    <w:rsid w:val="009F52EC"/>
    <w:rsid w:val="009F6AEF"/>
    <w:rsid w:val="009F6C92"/>
    <w:rsid w:val="009F7CCC"/>
    <w:rsid w:val="009F7F26"/>
    <w:rsid w:val="00A006A9"/>
    <w:rsid w:val="00A0283E"/>
    <w:rsid w:val="00A02EC9"/>
    <w:rsid w:val="00A07AFD"/>
    <w:rsid w:val="00A07D81"/>
    <w:rsid w:val="00A11031"/>
    <w:rsid w:val="00A11A12"/>
    <w:rsid w:val="00A1265F"/>
    <w:rsid w:val="00A12C08"/>
    <w:rsid w:val="00A1521B"/>
    <w:rsid w:val="00A159CA"/>
    <w:rsid w:val="00A16CED"/>
    <w:rsid w:val="00A20E5A"/>
    <w:rsid w:val="00A22DB6"/>
    <w:rsid w:val="00A2345C"/>
    <w:rsid w:val="00A23A49"/>
    <w:rsid w:val="00A25FFB"/>
    <w:rsid w:val="00A31203"/>
    <w:rsid w:val="00A312F2"/>
    <w:rsid w:val="00A313BD"/>
    <w:rsid w:val="00A31628"/>
    <w:rsid w:val="00A34EE9"/>
    <w:rsid w:val="00A375D8"/>
    <w:rsid w:val="00A40728"/>
    <w:rsid w:val="00A40B8D"/>
    <w:rsid w:val="00A44A54"/>
    <w:rsid w:val="00A46855"/>
    <w:rsid w:val="00A51018"/>
    <w:rsid w:val="00A51131"/>
    <w:rsid w:val="00A52A7D"/>
    <w:rsid w:val="00A53045"/>
    <w:rsid w:val="00A5313A"/>
    <w:rsid w:val="00A5390D"/>
    <w:rsid w:val="00A53F57"/>
    <w:rsid w:val="00A5498A"/>
    <w:rsid w:val="00A55C83"/>
    <w:rsid w:val="00A56E26"/>
    <w:rsid w:val="00A57AAD"/>
    <w:rsid w:val="00A57F34"/>
    <w:rsid w:val="00A65AC9"/>
    <w:rsid w:val="00A70A39"/>
    <w:rsid w:val="00A73172"/>
    <w:rsid w:val="00A743AB"/>
    <w:rsid w:val="00A74A49"/>
    <w:rsid w:val="00A75576"/>
    <w:rsid w:val="00A75FD0"/>
    <w:rsid w:val="00A76F03"/>
    <w:rsid w:val="00A8048C"/>
    <w:rsid w:val="00A81BF5"/>
    <w:rsid w:val="00A82FB2"/>
    <w:rsid w:val="00A8452B"/>
    <w:rsid w:val="00A85CF8"/>
    <w:rsid w:val="00A85D8A"/>
    <w:rsid w:val="00A86D5C"/>
    <w:rsid w:val="00A86FCA"/>
    <w:rsid w:val="00A87AB5"/>
    <w:rsid w:val="00A87C48"/>
    <w:rsid w:val="00A91864"/>
    <w:rsid w:val="00A92B1F"/>
    <w:rsid w:val="00A93F30"/>
    <w:rsid w:val="00A94027"/>
    <w:rsid w:val="00A961E9"/>
    <w:rsid w:val="00A96518"/>
    <w:rsid w:val="00A968BD"/>
    <w:rsid w:val="00A96F2F"/>
    <w:rsid w:val="00A979D6"/>
    <w:rsid w:val="00AA090C"/>
    <w:rsid w:val="00AA35A7"/>
    <w:rsid w:val="00AA3F24"/>
    <w:rsid w:val="00AA4666"/>
    <w:rsid w:val="00AA4EAB"/>
    <w:rsid w:val="00AA6E71"/>
    <w:rsid w:val="00AB18F9"/>
    <w:rsid w:val="00AB6372"/>
    <w:rsid w:val="00AB6E75"/>
    <w:rsid w:val="00AC0C78"/>
    <w:rsid w:val="00AC15B9"/>
    <w:rsid w:val="00AC30F3"/>
    <w:rsid w:val="00AD0BB2"/>
    <w:rsid w:val="00AD1CBF"/>
    <w:rsid w:val="00AD24BF"/>
    <w:rsid w:val="00AD4640"/>
    <w:rsid w:val="00AD500F"/>
    <w:rsid w:val="00AD5DEE"/>
    <w:rsid w:val="00AD7657"/>
    <w:rsid w:val="00AD7E69"/>
    <w:rsid w:val="00AD7FEB"/>
    <w:rsid w:val="00AE401C"/>
    <w:rsid w:val="00AE5998"/>
    <w:rsid w:val="00AE60B6"/>
    <w:rsid w:val="00AE7576"/>
    <w:rsid w:val="00AE75DC"/>
    <w:rsid w:val="00AE77A8"/>
    <w:rsid w:val="00AE7CDB"/>
    <w:rsid w:val="00AF0080"/>
    <w:rsid w:val="00AF015B"/>
    <w:rsid w:val="00AF127C"/>
    <w:rsid w:val="00AF2FE2"/>
    <w:rsid w:val="00AF74FA"/>
    <w:rsid w:val="00B03020"/>
    <w:rsid w:val="00B036FC"/>
    <w:rsid w:val="00B045AB"/>
    <w:rsid w:val="00B04A74"/>
    <w:rsid w:val="00B0677E"/>
    <w:rsid w:val="00B06E67"/>
    <w:rsid w:val="00B074DB"/>
    <w:rsid w:val="00B20D30"/>
    <w:rsid w:val="00B221C2"/>
    <w:rsid w:val="00B22D27"/>
    <w:rsid w:val="00B234A0"/>
    <w:rsid w:val="00B2448E"/>
    <w:rsid w:val="00B2455D"/>
    <w:rsid w:val="00B24B33"/>
    <w:rsid w:val="00B24F19"/>
    <w:rsid w:val="00B26DA7"/>
    <w:rsid w:val="00B270AD"/>
    <w:rsid w:val="00B32435"/>
    <w:rsid w:val="00B34215"/>
    <w:rsid w:val="00B37C8B"/>
    <w:rsid w:val="00B40143"/>
    <w:rsid w:val="00B42826"/>
    <w:rsid w:val="00B43B36"/>
    <w:rsid w:val="00B44C60"/>
    <w:rsid w:val="00B513D7"/>
    <w:rsid w:val="00B51EF3"/>
    <w:rsid w:val="00B53F79"/>
    <w:rsid w:val="00B544E6"/>
    <w:rsid w:val="00B5634C"/>
    <w:rsid w:val="00B61B81"/>
    <w:rsid w:val="00B626DC"/>
    <w:rsid w:val="00B62E93"/>
    <w:rsid w:val="00B6401A"/>
    <w:rsid w:val="00B648C3"/>
    <w:rsid w:val="00B66C0E"/>
    <w:rsid w:val="00B672CF"/>
    <w:rsid w:val="00B7239C"/>
    <w:rsid w:val="00B72D26"/>
    <w:rsid w:val="00B74A39"/>
    <w:rsid w:val="00B74EE5"/>
    <w:rsid w:val="00B7543A"/>
    <w:rsid w:val="00B75C6A"/>
    <w:rsid w:val="00B7617E"/>
    <w:rsid w:val="00B80F47"/>
    <w:rsid w:val="00B81D03"/>
    <w:rsid w:val="00B82EED"/>
    <w:rsid w:val="00B8442F"/>
    <w:rsid w:val="00B853D2"/>
    <w:rsid w:val="00B870CC"/>
    <w:rsid w:val="00B9343A"/>
    <w:rsid w:val="00B95045"/>
    <w:rsid w:val="00B95BC9"/>
    <w:rsid w:val="00BA1D02"/>
    <w:rsid w:val="00BA7F79"/>
    <w:rsid w:val="00BB08A5"/>
    <w:rsid w:val="00BB0FC3"/>
    <w:rsid w:val="00BB5B2E"/>
    <w:rsid w:val="00BB63A6"/>
    <w:rsid w:val="00BC1148"/>
    <w:rsid w:val="00BC1C04"/>
    <w:rsid w:val="00BC28BE"/>
    <w:rsid w:val="00BC293F"/>
    <w:rsid w:val="00BC2AB0"/>
    <w:rsid w:val="00BC394C"/>
    <w:rsid w:val="00BC3C8F"/>
    <w:rsid w:val="00BC4A52"/>
    <w:rsid w:val="00BC5CBF"/>
    <w:rsid w:val="00BC5EC0"/>
    <w:rsid w:val="00BC7DEF"/>
    <w:rsid w:val="00BD29A2"/>
    <w:rsid w:val="00BD4213"/>
    <w:rsid w:val="00BD6B4E"/>
    <w:rsid w:val="00BD6DF3"/>
    <w:rsid w:val="00BD742E"/>
    <w:rsid w:val="00BE144D"/>
    <w:rsid w:val="00BE2A12"/>
    <w:rsid w:val="00BE5AD7"/>
    <w:rsid w:val="00BE5E26"/>
    <w:rsid w:val="00BF1355"/>
    <w:rsid w:val="00BF1F85"/>
    <w:rsid w:val="00BF290E"/>
    <w:rsid w:val="00BF379C"/>
    <w:rsid w:val="00BF48F9"/>
    <w:rsid w:val="00BF521A"/>
    <w:rsid w:val="00C00DCB"/>
    <w:rsid w:val="00C01DCB"/>
    <w:rsid w:val="00C02979"/>
    <w:rsid w:val="00C03149"/>
    <w:rsid w:val="00C03445"/>
    <w:rsid w:val="00C04B4D"/>
    <w:rsid w:val="00C05031"/>
    <w:rsid w:val="00C11DA0"/>
    <w:rsid w:val="00C14F36"/>
    <w:rsid w:val="00C15043"/>
    <w:rsid w:val="00C175E4"/>
    <w:rsid w:val="00C213D7"/>
    <w:rsid w:val="00C21FD2"/>
    <w:rsid w:val="00C2417E"/>
    <w:rsid w:val="00C2432F"/>
    <w:rsid w:val="00C24808"/>
    <w:rsid w:val="00C25234"/>
    <w:rsid w:val="00C259D8"/>
    <w:rsid w:val="00C266E4"/>
    <w:rsid w:val="00C26B26"/>
    <w:rsid w:val="00C26D92"/>
    <w:rsid w:val="00C278D5"/>
    <w:rsid w:val="00C30FEE"/>
    <w:rsid w:val="00C31AED"/>
    <w:rsid w:val="00C32025"/>
    <w:rsid w:val="00C32261"/>
    <w:rsid w:val="00C34C71"/>
    <w:rsid w:val="00C40073"/>
    <w:rsid w:val="00C413CC"/>
    <w:rsid w:val="00C418A2"/>
    <w:rsid w:val="00C43906"/>
    <w:rsid w:val="00C44353"/>
    <w:rsid w:val="00C4529A"/>
    <w:rsid w:val="00C50A19"/>
    <w:rsid w:val="00C541D5"/>
    <w:rsid w:val="00C55919"/>
    <w:rsid w:val="00C56E4D"/>
    <w:rsid w:val="00C625ED"/>
    <w:rsid w:val="00C6719A"/>
    <w:rsid w:val="00C6724A"/>
    <w:rsid w:val="00C75496"/>
    <w:rsid w:val="00C7561C"/>
    <w:rsid w:val="00C77014"/>
    <w:rsid w:val="00C80BC6"/>
    <w:rsid w:val="00C8272F"/>
    <w:rsid w:val="00C828E5"/>
    <w:rsid w:val="00C83D28"/>
    <w:rsid w:val="00C83F0F"/>
    <w:rsid w:val="00C847F7"/>
    <w:rsid w:val="00C86FDC"/>
    <w:rsid w:val="00C870F0"/>
    <w:rsid w:val="00C87A98"/>
    <w:rsid w:val="00C90758"/>
    <w:rsid w:val="00C9149D"/>
    <w:rsid w:val="00C918C7"/>
    <w:rsid w:val="00C93B5F"/>
    <w:rsid w:val="00C93C37"/>
    <w:rsid w:val="00C94866"/>
    <w:rsid w:val="00C9556B"/>
    <w:rsid w:val="00C96F10"/>
    <w:rsid w:val="00C970A8"/>
    <w:rsid w:val="00CA0A56"/>
    <w:rsid w:val="00CA3AF5"/>
    <w:rsid w:val="00CA4B4A"/>
    <w:rsid w:val="00CA5BAF"/>
    <w:rsid w:val="00CA7D9B"/>
    <w:rsid w:val="00CB12D1"/>
    <w:rsid w:val="00CB1806"/>
    <w:rsid w:val="00CB6EF4"/>
    <w:rsid w:val="00CC0646"/>
    <w:rsid w:val="00CC0E04"/>
    <w:rsid w:val="00CC10C2"/>
    <w:rsid w:val="00CC1B15"/>
    <w:rsid w:val="00CD0133"/>
    <w:rsid w:val="00CD019D"/>
    <w:rsid w:val="00CD4613"/>
    <w:rsid w:val="00CD4E1D"/>
    <w:rsid w:val="00CD6439"/>
    <w:rsid w:val="00CD7EE8"/>
    <w:rsid w:val="00CE389D"/>
    <w:rsid w:val="00CE3E9B"/>
    <w:rsid w:val="00CE4549"/>
    <w:rsid w:val="00CE5494"/>
    <w:rsid w:val="00CF20A3"/>
    <w:rsid w:val="00CF2208"/>
    <w:rsid w:val="00CF2FA5"/>
    <w:rsid w:val="00CF3AF6"/>
    <w:rsid w:val="00CF636A"/>
    <w:rsid w:val="00CF7DB7"/>
    <w:rsid w:val="00D007BB"/>
    <w:rsid w:val="00D02815"/>
    <w:rsid w:val="00D02C77"/>
    <w:rsid w:val="00D0414C"/>
    <w:rsid w:val="00D0458F"/>
    <w:rsid w:val="00D04A78"/>
    <w:rsid w:val="00D064A5"/>
    <w:rsid w:val="00D06BDC"/>
    <w:rsid w:val="00D0743C"/>
    <w:rsid w:val="00D07E65"/>
    <w:rsid w:val="00D1025A"/>
    <w:rsid w:val="00D1054F"/>
    <w:rsid w:val="00D12435"/>
    <w:rsid w:val="00D13D6C"/>
    <w:rsid w:val="00D157BE"/>
    <w:rsid w:val="00D15E3D"/>
    <w:rsid w:val="00D17870"/>
    <w:rsid w:val="00D21421"/>
    <w:rsid w:val="00D279D7"/>
    <w:rsid w:val="00D27E8B"/>
    <w:rsid w:val="00D319F5"/>
    <w:rsid w:val="00D334A6"/>
    <w:rsid w:val="00D34BD3"/>
    <w:rsid w:val="00D400DA"/>
    <w:rsid w:val="00D4158D"/>
    <w:rsid w:val="00D43A6A"/>
    <w:rsid w:val="00D46A77"/>
    <w:rsid w:val="00D516D4"/>
    <w:rsid w:val="00D51AF2"/>
    <w:rsid w:val="00D51DA9"/>
    <w:rsid w:val="00D54578"/>
    <w:rsid w:val="00D555CD"/>
    <w:rsid w:val="00D55930"/>
    <w:rsid w:val="00D56432"/>
    <w:rsid w:val="00D576B0"/>
    <w:rsid w:val="00D60063"/>
    <w:rsid w:val="00D61AFE"/>
    <w:rsid w:val="00D658FB"/>
    <w:rsid w:val="00D66624"/>
    <w:rsid w:val="00D72EA6"/>
    <w:rsid w:val="00D752CF"/>
    <w:rsid w:val="00D77AC7"/>
    <w:rsid w:val="00D80BF4"/>
    <w:rsid w:val="00D82433"/>
    <w:rsid w:val="00D854F1"/>
    <w:rsid w:val="00D8769B"/>
    <w:rsid w:val="00D90754"/>
    <w:rsid w:val="00D912CA"/>
    <w:rsid w:val="00D9488F"/>
    <w:rsid w:val="00D95511"/>
    <w:rsid w:val="00D96D8F"/>
    <w:rsid w:val="00DA1659"/>
    <w:rsid w:val="00DA19DB"/>
    <w:rsid w:val="00DA291C"/>
    <w:rsid w:val="00DA30AF"/>
    <w:rsid w:val="00DA3C23"/>
    <w:rsid w:val="00DA414A"/>
    <w:rsid w:val="00DA4F83"/>
    <w:rsid w:val="00DA5688"/>
    <w:rsid w:val="00DA71C6"/>
    <w:rsid w:val="00DB1962"/>
    <w:rsid w:val="00DB3B10"/>
    <w:rsid w:val="00DB4E73"/>
    <w:rsid w:val="00DB5696"/>
    <w:rsid w:val="00DB6160"/>
    <w:rsid w:val="00DB674E"/>
    <w:rsid w:val="00DB68F6"/>
    <w:rsid w:val="00DC0E92"/>
    <w:rsid w:val="00DC1BAD"/>
    <w:rsid w:val="00DC21C6"/>
    <w:rsid w:val="00DC21EF"/>
    <w:rsid w:val="00DC36A9"/>
    <w:rsid w:val="00DC36F2"/>
    <w:rsid w:val="00DC47AA"/>
    <w:rsid w:val="00DC59DD"/>
    <w:rsid w:val="00DC5FB4"/>
    <w:rsid w:val="00DD0AA4"/>
    <w:rsid w:val="00DD18E8"/>
    <w:rsid w:val="00DD3E5D"/>
    <w:rsid w:val="00DD401C"/>
    <w:rsid w:val="00DD79E0"/>
    <w:rsid w:val="00DE167E"/>
    <w:rsid w:val="00DE3A6A"/>
    <w:rsid w:val="00DE4468"/>
    <w:rsid w:val="00DE478E"/>
    <w:rsid w:val="00DE6594"/>
    <w:rsid w:val="00DE7C27"/>
    <w:rsid w:val="00DF153D"/>
    <w:rsid w:val="00DF52A7"/>
    <w:rsid w:val="00DF5E8F"/>
    <w:rsid w:val="00E00A18"/>
    <w:rsid w:val="00E01F33"/>
    <w:rsid w:val="00E035F6"/>
    <w:rsid w:val="00E0360A"/>
    <w:rsid w:val="00E05EB4"/>
    <w:rsid w:val="00E11355"/>
    <w:rsid w:val="00E210F6"/>
    <w:rsid w:val="00E21956"/>
    <w:rsid w:val="00E21C7D"/>
    <w:rsid w:val="00E2229E"/>
    <w:rsid w:val="00E26A90"/>
    <w:rsid w:val="00E31818"/>
    <w:rsid w:val="00E3708E"/>
    <w:rsid w:val="00E40224"/>
    <w:rsid w:val="00E40667"/>
    <w:rsid w:val="00E40C46"/>
    <w:rsid w:val="00E436B2"/>
    <w:rsid w:val="00E522F4"/>
    <w:rsid w:val="00E533E8"/>
    <w:rsid w:val="00E541E7"/>
    <w:rsid w:val="00E55801"/>
    <w:rsid w:val="00E56225"/>
    <w:rsid w:val="00E56BCA"/>
    <w:rsid w:val="00E57A74"/>
    <w:rsid w:val="00E605C6"/>
    <w:rsid w:val="00E625C2"/>
    <w:rsid w:val="00E6659F"/>
    <w:rsid w:val="00E67540"/>
    <w:rsid w:val="00E6788A"/>
    <w:rsid w:val="00E70948"/>
    <w:rsid w:val="00E70D82"/>
    <w:rsid w:val="00E733AD"/>
    <w:rsid w:val="00E73F17"/>
    <w:rsid w:val="00E73FC7"/>
    <w:rsid w:val="00E741E2"/>
    <w:rsid w:val="00E744D4"/>
    <w:rsid w:val="00E8055D"/>
    <w:rsid w:val="00E80990"/>
    <w:rsid w:val="00E81081"/>
    <w:rsid w:val="00E82122"/>
    <w:rsid w:val="00E8241F"/>
    <w:rsid w:val="00E83CCA"/>
    <w:rsid w:val="00E8499A"/>
    <w:rsid w:val="00E84EC5"/>
    <w:rsid w:val="00E86398"/>
    <w:rsid w:val="00E86701"/>
    <w:rsid w:val="00E9222C"/>
    <w:rsid w:val="00E9358C"/>
    <w:rsid w:val="00E93CA1"/>
    <w:rsid w:val="00E96036"/>
    <w:rsid w:val="00E97339"/>
    <w:rsid w:val="00EA07E8"/>
    <w:rsid w:val="00EA1C66"/>
    <w:rsid w:val="00EA218E"/>
    <w:rsid w:val="00EA41FC"/>
    <w:rsid w:val="00EA45C1"/>
    <w:rsid w:val="00EA662B"/>
    <w:rsid w:val="00EA774F"/>
    <w:rsid w:val="00EA7AD7"/>
    <w:rsid w:val="00EB0013"/>
    <w:rsid w:val="00EB07D9"/>
    <w:rsid w:val="00EB20EA"/>
    <w:rsid w:val="00EB2BD3"/>
    <w:rsid w:val="00EB5347"/>
    <w:rsid w:val="00EB59E7"/>
    <w:rsid w:val="00EB5C25"/>
    <w:rsid w:val="00EB6E0F"/>
    <w:rsid w:val="00EC0A80"/>
    <w:rsid w:val="00EC13D3"/>
    <w:rsid w:val="00EC1B99"/>
    <w:rsid w:val="00EC2806"/>
    <w:rsid w:val="00EC46DE"/>
    <w:rsid w:val="00EC6C1F"/>
    <w:rsid w:val="00EC6CE3"/>
    <w:rsid w:val="00ED00EA"/>
    <w:rsid w:val="00ED14CE"/>
    <w:rsid w:val="00ED2971"/>
    <w:rsid w:val="00ED337F"/>
    <w:rsid w:val="00ED3FAA"/>
    <w:rsid w:val="00ED4276"/>
    <w:rsid w:val="00ED4385"/>
    <w:rsid w:val="00ED4C7C"/>
    <w:rsid w:val="00ED6B67"/>
    <w:rsid w:val="00ED729A"/>
    <w:rsid w:val="00ED7DAB"/>
    <w:rsid w:val="00ED7E06"/>
    <w:rsid w:val="00EE1DFF"/>
    <w:rsid w:val="00EE29B1"/>
    <w:rsid w:val="00EE33D2"/>
    <w:rsid w:val="00EE389D"/>
    <w:rsid w:val="00EE3CBE"/>
    <w:rsid w:val="00EE5714"/>
    <w:rsid w:val="00EE5DAE"/>
    <w:rsid w:val="00EE6043"/>
    <w:rsid w:val="00EE752C"/>
    <w:rsid w:val="00EF1904"/>
    <w:rsid w:val="00EF2D9C"/>
    <w:rsid w:val="00EF3FBB"/>
    <w:rsid w:val="00EF7011"/>
    <w:rsid w:val="00EF7C3B"/>
    <w:rsid w:val="00F01F5A"/>
    <w:rsid w:val="00F0327A"/>
    <w:rsid w:val="00F03EAF"/>
    <w:rsid w:val="00F05A4E"/>
    <w:rsid w:val="00F05EFC"/>
    <w:rsid w:val="00F06E54"/>
    <w:rsid w:val="00F078BF"/>
    <w:rsid w:val="00F10514"/>
    <w:rsid w:val="00F105A1"/>
    <w:rsid w:val="00F11680"/>
    <w:rsid w:val="00F14300"/>
    <w:rsid w:val="00F155FE"/>
    <w:rsid w:val="00F21153"/>
    <w:rsid w:val="00F22A5D"/>
    <w:rsid w:val="00F24108"/>
    <w:rsid w:val="00F245E3"/>
    <w:rsid w:val="00F24CE4"/>
    <w:rsid w:val="00F26007"/>
    <w:rsid w:val="00F265C4"/>
    <w:rsid w:val="00F2797E"/>
    <w:rsid w:val="00F30CC5"/>
    <w:rsid w:val="00F3264A"/>
    <w:rsid w:val="00F3272A"/>
    <w:rsid w:val="00F329F0"/>
    <w:rsid w:val="00F379FB"/>
    <w:rsid w:val="00F37EB7"/>
    <w:rsid w:val="00F4221B"/>
    <w:rsid w:val="00F42C97"/>
    <w:rsid w:val="00F46EBC"/>
    <w:rsid w:val="00F47535"/>
    <w:rsid w:val="00F478A8"/>
    <w:rsid w:val="00F50689"/>
    <w:rsid w:val="00F57203"/>
    <w:rsid w:val="00F6121E"/>
    <w:rsid w:val="00F613A5"/>
    <w:rsid w:val="00F61551"/>
    <w:rsid w:val="00F6751E"/>
    <w:rsid w:val="00F67974"/>
    <w:rsid w:val="00F71334"/>
    <w:rsid w:val="00F71E07"/>
    <w:rsid w:val="00F71FB5"/>
    <w:rsid w:val="00F7372B"/>
    <w:rsid w:val="00F746CE"/>
    <w:rsid w:val="00F747D2"/>
    <w:rsid w:val="00F748C6"/>
    <w:rsid w:val="00F755E7"/>
    <w:rsid w:val="00F76DE2"/>
    <w:rsid w:val="00F76DEE"/>
    <w:rsid w:val="00F771B8"/>
    <w:rsid w:val="00F84BA1"/>
    <w:rsid w:val="00F86154"/>
    <w:rsid w:val="00F86A45"/>
    <w:rsid w:val="00F86A88"/>
    <w:rsid w:val="00F90641"/>
    <w:rsid w:val="00F935B1"/>
    <w:rsid w:val="00F96E0E"/>
    <w:rsid w:val="00FA026A"/>
    <w:rsid w:val="00FA08B9"/>
    <w:rsid w:val="00FA0FDD"/>
    <w:rsid w:val="00FA41A0"/>
    <w:rsid w:val="00FA56DD"/>
    <w:rsid w:val="00FA69E9"/>
    <w:rsid w:val="00FB01E8"/>
    <w:rsid w:val="00FB20B1"/>
    <w:rsid w:val="00FB4B1A"/>
    <w:rsid w:val="00FB58DE"/>
    <w:rsid w:val="00FB7FED"/>
    <w:rsid w:val="00FC0ABE"/>
    <w:rsid w:val="00FC0BA0"/>
    <w:rsid w:val="00FC1DD9"/>
    <w:rsid w:val="00FC2471"/>
    <w:rsid w:val="00FC2A3D"/>
    <w:rsid w:val="00FC5730"/>
    <w:rsid w:val="00FC6043"/>
    <w:rsid w:val="00FC6138"/>
    <w:rsid w:val="00FC64B3"/>
    <w:rsid w:val="00FC6637"/>
    <w:rsid w:val="00FD39FD"/>
    <w:rsid w:val="00FD61A7"/>
    <w:rsid w:val="00FD702D"/>
    <w:rsid w:val="00FD76F7"/>
    <w:rsid w:val="00FE0B99"/>
    <w:rsid w:val="00FE0FA0"/>
    <w:rsid w:val="00FE228D"/>
    <w:rsid w:val="00FE351D"/>
    <w:rsid w:val="00FE4B03"/>
    <w:rsid w:val="00FE4DFB"/>
    <w:rsid w:val="00FE7DF0"/>
    <w:rsid w:val="00FF0834"/>
    <w:rsid w:val="00FF1AE3"/>
    <w:rsid w:val="00FF3EAF"/>
    <w:rsid w:val="00FF49F0"/>
    <w:rsid w:val="00FF6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EC"/>
    <w:pPr>
      <w:spacing w:after="240" w:line="240" w:lineRule="auto"/>
    </w:pPr>
    <w:rPr>
      <w:rFonts w:ascii="Arial" w:hAnsi="Arial"/>
      <w:sz w:val="20"/>
    </w:rPr>
  </w:style>
  <w:style w:type="paragraph" w:styleId="Heading1">
    <w:name w:val="heading 1"/>
    <w:basedOn w:val="Normal"/>
    <w:next w:val="Normal"/>
    <w:link w:val="Heading1Char"/>
    <w:uiPriority w:val="9"/>
    <w:rsid w:val="00A20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20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0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Creporttitle1">
    <w:name w:val="ACCC report title 1"/>
    <w:autoRedefine/>
    <w:qFormat/>
    <w:rsid w:val="00E40C46"/>
    <w:pPr>
      <w:spacing w:before="4200" w:after="240" w:line="240" w:lineRule="auto"/>
      <w:contextualSpacing/>
      <w:jc w:val="center"/>
    </w:pPr>
    <w:rPr>
      <w:rFonts w:ascii="Lucida Fax" w:eastAsia="Times New Roman" w:hAnsi="Lucida Fax" w:cs="Times New Roman"/>
      <w:b/>
      <w:bCs/>
      <w:sz w:val="44"/>
      <w:szCs w:val="20"/>
      <w:lang w:eastAsia="en-AU"/>
    </w:rPr>
  </w:style>
  <w:style w:type="paragraph" w:customStyle="1" w:styleId="ACCCreportdate">
    <w:name w:val="ACCC report date"/>
    <w:basedOn w:val="ACCCreporttitle1"/>
    <w:autoRedefine/>
    <w:qFormat/>
    <w:rsid w:val="00E40C46"/>
    <w:rPr>
      <w:b w:val="0"/>
      <w:sz w:val="30"/>
    </w:rPr>
  </w:style>
  <w:style w:type="paragraph" w:customStyle="1" w:styleId="ACCCreporttitle2">
    <w:name w:val="ACCC report title 2"/>
    <w:basedOn w:val="ACCCreporttitle1"/>
    <w:autoRedefine/>
    <w:qFormat/>
    <w:rsid w:val="00E40C46"/>
    <w:pPr>
      <w:spacing w:before="720"/>
    </w:pPr>
    <w:rPr>
      <w:b w:val="0"/>
    </w:rPr>
  </w:style>
  <w:style w:type="paragraph" w:customStyle="1" w:styleId="ACCCcopyrighttext">
    <w:name w:val="ACCC copyright text"/>
    <w:basedOn w:val="Normal"/>
    <w:autoRedefine/>
    <w:qFormat/>
    <w:rsid w:val="00E40C46"/>
    <w:pPr>
      <w:spacing w:after="0"/>
    </w:pPr>
  </w:style>
  <w:style w:type="paragraph" w:styleId="BalloonText">
    <w:name w:val="Balloon Text"/>
    <w:basedOn w:val="Normal"/>
    <w:link w:val="BalloonTextChar"/>
    <w:uiPriority w:val="99"/>
    <w:semiHidden/>
    <w:unhideWhenUs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46"/>
    <w:rPr>
      <w:rFonts w:ascii="Tahoma" w:hAnsi="Tahoma" w:cs="Tahoma"/>
      <w:sz w:val="16"/>
      <w:szCs w:val="16"/>
    </w:rPr>
  </w:style>
  <w:style w:type="paragraph" w:customStyle="1" w:styleId="Numberedheading1">
    <w:name w:val="Numbered heading 1"/>
    <w:next w:val="Normal"/>
    <w:autoRedefine/>
    <w:qFormat/>
    <w:rsid w:val="00837A98"/>
    <w:pPr>
      <w:pageBreakBefore/>
      <w:numPr>
        <w:numId w:val="1"/>
      </w:numPr>
      <w:spacing w:before="360" w:after="360" w:line="240" w:lineRule="auto"/>
      <w:outlineLvl w:val="0"/>
    </w:pPr>
    <w:rPr>
      <w:rFonts w:ascii="Lucida Fax" w:eastAsiaTheme="majorEastAsia" w:hAnsi="Lucida Fax" w:cstheme="majorBidi"/>
      <w:b/>
      <w:bCs/>
      <w:sz w:val="36"/>
      <w:szCs w:val="28"/>
    </w:rPr>
  </w:style>
  <w:style w:type="paragraph" w:customStyle="1" w:styleId="Numberedheading2">
    <w:name w:val="Numbered heading 2"/>
    <w:next w:val="Normal"/>
    <w:autoRedefine/>
    <w:qFormat/>
    <w:rsid w:val="00ED14CE"/>
    <w:pPr>
      <w:keepNext/>
      <w:numPr>
        <w:ilvl w:val="1"/>
        <w:numId w:val="1"/>
      </w:numPr>
      <w:spacing w:before="240" w:after="240" w:line="240" w:lineRule="auto"/>
    </w:pPr>
    <w:rPr>
      <w:rFonts w:ascii="Lucida Fax" w:eastAsiaTheme="majorEastAsia" w:hAnsi="Lucida Fax" w:cstheme="majorBidi"/>
      <w:b/>
      <w:bCs/>
      <w:sz w:val="32"/>
      <w:szCs w:val="28"/>
    </w:rPr>
  </w:style>
  <w:style w:type="paragraph" w:customStyle="1" w:styleId="Numberedheading3">
    <w:name w:val="Numbered heading 3"/>
    <w:next w:val="Normal"/>
    <w:autoRedefine/>
    <w:qFormat/>
    <w:rsid w:val="000B05BF"/>
    <w:pPr>
      <w:keepNext/>
      <w:numPr>
        <w:ilvl w:val="2"/>
        <w:numId w:val="1"/>
      </w:numPr>
      <w:spacing w:before="120" w:after="120" w:line="240" w:lineRule="auto"/>
    </w:pPr>
    <w:rPr>
      <w:rFonts w:ascii="Lucida Fax" w:eastAsiaTheme="majorEastAsia" w:hAnsi="Lucida Fax" w:cstheme="majorBidi"/>
      <w:b/>
      <w:bCs/>
      <w:sz w:val="24"/>
      <w:szCs w:val="28"/>
    </w:rPr>
  </w:style>
  <w:style w:type="paragraph" w:customStyle="1" w:styleId="Numberedheading4">
    <w:name w:val="Numbered heading 4"/>
    <w:next w:val="Normal"/>
    <w:autoRedefine/>
    <w:qFormat/>
    <w:rsid w:val="008A50DF"/>
    <w:pPr>
      <w:keepNext/>
      <w:numPr>
        <w:ilvl w:val="3"/>
        <w:numId w:val="1"/>
      </w:numPr>
      <w:spacing w:before="120" w:after="120" w:line="240" w:lineRule="auto"/>
    </w:pPr>
    <w:rPr>
      <w:rFonts w:ascii="Lucida Fax" w:eastAsiaTheme="majorEastAsia" w:hAnsi="Lucida Fax" w:cstheme="majorBidi"/>
      <w:bCs/>
      <w:sz w:val="24"/>
      <w:szCs w:val="28"/>
    </w:rPr>
  </w:style>
  <w:style w:type="paragraph" w:customStyle="1" w:styleId="Listbullet1">
    <w:name w:val="List bullet 1"/>
    <w:basedOn w:val="Normal"/>
    <w:autoRedefine/>
    <w:qFormat/>
    <w:rsid w:val="008A50DF"/>
    <w:pPr>
      <w:numPr>
        <w:numId w:val="2"/>
      </w:numPr>
      <w:spacing w:before="120"/>
    </w:pPr>
  </w:style>
  <w:style w:type="paragraph" w:customStyle="1" w:styleId="ListBullet21">
    <w:name w:val="List Bullet 21"/>
    <w:basedOn w:val="Listbullet1"/>
    <w:autoRedefine/>
    <w:qFormat/>
    <w:rsid w:val="0067580A"/>
    <w:pPr>
      <w:ind w:left="714" w:hanging="357"/>
    </w:pPr>
  </w:style>
  <w:style w:type="table" w:styleId="TableGrid">
    <w:name w:val="Table Grid"/>
    <w:basedOn w:val="TableNormal"/>
    <w:uiPriority w:val="59"/>
    <w:rsid w:val="008A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headingleft">
    <w:name w:val="Table text heading left"/>
    <w:autoRedefine/>
    <w:qFormat/>
    <w:rsid w:val="008A50DF"/>
    <w:pPr>
      <w:spacing w:before="120" w:after="120" w:line="240" w:lineRule="auto"/>
    </w:pPr>
    <w:rPr>
      <w:rFonts w:ascii="Arial" w:hAnsi="Arial"/>
      <w:b/>
      <w:sz w:val="18"/>
    </w:rPr>
  </w:style>
  <w:style w:type="paragraph" w:customStyle="1" w:styleId="Tabletextheadingcentre">
    <w:name w:val="Table text heading centre"/>
    <w:basedOn w:val="Tabletextheadingleft"/>
    <w:autoRedefine/>
    <w:qFormat/>
    <w:rsid w:val="008A50DF"/>
    <w:pPr>
      <w:jc w:val="center"/>
    </w:pPr>
  </w:style>
  <w:style w:type="paragraph" w:customStyle="1" w:styleId="Tabletextheadingright">
    <w:name w:val="Table text heading right"/>
    <w:basedOn w:val="Tabletextheadingleft"/>
    <w:autoRedefine/>
    <w:qFormat/>
    <w:rsid w:val="008A50DF"/>
    <w:pPr>
      <w:jc w:val="right"/>
    </w:pPr>
  </w:style>
  <w:style w:type="paragraph" w:customStyle="1" w:styleId="Tabletextleft">
    <w:name w:val="Table text left"/>
    <w:autoRedefine/>
    <w:qFormat/>
    <w:rsid w:val="008A50DF"/>
    <w:pPr>
      <w:spacing w:before="120" w:after="120" w:line="240" w:lineRule="auto"/>
    </w:pPr>
    <w:rPr>
      <w:rFonts w:ascii="Arial" w:hAnsi="Arial"/>
      <w:sz w:val="18"/>
    </w:rPr>
  </w:style>
  <w:style w:type="paragraph" w:customStyle="1" w:styleId="Tabletextcentre">
    <w:name w:val="Table text centre"/>
    <w:basedOn w:val="Tabletextleft"/>
    <w:autoRedefine/>
    <w:qFormat/>
    <w:rsid w:val="008A50DF"/>
    <w:pPr>
      <w:jc w:val="center"/>
    </w:pPr>
  </w:style>
  <w:style w:type="paragraph" w:customStyle="1" w:styleId="Tabletextright">
    <w:name w:val="Table text right"/>
    <w:basedOn w:val="Tabletextleft"/>
    <w:autoRedefine/>
    <w:qFormat/>
    <w:rsid w:val="008A50DF"/>
    <w:pPr>
      <w:jc w:val="right"/>
    </w:pPr>
  </w:style>
  <w:style w:type="paragraph" w:customStyle="1" w:styleId="Tabletextlistbullet">
    <w:name w:val="Table text list bullet"/>
    <w:basedOn w:val="Tabletextleft"/>
    <w:autoRedefine/>
    <w:qFormat/>
    <w:rsid w:val="008A50DF"/>
    <w:pPr>
      <w:numPr>
        <w:numId w:val="3"/>
      </w:numPr>
      <w:ind w:left="357" w:hanging="357"/>
    </w:pPr>
  </w:style>
  <w:style w:type="paragraph" w:styleId="Quote">
    <w:name w:val="Quote"/>
    <w:basedOn w:val="Normal"/>
    <w:next w:val="Normal"/>
    <w:link w:val="QuoteChar"/>
    <w:autoRedefine/>
    <w:uiPriority w:val="29"/>
    <w:qFormat/>
    <w:rsid w:val="00880209"/>
    <w:pPr>
      <w:ind w:left="720"/>
    </w:pPr>
    <w:rPr>
      <w:iCs/>
      <w:color w:val="000000" w:themeColor="text1"/>
      <w:sz w:val="17"/>
    </w:rPr>
  </w:style>
  <w:style w:type="character" w:customStyle="1" w:styleId="QuoteChar">
    <w:name w:val="Quote Char"/>
    <w:basedOn w:val="DefaultParagraphFont"/>
    <w:link w:val="Quote"/>
    <w:uiPriority w:val="29"/>
    <w:rsid w:val="00880209"/>
    <w:rPr>
      <w:rFonts w:ascii="Arial" w:hAnsi="Arial"/>
      <w:iCs/>
      <w:color w:val="000000" w:themeColor="text1"/>
      <w:sz w:val="17"/>
    </w:rPr>
  </w:style>
  <w:style w:type="paragraph" w:styleId="FootnoteText">
    <w:name w:val="footnote text"/>
    <w:aliases w:val="ALTS FOOTNOTE,(NECG) Footnote Text,Footnote text,AR Footnote Text,AR Footnote Text Char Char Char Char Char Char,AR Footnote Text Char Char Char Char Char"/>
    <w:basedOn w:val="Normal"/>
    <w:link w:val="FootnoteTextChar"/>
    <w:unhideWhenUs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AR Footnote Text Char Char Char Char Char Char Char,AR Footnote Text Char Char Char Char Char Char1"/>
    <w:basedOn w:val="DefaultParagraphFont"/>
    <w:link w:val="FootnoteText"/>
    <w:rsid w:val="00F01F5A"/>
    <w:rPr>
      <w:rFonts w:ascii="Arial" w:hAnsi="Arial"/>
      <w:sz w:val="17"/>
      <w:szCs w:val="20"/>
    </w:rPr>
  </w:style>
  <w:style w:type="character" w:styleId="FootnoteReference">
    <w:name w:val="footnote reference"/>
    <w:aliases w:val="(NECG) Footnote Reference"/>
    <w:basedOn w:val="DefaultParagraphFont"/>
    <w:unhideWhenUsed/>
    <w:rsid w:val="00F01F5A"/>
    <w:rPr>
      <w:sz w:val="20"/>
      <w:vertAlign w:val="superscript"/>
    </w:rPr>
  </w:style>
  <w:style w:type="paragraph" w:customStyle="1" w:styleId="Footnote">
    <w:name w:val="Footnote"/>
    <w:basedOn w:val="FootnoteText"/>
    <w:qFormat/>
    <w:rsid w:val="00F01F5A"/>
    <w:rPr>
      <w:szCs w:val="17"/>
    </w:rPr>
  </w:style>
  <w:style w:type="paragraph" w:customStyle="1" w:styleId="Non-numberedheading1">
    <w:name w:val="Non-numbered heading 1"/>
    <w:basedOn w:val="Numberedheading1"/>
    <w:next w:val="Normal"/>
    <w:autoRedefine/>
    <w:qFormat/>
    <w:rsid w:val="00FC2471"/>
    <w:pPr>
      <w:numPr>
        <w:numId w:val="0"/>
      </w:numPr>
    </w:pPr>
  </w:style>
  <w:style w:type="paragraph" w:customStyle="1" w:styleId="Non-numberedheading2">
    <w:name w:val="Non-numbered heading 2"/>
    <w:basedOn w:val="Numberedheading2"/>
    <w:next w:val="Normal"/>
    <w:autoRedefine/>
    <w:qFormat/>
    <w:rsid w:val="00FC2471"/>
    <w:pPr>
      <w:numPr>
        <w:ilvl w:val="0"/>
        <w:numId w:val="0"/>
      </w:numPr>
    </w:pPr>
  </w:style>
  <w:style w:type="paragraph" w:customStyle="1" w:styleId="Non-numberedheading3">
    <w:name w:val="Non-numbered heading 3"/>
    <w:basedOn w:val="Numberedheading3"/>
    <w:next w:val="Normal"/>
    <w:autoRedefine/>
    <w:qFormat/>
    <w:rsid w:val="00FC2471"/>
    <w:pPr>
      <w:numPr>
        <w:ilvl w:val="0"/>
        <w:numId w:val="0"/>
      </w:numPr>
    </w:pPr>
  </w:style>
  <w:style w:type="paragraph" w:customStyle="1" w:styleId="Non-numberedheading4">
    <w:name w:val="Non-numbered heading 4"/>
    <w:basedOn w:val="Numberedheading4"/>
    <w:next w:val="Normal"/>
    <w:autoRedefine/>
    <w:qFormat/>
    <w:rsid w:val="00FC2471"/>
    <w:pPr>
      <w:numPr>
        <w:ilvl w:val="0"/>
        <w:numId w:val="0"/>
      </w:numPr>
    </w:pPr>
  </w:style>
  <w:style w:type="paragraph" w:customStyle="1" w:styleId="Contentsheading">
    <w:name w:val="Contents heading"/>
    <w:basedOn w:val="Non-numberedheading1"/>
    <w:next w:val="Normal"/>
    <w:autoRedefine/>
    <w:qFormat/>
    <w:rsid w:val="00A70A39"/>
  </w:style>
  <w:style w:type="paragraph" w:customStyle="1" w:styleId="Glossaryheading">
    <w:name w:val="Glossary heading"/>
    <w:basedOn w:val="Non-numberedheading1"/>
    <w:next w:val="Normal"/>
    <w:autoRedefine/>
    <w:qFormat/>
    <w:rsid w:val="00A70A39"/>
  </w:style>
  <w:style w:type="paragraph" w:customStyle="1" w:styleId="Summaryheading">
    <w:name w:val="Summary heading"/>
    <w:basedOn w:val="Non-numberedheading1"/>
    <w:next w:val="Normal"/>
    <w:autoRedefine/>
    <w:qFormat/>
    <w:rsid w:val="00A70A39"/>
  </w:style>
  <w:style w:type="paragraph" w:customStyle="1" w:styleId="Appendixheading1">
    <w:name w:val="Appendix heading 1"/>
    <w:basedOn w:val="Numberedheading1"/>
    <w:next w:val="Normal"/>
    <w:autoRedefine/>
    <w:qFormat/>
    <w:rsid w:val="001C1BCB"/>
    <w:pPr>
      <w:numPr>
        <w:numId w:val="4"/>
      </w:numPr>
    </w:pPr>
  </w:style>
  <w:style w:type="paragraph" w:customStyle="1" w:styleId="Appendixheading2">
    <w:name w:val="Appendix heading 2"/>
    <w:basedOn w:val="Non-numberedheading2"/>
    <w:next w:val="Normal"/>
    <w:autoRedefine/>
    <w:qFormat/>
    <w:rsid w:val="0067580A"/>
    <w:pPr>
      <w:keepNext w:val="0"/>
      <w:numPr>
        <w:ilvl w:val="1"/>
        <w:numId w:val="4"/>
      </w:numPr>
    </w:pPr>
  </w:style>
  <w:style w:type="paragraph" w:customStyle="1" w:styleId="Appendixheading3">
    <w:name w:val="Appendix heading 3"/>
    <w:basedOn w:val="Non-numberedheading3"/>
    <w:next w:val="Normal"/>
    <w:autoRedefine/>
    <w:qFormat/>
    <w:rsid w:val="0067580A"/>
    <w:pPr>
      <w:numPr>
        <w:ilvl w:val="2"/>
        <w:numId w:val="4"/>
      </w:numPr>
    </w:pPr>
  </w:style>
  <w:style w:type="paragraph" w:customStyle="1" w:styleId="Appendixheading4">
    <w:name w:val="Appendix heading 4"/>
    <w:basedOn w:val="Non-numberedheading4"/>
    <w:next w:val="Normal"/>
    <w:autoRedefine/>
    <w:qFormat/>
    <w:rsid w:val="0067580A"/>
    <w:pPr>
      <w:numPr>
        <w:ilvl w:val="3"/>
        <w:numId w:val="4"/>
      </w:numPr>
    </w:pPr>
  </w:style>
  <w:style w:type="character" w:customStyle="1" w:styleId="Heading1Char">
    <w:name w:val="Heading 1 Char"/>
    <w:basedOn w:val="DefaultParagraphFont"/>
    <w:link w:val="Heading1"/>
    <w:uiPriority w:val="9"/>
    <w:rsid w:val="00A20E5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20E5A"/>
    <w:pPr>
      <w:tabs>
        <w:tab w:val="left" w:pos="426"/>
        <w:tab w:val="right" w:leader="dot" w:pos="8438"/>
      </w:tabs>
      <w:spacing w:before="240"/>
    </w:pPr>
    <w:rPr>
      <w:b/>
      <w:noProof/>
    </w:rPr>
  </w:style>
  <w:style w:type="character" w:customStyle="1" w:styleId="Heading2Char">
    <w:name w:val="Heading 2 Char"/>
    <w:basedOn w:val="DefaultParagraphFont"/>
    <w:link w:val="Heading2"/>
    <w:uiPriority w:val="9"/>
    <w:semiHidden/>
    <w:rsid w:val="00A20E5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20E5A"/>
    <w:pPr>
      <w:tabs>
        <w:tab w:val="left" w:pos="880"/>
        <w:tab w:val="right" w:leader="dot" w:pos="8438"/>
      </w:tabs>
      <w:spacing w:after="100"/>
      <w:ind w:left="426"/>
    </w:pPr>
    <w:rPr>
      <w:noProof/>
    </w:rPr>
  </w:style>
  <w:style w:type="character" w:styleId="Hyperlink">
    <w:name w:val="Hyperlink"/>
    <w:basedOn w:val="DefaultParagraphFont"/>
    <w:uiPriority w:val="99"/>
    <w:unhideWhenUsed/>
    <w:rsid w:val="00A20E5A"/>
    <w:rPr>
      <w:color w:val="0000FF" w:themeColor="hyperlink"/>
      <w:u w:val="single"/>
    </w:rPr>
  </w:style>
  <w:style w:type="character" w:customStyle="1" w:styleId="Heading3Char">
    <w:name w:val="Heading 3 Char"/>
    <w:basedOn w:val="DefaultParagraphFont"/>
    <w:link w:val="Heading3"/>
    <w:uiPriority w:val="9"/>
    <w:semiHidden/>
    <w:rsid w:val="00A20E5A"/>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FC6637"/>
    <w:pPr>
      <w:ind w:left="720"/>
      <w:contextualSpacing/>
    </w:pPr>
  </w:style>
  <w:style w:type="paragraph" w:customStyle="1" w:styleId="Numberedtabletitle">
    <w:name w:val="Numbered table title"/>
    <w:basedOn w:val="Numberedheading4"/>
    <w:next w:val="Normal"/>
    <w:autoRedefine/>
    <w:qFormat/>
    <w:rsid w:val="00837A98"/>
    <w:pPr>
      <w:numPr>
        <w:ilvl w:val="4"/>
      </w:numPr>
      <w:spacing w:after="60"/>
      <w:ind w:left="958" w:hanging="958"/>
    </w:pPr>
    <w:rPr>
      <w:b/>
      <w:sz w:val="20"/>
    </w:rPr>
  </w:style>
  <w:style w:type="paragraph" w:customStyle="1" w:styleId="Non-numberedtabletitle">
    <w:name w:val="Non-numbered table title"/>
    <w:basedOn w:val="Numberedtabletitle"/>
    <w:next w:val="Normal"/>
    <w:qFormat/>
    <w:rsid w:val="00FC6637"/>
    <w:pPr>
      <w:numPr>
        <w:ilvl w:val="0"/>
        <w:numId w:val="0"/>
      </w:numPr>
    </w:pPr>
  </w:style>
  <w:style w:type="paragraph" w:customStyle="1" w:styleId="Appendixtabletitle">
    <w:name w:val="Appendix table title"/>
    <w:basedOn w:val="Numberedtabletitle"/>
    <w:next w:val="Normal"/>
    <w:qFormat/>
    <w:rsid w:val="001C1BCB"/>
    <w:pPr>
      <w:numPr>
        <w:numId w:val="4"/>
      </w:numPr>
      <w:ind w:left="958" w:hanging="958"/>
    </w:pPr>
  </w:style>
  <w:style w:type="paragraph" w:customStyle="1" w:styleId="AERbodytext">
    <w:name w:val="AER body text"/>
    <w:link w:val="AERbodytextChar"/>
    <w:qFormat/>
    <w:rsid w:val="007D04C5"/>
    <w:pPr>
      <w:spacing w:after="240" w:line="240" w:lineRule="auto"/>
    </w:pPr>
    <w:rPr>
      <w:rFonts w:ascii="Times New Roman" w:eastAsia="Times New Roman" w:hAnsi="Times New Roman" w:cs="Times New Roman"/>
      <w:sz w:val="24"/>
      <w:szCs w:val="24"/>
    </w:rPr>
  </w:style>
  <w:style w:type="character" w:customStyle="1" w:styleId="AERbodytextChar">
    <w:name w:val="AER body text Char"/>
    <w:basedOn w:val="DefaultParagraphFont"/>
    <w:link w:val="AERbodytext"/>
    <w:rsid w:val="007D04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21EF"/>
    <w:rPr>
      <w:sz w:val="16"/>
      <w:szCs w:val="16"/>
    </w:rPr>
  </w:style>
  <w:style w:type="paragraph" w:styleId="CommentText">
    <w:name w:val="annotation text"/>
    <w:basedOn w:val="Normal"/>
    <w:link w:val="CommentTextChar"/>
    <w:uiPriority w:val="99"/>
    <w:unhideWhenUsed/>
    <w:rsid w:val="00DC21EF"/>
    <w:rPr>
      <w:szCs w:val="20"/>
    </w:rPr>
  </w:style>
  <w:style w:type="character" w:customStyle="1" w:styleId="CommentTextChar">
    <w:name w:val="Comment Text Char"/>
    <w:basedOn w:val="DefaultParagraphFont"/>
    <w:link w:val="CommentText"/>
    <w:uiPriority w:val="99"/>
    <w:rsid w:val="00DC21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21EF"/>
    <w:rPr>
      <w:b/>
      <w:bCs/>
    </w:rPr>
  </w:style>
  <w:style w:type="character" w:customStyle="1" w:styleId="CommentSubjectChar">
    <w:name w:val="Comment Subject Char"/>
    <w:basedOn w:val="CommentTextChar"/>
    <w:link w:val="CommentSubject"/>
    <w:uiPriority w:val="99"/>
    <w:semiHidden/>
    <w:rsid w:val="00DC21EF"/>
    <w:rPr>
      <w:rFonts w:ascii="Arial" w:hAnsi="Arial"/>
      <w:b/>
      <w:bCs/>
      <w:sz w:val="20"/>
      <w:szCs w:val="20"/>
    </w:rPr>
  </w:style>
  <w:style w:type="table" w:customStyle="1" w:styleId="TableGrid1">
    <w:name w:val="Table Grid1"/>
    <w:basedOn w:val="TableNormal"/>
    <w:next w:val="TableGrid"/>
    <w:uiPriority w:val="59"/>
    <w:rsid w:val="00A57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0DF7"/>
    <w:pPr>
      <w:spacing w:after="0" w:line="240" w:lineRule="auto"/>
    </w:pPr>
    <w:rPr>
      <w:rFonts w:ascii="Arial" w:hAnsi="Arial"/>
      <w:sz w:val="20"/>
    </w:rPr>
  </w:style>
  <w:style w:type="paragraph" w:customStyle="1" w:styleId="StyleJustified">
    <w:name w:val="Style Justified"/>
    <w:basedOn w:val="Normal"/>
    <w:rsid w:val="00652F2E"/>
    <w:rPr>
      <w:rFonts w:ascii="Times New Roman" w:eastAsia="Times New Roman" w:hAnsi="Times New Roman" w:cs="Times New Roman"/>
      <w:sz w:val="24"/>
      <w:szCs w:val="20"/>
      <w:lang w:val="en-GB" w:eastAsia="en-AU"/>
    </w:rPr>
  </w:style>
  <w:style w:type="paragraph" w:styleId="Header">
    <w:name w:val="header"/>
    <w:basedOn w:val="Normal"/>
    <w:link w:val="HeaderChar"/>
    <w:uiPriority w:val="99"/>
    <w:unhideWhenUsed/>
    <w:rsid w:val="00B74EE5"/>
    <w:pPr>
      <w:tabs>
        <w:tab w:val="center" w:pos="4513"/>
        <w:tab w:val="right" w:pos="9026"/>
      </w:tabs>
      <w:spacing w:after="0"/>
    </w:pPr>
  </w:style>
  <w:style w:type="character" w:customStyle="1" w:styleId="HeaderChar">
    <w:name w:val="Header Char"/>
    <w:basedOn w:val="DefaultParagraphFont"/>
    <w:link w:val="Header"/>
    <w:uiPriority w:val="99"/>
    <w:rsid w:val="00B74EE5"/>
    <w:rPr>
      <w:rFonts w:ascii="Arial" w:hAnsi="Arial"/>
      <w:sz w:val="20"/>
    </w:rPr>
  </w:style>
  <w:style w:type="paragraph" w:styleId="Footer">
    <w:name w:val="footer"/>
    <w:basedOn w:val="Normal"/>
    <w:link w:val="FooterChar"/>
    <w:uiPriority w:val="99"/>
    <w:unhideWhenUsed/>
    <w:rsid w:val="00B74EE5"/>
    <w:pPr>
      <w:tabs>
        <w:tab w:val="center" w:pos="4513"/>
        <w:tab w:val="right" w:pos="9026"/>
      </w:tabs>
      <w:spacing w:after="0"/>
    </w:pPr>
  </w:style>
  <w:style w:type="character" w:customStyle="1" w:styleId="FooterChar">
    <w:name w:val="Footer Char"/>
    <w:basedOn w:val="DefaultParagraphFont"/>
    <w:link w:val="Footer"/>
    <w:uiPriority w:val="99"/>
    <w:rsid w:val="00B74EE5"/>
    <w:rPr>
      <w:rFonts w:ascii="Arial" w:hAnsi="Arial"/>
      <w:sz w:val="20"/>
    </w:rPr>
  </w:style>
  <w:style w:type="paragraph" w:styleId="Revision">
    <w:name w:val="Revision"/>
    <w:hidden/>
    <w:uiPriority w:val="99"/>
    <w:semiHidden/>
    <w:rsid w:val="00962282"/>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66050">
      <w:bodyDiv w:val="1"/>
      <w:marLeft w:val="0"/>
      <w:marRight w:val="0"/>
      <w:marTop w:val="0"/>
      <w:marBottom w:val="0"/>
      <w:divBdr>
        <w:top w:val="none" w:sz="0" w:space="0" w:color="auto"/>
        <w:left w:val="none" w:sz="0" w:space="0" w:color="auto"/>
        <w:bottom w:val="none" w:sz="0" w:space="0" w:color="auto"/>
        <w:right w:val="none" w:sz="0" w:space="0" w:color="auto"/>
      </w:divBdr>
      <w:divsChild>
        <w:div w:id="1795366015">
          <w:marLeft w:val="0"/>
          <w:marRight w:val="0"/>
          <w:marTop w:val="0"/>
          <w:marBottom w:val="0"/>
          <w:divBdr>
            <w:top w:val="none" w:sz="0" w:space="0" w:color="auto"/>
            <w:left w:val="none" w:sz="0" w:space="0" w:color="auto"/>
            <w:bottom w:val="none" w:sz="0" w:space="0" w:color="auto"/>
            <w:right w:val="none" w:sz="0" w:space="0" w:color="auto"/>
          </w:divBdr>
          <w:divsChild>
            <w:div w:id="1022516306">
              <w:marLeft w:val="0"/>
              <w:marRight w:val="0"/>
              <w:marTop w:val="0"/>
              <w:marBottom w:val="0"/>
              <w:divBdr>
                <w:top w:val="none" w:sz="0" w:space="0" w:color="auto"/>
                <w:left w:val="none" w:sz="0" w:space="0" w:color="auto"/>
                <w:bottom w:val="none" w:sz="0" w:space="0" w:color="auto"/>
                <w:right w:val="none" w:sz="0" w:space="0" w:color="auto"/>
              </w:divBdr>
              <w:divsChild>
                <w:div w:id="1238132601">
                  <w:marLeft w:val="0"/>
                  <w:marRight w:val="0"/>
                  <w:marTop w:val="0"/>
                  <w:marBottom w:val="0"/>
                  <w:divBdr>
                    <w:top w:val="none" w:sz="0" w:space="0" w:color="auto"/>
                    <w:left w:val="none" w:sz="0" w:space="0" w:color="auto"/>
                    <w:bottom w:val="none" w:sz="0" w:space="0" w:color="auto"/>
                    <w:right w:val="none" w:sz="0" w:space="0" w:color="auto"/>
                  </w:divBdr>
                  <w:divsChild>
                    <w:div w:id="639770374">
                      <w:marLeft w:val="0"/>
                      <w:marRight w:val="0"/>
                      <w:marTop w:val="0"/>
                      <w:marBottom w:val="0"/>
                      <w:divBdr>
                        <w:top w:val="single" w:sz="6" w:space="0" w:color="DCD9D9"/>
                        <w:left w:val="single" w:sz="6" w:space="0" w:color="DCD9D9"/>
                        <w:bottom w:val="single" w:sz="2" w:space="0" w:color="DCD9D9"/>
                        <w:right w:val="single" w:sz="6" w:space="0" w:color="DCD9D9"/>
                      </w:divBdr>
                      <w:divsChild>
                        <w:div w:id="653292269">
                          <w:marLeft w:val="0"/>
                          <w:marRight w:val="-100"/>
                          <w:marTop w:val="45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sChild>
                                <w:div w:id="870187912">
                                  <w:marLeft w:val="0"/>
                                  <w:marRight w:val="0"/>
                                  <w:marTop w:val="0"/>
                                  <w:marBottom w:val="0"/>
                                  <w:divBdr>
                                    <w:top w:val="none" w:sz="0" w:space="0" w:color="auto"/>
                                    <w:left w:val="none" w:sz="0" w:space="0" w:color="auto"/>
                                    <w:bottom w:val="none" w:sz="0" w:space="0" w:color="auto"/>
                                    <w:right w:val="none" w:sz="0" w:space="0" w:color="auto"/>
                                  </w:divBdr>
                                  <w:divsChild>
                                    <w:div w:id="583488115">
                                      <w:marLeft w:val="0"/>
                                      <w:marRight w:val="0"/>
                                      <w:marTop w:val="0"/>
                                      <w:marBottom w:val="0"/>
                                      <w:divBdr>
                                        <w:top w:val="none" w:sz="0" w:space="0" w:color="auto"/>
                                        <w:left w:val="none" w:sz="0" w:space="0" w:color="auto"/>
                                        <w:bottom w:val="none" w:sz="0" w:space="0" w:color="auto"/>
                                        <w:right w:val="none" w:sz="0" w:space="0" w:color="auto"/>
                                      </w:divBdr>
                                      <w:divsChild>
                                        <w:div w:id="912935432">
                                          <w:marLeft w:val="0"/>
                                          <w:marRight w:val="0"/>
                                          <w:marTop w:val="0"/>
                                          <w:marBottom w:val="360"/>
                                          <w:divBdr>
                                            <w:top w:val="none" w:sz="0" w:space="0" w:color="auto"/>
                                            <w:left w:val="none" w:sz="0" w:space="0" w:color="auto"/>
                                            <w:bottom w:val="none" w:sz="0" w:space="0" w:color="auto"/>
                                            <w:right w:val="none" w:sz="0" w:space="0" w:color="auto"/>
                                          </w:divBdr>
                                          <w:divsChild>
                                            <w:div w:id="41712914">
                                              <w:marLeft w:val="0"/>
                                              <w:marRight w:val="0"/>
                                              <w:marTop w:val="0"/>
                                              <w:marBottom w:val="0"/>
                                              <w:divBdr>
                                                <w:top w:val="none" w:sz="0" w:space="0" w:color="auto"/>
                                                <w:left w:val="none" w:sz="0" w:space="0" w:color="auto"/>
                                                <w:bottom w:val="none" w:sz="0" w:space="0" w:color="auto"/>
                                                <w:right w:val="none" w:sz="0" w:space="0" w:color="auto"/>
                                              </w:divBdr>
                                              <w:divsChild>
                                                <w:div w:id="6300424">
                                                  <w:marLeft w:val="0"/>
                                                  <w:marRight w:val="0"/>
                                                  <w:marTop w:val="0"/>
                                                  <w:marBottom w:val="0"/>
                                                  <w:divBdr>
                                                    <w:top w:val="none" w:sz="0" w:space="0" w:color="auto"/>
                                                    <w:left w:val="none" w:sz="0" w:space="0" w:color="auto"/>
                                                    <w:bottom w:val="none" w:sz="0" w:space="0" w:color="auto"/>
                                                    <w:right w:val="none" w:sz="0" w:space="0" w:color="auto"/>
                                                  </w:divBdr>
                                                  <w:divsChild>
                                                    <w:div w:id="1937209582">
                                                      <w:marLeft w:val="0"/>
                                                      <w:marRight w:val="0"/>
                                                      <w:marTop w:val="0"/>
                                                      <w:marBottom w:val="0"/>
                                                      <w:divBdr>
                                                        <w:top w:val="none" w:sz="0" w:space="0" w:color="auto"/>
                                                        <w:left w:val="none" w:sz="0" w:space="0" w:color="auto"/>
                                                        <w:bottom w:val="none" w:sz="0" w:space="0" w:color="auto"/>
                                                        <w:right w:val="none" w:sz="0" w:space="0" w:color="auto"/>
                                                      </w:divBdr>
                                                      <w:divsChild>
                                                        <w:div w:id="1574856197">
                                                          <w:marLeft w:val="0"/>
                                                          <w:marRight w:val="0"/>
                                                          <w:marTop w:val="0"/>
                                                          <w:marBottom w:val="0"/>
                                                          <w:divBdr>
                                                            <w:top w:val="none" w:sz="0" w:space="0" w:color="auto"/>
                                                            <w:left w:val="none" w:sz="0" w:space="0" w:color="auto"/>
                                                            <w:bottom w:val="none" w:sz="0" w:space="0" w:color="auto"/>
                                                            <w:right w:val="none" w:sz="0" w:space="0" w:color="auto"/>
                                                          </w:divBdr>
                                                          <w:divsChild>
                                                            <w:div w:id="1628314111">
                                                              <w:marLeft w:val="0"/>
                                                              <w:marRight w:val="0"/>
                                                              <w:marTop w:val="0"/>
                                                              <w:marBottom w:val="0"/>
                                                              <w:divBdr>
                                                                <w:top w:val="none" w:sz="0" w:space="0" w:color="auto"/>
                                                                <w:left w:val="none" w:sz="0" w:space="0" w:color="auto"/>
                                                                <w:bottom w:val="none" w:sz="0" w:space="0" w:color="auto"/>
                                                                <w:right w:val="none" w:sz="0" w:space="0" w:color="auto"/>
                                                              </w:divBdr>
                                                              <w:divsChild>
                                                                <w:div w:id="1660184659">
                                                                  <w:marLeft w:val="0"/>
                                                                  <w:marRight w:val="0"/>
                                                                  <w:marTop w:val="0"/>
                                                                  <w:marBottom w:val="0"/>
                                                                  <w:divBdr>
                                                                    <w:top w:val="none" w:sz="0" w:space="0" w:color="auto"/>
                                                                    <w:left w:val="none" w:sz="0" w:space="0" w:color="auto"/>
                                                                    <w:bottom w:val="none" w:sz="0" w:space="0" w:color="auto"/>
                                                                    <w:right w:val="none" w:sz="0" w:space="0" w:color="auto"/>
                                                                  </w:divBdr>
                                                                  <w:divsChild>
                                                                    <w:div w:id="2147385012">
                                                                      <w:marLeft w:val="0"/>
                                                                      <w:marRight w:val="0"/>
                                                                      <w:marTop w:val="0"/>
                                                                      <w:marBottom w:val="0"/>
                                                                      <w:divBdr>
                                                                        <w:top w:val="none" w:sz="0" w:space="0" w:color="auto"/>
                                                                        <w:left w:val="none" w:sz="0" w:space="0" w:color="auto"/>
                                                                        <w:bottom w:val="none" w:sz="0" w:space="0" w:color="auto"/>
                                                                        <w:right w:val="none" w:sz="0" w:space="0" w:color="auto"/>
                                                                      </w:divBdr>
                                                                      <w:divsChild>
                                                                        <w:div w:id="2081515937">
                                                                          <w:marLeft w:val="0"/>
                                                                          <w:marRight w:val="0"/>
                                                                          <w:marTop w:val="0"/>
                                                                          <w:marBottom w:val="0"/>
                                                                          <w:divBdr>
                                                                            <w:top w:val="none" w:sz="0" w:space="0" w:color="auto"/>
                                                                            <w:left w:val="none" w:sz="0" w:space="0" w:color="auto"/>
                                                                            <w:bottom w:val="none" w:sz="0" w:space="0" w:color="auto"/>
                                                                            <w:right w:val="none" w:sz="0" w:space="0" w:color="auto"/>
                                                                          </w:divBdr>
                                                                          <w:divsChild>
                                                                            <w:div w:id="2004120761">
                                                                              <w:marLeft w:val="0"/>
                                                                              <w:marRight w:val="0"/>
                                                                              <w:marTop w:val="0"/>
                                                                              <w:marBottom w:val="0"/>
                                                                              <w:divBdr>
                                                                                <w:top w:val="none" w:sz="0" w:space="0" w:color="auto"/>
                                                                                <w:left w:val="none" w:sz="0" w:space="0" w:color="auto"/>
                                                                                <w:bottom w:val="none" w:sz="0" w:space="0" w:color="auto"/>
                                                                                <w:right w:val="none" w:sz="0" w:space="0" w:color="auto"/>
                                                                              </w:divBdr>
                                                                              <w:divsChild>
                                                                                <w:div w:id="1692103134">
                                                                                  <w:marLeft w:val="0"/>
                                                                                  <w:marRight w:val="0"/>
                                                                                  <w:marTop w:val="0"/>
                                                                                  <w:marBottom w:val="0"/>
                                                                                  <w:divBdr>
                                                                                    <w:top w:val="none" w:sz="0" w:space="0" w:color="auto"/>
                                                                                    <w:left w:val="none" w:sz="0" w:space="0" w:color="auto"/>
                                                                                    <w:bottom w:val="none" w:sz="0" w:space="0" w:color="auto"/>
                                                                                    <w:right w:val="none" w:sz="0" w:space="0" w:color="auto"/>
                                                                                  </w:divBdr>
                                                                                  <w:divsChild>
                                                                                    <w:div w:id="1024206787">
                                                                                      <w:marLeft w:val="0"/>
                                                                                      <w:marRight w:val="0"/>
                                                                                      <w:marTop w:val="0"/>
                                                                                      <w:marBottom w:val="0"/>
                                                                                      <w:divBdr>
                                                                                        <w:top w:val="none" w:sz="0" w:space="0" w:color="auto"/>
                                                                                        <w:left w:val="none" w:sz="0" w:space="0" w:color="auto"/>
                                                                                        <w:bottom w:val="none" w:sz="0" w:space="0" w:color="auto"/>
                                                                                        <w:right w:val="none" w:sz="0" w:space="0" w:color="auto"/>
                                                                                      </w:divBdr>
                                                                                      <w:divsChild>
                                                                                        <w:div w:id="621226839">
                                                                                          <w:marLeft w:val="0"/>
                                                                                          <w:marRight w:val="0"/>
                                                                                          <w:marTop w:val="0"/>
                                                                                          <w:marBottom w:val="0"/>
                                                                                          <w:divBdr>
                                                                                            <w:top w:val="none" w:sz="0" w:space="0" w:color="auto"/>
                                                                                            <w:left w:val="none" w:sz="0" w:space="0" w:color="auto"/>
                                                                                            <w:bottom w:val="none" w:sz="0" w:space="0" w:color="auto"/>
                                                                                            <w:right w:val="none" w:sz="0" w:space="0" w:color="auto"/>
                                                                                          </w:divBdr>
                                                                                          <w:divsChild>
                                                                                            <w:div w:id="1590849812">
                                                                                              <w:marLeft w:val="0"/>
                                                                                              <w:marRight w:val="0"/>
                                                                                              <w:marTop w:val="0"/>
                                                                                              <w:marBottom w:val="0"/>
                                                                                              <w:divBdr>
                                                                                                <w:top w:val="none" w:sz="0" w:space="0" w:color="auto"/>
                                                                                                <w:left w:val="none" w:sz="0" w:space="0" w:color="auto"/>
                                                                                                <w:bottom w:val="none" w:sz="0" w:space="0" w:color="auto"/>
                                                                                                <w:right w:val="none" w:sz="0" w:space="0" w:color="auto"/>
                                                                                              </w:divBdr>
                                                                                              <w:divsChild>
                                                                                                <w:div w:id="902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8401">
      <w:bodyDiv w:val="1"/>
      <w:marLeft w:val="0"/>
      <w:marRight w:val="0"/>
      <w:marTop w:val="0"/>
      <w:marBottom w:val="0"/>
      <w:divBdr>
        <w:top w:val="none" w:sz="0" w:space="0" w:color="auto"/>
        <w:left w:val="none" w:sz="0" w:space="0" w:color="auto"/>
        <w:bottom w:val="none" w:sz="0" w:space="0" w:color="auto"/>
        <w:right w:val="none" w:sz="0" w:space="0" w:color="auto"/>
      </w:divBdr>
      <w:divsChild>
        <w:div w:id="1943488857">
          <w:marLeft w:val="0"/>
          <w:marRight w:val="0"/>
          <w:marTop w:val="0"/>
          <w:marBottom w:val="0"/>
          <w:divBdr>
            <w:top w:val="none" w:sz="0" w:space="0" w:color="auto"/>
            <w:left w:val="none" w:sz="0" w:space="0" w:color="auto"/>
            <w:bottom w:val="none" w:sz="0" w:space="0" w:color="auto"/>
            <w:right w:val="none" w:sz="0" w:space="0" w:color="auto"/>
          </w:divBdr>
          <w:divsChild>
            <w:div w:id="714279169">
              <w:marLeft w:val="0"/>
              <w:marRight w:val="0"/>
              <w:marTop w:val="0"/>
              <w:marBottom w:val="0"/>
              <w:divBdr>
                <w:top w:val="none" w:sz="0" w:space="0" w:color="auto"/>
                <w:left w:val="none" w:sz="0" w:space="0" w:color="auto"/>
                <w:bottom w:val="none" w:sz="0" w:space="0" w:color="auto"/>
                <w:right w:val="none" w:sz="0" w:space="0" w:color="auto"/>
              </w:divBdr>
              <w:divsChild>
                <w:div w:id="1908801904">
                  <w:marLeft w:val="0"/>
                  <w:marRight w:val="0"/>
                  <w:marTop w:val="0"/>
                  <w:marBottom w:val="0"/>
                  <w:divBdr>
                    <w:top w:val="none" w:sz="0" w:space="0" w:color="auto"/>
                    <w:left w:val="none" w:sz="0" w:space="0" w:color="auto"/>
                    <w:bottom w:val="none" w:sz="0" w:space="0" w:color="auto"/>
                    <w:right w:val="none" w:sz="0" w:space="0" w:color="auto"/>
                  </w:divBdr>
                  <w:divsChild>
                    <w:div w:id="1257400847">
                      <w:marLeft w:val="0"/>
                      <w:marRight w:val="0"/>
                      <w:marTop w:val="0"/>
                      <w:marBottom w:val="0"/>
                      <w:divBdr>
                        <w:top w:val="single" w:sz="6" w:space="0" w:color="DCD9D9"/>
                        <w:left w:val="single" w:sz="6" w:space="0" w:color="DCD9D9"/>
                        <w:bottom w:val="single" w:sz="2" w:space="0" w:color="DCD9D9"/>
                        <w:right w:val="single" w:sz="6" w:space="0" w:color="DCD9D9"/>
                      </w:divBdr>
                      <w:divsChild>
                        <w:div w:id="942878625">
                          <w:marLeft w:val="0"/>
                          <w:marRight w:val="-100"/>
                          <w:marTop w:val="450"/>
                          <w:marBottom w:val="0"/>
                          <w:divBdr>
                            <w:top w:val="none" w:sz="0" w:space="0" w:color="auto"/>
                            <w:left w:val="none" w:sz="0" w:space="0" w:color="auto"/>
                            <w:bottom w:val="none" w:sz="0" w:space="0" w:color="auto"/>
                            <w:right w:val="none" w:sz="0" w:space="0" w:color="auto"/>
                          </w:divBdr>
                          <w:divsChild>
                            <w:div w:id="166093679">
                              <w:marLeft w:val="0"/>
                              <w:marRight w:val="0"/>
                              <w:marTop w:val="0"/>
                              <w:marBottom w:val="0"/>
                              <w:divBdr>
                                <w:top w:val="none" w:sz="0" w:space="0" w:color="auto"/>
                                <w:left w:val="none" w:sz="0" w:space="0" w:color="auto"/>
                                <w:bottom w:val="none" w:sz="0" w:space="0" w:color="auto"/>
                                <w:right w:val="none" w:sz="0" w:space="0" w:color="auto"/>
                              </w:divBdr>
                              <w:divsChild>
                                <w:div w:id="1060246923">
                                  <w:marLeft w:val="0"/>
                                  <w:marRight w:val="0"/>
                                  <w:marTop w:val="0"/>
                                  <w:marBottom w:val="0"/>
                                  <w:divBdr>
                                    <w:top w:val="none" w:sz="0" w:space="0" w:color="auto"/>
                                    <w:left w:val="none" w:sz="0" w:space="0" w:color="auto"/>
                                    <w:bottom w:val="none" w:sz="0" w:space="0" w:color="auto"/>
                                    <w:right w:val="none" w:sz="0" w:space="0" w:color="auto"/>
                                  </w:divBdr>
                                  <w:divsChild>
                                    <w:div w:id="1128160841">
                                      <w:marLeft w:val="0"/>
                                      <w:marRight w:val="0"/>
                                      <w:marTop w:val="0"/>
                                      <w:marBottom w:val="0"/>
                                      <w:divBdr>
                                        <w:top w:val="none" w:sz="0" w:space="0" w:color="auto"/>
                                        <w:left w:val="none" w:sz="0" w:space="0" w:color="auto"/>
                                        <w:bottom w:val="none" w:sz="0" w:space="0" w:color="auto"/>
                                        <w:right w:val="none" w:sz="0" w:space="0" w:color="auto"/>
                                      </w:divBdr>
                                      <w:divsChild>
                                        <w:div w:id="1154686012">
                                          <w:marLeft w:val="0"/>
                                          <w:marRight w:val="0"/>
                                          <w:marTop w:val="0"/>
                                          <w:marBottom w:val="360"/>
                                          <w:divBdr>
                                            <w:top w:val="none" w:sz="0" w:space="0" w:color="auto"/>
                                            <w:left w:val="none" w:sz="0" w:space="0" w:color="auto"/>
                                            <w:bottom w:val="none" w:sz="0" w:space="0" w:color="auto"/>
                                            <w:right w:val="none" w:sz="0" w:space="0" w:color="auto"/>
                                          </w:divBdr>
                                          <w:divsChild>
                                            <w:div w:id="1463381682">
                                              <w:marLeft w:val="0"/>
                                              <w:marRight w:val="0"/>
                                              <w:marTop w:val="0"/>
                                              <w:marBottom w:val="0"/>
                                              <w:divBdr>
                                                <w:top w:val="none" w:sz="0" w:space="0" w:color="auto"/>
                                                <w:left w:val="none" w:sz="0" w:space="0" w:color="auto"/>
                                                <w:bottom w:val="none" w:sz="0" w:space="0" w:color="auto"/>
                                                <w:right w:val="none" w:sz="0" w:space="0" w:color="auto"/>
                                              </w:divBdr>
                                              <w:divsChild>
                                                <w:div w:id="783042450">
                                                  <w:marLeft w:val="0"/>
                                                  <w:marRight w:val="0"/>
                                                  <w:marTop w:val="0"/>
                                                  <w:marBottom w:val="0"/>
                                                  <w:divBdr>
                                                    <w:top w:val="none" w:sz="0" w:space="0" w:color="auto"/>
                                                    <w:left w:val="none" w:sz="0" w:space="0" w:color="auto"/>
                                                    <w:bottom w:val="none" w:sz="0" w:space="0" w:color="auto"/>
                                                    <w:right w:val="none" w:sz="0" w:space="0" w:color="auto"/>
                                                  </w:divBdr>
                                                  <w:divsChild>
                                                    <w:div w:id="1948198739">
                                                      <w:marLeft w:val="0"/>
                                                      <w:marRight w:val="0"/>
                                                      <w:marTop w:val="0"/>
                                                      <w:marBottom w:val="0"/>
                                                      <w:divBdr>
                                                        <w:top w:val="none" w:sz="0" w:space="0" w:color="auto"/>
                                                        <w:left w:val="none" w:sz="0" w:space="0" w:color="auto"/>
                                                        <w:bottom w:val="none" w:sz="0" w:space="0" w:color="auto"/>
                                                        <w:right w:val="none" w:sz="0" w:space="0" w:color="auto"/>
                                                      </w:divBdr>
                                                      <w:divsChild>
                                                        <w:div w:id="265427759">
                                                          <w:marLeft w:val="0"/>
                                                          <w:marRight w:val="0"/>
                                                          <w:marTop w:val="0"/>
                                                          <w:marBottom w:val="0"/>
                                                          <w:divBdr>
                                                            <w:top w:val="none" w:sz="0" w:space="0" w:color="auto"/>
                                                            <w:left w:val="none" w:sz="0" w:space="0" w:color="auto"/>
                                                            <w:bottom w:val="none" w:sz="0" w:space="0" w:color="auto"/>
                                                            <w:right w:val="none" w:sz="0" w:space="0" w:color="auto"/>
                                                          </w:divBdr>
                                                          <w:divsChild>
                                                            <w:div w:id="365955647">
                                                              <w:marLeft w:val="0"/>
                                                              <w:marRight w:val="0"/>
                                                              <w:marTop w:val="0"/>
                                                              <w:marBottom w:val="0"/>
                                                              <w:divBdr>
                                                                <w:top w:val="none" w:sz="0" w:space="0" w:color="auto"/>
                                                                <w:left w:val="none" w:sz="0" w:space="0" w:color="auto"/>
                                                                <w:bottom w:val="none" w:sz="0" w:space="0" w:color="auto"/>
                                                                <w:right w:val="none" w:sz="0" w:space="0" w:color="auto"/>
                                                              </w:divBdr>
                                                              <w:divsChild>
                                                                <w:div w:id="1602639064">
                                                                  <w:marLeft w:val="0"/>
                                                                  <w:marRight w:val="0"/>
                                                                  <w:marTop w:val="0"/>
                                                                  <w:marBottom w:val="0"/>
                                                                  <w:divBdr>
                                                                    <w:top w:val="none" w:sz="0" w:space="0" w:color="auto"/>
                                                                    <w:left w:val="none" w:sz="0" w:space="0" w:color="auto"/>
                                                                    <w:bottom w:val="none" w:sz="0" w:space="0" w:color="auto"/>
                                                                    <w:right w:val="none" w:sz="0" w:space="0" w:color="auto"/>
                                                                  </w:divBdr>
                                                                  <w:divsChild>
                                                                    <w:div w:id="639187741">
                                                                      <w:marLeft w:val="0"/>
                                                                      <w:marRight w:val="0"/>
                                                                      <w:marTop w:val="0"/>
                                                                      <w:marBottom w:val="0"/>
                                                                      <w:divBdr>
                                                                        <w:top w:val="none" w:sz="0" w:space="0" w:color="auto"/>
                                                                        <w:left w:val="none" w:sz="0" w:space="0" w:color="auto"/>
                                                                        <w:bottom w:val="none" w:sz="0" w:space="0" w:color="auto"/>
                                                                        <w:right w:val="none" w:sz="0" w:space="0" w:color="auto"/>
                                                                      </w:divBdr>
                                                                      <w:divsChild>
                                                                        <w:div w:id="1501652506">
                                                                          <w:marLeft w:val="0"/>
                                                                          <w:marRight w:val="0"/>
                                                                          <w:marTop w:val="0"/>
                                                                          <w:marBottom w:val="0"/>
                                                                          <w:divBdr>
                                                                            <w:top w:val="none" w:sz="0" w:space="0" w:color="auto"/>
                                                                            <w:left w:val="none" w:sz="0" w:space="0" w:color="auto"/>
                                                                            <w:bottom w:val="none" w:sz="0" w:space="0" w:color="auto"/>
                                                                            <w:right w:val="none" w:sz="0" w:space="0" w:color="auto"/>
                                                                          </w:divBdr>
                                                                          <w:divsChild>
                                                                            <w:div w:id="846601304">
                                                                              <w:marLeft w:val="0"/>
                                                                              <w:marRight w:val="0"/>
                                                                              <w:marTop w:val="0"/>
                                                                              <w:marBottom w:val="0"/>
                                                                              <w:divBdr>
                                                                                <w:top w:val="none" w:sz="0" w:space="0" w:color="auto"/>
                                                                                <w:left w:val="none" w:sz="0" w:space="0" w:color="auto"/>
                                                                                <w:bottom w:val="none" w:sz="0" w:space="0" w:color="auto"/>
                                                                                <w:right w:val="none" w:sz="0" w:space="0" w:color="auto"/>
                                                                              </w:divBdr>
                                                                              <w:divsChild>
                                                                                <w:div w:id="1896315233">
                                                                                  <w:marLeft w:val="0"/>
                                                                                  <w:marRight w:val="0"/>
                                                                                  <w:marTop w:val="0"/>
                                                                                  <w:marBottom w:val="0"/>
                                                                                  <w:divBdr>
                                                                                    <w:top w:val="none" w:sz="0" w:space="0" w:color="auto"/>
                                                                                    <w:left w:val="none" w:sz="0" w:space="0" w:color="auto"/>
                                                                                    <w:bottom w:val="none" w:sz="0" w:space="0" w:color="auto"/>
                                                                                    <w:right w:val="none" w:sz="0" w:space="0" w:color="auto"/>
                                                                                  </w:divBdr>
                                                                                  <w:divsChild>
                                                                                    <w:div w:id="1070930972">
                                                                                      <w:marLeft w:val="0"/>
                                                                                      <w:marRight w:val="0"/>
                                                                                      <w:marTop w:val="0"/>
                                                                                      <w:marBottom w:val="0"/>
                                                                                      <w:divBdr>
                                                                                        <w:top w:val="none" w:sz="0" w:space="0" w:color="auto"/>
                                                                                        <w:left w:val="none" w:sz="0" w:space="0" w:color="auto"/>
                                                                                        <w:bottom w:val="none" w:sz="0" w:space="0" w:color="auto"/>
                                                                                        <w:right w:val="none" w:sz="0" w:space="0" w:color="auto"/>
                                                                                      </w:divBdr>
                                                                                      <w:divsChild>
                                                                                        <w:div w:id="1914856637">
                                                                                          <w:marLeft w:val="0"/>
                                                                                          <w:marRight w:val="0"/>
                                                                                          <w:marTop w:val="0"/>
                                                                                          <w:marBottom w:val="0"/>
                                                                                          <w:divBdr>
                                                                                            <w:top w:val="none" w:sz="0" w:space="0" w:color="auto"/>
                                                                                            <w:left w:val="none" w:sz="0" w:space="0" w:color="auto"/>
                                                                                            <w:bottom w:val="none" w:sz="0" w:space="0" w:color="auto"/>
                                                                                            <w:right w:val="none" w:sz="0" w:space="0" w:color="auto"/>
                                                                                          </w:divBdr>
                                                                                          <w:divsChild>
                                                                                            <w:div w:id="965894494">
                                                                                              <w:marLeft w:val="0"/>
                                                                                              <w:marRight w:val="0"/>
                                                                                              <w:marTop w:val="0"/>
                                                                                              <w:marBottom w:val="0"/>
                                                                                              <w:divBdr>
                                                                                                <w:top w:val="none" w:sz="0" w:space="0" w:color="auto"/>
                                                                                                <w:left w:val="none" w:sz="0" w:space="0" w:color="auto"/>
                                                                                                <w:bottom w:val="none" w:sz="0" w:space="0" w:color="auto"/>
                                                                                                <w:right w:val="none" w:sz="0" w:space="0" w:color="auto"/>
                                                                                              </w:divBdr>
                                                                                              <w:divsChild>
                                                                                                <w:div w:id="2544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ransport@acc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ublishing.unit@accc.gov.au" TargetMode="External"/><Relationship Id="rId17" Type="http://schemas.openxmlformats.org/officeDocument/2006/relationships/hyperlink" Target="http://www.accc.gov.au/wheat" TargetMode="External"/><Relationship Id="rId2" Type="http://schemas.openxmlformats.org/officeDocument/2006/relationships/numbering" Target="numbering.xml"/><Relationship Id="rId16" Type="http://schemas.openxmlformats.org/officeDocument/2006/relationships/hyperlink" Target="http://www.accc.gov.au/wh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5" Type="http://schemas.openxmlformats.org/officeDocument/2006/relationships/settings" Target="settings.xml"/><Relationship Id="rId15" Type="http://schemas.openxmlformats.org/officeDocument/2006/relationships/hyperlink" Target="http://www.accc.gov.au/wheat"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san\Local%20Settings\Temporary%20Internet%20Files\Content.IE5\KVI5T3HF\ACCC_Report_Template_(Renee_Coles_version_-_April_2013)%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7D2BB-CB93-4F8D-A205-DBA355EF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ACCC_Report_Template_(Renee_Coles_version_-_April_2013)[1].dotx</Template>
  <TotalTime>431</TotalTime>
  <Pages>40</Pages>
  <Words>15816</Words>
  <Characters>90153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105758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scsan</dc:creator>
  <cp:keywords/>
  <dc:description/>
  <cp:lastModifiedBy>Sanderson, Scott</cp:lastModifiedBy>
  <cp:revision>34</cp:revision>
  <cp:lastPrinted>2014-01-29T03:41:00Z</cp:lastPrinted>
  <dcterms:created xsi:type="dcterms:W3CDTF">2014-01-23T06:33:00Z</dcterms:created>
  <dcterms:modified xsi:type="dcterms:W3CDTF">2014-01-29T05:56:00Z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8127009</vt:lpwstr>
  </property>
  <property fmtid="{D5CDD505-2E9C-101B-9397-08002B2CF9AE}" pid="3" name="currfile">
    <vt:lpwstr>\\SCBRFS001\home$\scsan\rawp-20140120 - viterra applic (D2014-00007837).docx</vt:lpwstr>
  </property>
</Properties>
</file>