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F7A" w:rsidRPr="00FA1632" w:rsidRDefault="008E24CD" w:rsidP="007372C7">
      <w:pPr>
        <w:pStyle w:val="Heading4"/>
        <w:spacing w:after="240"/>
        <w:jc w:val="right"/>
      </w:pPr>
      <w:bookmarkStart w:id="0" w:name="_GoBack"/>
      <w:bookmarkEnd w:id="0"/>
      <w:r w:rsidRPr="00FA1632">
        <w:t xml:space="preserve">Issue </w:t>
      </w:r>
      <w:r w:rsidR="00F570D6" w:rsidRPr="00FA1632">
        <w:t>5</w:t>
      </w:r>
      <w:r w:rsidR="006F1F30">
        <w:t>9</w:t>
      </w:r>
      <w:r w:rsidR="00F47366">
        <w:t xml:space="preserve"> </w:t>
      </w:r>
      <w:r w:rsidR="006F1F30">
        <w:t>June</w:t>
      </w:r>
      <w:r w:rsidR="00090C40">
        <w:t xml:space="preserve"> 2016</w:t>
      </w:r>
    </w:p>
    <w:p w:rsidR="00FC1051" w:rsidRPr="00196369" w:rsidRDefault="003C521B" w:rsidP="00FC1051">
      <w:pPr>
        <w:pStyle w:val="Heading1"/>
        <w:rPr>
          <w:szCs w:val="36"/>
        </w:rPr>
      </w:pPr>
      <w:r>
        <w:rPr>
          <w:szCs w:val="36"/>
        </w:rPr>
        <w:t>Behavior</w:t>
      </w:r>
      <w:r w:rsidR="006F1F30" w:rsidRPr="006F1F30">
        <w:rPr>
          <w:szCs w:val="36"/>
        </w:rPr>
        <w:t xml:space="preserve">al Economics and </w:t>
      </w:r>
      <w:r w:rsidR="00EB2840">
        <w:rPr>
          <w:szCs w:val="36"/>
        </w:rPr>
        <w:t>Energy-effi</w:t>
      </w:r>
      <w:r w:rsidR="006F1F30" w:rsidRPr="006F1F30">
        <w:rPr>
          <w:szCs w:val="36"/>
        </w:rPr>
        <w:t xml:space="preserve">ciency </w:t>
      </w:r>
      <w:r w:rsidR="00AA5AF0">
        <w:rPr>
          <w:szCs w:val="36"/>
        </w:rPr>
        <w:t>Regulation</w:t>
      </w:r>
    </w:p>
    <w:p w:rsidR="00FC1051" w:rsidRPr="004B7453" w:rsidRDefault="006F1F30" w:rsidP="00F305B8">
      <w:pPr>
        <w:pStyle w:val="Heading2"/>
        <w:spacing w:before="240" w:after="240" w:line="240" w:lineRule="auto"/>
        <w:rPr>
          <w:rFonts w:cs="Arial"/>
          <w:b w:val="0"/>
          <w:szCs w:val="28"/>
          <w:lang w:val="en-GB"/>
        </w:rPr>
      </w:pPr>
      <w:r>
        <w:rPr>
          <w:rFonts w:cs="Arial"/>
          <w:szCs w:val="28"/>
          <w:lang w:val="en-GB"/>
        </w:rPr>
        <w:t>Tim Brennan</w:t>
      </w:r>
      <w:r w:rsidR="00FA1632" w:rsidRPr="00196369">
        <w:rPr>
          <w:rStyle w:val="FootnoteReference"/>
        </w:rPr>
        <w:footnoteRef/>
      </w:r>
    </w:p>
    <w:p w:rsidR="00FA1632" w:rsidRPr="004B7453" w:rsidRDefault="00FA1632" w:rsidP="00FA1632">
      <w:pPr>
        <w:rPr>
          <w:lang w:val="en-GB"/>
        </w:rPr>
        <w:sectPr w:rsidR="00FA1632" w:rsidRPr="004B7453" w:rsidSect="00272513">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1906" w:h="16838" w:code="9"/>
          <w:pgMar w:top="3119" w:right="851" w:bottom="1134" w:left="851" w:header="567" w:footer="567" w:gutter="0"/>
          <w:pgNumType w:start="1"/>
          <w:cols w:space="708"/>
          <w:titlePg/>
          <w:docGrid w:linePitch="360"/>
        </w:sectPr>
      </w:pP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lastRenderedPageBreak/>
        <w:t xml:space="preserve">In the </w:t>
      </w:r>
      <w:r w:rsidR="00AA5AF0" w:rsidRPr="008A3430">
        <w:rPr>
          <w:rStyle w:val="Network-bodytext"/>
          <w:color w:val="7F7F7F" w:themeColor="text1" w:themeTint="80"/>
        </w:rPr>
        <w:t>US</w:t>
      </w:r>
      <w:r w:rsidRPr="008A3430">
        <w:rPr>
          <w:rStyle w:val="Network-bodytext"/>
          <w:color w:val="7F7F7F" w:themeColor="text1" w:themeTint="80"/>
        </w:rPr>
        <w:t xml:space="preserve"> and around the world, </w:t>
      </w:r>
      <w:r w:rsidR="00A070B4" w:rsidRPr="008A3430">
        <w:rPr>
          <w:rStyle w:val="Network-bodytext"/>
          <w:color w:val="7F7F7F" w:themeColor="text1" w:themeTint="80"/>
        </w:rPr>
        <w:t>‘</w:t>
      </w:r>
      <w:r w:rsidR="00EB2840" w:rsidRPr="008A3430">
        <w:rPr>
          <w:rStyle w:val="Network-bodytext"/>
          <w:color w:val="7F7F7F" w:themeColor="text1" w:themeTint="80"/>
        </w:rPr>
        <w:t>energy-effi</w:t>
      </w:r>
      <w:r w:rsidRPr="008A3430">
        <w:rPr>
          <w:rStyle w:val="Network-bodytext"/>
          <w:color w:val="7F7F7F" w:themeColor="text1" w:themeTint="80"/>
        </w:rPr>
        <w:t>ciency</w:t>
      </w:r>
      <w:r w:rsidR="00A070B4" w:rsidRPr="008A3430">
        <w:rPr>
          <w:rStyle w:val="Network-bodytext"/>
          <w:color w:val="7F7F7F" w:themeColor="text1" w:themeTint="80"/>
        </w:rPr>
        <w:t>’</w:t>
      </w:r>
      <w:r w:rsidRPr="008A3430">
        <w:rPr>
          <w:rStyle w:val="Network-bodytext"/>
          <w:color w:val="7F7F7F" w:themeColor="text1" w:themeTint="80"/>
        </w:rPr>
        <w:t xml:space="preserve"> is playing an ever greater role in debates regarding how to regulate energy use, particu</w:t>
      </w:r>
      <w:r w:rsidR="00AA5AF0" w:rsidRPr="008A3430">
        <w:rPr>
          <w:rStyle w:val="Network-bodytext"/>
          <w:color w:val="7F7F7F" w:themeColor="text1" w:themeTint="80"/>
        </w:rPr>
        <w:t>larly electricity use.  The US</w:t>
      </w:r>
      <w:r w:rsidRPr="008A3430">
        <w:rPr>
          <w:rStyle w:val="Network-bodytext"/>
          <w:color w:val="7F7F7F" w:themeColor="text1" w:themeTint="80"/>
        </w:rPr>
        <w:t xml:space="preserve"> Congress in recent years passed a law to ban the use of incandescent light bulbs, requiring people to turn to compact fluorescent lights (CFLs) and light-emitting diode (LED) bulbs.  Their purchase has been subsidi</w:t>
      </w:r>
      <w:r w:rsidR="00A641EA" w:rsidRPr="008A3430">
        <w:rPr>
          <w:rStyle w:val="Network-bodytext"/>
          <w:color w:val="7F7F7F" w:themeColor="text1" w:themeTint="80"/>
        </w:rPr>
        <w:t>s</w:t>
      </w:r>
      <w:r w:rsidRPr="008A3430">
        <w:rPr>
          <w:rStyle w:val="Network-bodytext"/>
          <w:color w:val="7F7F7F" w:themeColor="text1" w:themeTint="80"/>
        </w:rPr>
        <w:t>ed in many locations through ratepayer</w:t>
      </w:r>
      <w:r w:rsidR="001B6833" w:rsidRPr="008A3430">
        <w:rPr>
          <w:rStyle w:val="Network-bodytext"/>
          <w:color w:val="7F7F7F" w:themeColor="text1" w:themeTint="80"/>
        </w:rPr>
        <w:t>-</w:t>
      </w:r>
      <w:r w:rsidRPr="008A3430">
        <w:rPr>
          <w:rStyle w:val="Network-bodytext"/>
          <w:color w:val="7F7F7F" w:themeColor="text1" w:themeTint="80"/>
        </w:rPr>
        <w:t xml:space="preserve">funded utility-managed programs.  The </w:t>
      </w:r>
      <w:r w:rsidR="00AA5AF0" w:rsidRPr="008A3430">
        <w:rPr>
          <w:rStyle w:val="Network-bodytext"/>
          <w:color w:val="7F7F7F" w:themeColor="text1" w:themeTint="80"/>
        </w:rPr>
        <w:t>US</w:t>
      </w:r>
      <w:r w:rsidRPr="008A3430">
        <w:rPr>
          <w:rStyle w:val="Network-bodytext"/>
          <w:color w:val="7F7F7F" w:themeColor="text1" w:themeTint="80"/>
        </w:rPr>
        <w:t xml:space="preserve"> Environmental Protection Agency (EPA) has long had an </w:t>
      </w:r>
      <w:r w:rsidR="00A070B4" w:rsidRPr="008A3430">
        <w:rPr>
          <w:rStyle w:val="Network-bodytext"/>
          <w:color w:val="7F7F7F" w:themeColor="text1" w:themeTint="80"/>
        </w:rPr>
        <w:t>‘</w:t>
      </w:r>
      <w:r w:rsidRPr="008A3430">
        <w:rPr>
          <w:rStyle w:val="Network-bodytext"/>
          <w:color w:val="7F7F7F" w:themeColor="text1" w:themeTint="80"/>
        </w:rPr>
        <w:t>Energy Star</w:t>
      </w:r>
      <w:r w:rsidR="00A070B4" w:rsidRPr="008A3430">
        <w:rPr>
          <w:rStyle w:val="Network-bodytext"/>
          <w:color w:val="7F7F7F" w:themeColor="text1" w:themeTint="80"/>
        </w:rPr>
        <w:t>’</w:t>
      </w:r>
      <w:r w:rsidRPr="008A3430">
        <w:rPr>
          <w:rStyle w:val="Network-bodytext"/>
          <w:color w:val="7F7F7F" w:themeColor="text1" w:themeTint="80"/>
        </w:rPr>
        <w:t xml:space="preserve"> program to certify devices that meet its </w:t>
      </w:r>
      <w:r w:rsidR="00EB2840" w:rsidRPr="008A3430">
        <w:rPr>
          <w:rStyle w:val="Network-bodytext"/>
          <w:color w:val="7F7F7F" w:themeColor="text1" w:themeTint="80"/>
        </w:rPr>
        <w:t>energy-effi</w:t>
      </w:r>
      <w:r w:rsidRPr="008A3430">
        <w:rPr>
          <w:rStyle w:val="Network-bodytext"/>
          <w:color w:val="7F7F7F" w:themeColor="text1" w:themeTint="80"/>
        </w:rPr>
        <w:t>ciency standards and provides an appliance labelling program with estimates of typical annual energy cost savings, so consumers can factor that information into their purchasing decisions.</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Individual states in the US have their own </w:t>
      </w:r>
      <w:r w:rsidR="00EB2840" w:rsidRPr="008A3430">
        <w:rPr>
          <w:rStyle w:val="Network-bodytext"/>
          <w:color w:val="7F7F7F" w:themeColor="text1" w:themeTint="80"/>
        </w:rPr>
        <w:t>energy-effi</w:t>
      </w:r>
      <w:r w:rsidRPr="008A3430">
        <w:rPr>
          <w:rStyle w:val="Network-bodytext"/>
          <w:color w:val="7F7F7F" w:themeColor="text1" w:themeTint="80"/>
        </w:rPr>
        <w:t>ciency policies.  Many states have absolute or percentage targets for reductions in electricity use, and some of them target reductions in natura</w:t>
      </w:r>
      <w:r w:rsidR="00AA5AF0" w:rsidRPr="008A3430">
        <w:rPr>
          <w:rStyle w:val="Network-bodytext"/>
          <w:color w:val="7F7F7F" w:themeColor="text1" w:themeTint="80"/>
        </w:rPr>
        <w:t>l gas use as well (Palmer et al</w:t>
      </w:r>
      <w:r w:rsidRPr="008A3430">
        <w:rPr>
          <w:rStyle w:val="Network-bodytext"/>
          <w:color w:val="7F7F7F" w:themeColor="text1" w:themeTint="80"/>
        </w:rPr>
        <w:t xml:space="preserve">, 2013).  To meet these goals, some states mandate subsidies of the purchase of </w:t>
      </w:r>
      <w:r w:rsidR="00EB2840" w:rsidRPr="008A3430">
        <w:rPr>
          <w:rStyle w:val="Network-bodytext"/>
          <w:color w:val="7F7F7F" w:themeColor="text1" w:themeTint="80"/>
        </w:rPr>
        <w:t>energy-effi</w:t>
      </w:r>
      <w:r w:rsidRPr="008A3430">
        <w:rPr>
          <w:rStyle w:val="Network-bodytext"/>
          <w:color w:val="7F7F7F" w:themeColor="text1" w:themeTint="80"/>
        </w:rPr>
        <w:t xml:space="preserve">cient light bulbs and appliances.  To defuse utility opposition to </w:t>
      </w:r>
      <w:r w:rsidR="00EB2840" w:rsidRPr="008A3430">
        <w:rPr>
          <w:rStyle w:val="Network-bodytext"/>
          <w:color w:val="7F7F7F" w:themeColor="text1" w:themeTint="80"/>
        </w:rPr>
        <w:t>energy-effi</w:t>
      </w:r>
      <w:r w:rsidRPr="008A3430">
        <w:rPr>
          <w:rStyle w:val="Network-bodytext"/>
          <w:color w:val="7F7F7F" w:themeColor="text1" w:themeTint="80"/>
        </w:rPr>
        <w:t xml:space="preserve">ciency policies that would reduce demand for their regulated services, a number of states have adopted </w:t>
      </w:r>
      <w:r w:rsidR="00A070B4" w:rsidRPr="008A3430">
        <w:rPr>
          <w:rStyle w:val="Network-bodytext"/>
          <w:color w:val="7F7F7F" w:themeColor="text1" w:themeTint="80"/>
        </w:rPr>
        <w:t>‘</w:t>
      </w:r>
      <w:r w:rsidRPr="008A3430">
        <w:rPr>
          <w:rStyle w:val="Network-bodytext"/>
          <w:color w:val="7F7F7F" w:themeColor="text1" w:themeTint="80"/>
        </w:rPr>
        <w:t>decoupling</w:t>
      </w:r>
      <w:r w:rsidR="00A070B4" w:rsidRPr="008A3430">
        <w:rPr>
          <w:rStyle w:val="Network-bodytext"/>
          <w:color w:val="7F7F7F" w:themeColor="text1" w:themeTint="80"/>
        </w:rPr>
        <w:t>’</w:t>
      </w:r>
      <w:r w:rsidRPr="008A3430">
        <w:rPr>
          <w:rStyle w:val="Network-bodytext"/>
          <w:color w:val="7F7F7F" w:themeColor="text1" w:themeTint="80"/>
        </w:rPr>
        <w:t xml:space="preserve"> policies that separate an electric distribution company’s revenues from its sales (Brennan, 2010a).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So, </w:t>
      </w:r>
      <w:r w:rsidR="00EB2840" w:rsidRPr="008A3430">
        <w:rPr>
          <w:rStyle w:val="Network-bodytext"/>
          <w:color w:val="7F7F7F" w:themeColor="text1" w:themeTint="80"/>
        </w:rPr>
        <w:t>energy-effi</w:t>
      </w:r>
      <w:r w:rsidRPr="008A3430">
        <w:rPr>
          <w:rStyle w:val="Network-bodytext"/>
          <w:color w:val="7F7F7F" w:themeColor="text1" w:themeTint="80"/>
        </w:rPr>
        <w:t xml:space="preserve">ciency is a hot topic, but what exactly is it?  The concept itself is fairly easy to understand: A device or appliance is more </w:t>
      </w:r>
      <w:r w:rsidR="00EB2840" w:rsidRPr="008A3430">
        <w:rPr>
          <w:rStyle w:val="Network-bodytext"/>
          <w:color w:val="7F7F7F" w:themeColor="text1" w:themeTint="80"/>
        </w:rPr>
        <w:t>energy-effi</w:t>
      </w:r>
      <w:r w:rsidRPr="008A3430">
        <w:rPr>
          <w:rStyle w:val="Network-bodytext"/>
          <w:color w:val="7F7F7F" w:themeColor="text1" w:themeTint="80"/>
        </w:rPr>
        <w:t>cient if it provides more service (lighting, heating, cooling) from a given amount of energy or, equivalently, uses less energy to provide a given level of service.  In that sense, more is better.</w:t>
      </w:r>
      <w:r w:rsidR="00AA5AF0" w:rsidRPr="008A3430">
        <w:rPr>
          <w:rStyle w:val="Network-bodytext"/>
          <w:color w:val="7F7F7F" w:themeColor="text1" w:themeTint="80"/>
        </w:rPr>
        <w:t xml:space="preserve"> </w:t>
      </w:r>
      <w:r w:rsidRPr="008A3430">
        <w:rPr>
          <w:rStyle w:val="Network-bodytext"/>
          <w:color w:val="7F7F7F" w:themeColor="text1" w:themeTint="80"/>
        </w:rPr>
        <w:t xml:space="preserve"> </w:t>
      </w:r>
      <w:r w:rsidR="00F14285" w:rsidRPr="008A3430">
        <w:rPr>
          <w:rStyle w:val="Network-bodytext"/>
          <w:color w:val="7F7F7F" w:themeColor="text1" w:themeTint="80"/>
        </w:rPr>
        <w:t xml:space="preserve">However, as a matter of regulatory policy, it is crucial to understand that ‘energy-efficiency’ and ‘economic efficiency’ – maximising net value – are two different things.  </w:t>
      </w:r>
    </w:p>
    <w:p w:rsidR="00155DD9" w:rsidRPr="008A3430" w:rsidRDefault="00052813" w:rsidP="00052813">
      <w:pPr>
        <w:rPr>
          <w:rStyle w:val="Network-bodytext"/>
          <w:color w:val="7F7F7F" w:themeColor="text1" w:themeTint="80"/>
        </w:rPr>
      </w:pPr>
      <w:r w:rsidRPr="008A3430">
        <w:rPr>
          <w:rStyle w:val="Network-bodytext"/>
          <w:color w:val="7F7F7F" w:themeColor="text1" w:themeTint="80"/>
        </w:rPr>
        <w:t xml:space="preserve">From an economic perspective, more </w:t>
      </w:r>
      <w:r w:rsidR="00EB2840" w:rsidRPr="008A3430">
        <w:rPr>
          <w:rStyle w:val="Network-bodytext"/>
          <w:color w:val="7F7F7F" w:themeColor="text1" w:themeTint="80"/>
        </w:rPr>
        <w:t>energy-effi</w:t>
      </w:r>
      <w:r w:rsidRPr="008A3430">
        <w:rPr>
          <w:rStyle w:val="Network-bodytext"/>
          <w:color w:val="7F7F7F" w:themeColor="text1" w:themeTint="80"/>
        </w:rPr>
        <w:t>ciency is not necessarily better</w:t>
      </w:r>
      <w:r w:rsidR="00A641EA" w:rsidRPr="008A3430">
        <w:rPr>
          <w:rStyle w:val="Network-bodytext"/>
          <w:color w:val="7F7F7F" w:themeColor="text1" w:themeTint="80"/>
        </w:rPr>
        <w:t xml:space="preserve"> – </w:t>
      </w:r>
      <w:r w:rsidRPr="008A3430">
        <w:rPr>
          <w:rStyle w:val="Network-bodytext"/>
          <w:color w:val="7F7F7F" w:themeColor="text1" w:themeTint="80"/>
        </w:rPr>
        <w:t xml:space="preserve">because </w:t>
      </w:r>
      <w:r w:rsidR="00EB2840" w:rsidRPr="008A3430">
        <w:rPr>
          <w:rStyle w:val="Network-bodytext"/>
          <w:color w:val="7F7F7F" w:themeColor="text1" w:themeTint="80"/>
        </w:rPr>
        <w:t>energy-effi</w:t>
      </w:r>
      <w:r w:rsidRPr="008A3430">
        <w:rPr>
          <w:rStyle w:val="Network-bodytext"/>
          <w:color w:val="7F7F7F" w:themeColor="text1" w:themeTint="80"/>
        </w:rPr>
        <w:t xml:space="preserve">ciency costs money.  Sure, </w:t>
      </w:r>
      <w:r w:rsidR="00EB2840" w:rsidRPr="008A3430">
        <w:rPr>
          <w:rStyle w:val="Network-bodytext"/>
          <w:color w:val="7F7F7F" w:themeColor="text1" w:themeTint="80"/>
        </w:rPr>
        <w:t>energy-effi</w:t>
      </w:r>
      <w:r w:rsidRPr="008A3430">
        <w:rPr>
          <w:rStyle w:val="Network-bodytext"/>
          <w:color w:val="7F7F7F" w:themeColor="text1" w:themeTint="80"/>
        </w:rPr>
        <w:t xml:space="preserve">ciency is a </w:t>
      </w:r>
      <w:r w:rsidRPr="008A3430">
        <w:rPr>
          <w:rStyle w:val="Network-bodytext"/>
          <w:color w:val="7F7F7F" w:themeColor="text1" w:themeTint="80"/>
        </w:rPr>
        <w:lastRenderedPageBreak/>
        <w:t xml:space="preserve">good thing, and if it were free, we’d want as much of it as possible.  But in the real rather than ideal world, an incremental investment in </w:t>
      </w:r>
      <w:r w:rsidR="00EB2840" w:rsidRPr="008A3430">
        <w:rPr>
          <w:rStyle w:val="Network-bodytext"/>
          <w:color w:val="7F7F7F" w:themeColor="text1" w:themeTint="80"/>
        </w:rPr>
        <w:t>energy-effi</w:t>
      </w:r>
      <w:r w:rsidRPr="008A3430">
        <w:rPr>
          <w:rStyle w:val="Network-bodytext"/>
          <w:color w:val="7F7F7F" w:themeColor="text1" w:themeTint="80"/>
        </w:rPr>
        <w:t>ciency is worthwhile only if the benefit of that investment exceeds the cost of that investment.</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The benefit of that investment can be viewed in one of two equivalent ways.  One way is that</w:t>
      </w:r>
      <w:r w:rsidR="00155DD9" w:rsidRPr="008A3430">
        <w:rPr>
          <w:rStyle w:val="Network-bodytext"/>
          <w:color w:val="7F7F7F" w:themeColor="text1" w:themeTint="80"/>
        </w:rPr>
        <w:t>,</w:t>
      </w:r>
      <w:r w:rsidRPr="008A3430">
        <w:rPr>
          <w:rStyle w:val="Network-bodytext"/>
          <w:color w:val="7F7F7F" w:themeColor="text1" w:themeTint="80"/>
        </w:rPr>
        <w:t xml:space="preserve"> holding energy use constant, the incremental benefit of more </w:t>
      </w:r>
      <w:r w:rsidR="00EB2840" w:rsidRPr="008A3430">
        <w:rPr>
          <w:rStyle w:val="Network-bodytext"/>
          <w:color w:val="7F7F7F" w:themeColor="text1" w:themeTint="80"/>
        </w:rPr>
        <w:t>energy-effi</w:t>
      </w:r>
      <w:r w:rsidRPr="008A3430">
        <w:rPr>
          <w:rStyle w:val="Network-bodytext"/>
          <w:color w:val="7F7F7F" w:themeColor="text1" w:themeTint="80"/>
        </w:rPr>
        <w:t>ciency is the value of the added service one can obtain from that energy.  A second way is that</w:t>
      </w:r>
      <w:r w:rsidR="00155DD9" w:rsidRPr="008A3430">
        <w:rPr>
          <w:rStyle w:val="Network-bodytext"/>
          <w:color w:val="7F7F7F" w:themeColor="text1" w:themeTint="80"/>
        </w:rPr>
        <w:t>,</w:t>
      </w:r>
      <w:r w:rsidR="00EB2840" w:rsidRPr="008A3430">
        <w:rPr>
          <w:rStyle w:val="Network-bodytext"/>
          <w:color w:val="7F7F7F" w:themeColor="text1" w:themeTint="80"/>
        </w:rPr>
        <w:t xml:space="preserve"> </w:t>
      </w:r>
      <w:r w:rsidRPr="008A3430">
        <w:rPr>
          <w:rStyle w:val="Network-bodytext"/>
          <w:color w:val="7F7F7F" w:themeColor="text1" w:themeTint="80"/>
        </w:rPr>
        <w:t xml:space="preserve">holding the level of service constant, </w:t>
      </w:r>
      <w:r w:rsidR="00155DD9" w:rsidRPr="008A3430">
        <w:rPr>
          <w:rStyle w:val="Network-bodytext"/>
          <w:color w:val="7F7F7F" w:themeColor="text1" w:themeTint="80"/>
        </w:rPr>
        <w:t>the</w:t>
      </w:r>
      <w:r w:rsidRPr="008A3430">
        <w:rPr>
          <w:rStyle w:val="Network-bodytext"/>
          <w:color w:val="7F7F7F" w:themeColor="text1" w:themeTint="80"/>
        </w:rPr>
        <w:t xml:space="preserve"> incremental benefit is the reduced spending on energy needed to maintain that level of service.  In practice, the household, business, or industrial plant adopting a greater increment of </w:t>
      </w:r>
      <w:r w:rsidR="00EB2840" w:rsidRPr="008A3430">
        <w:rPr>
          <w:rStyle w:val="Network-bodytext"/>
          <w:color w:val="7F7F7F" w:themeColor="text1" w:themeTint="80"/>
        </w:rPr>
        <w:t>energy-effi</w:t>
      </w:r>
      <w:r w:rsidRPr="008A3430">
        <w:rPr>
          <w:rStyle w:val="Network-bodytext"/>
          <w:color w:val="7F7F7F" w:themeColor="text1" w:themeTint="80"/>
        </w:rPr>
        <w:t>ciency will typically balance some of both benefits against their cost.</w:t>
      </w:r>
    </w:p>
    <w:p w:rsidR="00052813" w:rsidRPr="008A3430" w:rsidRDefault="00FB5C0E" w:rsidP="00052813">
      <w:pPr>
        <w:rPr>
          <w:rStyle w:val="Network-bodytext"/>
          <w:color w:val="7F7F7F" w:themeColor="text1" w:themeTint="80"/>
        </w:rPr>
      </w:pPr>
      <w:r>
        <w:rPr>
          <w:noProof/>
          <w:color w:val="7F7F7F" w:themeColor="text1" w:themeTint="80"/>
          <w:kern w:val="36"/>
        </w:rPr>
        <w:pict>
          <v:shapetype id="_x0000_t202" coordsize="21600,21600" o:spt="202" path="m,l,21600r21600,l21600,xe">
            <v:stroke joinstyle="miter"/>
            <v:path gradientshapeok="t" o:connecttype="rect"/>
          </v:shapetype>
          <v:shape id="Text Box 2" o:spid="_x0000_s1499" type="#_x0000_t202" style="position:absolute;left:0;text-align:left;margin-left:3.65pt;margin-top:136.5pt;width:232.9pt;height:127.95pt;z-index:251660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
              <w:txbxContent>
                <w:p w:rsidR="004547CD" w:rsidRPr="00087AB5" w:rsidRDefault="004547CD" w:rsidP="00AA5AF0">
                  <w:pPr>
                    <w:pStyle w:val="NormalWeb"/>
                    <w:spacing w:before="0" w:beforeAutospacing="0" w:after="120" w:afterAutospacing="0"/>
                    <w:rPr>
                      <w:rFonts w:ascii="Arial" w:hAnsi="Arial" w:cs="Arial"/>
                      <w:b/>
                      <w:color w:val="333333"/>
                      <w:sz w:val="22"/>
                      <w:szCs w:val="22"/>
                    </w:rPr>
                  </w:pPr>
                  <w:r w:rsidRPr="00087AB5">
                    <w:rPr>
                      <w:rFonts w:ascii="Arial" w:hAnsi="Arial" w:cs="Arial"/>
                      <w:b/>
                      <w:color w:val="333333"/>
                      <w:sz w:val="22"/>
                      <w:szCs w:val="22"/>
                    </w:rPr>
                    <w:t>Contents</w:t>
                  </w:r>
                </w:p>
                <w:p w:rsidR="004547CD" w:rsidRPr="00087AB5" w:rsidRDefault="004547CD" w:rsidP="00AA5AF0">
                  <w:pPr>
                    <w:pStyle w:val="ContentsList"/>
                    <w:spacing w:before="0" w:line="240" w:lineRule="auto"/>
                    <w:rPr>
                      <w:rFonts w:ascii="Arial" w:hAnsi="Arial" w:cs="Arial"/>
                    </w:rPr>
                  </w:pPr>
                  <w:r w:rsidRPr="00087AB5">
                    <w:rPr>
                      <w:rFonts w:ascii="Arial" w:hAnsi="Arial" w:cs="Arial"/>
                    </w:rPr>
                    <w:t>Lead Article</w:t>
                  </w:r>
                  <w:r w:rsidRPr="00087AB5">
                    <w:rPr>
                      <w:rFonts w:ascii="Arial" w:hAnsi="Arial" w:cs="Arial"/>
                    </w:rPr>
                    <w:tab/>
                    <w:t>1</w:t>
                  </w:r>
                </w:p>
                <w:p w:rsidR="004547CD" w:rsidRPr="00087AB5" w:rsidRDefault="004547CD" w:rsidP="00AA5AF0">
                  <w:pPr>
                    <w:pStyle w:val="ContentsList"/>
                    <w:spacing w:before="0" w:line="240" w:lineRule="auto"/>
                    <w:rPr>
                      <w:rFonts w:ascii="Arial" w:hAnsi="Arial" w:cs="Arial"/>
                    </w:rPr>
                  </w:pPr>
                  <w:r w:rsidRPr="00087AB5">
                    <w:rPr>
                      <w:rFonts w:ascii="Arial" w:hAnsi="Arial" w:cs="Arial"/>
                    </w:rPr>
                    <w:t>From the Journals</w:t>
                  </w:r>
                  <w:r w:rsidRPr="00087AB5">
                    <w:rPr>
                      <w:rFonts w:ascii="Arial" w:hAnsi="Arial" w:cs="Arial"/>
                    </w:rPr>
                    <w:tab/>
                  </w:r>
                  <w:r w:rsidR="00B64BE4">
                    <w:rPr>
                      <w:rFonts w:ascii="Arial" w:hAnsi="Arial" w:cs="Arial"/>
                    </w:rPr>
                    <w:t>9</w:t>
                  </w:r>
                </w:p>
                <w:p w:rsidR="004547CD" w:rsidRPr="00087AB5" w:rsidRDefault="004547CD" w:rsidP="00AA5AF0">
                  <w:pPr>
                    <w:pStyle w:val="ContentsList"/>
                    <w:spacing w:before="0" w:line="240" w:lineRule="auto"/>
                    <w:rPr>
                      <w:rFonts w:ascii="Arial" w:hAnsi="Arial" w:cs="Arial"/>
                    </w:rPr>
                  </w:pPr>
                  <w:r w:rsidRPr="00087AB5">
                    <w:rPr>
                      <w:rFonts w:ascii="Arial" w:hAnsi="Arial" w:cs="Arial"/>
                    </w:rPr>
                    <w:t xml:space="preserve">Regulatory Decisions </w:t>
                  </w:r>
                  <w:r>
                    <w:rPr>
                      <w:rFonts w:ascii="Arial" w:hAnsi="Arial" w:cs="Arial"/>
                    </w:rPr>
                    <w:t>in Australia</w:t>
                  </w:r>
                  <w:r>
                    <w:rPr>
                      <w:rFonts w:ascii="Arial" w:hAnsi="Arial" w:cs="Arial"/>
                    </w:rPr>
                    <w:tab/>
                  </w:r>
                  <w:r>
                    <w:rPr>
                      <w:rFonts w:ascii="Arial" w:hAnsi="Arial" w:cs="Arial"/>
                    </w:rPr>
                    <w:br/>
                    <w:t>and New Zealand</w:t>
                  </w:r>
                  <w:r>
                    <w:rPr>
                      <w:rFonts w:ascii="Arial" w:hAnsi="Arial" w:cs="Arial"/>
                    </w:rPr>
                    <w:tab/>
                  </w:r>
                  <w:r w:rsidR="00B64BE4">
                    <w:rPr>
                      <w:rFonts w:ascii="Arial" w:hAnsi="Arial" w:cs="Arial"/>
                    </w:rPr>
                    <w:t>13</w:t>
                  </w:r>
                </w:p>
                <w:p w:rsidR="004547CD" w:rsidRPr="00087AB5" w:rsidRDefault="004547CD" w:rsidP="00AA5AF0">
                  <w:pPr>
                    <w:pStyle w:val="ContentsList"/>
                    <w:spacing w:before="0" w:line="240" w:lineRule="auto"/>
                    <w:rPr>
                      <w:rFonts w:ascii="Arial" w:hAnsi="Arial" w:cs="Arial"/>
                    </w:rPr>
                  </w:pPr>
                  <w:r w:rsidRPr="00087AB5">
                    <w:rPr>
                      <w:rFonts w:ascii="Arial" w:hAnsi="Arial" w:cs="Arial"/>
                    </w:rPr>
                    <w:t>Notes on Interesting Decisions</w:t>
                  </w:r>
                  <w:r w:rsidRPr="00087AB5">
                    <w:rPr>
                      <w:rFonts w:ascii="Arial" w:hAnsi="Arial" w:cs="Arial"/>
                    </w:rPr>
                    <w:tab/>
                  </w:r>
                  <w:r w:rsidR="00B64BE4">
                    <w:rPr>
                      <w:rFonts w:ascii="Arial" w:hAnsi="Arial" w:cs="Arial"/>
                    </w:rPr>
                    <w:t>17</w:t>
                  </w:r>
                </w:p>
                <w:p w:rsidR="004547CD" w:rsidRPr="00E75614" w:rsidRDefault="004547CD" w:rsidP="00AA5AF0">
                  <w:pPr>
                    <w:pStyle w:val="ContentsList"/>
                    <w:spacing w:before="0" w:line="240" w:lineRule="auto"/>
                    <w:rPr>
                      <w:rFonts w:ascii="Arial" w:hAnsi="Arial" w:cs="Arial"/>
                    </w:rPr>
                  </w:pPr>
                  <w:r w:rsidRPr="00087AB5">
                    <w:rPr>
                      <w:rFonts w:ascii="Arial" w:hAnsi="Arial" w:cs="Arial"/>
                    </w:rPr>
                    <w:t xml:space="preserve">Regulatory </w:t>
                  </w:r>
                  <w:r>
                    <w:rPr>
                      <w:rFonts w:ascii="Arial" w:hAnsi="Arial" w:cs="Arial"/>
                    </w:rPr>
                    <w:t>News</w:t>
                  </w:r>
                  <w:r>
                    <w:rPr>
                      <w:rFonts w:ascii="Arial" w:hAnsi="Arial" w:cs="Arial"/>
                    </w:rPr>
                    <w:tab/>
                  </w:r>
                  <w:r w:rsidR="00851C3F">
                    <w:rPr>
                      <w:rFonts w:ascii="Arial" w:hAnsi="Arial" w:cs="Arial"/>
                    </w:rPr>
                    <w:t>2</w:t>
                  </w:r>
                  <w:r w:rsidR="00B64BE4">
                    <w:rPr>
                      <w:rFonts w:ascii="Arial" w:hAnsi="Arial" w:cs="Arial"/>
                    </w:rPr>
                    <w:t>0</w:t>
                  </w:r>
                </w:p>
              </w:txbxContent>
            </v:textbox>
          </v:shape>
        </w:pict>
      </w:r>
      <w:r w:rsidR="00052813" w:rsidRPr="008A3430">
        <w:rPr>
          <w:rStyle w:val="Network-bodytext"/>
          <w:color w:val="7F7F7F" w:themeColor="text1" w:themeTint="80"/>
        </w:rPr>
        <w:t xml:space="preserve">An example can illustrate this.  The expense of a more </w:t>
      </w:r>
      <w:r w:rsidR="00EB2840" w:rsidRPr="008A3430">
        <w:rPr>
          <w:rStyle w:val="Network-bodytext"/>
          <w:color w:val="7F7F7F" w:themeColor="text1" w:themeTint="80"/>
        </w:rPr>
        <w:t>energy-effi</w:t>
      </w:r>
      <w:r w:rsidR="00052813" w:rsidRPr="008A3430">
        <w:rPr>
          <w:rStyle w:val="Network-bodytext"/>
          <w:color w:val="7F7F7F" w:themeColor="text1" w:themeTint="80"/>
        </w:rPr>
        <w:t>cient air conditioner is worth incurring, holding energy use constant, when the value of the reduced temperature exceeds that added cost.  If a household is not interested in cooling below a target temperature, the added cost of the temperature is worth incurring if it is less than the savings from reduced electricity purchases.</w:t>
      </w:r>
      <w:r w:rsidR="00052813" w:rsidRPr="00052813">
        <w:rPr>
          <w:rStyle w:val="Network-bodytext"/>
        </w:rPr>
        <w:t xml:space="preserve">  </w:t>
      </w:r>
      <w:r w:rsidR="00052813">
        <w:rPr>
          <w:rStyle w:val="Network-bodytext"/>
        </w:rPr>
        <w:br w:type="column"/>
      </w:r>
      <w:r w:rsidR="00052813" w:rsidRPr="008A3430">
        <w:rPr>
          <w:rStyle w:val="Network-bodytext"/>
          <w:color w:val="7F7F7F" w:themeColor="text1" w:themeTint="80"/>
        </w:rPr>
        <w:lastRenderedPageBreak/>
        <w:t xml:space="preserve">Typically, in both cases the cost for the more </w:t>
      </w:r>
      <w:r w:rsidR="00EB2840" w:rsidRPr="008A3430">
        <w:rPr>
          <w:rStyle w:val="Network-bodytext"/>
          <w:color w:val="7F7F7F" w:themeColor="text1" w:themeTint="80"/>
        </w:rPr>
        <w:t>energy-effi</w:t>
      </w:r>
      <w:r w:rsidR="00052813" w:rsidRPr="008A3430">
        <w:rPr>
          <w:rStyle w:val="Network-bodytext"/>
          <w:color w:val="7F7F7F" w:themeColor="text1" w:themeTint="80"/>
        </w:rPr>
        <w:t xml:space="preserve">ciency appliance, like the air conditioner, is incurred up front, while the benefit from increased cooling or electricity savings is incurred over time.  Consequently, whether a consumer or business thinks the </w:t>
      </w:r>
      <w:r w:rsidR="00EB2840" w:rsidRPr="008A3430">
        <w:rPr>
          <w:rStyle w:val="Network-bodytext"/>
          <w:color w:val="7F7F7F" w:themeColor="text1" w:themeTint="80"/>
        </w:rPr>
        <w:t>energy-effi</w:t>
      </w:r>
      <w:r w:rsidR="00052813" w:rsidRPr="008A3430">
        <w:rPr>
          <w:rStyle w:val="Network-bodytext"/>
          <w:color w:val="7F7F7F" w:themeColor="text1" w:themeTint="80"/>
        </w:rPr>
        <w:t xml:space="preserve">ciency investment is worth undertaking can depend on how much they discount those future benefits relative to the money spent on </w:t>
      </w:r>
      <w:r w:rsidR="00EB2840" w:rsidRPr="008A3430">
        <w:rPr>
          <w:rStyle w:val="Network-bodytext"/>
          <w:color w:val="7F7F7F" w:themeColor="text1" w:themeTint="80"/>
        </w:rPr>
        <w:t>energy-effi</w:t>
      </w:r>
      <w:r w:rsidR="00052813" w:rsidRPr="008A3430">
        <w:rPr>
          <w:rStyle w:val="Network-bodytext"/>
          <w:color w:val="7F7F7F" w:themeColor="text1" w:themeTint="80"/>
        </w:rPr>
        <w:t xml:space="preserve">ciency in the present.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This is important for electricity regulation for at least three reasons.  First, electric utilities in many jurisdictions are often charged with the responsibility of carrying out such programs, and regulators need to be prepared to evaluate their costs and benefits and adjust prices accordingly.  Second, </w:t>
      </w:r>
      <w:r w:rsidR="00EB2840" w:rsidRPr="008A3430">
        <w:rPr>
          <w:rStyle w:val="Network-bodytext"/>
          <w:color w:val="7F7F7F" w:themeColor="text1" w:themeTint="80"/>
        </w:rPr>
        <w:t>energy-effi</w:t>
      </w:r>
      <w:r w:rsidRPr="008A3430">
        <w:rPr>
          <w:rStyle w:val="Network-bodytext"/>
          <w:color w:val="7F7F7F" w:themeColor="text1" w:themeTint="80"/>
        </w:rPr>
        <w:t>ciency can reduce demand for electricity and force adjustments in prices to keep utilities whole, especially where the fixed costs of utility service are covered with usage-based prices</w:t>
      </w:r>
      <w:r w:rsidR="00C80317" w:rsidRPr="008A3430">
        <w:rPr>
          <w:rStyle w:val="Network-bodytext"/>
          <w:color w:val="7F7F7F" w:themeColor="text1" w:themeTint="80"/>
        </w:rPr>
        <w:t>.</w:t>
      </w:r>
      <w:r w:rsidR="001110D6" w:rsidRPr="008A3430">
        <w:rPr>
          <w:color w:val="7F7F7F" w:themeColor="text1" w:themeTint="80"/>
          <w:kern w:val="36"/>
          <w:vertAlign w:val="superscript"/>
        </w:rPr>
        <w:footnoteReference w:id="1"/>
      </w:r>
      <w:r w:rsidRPr="008A3430">
        <w:rPr>
          <w:rStyle w:val="Network-bodytext"/>
          <w:color w:val="7F7F7F" w:themeColor="text1" w:themeTint="80"/>
        </w:rPr>
        <w:t xml:space="preserve">  Third, and a consequence of the first two, utilities may exercise their political clout to impede or delay such programs unless regulatory prices are adjusted so that they remain whole even if demand for their services falls.</w:t>
      </w:r>
    </w:p>
    <w:p w:rsidR="00052813" w:rsidRPr="008A3430" w:rsidRDefault="00EB2840" w:rsidP="00052813">
      <w:pPr>
        <w:rPr>
          <w:rStyle w:val="Network-bodytext"/>
          <w:color w:val="7F7F7F" w:themeColor="text1" w:themeTint="80"/>
        </w:rPr>
      </w:pPr>
      <w:r w:rsidRPr="008A3430">
        <w:rPr>
          <w:rStyle w:val="Network-bodytext"/>
          <w:color w:val="7F7F7F" w:themeColor="text1" w:themeTint="80"/>
        </w:rPr>
        <w:t>Energy-effi</w:t>
      </w:r>
      <w:r w:rsidR="00052813" w:rsidRPr="008A3430">
        <w:rPr>
          <w:rStyle w:val="Network-bodytext"/>
          <w:color w:val="7F7F7F" w:themeColor="text1" w:themeTint="80"/>
        </w:rPr>
        <w:t xml:space="preserve">ciency has had a number of justifications based on failures in the market.  </w:t>
      </w:r>
      <w:r w:rsidRPr="008A3430">
        <w:rPr>
          <w:rStyle w:val="Network-bodytext"/>
          <w:color w:val="7F7F7F" w:themeColor="text1" w:themeTint="80"/>
        </w:rPr>
        <w:t>Energy-effi</w:t>
      </w:r>
      <w:r w:rsidR="00052813" w:rsidRPr="008A3430">
        <w:rPr>
          <w:rStyle w:val="Network-bodytext"/>
          <w:color w:val="7F7F7F" w:themeColor="text1" w:themeTint="80"/>
        </w:rPr>
        <w:t>ciency also need not reduce electricity use as much as one might expect</w:t>
      </w:r>
      <w:r w:rsidR="00A641EA" w:rsidRPr="008A3430">
        <w:rPr>
          <w:rStyle w:val="Network-bodytext"/>
          <w:color w:val="7F7F7F" w:themeColor="text1" w:themeTint="80"/>
        </w:rPr>
        <w:t xml:space="preserve"> – </w:t>
      </w:r>
      <w:r w:rsidR="00052813" w:rsidRPr="008A3430">
        <w:rPr>
          <w:rStyle w:val="Network-bodytext"/>
          <w:color w:val="7F7F7F" w:themeColor="text1" w:themeTint="80"/>
        </w:rPr>
        <w:t xml:space="preserve">a </w:t>
      </w:r>
      <w:r w:rsidRPr="008A3430">
        <w:rPr>
          <w:rStyle w:val="Network-bodytext"/>
          <w:color w:val="7F7F7F" w:themeColor="text1" w:themeTint="80"/>
        </w:rPr>
        <w:t>ten</w:t>
      </w:r>
      <w:r w:rsidR="00A641EA" w:rsidRPr="008A3430">
        <w:rPr>
          <w:rStyle w:val="Network-bodytext"/>
          <w:color w:val="7F7F7F" w:themeColor="text1" w:themeTint="80"/>
        </w:rPr>
        <w:t xml:space="preserve"> per cent</w:t>
      </w:r>
      <w:r w:rsidR="00052813" w:rsidRPr="008A3430">
        <w:rPr>
          <w:rStyle w:val="Network-bodytext"/>
          <w:color w:val="7F7F7F" w:themeColor="text1" w:themeTint="80"/>
        </w:rPr>
        <w:t xml:space="preserve"> increase in </w:t>
      </w:r>
      <w:r w:rsidRPr="008A3430">
        <w:rPr>
          <w:rStyle w:val="Network-bodytext"/>
          <w:color w:val="7F7F7F" w:themeColor="text1" w:themeTint="80"/>
        </w:rPr>
        <w:t>energy-effi</w:t>
      </w:r>
      <w:r w:rsidR="00052813" w:rsidRPr="008A3430">
        <w:rPr>
          <w:rStyle w:val="Network-bodytext"/>
          <w:color w:val="7F7F7F" w:themeColor="text1" w:themeTint="80"/>
        </w:rPr>
        <w:t xml:space="preserve">ciency would typically reduce energy use by less than </w:t>
      </w:r>
      <w:r w:rsidRPr="008A3430">
        <w:rPr>
          <w:rStyle w:val="Network-bodytext"/>
          <w:color w:val="7F7F7F" w:themeColor="text1" w:themeTint="80"/>
        </w:rPr>
        <w:t>ten</w:t>
      </w:r>
      <w:r w:rsidR="00A641EA" w:rsidRPr="008A3430">
        <w:rPr>
          <w:rStyle w:val="Network-bodytext"/>
          <w:color w:val="7F7F7F" w:themeColor="text1" w:themeTint="80"/>
        </w:rPr>
        <w:t xml:space="preserve"> per cent – </w:t>
      </w:r>
      <w:r w:rsidR="00052813" w:rsidRPr="008A3430">
        <w:rPr>
          <w:rStyle w:val="Network-bodytext"/>
          <w:color w:val="7F7F7F" w:themeColor="text1" w:themeTint="80"/>
        </w:rPr>
        <w:t xml:space="preserve">and under plausible settings will increase energy use.  However, the primary issue here is that </w:t>
      </w:r>
      <w:r w:rsidRPr="008A3430">
        <w:rPr>
          <w:rStyle w:val="Network-bodytext"/>
          <w:color w:val="7F7F7F" w:themeColor="text1" w:themeTint="80"/>
        </w:rPr>
        <w:t>energy-effi</w:t>
      </w:r>
      <w:r w:rsidR="00052813" w:rsidRPr="008A3430">
        <w:rPr>
          <w:rStyle w:val="Network-bodytext"/>
          <w:color w:val="7F7F7F" w:themeColor="text1" w:themeTint="80"/>
        </w:rPr>
        <w:t xml:space="preserve">ciency policy is increasingly justified by appeals to the idea that consumers do not act in their own self-interest, failing to invest in </w:t>
      </w:r>
      <w:r w:rsidRPr="008A3430">
        <w:rPr>
          <w:rStyle w:val="Network-bodytext"/>
          <w:color w:val="7F7F7F" w:themeColor="text1" w:themeTint="80"/>
        </w:rPr>
        <w:t>energy-effi</w:t>
      </w:r>
      <w:r w:rsidR="00052813" w:rsidRPr="008A3430">
        <w:rPr>
          <w:rStyle w:val="Network-bodytext"/>
          <w:color w:val="7F7F7F" w:themeColor="text1" w:themeTint="80"/>
        </w:rPr>
        <w:t xml:space="preserve">ciency when, by their own lights, they would be better off doing so.  Such errors or biases, the subject of </w:t>
      </w:r>
      <w:r w:rsidR="00A070B4" w:rsidRPr="008A3430">
        <w:rPr>
          <w:rStyle w:val="Network-bodytext"/>
          <w:color w:val="7F7F7F" w:themeColor="text1" w:themeTint="80"/>
        </w:rPr>
        <w:t>‘</w:t>
      </w:r>
      <w:r w:rsidR="003C521B">
        <w:rPr>
          <w:rStyle w:val="Network-bodytext"/>
          <w:color w:val="7F7F7F" w:themeColor="text1" w:themeTint="80"/>
        </w:rPr>
        <w:t>behavior</w:t>
      </w:r>
      <w:r w:rsidR="00052813" w:rsidRPr="008A3430">
        <w:rPr>
          <w:rStyle w:val="Network-bodytext"/>
          <w:color w:val="7F7F7F" w:themeColor="text1" w:themeTint="80"/>
        </w:rPr>
        <w:t>al economics</w:t>
      </w:r>
      <w:r w:rsidR="00A070B4" w:rsidRPr="008A3430">
        <w:rPr>
          <w:rStyle w:val="Network-bodytext"/>
          <w:color w:val="7F7F7F" w:themeColor="text1" w:themeTint="80"/>
        </w:rPr>
        <w:t>’</w:t>
      </w:r>
      <w:r w:rsidR="00052813" w:rsidRPr="008A3430">
        <w:rPr>
          <w:rStyle w:val="Network-bodytext"/>
          <w:color w:val="7F7F7F" w:themeColor="text1" w:themeTint="80"/>
        </w:rPr>
        <w:t>, may well be valid, but create seri</w:t>
      </w:r>
      <w:r w:rsidR="00A352AE" w:rsidRPr="008A3430">
        <w:rPr>
          <w:rStyle w:val="Network-bodytext"/>
          <w:color w:val="7F7F7F" w:themeColor="text1" w:themeTint="80"/>
        </w:rPr>
        <w:t>ou</w:t>
      </w:r>
      <w:r w:rsidR="00052813" w:rsidRPr="008A3430">
        <w:rPr>
          <w:rStyle w:val="Network-bodytext"/>
          <w:color w:val="7F7F7F" w:themeColor="text1" w:themeTint="80"/>
        </w:rPr>
        <w:t xml:space="preserve">s difficulties for policy evaluation and necessarily substitute a regulator’s judgment for that of the consumer.  The </w:t>
      </w:r>
      <w:r w:rsidR="003C521B">
        <w:rPr>
          <w:rStyle w:val="Network-bodytext"/>
          <w:color w:val="7F7F7F" w:themeColor="text1" w:themeTint="80"/>
        </w:rPr>
        <w:t>behavior</w:t>
      </w:r>
      <w:r w:rsidR="00052813" w:rsidRPr="008A3430">
        <w:rPr>
          <w:rStyle w:val="Network-bodytext"/>
          <w:color w:val="7F7F7F" w:themeColor="text1" w:themeTint="80"/>
        </w:rPr>
        <w:t xml:space="preserve">al economics perspective forces questions regarding what decisions consumers can be trusted to make and whether </w:t>
      </w:r>
      <w:r w:rsidR="00155DD9" w:rsidRPr="008A3430">
        <w:rPr>
          <w:rStyle w:val="Network-bodytext"/>
          <w:color w:val="7F7F7F" w:themeColor="text1" w:themeTint="80"/>
        </w:rPr>
        <w:t xml:space="preserve">climate-change policy advocates would want to ‘correct’ consumers where their errors reduce carbon emissions.  </w:t>
      </w:r>
      <w:r w:rsidR="00052813" w:rsidRPr="008A3430">
        <w:rPr>
          <w:rStyle w:val="Network-bodytext"/>
          <w:color w:val="7F7F7F" w:themeColor="text1" w:themeTint="80"/>
        </w:rPr>
        <w:t xml:space="preserve">  </w:t>
      </w:r>
    </w:p>
    <w:p w:rsidR="00052813" w:rsidRPr="008A3430" w:rsidRDefault="00052813" w:rsidP="00052813">
      <w:pPr>
        <w:rPr>
          <w:rStyle w:val="Network-bodytext"/>
          <w:b/>
          <w:color w:val="7F7F7F" w:themeColor="text1" w:themeTint="80"/>
        </w:rPr>
      </w:pPr>
      <w:r w:rsidRPr="008A3430">
        <w:rPr>
          <w:rStyle w:val="Network-bodytext"/>
          <w:b/>
          <w:color w:val="7F7F7F" w:themeColor="text1" w:themeTint="80"/>
        </w:rPr>
        <w:t>Other reasons to intervene?</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In principle, </w:t>
      </w:r>
      <w:r w:rsidR="00EB2840" w:rsidRPr="008A3430">
        <w:rPr>
          <w:rStyle w:val="Network-bodytext"/>
          <w:color w:val="7F7F7F" w:themeColor="text1" w:themeTint="80"/>
        </w:rPr>
        <w:t>energy-effi</w:t>
      </w:r>
      <w:r w:rsidRPr="008A3430">
        <w:rPr>
          <w:rStyle w:val="Network-bodytext"/>
          <w:color w:val="7F7F7F" w:themeColor="text1" w:themeTint="80"/>
        </w:rPr>
        <w:t xml:space="preserve">ciency is like any desirable attribute, where the target is to have the amount where the marginal benefit just equals the marginal cost of producing more of it.  The threshold question for regulatory policy has been to ask why the market </w:t>
      </w:r>
      <w:r w:rsidRPr="008A3430">
        <w:rPr>
          <w:rStyle w:val="Network-bodytext"/>
          <w:color w:val="7F7F7F" w:themeColor="text1" w:themeTint="80"/>
        </w:rPr>
        <w:lastRenderedPageBreak/>
        <w:t xml:space="preserve">would not determine the economically efficient level of </w:t>
      </w:r>
      <w:r w:rsidR="00EB2840" w:rsidRPr="008A3430">
        <w:rPr>
          <w:rStyle w:val="Network-bodytext"/>
          <w:color w:val="7F7F7F" w:themeColor="text1" w:themeTint="80"/>
        </w:rPr>
        <w:t>energy-effi</w:t>
      </w:r>
      <w:r w:rsidRPr="008A3430">
        <w:rPr>
          <w:rStyle w:val="Network-bodytext"/>
          <w:color w:val="7F7F7F" w:themeColor="text1" w:themeTint="80"/>
        </w:rPr>
        <w:t xml:space="preserve">ciency.  To put it more directly: </w:t>
      </w:r>
      <w:r w:rsidR="00071CFA" w:rsidRPr="008A3430">
        <w:rPr>
          <w:rStyle w:val="Network-bodytext"/>
          <w:color w:val="7F7F7F" w:themeColor="text1" w:themeTint="80"/>
        </w:rPr>
        <w:t xml:space="preserve"> </w:t>
      </w:r>
      <w:r w:rsidRPr="008A3430">
        <w:rPr>
          <w:rStyle w:val="Network-bodytext"/>
          <w:color w:val="7F7F7F" w:themeColor="text1" w:themeTint="80"/>
        </w:rPr>
        <w:t>What is the market failure?</w:t>
      </w:r>
    </w:p>
    <w:p w:rsidR="00155DD9" w:rsidRPr="008A3430" w:rsidRDefault="00052813" w:rsidP="00052813">
      <w:pPr>
        <w:rPr>
          <w:rStyle w:val="Network-bodytext"/>
          <w:color w:val="7F7F7F" w:themeColor="text1" w:themeTint="80"/>
        </w:rPr>
      </w:pPr>
      <w:r w:rsidRPr="008A3430">
        <w:rPr>
          <w:rStyle w:val="Network-bodytext"/>
          <w:color w:val="7F7F7F" w:themeColor="text1" w:themeTint="80"/>
        </w:rPr>
        <w:t xml:space="preserve">There is no shortage of candidates.  Perhaps the oldest is geopolitical.  For decades, the </w:t>
      </w:r>
      <w:r w:rsidR="00AA5AF0" w:rsidRPr="008A3430">
        <w:rPr>
          <w:rStyle w:val="Network-bodytext"/>
          <w:color w:val="7F7F7F" w:themeColor="text1" w:themeTint="80"/>
        </w:rPr>
        <w:t>US</w:t>
      </w:r>
      <w:r w:rsidRPr="008A3430">
        <w:rPr>
          <w:rStyle w:val="Network-bodytext"/>
          <w:color w:val="7F7F7F" w:themeColor="text1" w:themeTint="80"/>
        </w:rPr>
        <w:t xml:space="preserve"> imported as much as half of the oil it used.  While some may have been concerned about this out of a generic discomfort with imports, basic international trade principles should provide some comfort.  However, if the suppliers of that oil are able to collude</w:t>
      </w:r>
      <w:r w:rsidR="00EB2840" w:rsidRPr="008A3430">
        <w:rPr>
          <w:rStyle w:val="Network-bodytext"/>
          <w:color w:val="7F7F7F" w:themeColor="text1" w:themeTint="80"/>
        </w:rPr>
        <w:t>,</w:t>
      </w:r>
      <w:r w:rsidRPr="008A3430">
        <w:rPr>
          <w:rStyle w:val="Network-bodytext"/>
          <w:color w:val="7F7F7F" w:themeColor="text1" w:themeTint="80"/>
        </w:rPr>
        <w:t xml:space="preserve"> and </w:t>
      </w:r>
      <w:r w:rsidR="00EB2840" w:rsidRPr="008A3430">
        <w:rPr>
          <w:rStyle w:val="Network-bodytext"/>
          <w:color w:val="7F7F7F" w:themeColor="text1" w:themeTint="80"/>
        </w:rPr>
        <w:t xml:space="preserve">are </w:t>
      </w:r>
      <w:r w:rsidRPr="008A3430">
        <w:rPr>
          <w:rStyle w:val="Network-bodytext"/>
          <w:color w:val="7F7F7F" w:themeColor="text1" w:themeTint="80"/>
        </w:rPr>
        <w:t xml:space="preserve">willing to reduce supply as a strategic tactic in pursuit of their non-economic national interests, the </w:t>
      </w:r>
      <w:r w:rsidR="00AA5AF0" w:rsidRPr="008A3430">
        <w:rPr>
          <w:rStyle w:val="Network-bodytext"/>
          <w:color w:val="7F7F7F" w:themeColor="text1" w:themeTint="80"/>
        </w:rPr>
        <w:t>US</w:t>
      </w:r>
      <w:r w:rsidRPr="008A3430">
        <w:rPr>
          <w:rStyle w:val="Network-bodytext"/>
          <w:color w:val="7F7F7F" w:themeColor="text1" w:themeTint="80"/>
        </w:rPr>
        <w:t xml:space="preserve"> (or any other importer) might want to reduce demand for oil to reduce its vulnerability to that tactic.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Efforts to improve the </w:t>
      </w:r>
      <w:r w:rsidR="00EB2840" w:rsidRPr="008A3430">
        <w:rPr>
          <w:rStyle w:val="Network-bodytext"/>
          <w:color w:val="7F7F7F" w:themeColor="text1" w:themeTint="80"/>
        </w:rPr>
        <w:t>energy-effi</w:t>
      </w:r>
      <w:r w:rsidRPr="008A3430">
        <w:rPr>
          <w:rStyle w:val="Network-bodytext"/>
          <w:color w:val="7F7F7F" w:themeColor="text1" w:themeTint="80"/>
        </w:rPr>
        <w:t>ciency of equipment that uses oil</w:t>
      </w:r>
      <w:r w:rsidR="00A641EA" w:rsidRPr="008A3430">
        <w:rPr>
          <w:rStyle w:val="Network-bodytext"/>
          <w:color w:val="7F7F7F" w:themeColor="text1" w:themeTint="80"/>
        </w:rPr>
        <w:t xml:space="preserve"> – </w:t>
      </w:r>
      <w:r w:rsidRPr="008A3430">
        <w:rPr>
          <w:rStyle w:val="Network-bodytext"/>
          <w:color w:val="7F7F7F" w:themeColor="text1" w:themeTint="80"/>
        </w:rPr>
        <w:t>automobiles primarily, but home heating furnaces and industrial boilers</w:t>
      </w:r>
      <w:r w:rsidR="00A641EA" w:rsidRPr="008A3430">
        <w:rPr>
          <w:rStyle w:val="Network-bodytext"/>
          <w:color w:val="7F7F7F" w:themeColor="text1" w:themeTint="80"/>
        </w:rPr>
        <w:t xml:space="preserve"> – </w:t>
      </w:r>
      <w:r w:rsidRPr="008A3430">
        <w:rPr>
          <w:rStyle w:val="Network-bodytext"/>
          <w:color w:val="7F7F7F" w:themeColor="text1" w:themeTint="80"/>
        </w:rPr>
        <w:t xml:space="preserve">would be consistent with this concern.  Oil issues may not seem pertinent in an era when electricity is getting much of the focus, but it can be relevant.  Although hardly any electricity in the </w:t>
      </w:r>
      <w:r w:rsidR="00AA5AF0" w:rsidRPr="008A3430">
        <w:rPr>
          <w:rStyle w:val="Network-bodytext"/>
          <w:color w:val="7F7F7F" w:themeColor="text1" w:themeTint="80"/>
        </w:rPr>
        <w:t>US</w:t>
      </w:r>
      <w:r w:rsidRPr="008A3430">
        <w:rPr>
          <w:rStyle w:val="Network-bodytext"/>
          <w:color w:val="7F7F7F" w:themeColor="text1" w:themeTint="80"/>
        </w:rPr>
        <w:t xml:space="preserve"> or Australia is produced by burning oil, as recently as the 1970s 17</w:t>
      </w:r>
      <w:r w:rsidR="00A641EA" w:rsidRPr="008A3430">
        <w:rPr>
          <w:rStyle w:val="Network-bodytext"/>
          <w:color w:val="7F7F7F" w:themeColor="text1" w:themeTint="80"/>
        </w:rPr>
        <w:t xml:space="preserve"> per cent</w:t>
      </w:r>
      <w:r w:rsidRPr="008A3430">
        <w:rPr>
          <w:rStyle w:val="Network-bodytext"/>
          <w:color w:val="7F7F7F" w:themeColor="text1" w:themeTint="80"/>
        </w:rPr>
        <w:t xml:space="preserve"> of </w:t>
      </w:r>
      <w:r w:rsidR="00AA5AF0" w:rsidRPr="008A3430">
        <w:rPr>
          <w:rStyle w:val="Network-bodytext"/>
          <w:color w:val="7F7F7F" w:themeColor="text1" w:themeTint="80"/>
        </w:rPr>
        <w:t>US</w:t>
      </w:r>
      <w:r w:rsidRPr="008A3430">
        <w:rPr>
          <w:rStyle w:val="Network-bodytext"/>
          <w:color w:val="7F7F7F" w:themeColor="text1" w:themeTint="80"/>
        </w:rPr>
        <w:t xml:space="preserve"> electricity was generated using oil.  Along some margins</w:t>
      </w:r>
      <w:r w:rsidR="00A641EA" w:rsidRPr="008A3430">
        <w:rPr>
          <w:rStyle w:val="Network-bodytext"/>
          <w:color w:val="7F7F7F" w:themeColor="text1" w:themeTint="80"/>
        </w:rPr>
        <w:t xml:space="preserve"> – </w:t>
      </w:r>
      <w:r w:rsidRPr="008A3430">
        <w:rPr>
          <w:rStyle w:val="Network-bodytext"/>
          <w:color w:val="7F7F7F" w:themeColor="text1" w:themeTint="80"/>
        </w:rPr>
        <w:t>home heating, gasoline vs. electric cars</w:t>
      </w:r>
      <w:r w:rsidR="00A641EA" w:rsidRPr="008A3430">
        <w:rPr>
          <w:rStyle w:val="Network-bodytext"/>
          <w:color w:val="7F7F7F" w:themeColor="text1" w:themeTint="80"/>
        </w:rPr>
        <w:t xml:space="preserve"> – </w:t>
      </w:r>
      <w:r w:rsidRPr="008A3430">
        <w:rPr>
          <w:rStyle w:val="Network-bodytext"/>
          <w:color w:val="7F7F7F" w:themeColor="text1" w:themeTint="80"/>
        </w:rPr>
        <w:t xml:space="preserve">increased </w:t>
      </w:r>
      <w:r w:rsidR="00EB2840" w:rsidRPr="008A3430">
        <w:rPr>
          <w:rStyle w:val="Network-bodytext"/>
          <w:color w:val="7F7F7F" w:themeColor="text1" w:themeTint="80"/>
        </w:rPr>
        <w:t>energy-effi</w:t>
      </w:r>
      <w:r w:rsidRPr="008A3430">
        <w:rPr>
          <w:rStyle w:val="Network-bodytext"/>
          <w:color w:val="7F7F7F" w:themeColor="text1" w:themeTint="80"/>
        </w:rPr>
        <w:t xml:space="preserve">ciency on the electric side can reduce demand for oil. </w:t>
      </w:r>
    </w:p>
    <w:p w:rsidR="00155DD9" w:rsidRPr="008A3430" w:rsidRDefault="00052813" w:rsidP="00052813">
      <w:pPr>
        <w:rPr>
          <w:rStyle w:val="Network-bodytext"/>
          <w:color w:val="7F7F7F" w:themeColor="text1" w:themeTint="80"/>
        </w:rPr>
      </w:pPr>
      <w:r w:rsidRPr="008A3430">
        <w:rPr>
          <w:rStyle w:val="Network-bodytext"/>
          <w:color w:val="7F7F7F" w:themeColor="text1" w:themeTint="80"/>
        </w:rPr>
        <w:t xml:space="preserve">Another electricity-specific justification for </w:t>
      </w:r>
      <w:r w:rsidR="00EB2840" w:rsidRPr="008A3430">
        <w:rPr>
          <w:rStyle w:val="Network-bodytext"/>
          <w:color w:val="7F7F7F" w:themeColor="text1" w:themeTint="80"/>
        </w:rPr>
        <w:t>energy-effi</w:t>
      </w:r>
      <w:r w:rsidRPr="008A3430">
        <w:rPr>
          <w:rStyle w:val="Network-bodytext"/>
          <w:color w:val="7F7F7F" w:themeColor="text1" w:themeTint="80"/>
        </w:rPr>
        <w:t>ciency policy is that the prices users pay for electricity do not track the costs of generating electricity.  Retail prices have typically reflected the average cost of generation, but do not vary in response to the enormous variation in generation costs as demand varies.  Generators used only when demand is at peak levels may be used a small fraction of the time.  In Maryland, my home state, the top 15</w:t>
      </w:r>
      <w:r w:rsidR="00A641EA" w:rsidRPr="008A3430">
        <w:rPr>
          <w:rStyle w:val="Network-bodytext"/>
          <w:color w:val="7F7F7F" w:themeColor="text1" w:themeTint="80"/>
        </w:rPr>
        <w:t xml:space="preserve"> per cent</w:t>
      </w:r>
      <w:r w:rsidRPr="008A3430">
        <w:rPr>
          <w:rStyle w:val="Network-bodytext"/>
          <w:color w:val="7F7F7F" w:themeColor="text1" w:themeTint="80"/>
        </w:rPr>
        <w:t xml:space="preserve"> of capacity is used less than </w:t>
      </w:r>
      <w:r w:rsidR="00EB2840" w:rsidRPr="008A3430">
        <w:rPr>
          <w:rStyle w:val="Network-bodytext"/>
          <w:color w:val="7F7F7F" w:themeColor="text1" w:themeTint="80"/>
        </w:rPr>
        <w:t>one</w:t>
      </w:r>
      <w:r w:rsidR="00A641EA" w:rsidRPr="008A3430">
        <w:rPr>
          <w:rStyle w:val="Network-bodytext"/>
          <w:color w:val="7F7F7F" w:themeColor="text1" w:themeTint="80"/>
        </w:rPr>
        <w:t xml:space="preserve"> per cent</w:t>
      </w:r>
      <w:r w:rsidRPr="008A3430">
        <w:rPr>
          <w:rStyle w:val="Network-bodytext"/>
          <w:color w:val="7F7F7F" w:themeColor="text1" w:themeTint="80"/>
        </w:rPr>
        <w:t xml:space="preserve"> of hours in the year.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Recovering those costs can lead wholesale electricity prices to be 50-100 times the wholesale price during median demand periods.  If users do not see those prices, they will use electricity too much.  If using </w:t>
      </w:r>
      <w:r w:rsidR="00A070B4" w:rsidRPr="008A3430">
        <w:rPr>
          <w:rStyle w:val="Network-bodytext"/>
          <w:color w:val="7F7F7F" w:themeColor="text1" w:themeTint="80"/>
        </w:rPr>
        <w:t>‘</w:t>
      </w:r>
      <w:r w:rsidRPr="008A3430">
        <w:rPr>
          <w:rStyle w:val="Network-bodytext"/>
          <w:color w:val="7F7F7F" w:themeColor="text1" w:themeTint="80"/>
        </w:rPr>
        <w:t>real-time</w:t>
      </w:r>
      <w:r w:rsidR="00A070B4" w:rsidRPr="008A3430">
        <w:rPr>
          <w:rStyle w:val="Network-bodytext"/>
          <w:color w:val="7F7F7F" w:themeColor="text1" w:themeTint="80"/>
        </w:rPr>
        <w:t>’</w:t>
      </w:r>
      <w:r w:rsidRPr="008A3430">
        <w:rPr>
          <w:rStyle w:val="Network-bodytext"/>
          <w:color w:val="7F7F7F" w:themeColor="text1" w:themeTint="80"/>
        </w:rPr>
        <w:t xml:space="preserve"> varying prices is not implemented, a second-best policy would be to subsidi</w:t>
      </w:r>
      <w:r w:rsidR="00A641EA" w:rsidRPr="008A3430">
        <w:rPr>
          <w:rStyle w:val="Network-bodytext"/>
          <w:color w:val="7F7F7F" w:themeColor="text1" w:themeTint="80"/>
        </w:rPr>
        <w:t>s</w:t>
      </w:r>
      <w:r w:rsidRPr="008A3430">
        <w:rPr>
          <w:rStyle w:val="Network-bodytext"/>
          <w:color w:val="7F7F7F" w:themeColor="text1" w:themeTint="80"/>
        </w:rPr>
        <w:t xml:space="preserve">e more energy-efficient appliances that use electricity during peak periods, notably air conditioners.  </w:t>
      </w:r>
    </w:p>
    <w:p w:rsidR="00052813" w:rsidRPr="008A3430" w:rsidRDefault="00EB2840" w:rsidP="00052813">
      <w:pPr>
        <w:rPr>
          <w:rStyle w:val="Network-bodytext"/>
          <w:color w:val="7F7F7F" w:themeColor="text1" w:themeTint="80"/>
        </w:rPr>
      </w:pPr>
      <w:r w:rsidRPr="008A3430">
        <w:rPr>
          <w:rStyle w:val="Network-bodytext"/>
          <w:color w:val="7F7F7F" w:themeColor="text1" w:themeTint="80"/>
        </w:rPr>
        <w:t>Energy-effi</w:t>
      </w:r>
      <w:r w:rsidR="00052813" w:rsidRPr="008A3430">
        <w:rPr>
          <w:rStyle w:val="Network-bodytext"/>
          <w:color w:val="7F7F7F" w:themeColor="text1" w:themeTint="80"/>
        </w:rPr>
        <w:t xml:space="preserve">ciency policy could be a </w:t>
      </w:r>
      <w:r w:rsidR="00A070B4" w:rsidRPr="008A3430">
        <w:rPr>
          <w:rStyle w:val="Network-bodytext"/>
          <w:color w:val="7F7F7F" w:themeColor="text1" w:themeTint="80"/>
        </w:rPr>
        <w:t>‘</w:t>
      </w:r>
      <w:r w:rsidR="00052813" w:rsidRPr="008A3430">
        <w:rPr>
          <w:rStyle w:val="Network-bodytext"/>
          <w:color w:val="7F7F7F" w:themeColor="text1" w:themeTint="80"/>
        </w:rPr>
        <w:t>second-best</w:t>
      </w:r>
      <w:r w:rsidR="00A070B4" w:rsidRPr="008A3430">
        <w:rPr>
          <w:rStyle w:val="Network-bodytext"/>
          <w:color w:val="7F7F7F" w:themeColor="text1" w:themeTint="80"/>
        </w:rPr>
        <w:t>’</w:t>
      </w:r>
      <w:r w:rsidR="00052813" w:rsidRPr="008A3430">
        <w:rPr>
          <w:rStyle w:val="Network-bodytext"/>
          <w:color w:val="7F7F7F" w:themeColor="text1" w:themeTint="80"/>
        </w:rPr>
        <w:t xml:space="preserve"> policy to address climate change.  Economists widely agree that the best response to a negative externality in using a product is to set a price equal to the costs imposed by others.  For climate change, that ideal solution is a carbon tax.  However, if a carbon tax is not available, a second-best option is to encourage choices that people would make as if they faced a carbon tax.  On the generation side, this leads to</w:t>
      </w:r>
      <w:r w:rsidR="00052813" w:rsidRPr="00052813">
        <w:rPr>
          <w:rStyle w:val="Network-bodytext"/>
        </w:rPr>
        <w:t xml:space="preserve"> </w:t>
      </w:r>
      <w:r w:rsidR="00052813" w:rsidRPr="008A3430">
        <w:rPr>
          <w:rStyle w:val="Network-bodytext"/>
          <w:color w:val="7F7F7F" w:themeColor="text1" w:themeTint="80"/>
        </w:rPr>
        <w:lastRenderedPageBreak/>
        <w:t xml:space="preserve">renewable fuel-generated electricity requirements and feed-in tariffs to reduce fossil fuel use, as would happen with a tax.  </w:t>
      </w:r>
      <w:r w:rsidRPr="008A3430">
        <w:rPr>
          <w:rStyle w:val="Network-bodytext"/>
          <w:color w:val="7F7F7F" w:themeColor="text1" w:themeTint="80"/>
        </w:rPr>
        <w:t>Energy-effi</w:t>
      </w:r>
      <w:r w:rsidR="00052813" w:rsidRPr="008A3430">
        <w:rPr>
          <w:rStyle w:val="Network-bodytext"/>
          <w:color w:val="7F7F7F" w:themeColor="text1" w:themeTint="80"/>
        </w:rPr>
        <w:t xml:space="preserve">ciency subsidies or requirements have this rationale on the consumer end, </w:t>
      </w:r>
      <w:r w:rsidR="00A641EA" w:rsidRPr="008A3430">
        <w:rPr>
          <w:rStyle w:val="Network-bodytext"/>
          <w:color w:val="7F7F7F" w:themeColor="text1" w:themeTint="80"/>
        </w:rPr>
        <w:t>for example</w:t>
      </w:r>
      <w:r w:rsidR="00052813" w:rsidRPr="008A3430">
        <w:rPr>
          <w:rStyle w:val="Network-bodytext"/>
          <w:color w:val="7F7F7F" w:themeColor="text1" w:themeTint="80"/>
        </w:rPr>
        <w:t xml:space="preserve">, that people would buy more energy-efficient appliances if they faced higher electricity prices following a carbon tax.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In some places, a further rationale is economic development.  Some view </w:t>
      </w:r>
      <w:r w:rsidR="00EB2840" w:rsidRPr="008A3430">
        <w:rPr>
          <w:rStyle w:val="Network-bodytext"/>
          <w:color w:val="7F7F7F" w:themeColor="text1" w:themeTint="80"/>
        </w:rPr>
        <w:t>energy-effi</w:t>
      </w:r>
      <w:r w:rsidRPr="008A3430">
        <w:rPr>
          <w:rStyle w:val="Network-bodytext"/>
          <w:color w:val="7F7F7F" w:themeColor="text1" w:themeTint="80"/>
        </w:rPr>
        <w:t xml:space="preserve">ciency requirements as something that will promote the growth of the </w:t>
      </w:r>
      <w:r w:rsidR="00EB2840" w:rsidRPr="008A3430">
        <w:rPr>
          <w:rStyle w:val="Network-bodytext"/>
          <w:color w:val="7F7F7F" w:themeColor="text1" w:themeTint="80"/>
        </w:rPr>
        <w:t>energy-effi</w:t>
      </w:r>
      <w:r w:rsidRPr="008A3430">
        <w:rPr>
          <w:rStyle w:val="Network-bodytext"/>
          <w:color w:val="7F7F7F" w:themeColor="text1" w:themeTint="80"/>
        </w:rPr>
        <w:t xml:space="preserve">ciency industry and related businesses (energy management services, marketing) in that location.  Some economists have noted that similarly motivated policies often fail to increase employment (Coates and Humphries, 1999, in the context of sports stadiums).  Absent a recession, reallocating funds from one sector to another redistributes employment, but will not increase it.  And if a recession has increased unemployment, </w:t>
      </w:r>
      <w:r w:rsidR="00EB2840" w:rsidRPr="008A3430">
        <w:rPr>
          <w:rStyle w:val="Network-bodytext"/>
          <w:color w:val="7F7F7F" w:themeColor="text1" w:themeTint="80"/>
        </w:rPr>
        <w:t>energy-effi</w:t>
      </w:r>
      <w:r w:rsidRPr="008A3430">
        <w:rPr>
          <w:rStyle w:val="Network-bodytext"/>
          <w:color w:val="7F7F7F" w:themeColor="text1" w:themeTint="80"/>
        </w:rPr>
        <w:t xml:space="preserve">ciency-related </w:t>
      </w:r>
      <w:r w:rsidR="00A070B4" w:rsidRPr="008A3430">
        <w:rPr>
          <w:rStyle w:val="Network-bodytext"/>
          <w:color w:val="7F7F7F" w:themeColor="text1" w:themeTint="80"/>
        </w:rPr>
        <w:t>‘</w:t>
      </w:r>
      <w:r w:rsidRPr="008A3430">
        <w:rPr>
          <w:rStyle w:val="Network-bodytext"/>
          <w:color w:val="7F7F7F" w:themeColor="text1" w:themeTint="80"/>
        </w:rPr>
        <w:t>green jobs</w:t>
      </w:r>
      <w:r w:rsidR="00A070B4" w:rsidRPr="008A3430">
        <w:rPr>
          <w:rStyle w:val="Network-bodytext"/>
          <w:color w:val="7F7F7F" w:themeColor="text1" w:themeTint="80"/>
        </w:rPr>
        <w:t>’</w:t>
      </w:r>
      <w:r w:rsidRPr="008A3430">
        <w:rPr>
          <w:rStyle w:val="Network-bodytext"/>
          <w:color w:val="7F7F7F" w:themeColor="text1" w:themeTint="80"/>
        </w:rPr>
        <w:t xml:space="preserve"> will not create jobs if those out of work lack the skills needed to participate in these sectors (Brennan and Palmer, 2013).</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Our focus here is on a different rationale</w:t>
      </w:r>
      <w:r w:rsidR="00A641EA" w:rsidRPr="008A3430">
        <w:rPr>
          <w:rStyle w:val="Network-bodytext"/>
          <w:color w:val="7F7F7F" w:themeColor="text1" w:themeTint="80"/>
        </w:rPr>
        <w:t xml:space="preserve"> – </w:t>
      </w:r>
      <w:r w:rsidRPr="008A3430">
        <w:rPr>
          <w:rStyle w:val="Network-bodytext"/>
          <w:color w:val="7F7F7F" w:themeColor="text1" w:themeTint="80"/>
        </w:rPr>
        <w:t xml:space="preserve">that markets work fine, but that consumers make wrong choices and invest too little in </w:t>
      </w:r>
      <w:r w:rsidR="00EB2840" w:rsidRPr="008A3430">
        <w:rPr>
          <w:rStyle w:val="Network-bodytext"/>
          <w:color w:val="7F7F7F" w:themeColor="text1" w:themeTint="80"/>
        </w:rPr>
        <w:t>energy-effi</w:t>
      </w:r>
      <w:r w:rsidRPr="008A3430">
        <w:rPr>
          <w:rStyle w:val="Network-bodytext"/>
          <w:color w:val="7F7F7F" w:themeColor="text1" w:themeTint="80"/>
        </w:rPr>
        <w:t xml:space="preserve">ciency.  Before getting to that, we should see whether </w:t>
      </w:r>
      <w:r w:rsidR="00EB2840" w:rsidRPr="008A3430">
        <w:rPr>
          <w:rStyle w:val="Network-bodytext"/>
          <w:color w:val="7F7F7F" w:themeColor="text1" w:themeTint="80"/>
        </w:rPr>
        <w:t>energy-effi</w:t>
      </w:r>
      <w:r w:rsidRPr="008A3430">
        <w:rPr>
          <w:rStyle w:val="Network-bodytext"/>
          <w:color w:val="7F7F7F" w:themeColor="text1" w:themeTint="80"/>
        </w:rPr>
        <w:t>ciency reduces energy use and when it might not.</w:t>
      </w:r>
    </w:p>
    <w:p w:rsidR="00052813" w:rsidRPr="008A3430" w:rsidRDefault="00052813" w:rsidP="00052813">
      <w:pPr>
        <w:rPr>
          <w:rStyle w:val="Network-bodytext"/>
          <w:b/>
          <w:color w:val="7F7F7F" w:themeColor="text1" w:themeTint="80"/>
        </w:rPr>
      </w:pPr>
      <w:r w:rsidRPr="008A3430">
        <w:rPr>
          <w:rStyle w:val="Network-bodytext"/>
          <w:b/>
          <w:color w:val="7F7F7F" w:themeColor="text1" w:themeTint="80"/>
        </w:rPr>
        <w:t xml:space="preserve">Does </w:t>
      </w:r>
      <w:r w:rsidR="00EB2840" w:rsidRPr="008A3430">
        <w:rPr>
          <w:rStyle w:val="Network-bodytext"/>
          <w:b/>
          <w:color w:val="7F7F7F" w:themeColor="text1" w:themeTint="80"/>
        </w:rPr>
        <w:t>energy-effi</w:t>
      </w:r>
      <w:r w:rsidRPr="008A3430">
        <w:rPr>
          <w:rStyle w:val="Network-bodytext"/>
          <w:b/>
          <w:color w:val="7F7F7F" w:themeColor="text1" w:themeTint="80"/>
        </w:rPr>
        <w:t>ciency reduce energy use?</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Before getting to buyer mistakes, it is worth noting that the energy conservation benefits of </w:t>
      </w:r>
      <w:r w:rsidR="00EB2840" w:rsidRPr="008A3430">
        <w:rPr>
          <w:rStyle w:val="Network-bodytext"/>
          <w:color w:val="7F7F7F" w:themeColor="text1" w:themeTint="80"/>
        </w:rPr>
        <w:t>energy-effi</w:t>
      </w:r>
      <w:r w:rsidRPr="008A3430">
        <w:rPr>
          <w:rStyle w:val="Network-bodytext"/>
          <w:color w:val="7F7F7F" w:themeColor="text1" w:themeTint="80"/>
        </w:rPr>
        <w:t xml:space="preserve">ciency are easily overstated.  When an appliance, an air conditioner for example, becomes more </w:t>
      </w:r>
      <w:r w:rsidR="00EB2840" w:rsidRPr="008A3430">
        <w:rPr>
          <w:rStyle w:val="Network-bodytext"/>
          <w:color w:val="7F7F7F" w:themeColor="text1" w:themeTint="80"/>
        </w:rPr>
        <w:t>energy-effi</w:t>
      </w:r>
      <w:r w:rsidRPr="008A3430">
        <w:rPr>
          <w:rStyle w:val="Network-bodytext"/>
          <w:color w:val="7F7F7F" w:themeColor="text1" w:themeTint="80"/>
        </w:rPr>
        <w:t>cient, it becomes less expensive to use.  Consequently, it will be used more, turned on more often or set to a reduced temperature.  This, in turn, increase energy use above the level had the thermostat remained untouched</w:t>
      </w:r>
      <w:r w:rsidR="00A641EA" w:rsidRPr="008A3430">
        <w:rPr>
          <w:rStyle w:val="Network-bodytext"/>
          <w:color w:val="7F7F7F" w:themeColor="text1" w:themeTint="80"/>
        </w:rPr>
        <w:t xml:space="preserve"> – </w:t>
      </w:r>
      <w:r w:rsidRPr="008A3430">
        <w:rPr>
          <w:rStyle w:val="Network-bodytext"/>
          <w:color w:val="7F7F7F" w:themeColor="text1" w:themeTint="80"/>
        </w:rPr>
        <w:t xml:space="preserve">an outcome known as the </w:t>
      </w:r>
      <w:r w:rsidR="00A070B4" w:rsidRPr="008A3430">
        <w:rPr>
          <w:rStyle w:val="Network-bodytext"/>
          <w:color w:val="7F7F7F" w:themeColor="text1" w:themeTint="80"/>
        </w:rPr>
        <w:t>‘</w:t>
      </w:r>
      <w:r w:rsidRPr="008A3430">
        <w:rPr>
          <w:rStyle w:val="Network-bodytext"/>
          <w:color w:val="7F7F7F" w:themeColor="text1" w:themeTint="80"/>
        </w:rPr>
        <w:t>rebound effect</w:t>
      </w:r>
      <w:r w:rsidR="00A070B4" w:rsidRPr="008A3430">
        <w:rPr>
          <w:rStyle w:val="Network-bodytext"/>
          <w:color w:val="7F7F7F" w:themeColor="text1" w:themeTint="80"/>
        </w:rPr>
        <w:t>’</w:t>
      </w:r>
      <w:r w:rsidRPr="008A3430">
        <w:rPr>
          <w:rStyle w:val="Network-bodytext"/>
          <w:color w:val="7F7F7F" w:themeColor="text1" w:themeTint="80"/>
        </w:rPr>
        <w:t>.</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The extent of the rebound effect depends on how sensitive the amount something is used depends on the cost of using it.  It does not take a great amount of sensitivity for the rebound effect to be so strong that </w:t>
      </w:r>
      <w:r w:rsidR="00EB2840" w:rsidRPr="008A3430">
        <w:rPr>
          <w:rStyle w:val="Network-bodytext"/>
          <w:color w:val="7F7F7F" w:themeColor="text1" w:themeTint="80"/>
        </w:rPr>
        <w:t>energy-effi</w:t>
      </w:r>
      <w:r w:rsidRPr="008A3430">
        <w:rPr>
          <w:rStyle w:val="Network-bodytext"/>
          <w:color w:val="7F7F7F" w:themeColor="text1" w:themeTint="80"/>
        </w:rPr>
        <w:t xml:space="preserve">ciency actually increases energy use.  All one needs is that the demand for the services provided by the appliance is </w:t>
      </w:r>
      <w:r w:rsidR="00A070B4" w:rsidRPr="008A3430">
        <w:rPr>
          <w:rStyle w:val="Network-bodytext"/>
          <w:color w:val="7F7F7F" w:themeColor="text1" w:themeTint="80"/>
        </w:rPr>
        <w:t>‘</w:t>
      </w:r>
      <w:r w:rsidRPr="008A3430">
        <w:rPr>
          <w:rStyle w:val="Network-bodytext"/>
          <w:color w:val="7F7F7F" w:themeColor="text1" w:themeTint="80"/>
        </w:rPr>
        <w:t>elastic’, that is, if the price to use it falls by X</w:t>
      </w:r>
      <w:r w:rsidR="00A641EA" w:rsidRPr="008A3430">
        <w:rPr>
          <w:rStyle w:val="Network-bodytext"/>
          <w:color w:val="7F7F7F" w:themeColor="text1" w:themeTint="80"/>
        </w:rPr>
        <w:t xml:space="preserve"> per cent</w:t>
      </w:r>
      <w:r w:rsidRPr="008A3430">
        <w:rPr>
          <w:rStyle w:val="Network-bodytext"/>
          <w:color w:val="7F7F7F" w:themeColor="text1" w:themeTint="80"/>
        </w:rPr>
        <w:t>, its use will increase by more than X</w:t>
      </w:r>
      <w:r w:rsidR="00A641EA" w:rsidRPr="008A3430">
        <w:rPr>
          <w:rStyle w:val="Network-bodytext"/>
          <w:color w:val="7F7F7F" w:themeColor="text1" w:themeTint="80"/>
        </w:rPr>
        <w:t xml:space="preserve"> per cent</w:t>
      </w:r>
      <w:r w:rsidRPr="008A3430">
        <w:rPr>
          <w:rStyle w:val="Network-bodytext"/>
          <w:color w:val="7F7F7F" w:themeColor="text1" w:themeTint="80"/>
        </w:rPr>
        <w:t xml:space="preserve">.  The increased demand created by </w:t>
      </w:r>
      <w:r w:rsidR="00EB2840" w:rsidRPr="008A3430">
        <w:rPr>
          <w:rStyle w:val="Network-bodytext"/>
          <w:color w:val="7F7F7F" w:themeColor="text1" w:themeTint="80"/>
        </w:rPr>
        <w:t>energy-effi</w:t>
      </w:r>
      <w:r w:rsidRPr="008A3430">
        <w:rPr>
          <w:rStyle w:val="Network-bodytext"/>
          <w:color w:val="7F7F7F" w:themeColor="text1" w:themeTint="80"/>
        </w:rPr>
        <w:t xml:space="preserve">ciency will more than offset the energy saving per unit of use.  For some appliances, such as refrigerators, this will generally not be the case, as their use is largely uniform regardless of electricity prices.  For others, such as air conditioners, the rebound effect may is significant.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lastRenderedPageBreak/>
        <w:t xml:space="preserve">Moreover, because </w:t>
      </w:r>
      <w:r w:rsidR="00EB2840" w:rsidRPr="008A3430">
        <w:rPr>
          <w:rStyle w:val="Network-bodytext"/>
          <w:color w:val="7F7F7F" w:themeColor="text1" w:themeTint="80"/>
        </w:rPr>
        <w:t>energy-effi</w:t>
      </w:r>
      <w:r w:rsidRPr="008A3430">
        <w:rPr>
          <w:rStyle w:val="Network-bodytext"/>
          <w:color w:val="7F7F7F" w:themeColor="text1" w:themeTint="80"/>
        </w:rPr>
        <w:t xml:space="preserve">ciency increases the value of the consumers get from a given amount of energy, it will enhance the value of that energy for initial levels of use.  This implies that if the price of energy is sufficiently high, increased </w:t>
      </w:r>
      <w:r w:rsidR="00EB2840" w:rsidRPr="008A3430">
        <w:rPr>
          <w:rStyle w:val="Network-bodytext"/>
          <w:color w:val="7F7F7F" w:themeColor="text1" w:themeTint="80"/>
        </w:rPr>
        <w:t>energy-effi</w:t>
      </w:r>
      <w:r w:rsidRPr="008A3430">
        <w:rPr>
          <w:rStyle w:val="Network-bodytext"/>
          <w:color w:val="7F7F7F" w:themeColor="text1" w:themeTint="80"/>
        </w:rPr>
        <w:t>ciency will increase the demand for energy (Brennan, 2013).  For example, if air conditioners become more energy-efficient, some who had been deterred from buying or using them because of high energy costs will start doing so.</w:t>
      </w:r>
    </w:p>
    <w:p w:rsidR="00052813" w:rsidRPr="008A3430" w:rsidRDefault="003C521B" w:rsidP="00052813">
      <w:pPr>
        <w:rPr>
          <w:rStyle w:val="Network-bodytext"/>
          <w:b/>
          <w:color w:val="7F7F7F" w:themeColor="text1" w:themeTint="80"/>
        </w:rPr>
      </w:pPr>
      <w:r>
        <w:rPr>
          <w:rStyle w:val="Network-bodytext"/>
          <w:b/>
          <w:color w:val="7F7F7F" w:themeColor="text1" w:themeTint="80"/>
        </w:rPr>
        <w:t>Behavior</w:t>
      </w:r>
      <w:r w:rsidR="00367E43" w:rsidRPr="008A3430">
        <w:rPr>
          <w:rStyle w:val="Network-bodytext"/>
          <w:b/>
          <w:color w:val="7F7F7F" w:themeColor="text1" w:themeTint="80"/>
        </w:rPr>
        <w:t>al E</w:t>
      </w:r>
      <w:r w:rsidR="00052813" w:rsidRPr="008A3430">
        <w:rPr>
          <w:rStyle w:val="Network-bodytext"/>
          <w:b/>
          <w:color w:val="7F7F7F" w:themeColor="text1" w:themeTint="80"/>
        </w:rPr>
        <w:t xml:space="preserve">conomics: </w:t>
      </w:r>
      <w:r w:rsidR="00367E43" w:rsidRPr="008A3430">
        <w:rPr>
          <w:rStyle w:val="Network-bodytext"/>
          <w:b/>
          <w:color w:val="7F7F7F" w:themeColor="text1" w:themeTint="80"/>
        </w:rPr>
        <w:t xml:space="preserve"> </w:t>
      </w:r>
      <w:r w:rsidR="00052813" w:rsidRPr="008A3430">
        <w:rPr>
          <w:rStyle w:val="Network-bodytext"/>
          <w:b/>
          <w:color w:val="7F7F7F" w:themeColor="text1" w:themeTint="80"/>
        </w:rPr>
        <w:t>People making mistakes</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In the late 1990s, electricity policy played a substantial role in an election in Maryland.  The argument that something was awry rested on two premises:  (1) </w:t>
      </w:r>
      <w:r w:rsidR="00EB2840" w:rsidRPr="008A3430">
        <w:rPr>
          <w:rStyle w:val="Network-bodytext"/>
          <w:color w:val="7F7F7F" w:themeColor="text1" w:themeTint="80"/>
        </w:rPr>
        <w:t>t</w:t>
      </w:r>
      <w:r w:rsidRPr="008A3430">
        <w:rPr>
          <w:rStyle w:val="Network-bodytext"/>
          <w:color w:val="7F7F7F" w:themeColor="text1" w:themeTint="80"/>
        </w:rPr>
        <w:t>he p</w:t>
      </w:r>
      <w:r w:rsidR="00367E43" w:rsidRPr="008A3430">
        <w:rPr>
          <w:rStyle w:val="Network-bodytext"/>
          <w:color w:val="7F7F7F" w:themeColor="text1" w:themeTint="80"/>
        </w:rPr>
        <w:t>rice of electricity is too high;</w:t>
      </w:r>
      <w:r w:rsidRPr="008A3430">
        <w:rPr>
          <w:rStyle w:val="Network-bodytext"/>
          <w:color w:val="7F7F7F" w:themeColor="text1" w:themeTint="80"/>
        </w:rPr>
        <w:t xml:space="preserve"> and (2) people use too much of it.  With any appreciation of basic economics, one cannot hold these two thoughts simultaneously without a severe headache.  A price being </w:t>
      </w:r>
      <w:r w:rsidR="00A070B4" w:rsidRPr="008A3430">
        <w:rPr>
          <w:rStyle w:val="Network-bodytext"/>
          <w:color w:val="7F7F7F" w:themeColor="text1" w:themeTint="80"/>
        </w:rPr>
        <w:t>‘</w:t>
      </w:r>
      <w:r w:rsidRPr="008A3430">
        <w:rPr>
          <w:rStyle w:val="Network-bodytext"/>
          <w:color w:val="7F7F7F" w:themeColor="text1" w:themeTint="80"/>
        </w:rPr>
        <w:t>too high</w:t>
      </w:r>
      <w:r w:rsidR="00A070B4" w:rsidRPr="008A3430">
        <w:rPr>
          <w:rStyle w:val="Network-bodytext"/>
          <w:color w:val="7F7F7F" w:themeColor="text1" w:themeTint="80"/>
        </w:rPr>
        <w:t>’</w:t>
      </w:r>
      <w:r w:rsidRPr="008A3430">
        <w:rPr>
          <w:rStyle w:val="Network-bodytext"/>
          <w:color w:val="7F7F7F" w:themeColor="text1" w:themeTint="80"/>
        </w:rPr>
        <w:t xml:space="preserve"> means that it should be lower, and if it is lower, people would be using more, not less.  In standard economics, the harm from having prices too high is measured by the value to consumers of how they would be using more electricity, were it priced appropriately lower.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For these two premises too hold, standard economics cannot apply.  For people to be consuming too much when the price is too high, they must </w:t>
      </w:r>
      <w:r w:rsidR="00EB2840" w:rsidRPr="008A3430">
        <w:rPr>
          <w:rStyle w:val="Network-bodytext"/>
          <w:color w:val="7F7F7F" w:themeColor="text1" w:themeTint="80"/>
        </w:rPr>
        <w:t xml:space="preserve">be </w:t>
      </w:r>
      <w:r w:rsidRPr="008A3430">
        <w:rPr>
          <w:rStyle w:val="Network-bodytext"/>
          <w:color w:val="7F7F7F" w:themeColor="text1" w:themeTint="80"/>
        </w:rPr>
        <w:t xml:space="preserve">failing to act rationally in economic terms, that is, failing to purchase the amount of electricity that they most prefer, given how much they have to spend.  The possibility of irrational </w:t>
      </w:r>
      <w:r w:rsidR="003C521B">
        <w:rPr>
          <w:rStyle w:val="Network-bodytext"/>
          <w:color w:val="7F7F7F" w:themeColor="text1" w:themeTint="80"/>
        </w:rPr>
        <w:t>behavior</w:t>
      </w:r>
      <w:r w:rsidRPr="008A3430">
        <w:rPr>
          <w:rStyle w:val="Network-bodytext"/>
          <w:color w:val="7F7F7F" w:themeColor="text1" w:themeTint="80"/>
        </w:rPr>
        <w:t xml:space="preserve">, specifically that people will fail to act in their own best interest, is the defining hallmark of </w:t>
      </w:r>
      <w:r w:rsidR="003C521B">
        <w:rPr>
          <w:rStyle w:val="Network-bodytext"/>
          <w:color w:val="7F7F7F" w:themeColor="text1" w:themeTint="80"/>
        </w:rPr>
        <w:t>behavior</w:t>
      </w:r>
      <w:r w:rsidRPr="008A3430">
        <w:rPr>
          <w:rStyle w:val="Network-bodytext"/>
          <w:color w:val="7F7F7F" w:themeColor="text1" w:themeTint="80"/>
        </w:rPr>
        <w:t xml:space="preserve">al economics.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While laboratory experiments involving choosing between alternatives have provided some support for </w:t>
      </w:r>
      <w:r w:rsidR="003C521B">
        <w:rPr>
          <w:rStyle w:val="Network-bodytext"/>
          <w:color w:val="7F7F7F" w:themeColor="text1" w:themeTint="80"/>
        </w:rPr>
        <w:t>behavior</w:t>
      </w:r>
      <w:r w:rsidRPr="008A3430">
        <w:rPr>
          <w:rStyle w:val="Network-bodytext"/>
          <w:color w:val="7F7F7F" w:themeColor="text1" w:themeTint="80"/>
        </w:rPr>
        <w:t xml:space="preserve">al economics, many of the most interesting phenomena involve actions in the real world.  Most celebrated and perhaps most significant is a finding that in the </w:t>
      </w:r>
      <w:r w:rsidR="00AA5AF0" w:rsidRPr="008A3430">
        <w:rPr>
          <w:rStyle w:val="Network-bodytext"/>
          <w:color w:val="7F7F7F" w:themeColor="text1" w:themeTint="80"/>
        </w:rPr>
        <w:t>US</w:t>
      </w:r>
      <w:r w:rsidRPr="008A3430">
        <w:rPr>
          <w:rStyle w:val="Network-bodytext"/>
          <w:color w:val="7F7F7F" w:themeColor="text1" w:themeTint="80"/>
        </w:rPr>
        <w:t xml:space="preserve"> workers are much more likely to elect to pay into an employer-subsidi</w:t>
      </w:r>
      <w:r w:rsidR="00A641EA" w:rsidRPr="008A3430">
        <w:rPr>
          <w:rStyle w:val="Network-bodytext"/>
          <w:color w:val="7F7F7F" w:themeColor="text1" w:themeTint="80"/>
        </w:rPr>
        <w:t>s</w:t>
      </w:r>
      <w:r w:rsidRPr="008A3430">
        <w:rPr>
          <w:rStyle w:val="Network-bodytext"/>
          <w:color w:val="7F7F7F" w:themeColor="text1" w:themeTint="80"/>
        </w:rPr>
        <w:t xml:space="preserve">ed pension program than not, based only on whether they have to check a box to opt out of the program rather than check a box to opt in.  Another finding is that taxi drivers tend to work longer hours on days when business is slow and quit early when business is plentiful, when basic economics suggests that one would work longer during booms and work fewer hours when one is earning less.  One of my favourites is that professional golfers are more likely to make a putt, holding length and other attributes equal, if it is to avoid a bogey rather than to make a birdie, when in stroke play it should not matter.  A notable feature of this example and the taxi drivers is that these choices are made by experienced professionals with money </w:t>
      </w:r>
      <w:r w:rsidRPr="008A3430">
        <w:rPr>
          <w:rStyle w:val="Network-bodytext"/>
          <w:color w:val="7F7F7F" w:themeColor="text1" w:themeTint="80"/>
        </w:rPr>
        <w:lastRenderedPageBreak/>
        <w:t xml:space="preserve">on the line; they are not inexperienced students in a psychology lab.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The difference between </w:t>
      </w:r>
      <w:r w:rsidR="003C521B">
        <w:rPr>
          <w:rStyle w:val="Network-bodytext"/>
          <w:color w:val="7F7F7F" w:themeColor="text1" w:themeTint="80"/>
        </w:rPr>
        <w:t>behavior</w:t>
      </w:r>
      <w:r w:rsidRPr="008A3430">
        <w:rPr>
          <w:rStyle w:val="Network-bodytext"/>
          <w:color w:val="7F7F7F" w:themeColor="text1" w:themeTint="80"/>
        </w:rPr>
        <w:t xml:space="preserve">al economics and standard economics is that the former takes these anomalies as raw data, labelled as </w:t>
      </w:r>
      <w:r w:rsidR="00A070B4" w:rsidRPr="008A3430">
        <w:rPr>
          <w:rStyle w:val="Network-bodytext"/>
          <w:color w:val="7F7F7F" w:themeColor="text1" w:themeTint="80"/>
        </w:rPr>
        <w:t>‘</w:t>
      </w:r>
      <w:r w:rsidRPr="008A3430">
        <w:rPr>
          <w:rStyle w:val="Network-bodytext"/>
          <w:color w:val="7F7F7F" w:themeColor="text1" w:themeTint="80"/>
        </w:rPr>
        <w:t>biases</w:t>
      </w:r>
      <w:r w:rsidR="00A070B4" w:rsidRPr="008A3430">
        <w:rPr>
          <w:rStyle w:val="Network-bodytext"/>
          <w:color w:val="7F7F7F" w:themeColor="text1" w:themeTint="80"/>
        </w:rPr>
        <w:t>’</w:t>
      </w:r>
      <w:r w:rsidRPr="008A3430">
        <w:rPr>
          <w:rStyle w:val="Network-bodytext"/>
          <w:color w:val="7F7F7F" w:themeColor="text1" w:themeTint="80"/>
        </w:rPr>
        <w:t xml:space="preserve"> of one sort or another (Zamir, 2016 at 2-3). </w:t>
      </w:r>
      <w:r w:rsidR="00AA5AF0" w:rsidRPr="008A3430">
        <w:rPr>
          <w:rStyle w:val="Network-bodytext"/>
          <w:color w:val="7F7F7F" w:themeColor="text1" w:themeTint="80"/>
        </w:rPr>
        <w:t xml:space="preserve"> </w:t>
      </w:r>
      <w:r w:rsidRPr="008A3430">
        <w:rPr>
          <w:rStyle w:val="Network-bodytext"/>
          <w:color w:val="7F7F7F" w:themeColor="text1" w:themeTint="80"/>
        </w:rPr>
        <w:t>On the other hand, standard economics regards them as phenomena, admittedly challenging, but worthy of effort to see how they might be subject to explanation as rational given limits on information, effort costs, and the like.  This is not the place to pursue that methodological debate.</w:t>
      </w:r>
    </w:p>
    <w:p w:rsidR="00155DD9" w:rsidRPr="008A3430" w:rsidRDefault="00052813" w:rsidP="00052813">
      <w:pPr>
        <w:rPr>
          <w:rStyle w:val="Network-bodytext"/>
          <w:color w:val="7F7F7F" w:themeColor="text1" w:themeTint="80"/>
        </w:rPr>
      </w:pPr>
      <w:r w:rsidRPr="008A3430">
        <w:rPr>
          <w:rStyle w:val="Network-bodytext"/>
          <w:color w:val="7F7F7F" w:themeColor="text1" w:themeTint="80"/>
        </w:rPr>
        <w:t xml:space="preserve">However one regards the likely outcome of such a debate, </w:t>
      </w:r>
      <w:r w:rsidR="003C521B">
        <w:rPr>
          <w:rStyle w:val="Network-bodytext"/>
          <w:color w:val="7F7F7F" w:themeColor="text1" w:themeTint="80"/>
        </w:rPr>
        <w:t>behavior</w:t>
      </w:r>
      <w:r w:rsidRPr="008A3430">
        <w:rPr>
          <w:rStyle w:val="Network-bodytext"/>
          <w:color w:val="7F7F7F" w:themeColor="text1" w:themeTint="80"/>
        </w:rPr>
        <w:t xml:space="preserve">al economics has found its way into the policy arena.  The </w:t>
      </w:r>
      <w:r w:rsidR="00AA5AF0" w:rsidRPr="008A3430">
        <w:rPr>
          <w:rStyle w:val="Network-bodytext"/>
          <w:color w:val="7F7F7F" w:themeColor="text1" w:themeTint="80"/>
        </w:rPr>
        <w:t>US</w:t>
      </w:r>
      <w:r w:rsidRPr="008A3430">
        <w:rPr>
          <w:rStyle w:val="Network-bodytext"/>
          <w:color w:val="7F7F7F" w:themeColor="text1" w:themeTint="80"/>
        </w:rPr>
        <w:t xml:space="preserve"> government banned incandescent light bulbs on the grounds that consumers incorrectly buy those rather than more </w:t>
      </w:r>
      <w:r w:rsidR="00EB2840" w:rsidRPr="008A3430">
        <w:rPr>
          <w:rStyle w:val="Network-bodytext"/>
          <w:color w:val="7F7F7F" w:themeColor="text1" w:themeTint="80"/>
        </w:rPr>
        <w:t>energy-effi</w:t>
      </w:r>
      <w:r w:rsidRPr="008A3430">
        <w:rPr>
          <w:rStyle w:val="Network-bodytext"/>
          <w:color w:val="7F7F7F" w:themeColor="text1" w:themeTint="80"/>
        </w:rPr>
        <w:t xml:space="preserve">cient compact fluorescent lights.  The </w:t>
      </w:r>
      <w:r w:rsidR="00AA5AF0" w:rsidRPr="008A3430">
        <w:rPr>
          <w:rStyle w:val="Network-bodytext"/>
          <w:color w:val="7F7F7F" w:themeColor="text1" w:themeTint="80"/>
        </w:rPr>
        <w:t>US</w:t>
      </w:r>
      <w:r w:rsidRPr="008A3430">
        <w:rPr>
          <w:rStyle w:val="Network-bodytext"/>
          <w:color w:val="7F7F7F" w:themeColor="text1" w:themeTint="80"/>
        </w:rPr>
        <w:t xml:space="preserve"> requires the use of low-flow toilets because consumers do not incorporate the reduced cost of water in their purchase decisions.  </w:t>
      </w:r>
      <w:r w:rsidR="00AA5AF0" w:rsidRPr="008A3430">
        <w:rPr>
          <w:rStyle w:val="Network-bodytext"/>
          <w:color w:val="7F7F7F" w:themeColor="text1" w:themeTint="80"/>
        </w:rPr>
        <w:t>US</w:t>
      </w:r>
      <w:r w:rsidRPr="008A3430">
        <w:rPr>
          <w:rStyle w:val="Network-bodytext"/>
          <w:color w:val="7F7F7F" w:themeColor="text1" w:themeTint="80"/>
        </w:rPr>
        <w:t xml:space="preserve"> rules forcing automobile companies to meet minimum average fuel economy standards are justified in part by the saving that consumers could get but, for whatever reason,</w:t>
      </w:r>
      <w:r w:rsidR="005651C5" w:rsidRPr="008A3430">
        <w:rPr>
          <w:rStyle w:val="Network-bodytext"/>
          <w:color w:val="7F7F7F" w:themeColor="text1" w:themeTint="80"/>
        </w:rPr>
        <w:t xml:space="preserve"> have chosen not to get.  </w:t>
      </w:r>
    </w:p>
    <w:p w:rsidR="00155DD9" w:rsidRPr="008A3430" w:rsidRDefault="00155DD9" w:rsidP="00155DD9">
      <w:pPr>
        <w:rPr>
          <w:rStyle w:val="Network-bodytext"/>
          <w:color w:val="7F7F7F" w:themeColor="text1" w:themeTint="80"/>
        </w:rPr>
      </w:pPr>
      <w:r w:rsidRPr="008A3430">
        <w:rPr>
          <w:rStyle w:val="Network-bodytext"/>
          <w:color w:val="7F7F7F" w:themeColor="text1" w:themeTint="80"/>
        </w:rPr>
        <w:t>More generally, t</w:t>
      </w:r>
      <w:r w:rsidR="005651C5" w:rsidRPr="008A3430">
        <w:rPr>
          <w:rStyle w:val="Network-bodytext"/>
          <w:color w:val="7F7F7F" w:themeColor="text1" w:themeTint="80"/>
        </w:rPr>
        <w:t>he U</w:t>
      </w:r>
      <w:r w:rsidR="00052813" w:rsidRPr="008A3430">
        <w:rPr>
          <w:rStyle w:val="Network-bodytext"/>
          <w:color w:val="7F7F7F" w:themeColor="text1" w:themeTint="80"/>
        </w:rPr>
        <w:t xml:space="preserve">K government established a now semi-private </w:t>
      </w:r>
      <w:r w:rsidR="00A070B4" w:rsidRPr="008A3430">
        <w:rPr>
          <w:rStyle w:val="Network-bodytext"/>
          <w:color w:val="7F7F7F" w:themeColor="text1" w:themeTint="80"/>
        </w:rPr>
        <w:t>‘</w:t>
      </w:r>
      <w:r w:rsidR="003C521B">
        <w:rPr>
          <w:rStyle w:val="Network-bodytext"/>
          <w:color w:val="7F7F7F" w:themeColor="text1" w:themeTint="80"/>
        </w:rPr>
        <w:t>Behavior</w:t>
      </w:r>
      <w:r w:rsidR="00052813" w:rsidRPr="008A3430">
        <w:rPr>
          <w:rStyle w:val="Network-bodytext"/>
          <w:color w:val="7F7F7F" w:themeColor="text1" w:themeTint="80"/>
        </w:rPr>
        <w:t>al Insights Team</w:t>
      </w:r>
      <w:r w:rsidR="00A070B4" w:rsidRPr="008A3430">
        <w:rPr>
          <w:rStyle w:val="Network-bodytext"/>
          <w:color w:val="7F7F7F" w:themeColor="text1" w:themeTint="80"/>
        </w:rPr>
        <w:t>’</w:t>
      </w:r>
      <w:r w:rsidR="00052813" w:rsidRPr="008A3430">
        <w:rPr>
          <w:rStyle w:val="Network-bodytext"/>
          <w:color w:val="7F7F7F" w:themeColor="text1" w:themeTint="80"/>
        </w:rPr>
        <w:t xml:space="preserve"> to </w:t>
      </w:r>
      <w:r w:rsidR="00A070B4" w:rsidRPr="008A3430">
        <w:rPr>
          <w:rStyle w:val="Network-bodytext"/>
          <w:color w:val="7F7F7F" w:themeColor="text1" w:themeTint="80"/>
        </w:rPr>
        <w:t>‘</w:t>
      </w:r>
      <w:r w:rsidR="00052813" w:rsidRPr="008A3430">
        <w:rPr>
          <w:rStyle w:val="Network-bodytext"/>
          <w:color w:val="7F7F7F" w:themeColor="text1" w:themeTint="80"/>
        </w:rPr>
        <w:t xml:space="preserve">use insights from </w:t>
      </w:r>
      <w:r w:rsidR="003C521B">
        <w:rPr>
          <w:rStyle w:val="Network-bodytext"/>
          <w:color w:val="7F7F7F" w:themeColor="text1" w:themeTint="80"/>
        </w:rPr>
        <w:t>behavior</w:t>
      </w:r>
      <w:r w:rsidR="00052813" w:rsidRPr="008A3430">
        <w:rPr>
          <w:rStyle w:val="Network-bodytext"/>
          <w:color w:val="7F7F7F" w:themeColor="text1" w:themeTint="80"/>
        </w:rPr>
        <w:t>al science to encourage people to make better choice</w:t>
      </w:r>
      <w:r w:rsidR="00AA5AF0" w:rsidRPr="008A3430">
        <w:rPr>
          <w:rStyle w:val="Network-bodytext"/>
          <w:color w:val="7F7F7F" w:themeColor="text1" w:themeTint="80"/>
        </w:rPr>
        <w:t>s for themselves and society</w:t>
      </w:r>
      <w:r w:rsidR="00F129B3" w:rsidRPr="008A3430">
        <w:rPr>
          <w:rStyle w:val="Network-bodytext"/>
          <w:color w:val="7F7F7F" w:themeColor="text1" w:themeTint="80"/>
        </w:rPr>
        <w:t>’.</w:t>
      </w:r>
      <w:r w:rsidR="001110D6" w:rsidRPr="008A3430">
        <w:rPr>
          <w:color w:val="7F7F7F" w:themeColor="text1" w:themeTint="80"/>
          <w:kern w:val="36"/>
          <w:vertAlign w:val="superscript"/>
        </w:rPr>
        <w:footnoteReference w:id="2"/>
      </w:r>
      <w:r w:rsidR="00AA5AF0" w:rsidRPr="008A3430">
        <w:rPr>
          <w:rStyle w:val="Network-bodytext"/>
          <w:color w:val="7F7F7F" w:themeColor="text1" w:themeTint="80"/>
        </w:rPr>
        <w:t xml:space="preserve"> </w:t>
      </w:r>
      <w:r w:rsidR="00052813" w:rsidRPr="008A3430">
        <w:rPr>
          <w:rStyle w:val="Network-bodytext"/>
          <w:color w:val="7F7F7F" w:themeColor="text1" w:themeTint="80"/>
        </w:rPr>
        <w:t xml:space="preserve"> Following the UK’s lead, President Obama on 15 September 2015 issued</w:t>
      </w:r>
      <w:r w:rsidR="00EB2840" w:rsidRPr="008A3430">
        <w:rPr>
          <w:rStyle w:val="Network-bodytext"/>
          <w:color w:val="7F7F7F" w:themeColor="text1" w:themeTint="80"/>
        </w:rPr>
        <w:t xml:space="preserve"> an</w:t>
      </w:r>
      <w:r w:rsidR="00052813" w:rsidRPr="008A3430">
        <w:rPr>
          <w:rStyle w:val="Network-bodytext"/>
          <w:color w:val="7F7F7F" w:themeColor="text1" w:themeTint="80"/>
        </w:rPr>
        <w:t xml:space="preserve"> Executive Order on the premise that </w:t>
      </w:r>
      <w:r w:rsidR="00A070B4" w:rsidRPr="008A3430">
        <w:rPr>
          <w:rStyle w:val="Network-bodytext"/>
          <w:color w:val="7F7F7F" w:themeColor="text1" w:themeTint="80"/>
        </w:rPr>
        <w:t>‘</w:t>
      </w:r>
      <w:r w:rsidR="00052813" w:rsidRPr="008A3430">
        <w:rPr>
          <w:rStyle w:val="Network-bodytext"/>
          <w:color w:val="7F7F7F" w:themeColor="text1" w:themeTint="80"/>
        </w:rPr>
        <w:t xml:space="preserve">research findings from fields such as </w:t>
      </w:r>
      <w:r w:rsidR="003C521B">
        <w:rPr>
          <w:rStyle w:val="Network-bodytext"/>
          <w:color w:val="7F7F7F" w:themeColor="text1" w:themeTint="80"/>
        </w:rPr>
        <w:t>behavior</w:t>
      </w:r>
      <w:r w:rsidR="00052813" w:rsidRPr="008A3430">
        <w:rPr>
          <w:rStyle w:val="Network-bodytext"/>
          <w:color w:val="7F7F7F" w:themeColor="text1" w:themeTint="80"/>
        </w:rPr>
        <w:t>al economics and psychology about how people make decisions and act on them -- can be used to design government policies to better serve the American people</w:t>
      </w:r>
      <w:r w:rsidR="00A070B4" w:rsidRPr="008A3430">
        <w:rPr>
          <w:rStyle w:val="Network-bodytext"/>
          <w:color w:val="7F7F7F" w:themeColor="text1" w:themeTint="80"/>
        </w:rPr>
        <w:t>’</w:t>
      </w:r>
      <w:r w:rsidR="00052813" w:rsidRPr="008A3430">
        <w:rPr>
          <w:rStyle w:val="Network-bodytext"/>
          <w:color w:val="7F7F7F" w:themeColor="text1" w:themeTint="80"/>
        </w:rPr>
        <w:t>.</w:t>
      </w:r>
      <w:r w:rsidR="001110D6" w:rsidRPr="008A3430">
        <w:rPr>
          <w:color w:val="7F7F7F" w:themeColor="text1" w:themeTint="80"/>
          <w:kern w:val="36"/>
          <w:vertAlign w:val="superscript"/>
        </w:rPr>
        <w:footnoteReference w:id="3"/>
      </w:r>
      <w:r w:rsidR="00052813" w:rsidRPr="008A3430">
        <w:rPr>
          <w:rStyle w:val="Network-bodytext"/>
          <w:color w:val="7F7F7F" w:themeColor="text1" w:themeTint="80"/>
        </w:rPr>
        <w:t xml:space="preserve">  </w:t>
      </w:r>
      <w:r w:rsidRPr="008A3430">
        <w:rPr>
          <w:rStyle w:val="Network-bodytext"/>
          <w:color w:val="7F7F7F" w:themeColor="text1" w:themeTint="80"/>
        </w:rPr>
        <w:t xml:space="preserve"> In February 2016, the Australian government formed its own </w:t>
      </w:r>
      <w:r w:rsidR="003C521B">
        <w:rPr>
          <w:rStyle w:val="Network-bodytext"/>
          <w:color w:val="7F7F7F" w:themeColor="text1" w:themeTint="80"/>
        </w:rPr>
        <w:t>Behavior</w:t>
      </w:r>
      <w:r w:rsidRPr="008A3430">
        <w:rPr>
          <w:rStyle w:val="Network-bodytext"/>
          <w:color w:val="7F7F7F" w:themeColor="text1" w:themeTint="80"/>
        </w:rPr>
        <w:t>al Economics Team within the Department of the Prime Minister and Cabinet.</w:t>
      </w:r>
      <w:r w:rsidRPr="008A3430">
        <w:rPr>
          <w:rStyle w:val="FootnoteReference"/>
          <w:color w:val="7F7F7F" w:themeColor="text1" w:themeTint="80"/>
          <w:kern w:val="36"/>
        </w:rPr>
        <w:footnoteReference w:id="4"/>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It is consistent with these trends that </w:t>
      </w:r>
      <w:r w:rsidR="003C521B">
        <w:rPr>
          <w:rStyle w:val="Network-bodytext"/>
          <w:color w:val="7F7F7F" w:themeColor="text1" w:themeTint="80"/>
        </w:rPr>
        <w:t>behavior</w:t>
      </w:r>
      <w:r w:rsidRPr="008A3430">
        <w:rPr>
          <w:rStyle w:val="Network-bodytext"/>
          <w:color w:val="7F7F7F" w:themeColor="text1" w:themeTint="80"/>
        </w:rPr>
        <w:t>al economics is playing a role in energy regulation</w:t>
      </w:r>
      <w:r w:rsidR="00A641EA" w:rsidRPr="008A3430">
        <w:rPr>
          <w:rStyle w:val="Network-bodytext"/>
          <w:color w:val="7F7F7F" w:themeColor="text1" w:themeTint="80"/>
        </w:rPr>
        <w:t xml:space="preserve"> – </w:t>
      </w:r>
      <w:r w:rsidRPr="008A3430">
        <w:rPr>
          <w:rStyle w:val="Network-bodytext"/>
          <w:color w:val="7F7F7F" w:themeColor="text1" w:themeTint="80"/>
        </w:rPr>
        <w:t>a role that in many respects predates many of these other initiatives.</w:t>
      </w:r>
    </w:p>
    <w:p w:rsidR="00052813" w:rsidRPr="008A3430" w:rsidRDefault="00220EE3" w:rsidP="00052813">
      <w:pPr>
        <w:rPr>
          <w:rStyle w:val="Network-bodytext"/>
          <w:b/>
          <w:color w:val="7F7F7F" w:themeColor="text1" w:themeTint="80"/>
        </w:rPr>
      </w:pPr>
      <w:r w:rsidRPr="008A3430">
        <w:rPr>
          <w:rStyle w:val="Network-bodytext"/>
          <w:b/>
          <w:color w:val="7F7F7F" w:themeColor="text1" w:themeTint="80"/>
        </w:rPr>
        <w:br w:type="column"/>
      </w:r>
      <w:r w:rsidR="003C521B">
        <w:rPr>
          <w:rStyle w:val="Network-bodytext"/>
          <w:b/>
          <w:color w:val="7F7F7F" w:themeColor="text1" w:themeTint="80"/>
        </w:rPr>
        <w:lastRenderedPageBreak/>
        <w:t>Behavior</w:t>
      </w:r>
      <w:r w:rsidR="00367E43" w:rsidRPr="008A3430">
        <w:rPr>
          <w:rStyle w:val="Network-bodytext"/>
          <w:b/>
          <w:color w:val="7F7F7F" w:themeColor="text1" w:themeTint="80"/>
        </w:rPr>
        <w:t>al Economics and Energy R</w:t>
      </w:r>
      <w:r w:rsidR="00052813" w:rsidRPr="008A3430">
        <w:rPr>
          <w:rStyle w:val="Network-bodytext"/>
          <w:b/>
          <w:color w:val="7F7F7F" w:themeColor="text1" w:themeTint="80"/>
        </w:rPr>
        <w:t>egulation</w:t>
      </w:r>
    </w:p>
    <w:p w:rsidR="00105FB2" w:rsidRDefault="00052813" w:rsidP="00052813">
      <w:pPr>
        <w:rPr>
          <w:rStyle w:val="Network-bodytext"/>
        </w:rPr>
      </w:pPr>
      <w:r w:rsidRPr="008A3430">
        <w:rPr>
          <w:rStyle w:val="Network-bodytext"/>
          <w:color w:val="7F7F7F" w:themeColor="text1" w:themeTint="80"/>
        </w:rPr>
        <w:t xml:space="preserve">In the energy sector, much of the prominence </w:t>
      </w:r>
      <w:r w:rsidR="00EB2840" w:rsidRPr="008A3430">
        <w:rPr>
          <w:rStyle w:val="Network-bodytext"/>
          <w:color w:val="7F7F7F" w:themeColor="text1" w:themeTint="80"/>
        </w:rPr>
        <w:t xml:space="preserve">of </w:t>
      </w:r>
      <w:r w:rsidR="003C521B">
        <w:rPr>
          <w:rStyle w:val="Network-bodytext"/>
          <w:color w:val="7F7F7F" w:themeColor="text1" w:themeTint="80"/>
        </w:rPr>
        <w:t>behavior</w:t>
      </w:r>
      <w:r w:rsidRPr="008A3430">
        <w:rPr>
          <w:rStyle w:val="Network-bodytext"/>
          <w:color w:val="7F7F7F" w:themeColor="text1" w:themeTint="80"/>
        </w:rPr>
        <w:t xml:space="preserve">al economics is due to its role as a supporting justification for policies to cut back on energy use as a means to reduce carbon emissions and risks from climate change.  Virtually every economist and policy maker facing those issues is familiar with what is known at the </w:t>
      </w:r>
      <w:r w:rsidR="00A070B4" w:rsidRPr="008A3430">
        <w:rPr>
          <w:rStyle w:val="Network-bodytext"/>
          <w:color w:val="7F7F7F" w:themeColor="text1" w:themeTint="80"/>
        </w:rPr>
        <w:t>‘</w:t>
      </w:r>
      <w:r w:rsidRPr="008A3430">
        <w:rPr>
          <w:rStyle w:val="Network-bodytext"/>
          <w:color w:val="7F7F7F" w:themeColor="text1" w:themeTint="80"/>
        </w:rPr>
        <w:t>McKinsey curve</w:t>
      </w:r>
      <w:r w:rsidR="00A070B4" w:rsidRPr="008A3430">
        <w:rPr>
          <w:rStyle w:val="Network-bodytext"/>
          <w:color w:val="7F7F7F" w:themeColor="text1" w:themeTint="80"/>
        </w:rPr>
        <w:t>’</w:t>
      </w:r>
      <w:r w:rsidRPr="008A3430">
        <w:rPr>
          <w:rStyle w:val="Network-bodytext"/>
          <w:color w:val="7F7F7F" w:themeColor="text1" w:themeTint="80"/>
        </w:rPr>
        <w:t xml:space="preserve"> from McKinsey and Company, delineating the upward sloping marginal cost curve for reducing carbon emissions.  A version from 2009 describing global abatement costs is available from the World Bank</w:t>
      </w:r>
      <w:r w:rsidR="001110D6" w:rsidRPr="008A3430">
        <w:rPr>
          <w:rStyle w:val="Network-bodytext"/>
          <w:color w:val="7F7F7F" w:themeColor="text1" w:themeTint="80"/>
        </w:rPr>
        <w:t>.</w:t>
      </w:r>
      <w:r w:rsidR="001110D6" w:rsidRPr="008A3430">
        <w:rPr>
          <w:color w:val="7F7F7F" w:themeColor="text1" w:themeTint="80"/>
          <w:kern w:val="36"/>
          <w:vertAlign w:val="superscript"/>
        </w:rPr>
        <w:footnoteReference w:id="5"/>
      </w:r>
    </w:p>
    <w:p w:rsidR="00052813" w:rsidRPr="00052813" w:rsidRDefault="00FB5C0E" w:rsidP="00052813">
      <w:pPr>
        <w:rPr>
          <w:rStyle w:val="Network-bodytext"/>
        </w:rPr>
      </w:pPr>
      <w:r>
        <w:rPr>
          <w:rStyle w:val="Network-bodytex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201pt">
            <v:imagedata r:id="rId15" o:title="Global GHG abatement cost curve beyond business as usual - 2030"/>
          </v:shape>
        </w:pict>
      </w:r>
      <w:r w:rsidR="00052813" w:rsidRPr="00052813">
        <w:rPr>
          <w:rStyle w:val="Network-bodytext"/>
        </w:rPr>
        <w:t xml:space="preserve"> </w:t>
      </w:r>
    </w:p>
    <w:p w:rsidR="00052813" w:rsidRPr="008A3430" w:rsidRDefault="00105FB2" w:rsidP="00052813">
      <w:pPr>
        <w:rPr>
          <w:rStyle w:val="Network-bodytext"/>
          <w:color w:val="7F7F7F" w:themeColor="text1" w:themeTint="80"/>
        </w:rPr>
      </w:pPr>
      <w:r w:rsidRPr="008A3430">
        <w:rPr>
          <w:rStyle w:val="Network-bodytext"/>
          <w:color w:val="7F7F7F" w:themeColor="text1" w:themeTint="80"/>
        </w:rPr>
        <w:t xml:space="preserve">This ‘marginal cost of abatement’ curve is based on a fixed cost per ton of carbon dioxide emissions avoided if various methods to do so are used, and then ranking those methods in order of cost.  The specifics of the sources of these savings, in the fine print in the picture, are not important here.  Rather it is that the cost of carbon is displayed relative to </w:t>
      </w:r>
      <w:r w:rsidR="00F129B3" w:rsidRPr="008A3430">
        <w:rPr>
          <w:rStyle w:val="Network-bodytext"/>
          <w:color w:val="7F7F7F" w:themeColor="text1" w:themeTint="80"/>
        </w:rPr>
        <w:t>‘</w:t>
      </w:r>
      <w:r w:rsidRPr="008A3430">
        <w:rPr>
          <w:rStyle w:val="Network-bodytext"/>
          <w:color w:val="7F7F7F" w:themeColor="text1" w:themeTint="80"/>
        </w:rPr>
        <w:t>0</w:t>
      </w:r>
      <w:r w:rsidR="00F129B3" w:rsidRPr="008A3430">
        <w:rPr>
          <w:rStyle w:val="Network-bodytext"/>
          <w:color w:val="7F7F7F" w:themeColor="text1" w:themeTint="80"/>
        </w:rPr>
        <w:t>’</w:t>
      </w:r>
      <w:r w:rsidRPr="008A3430">
        <w:rPr>
          <w:rStyle w:val="Network-bodytext"/>
          <w:color w:val="7F7F7F" w:themeColor="text1" w:themeTint="80"/>
        </w:rPr>
        <w:t xml:space="preserve">.  </w:t>
      </w:r>
      <w:r w:rsidR="00052813" w:rsidRPr="008A3430">
        <w:rPr>
          <w:rStyle w:val="Network-bodytext"/>
          <w:color w:val="7F7F7F" w:themeColor="text1" w:themeTint="80"/>
        </w:rPr>
        <w:t xml:space="preserve">The abatement methods indicated by the downward sloping bars toward the left of the curve are </w:t>
      </w:r>
      <w:r w:rsidR="00A070B4" w:rsidRPr="008A3430">
        <w:rPr>
          <w:rStyle w:val="Network-bodytext"/>
          <w:color w:val="7F7F7F" w:themeColor="text1" w:themeTint="80"/>
        </w:rPr>
        <w:t>‘</w:t>
      </w:r>
      <w:r w:rsidR="00052813" w:rsidRPr="008A3430">
        <w:rPr>
          <w:rStyle w:val="Network-bodytext"/>
          <w:color w:val="7F7F7F" w:themeColor="text1" w:themeTint="80"/>
        </w:rPr>
        <w:t>negative cost</w:t>
      </w:r>
      <w:r w:rsidR="00A070B4" w:rsidRPr="008A3430">
        <w:rPr>
          <w:rStyle w:val="Network-bodytext"/>
          <w:color w:val="7F7F7F" w:themeColor="text1" w:themeTint="80"/>
        </w:rPr>
        <w:t>’</w:t>
      </w:r>
      <w:r w:rsidR="00052813" w:rsidRPr="008A3430">
        <w:rPr>
          <w:rStyle w:val="Network-bodytext"/>
          <w:color w:val="7F7F7F" w:themeColor="text1" w:themeTint="80"/>
        </w:rPr>
        <w:t xml:space="preserve"> abatement methods.  These methods would be worth employing even if there were no benefits from the carbon abatement itself.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A famous joke among economists is to suppose that two economists are walking down a sidewalk.  One says, </w:t>
      </w:r>
      <w:r w:rsidR="00A070B4" w:rsidRPr="008A3430">
        <w:rPr>
          <w:rStyle w:val="Network-bodytext"/>
          <w:color w:val="7F7F7F" w:themeColor="text1" w:themeTint="80"/>
        </w:rPr>
        <w:t>‘</w:t>
      </w:r>
      <w:r w:rsidRPr="008A3430">
        <w:rPr>
          <w:rStyle w:val="Network-bodytext"/>
          <w:color w:val="7F7F7F" w:themeColor="text1" w:themeTint="80"/>
        </w:rPr>
        <w:t>There’s a twenty dollar bill on the ground</w:t>
      </w:r>
      <w:r w:rsidR="00A070B4" w:rsidRPr="008A3430">
        <w:rPr>
          <w:rStyle w:val="Network-bodytext"/>
          <w:color w:val="7F7F7F" w:themeColor="text1" w:themeTint="80"/>
        </w:rPr>
        <w:t>’</w:t>
      </w:r>
      <w:r w:rsidRPr="008A3430">
        <w:rPr>
          <w:rStyle w:val="Network-bodytext"/>
          <w:color w:val="7F7F7F" w:themeColor="text1" w:themeTint="80"/>
        </w:rPr>
        <w:t xml:space="preserve">, and the other replies, </w:t>
      </w:r>
      <w:r w:rsidR="00A070B4" w:rsidRPr="008A3430">
        <w:rPr>
          <w:rStyle w:val="Network-bodytext"/>
          <w:color w:val="7F7F7F" w:themeColor="text1" w:themeTint="80"/>
        </w:rPr>
        <w:t>‘</w:t>
      </w:r>
      <w:r w:rsidRPr="008A3430">
        <w:rPr>
          <w:rStyle w:val="Network-bodytext"/>
          <w:color w:val="7F7F7F" w:themeColor="text1" w:themeTint="80"/>
        </w:rPr>
        <w:t>No, there can’t be</w:t>
      </w:r>
      <w:r w:rsidR="00A070B4" w:rsidRPr="008A3430">
        <w:rPr>
          <w:rStyle w:val="Network-bodytext"/>
          <w:color w:val="7F7F7F" w:themeColor="text1" w:themeTint="80"/>
        </w:rPr>
        <w:t>’</w:t>
      </w:r>
      <w:r w:rsidRPr="008A3430">
        <w:rPr>
          <w:rStyle w:val="Network-bodytext"/>
          <w:color w:val="7F7F7F" w:themeColor="text1" w:themeTint="80"/>
        </w:rPr>
        <w:t xml:space="preserve">.  The point is that had a twenty dollar bill been on the ground, someone would have picked it up.  An economist looking at the McKinsey curve would say that it must be missing something, because all of those </w:t>
      </w:r>
      <w:r w:rsidR="00A070B4" w:rsidRPr="008A3430">
        <w:rPr>
          <w:rStyle w:val="Network-bodytext"/>
          <w:color w:val="7F7F7F" w:themeColor="text1" w:themeTint="80"/>
        </w:rPr>
        <w:t>‘</w:t>
      </w:r>
      <w:r w:rsidRPr="008A3430">
        <w:rPr>
          <w:rStyle w:val="Network-bodytext"/>
          <w:color w:val="7F7F7F" w:themeColor="text1" w:themeTint="80"/>
        </w:rPr>
        <w:t>negative</w:t>
      </w:r>
      <w:r w:rsidRPr="00052813">
        <w:rPr>
          <w:rStyle w:val="Network-bodytext"/>
        </w:rPr>
        <w:t xml:space="preserve"> </w:t>
      </w:r>
      <w:r w:rsidRPr="008A3430">
        <w:rPr>
          <w:rStyle w:val="Network-bodytext"/>
          <w:color w:val="7F7F7F" w:themeColor="text1" w:themeTint="80"/>
        </w:rPr>
        <w:lastRenderedPageBreak/>
        <w:t>cost</w:t>
      </w:r>
      <w:r w:rsidR="00A070B4" w:rsidRPr="008A3430">
        <w:rPr>
          <w:rStyle w:val="Network-bodytext"/>
          <w:color w:val="7F7F7F" w:themeColor="text1" w:themeTint="80"/>
        </w:rPr>
        <w:t>’</w:t>
      </w:r>
      <w:r w:rsidRPr="008A3430">
        <w:rPr>
          <w:rStyle w:val="Network-bodytext"/>
          <w:color w:val="7F7F7F" w:themeColor="text1" w:themeTint="80"/>
        </w:rPr>
        <w:t xml:space="preserve"> abatement methods imply that there a lot of $20 bills lying on the ground.</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Nevertheless, all of these apparently profitable reductions in energy use have come to play</w:t>
      </w:r>
      <w:r w:rsidR="00EB2840" w:rsidRPr="008A3430">
        <w:rPr>
          <w:rStyle w:val="Network-bodytext"/>
          <w:color w:val="7F7F7F" w:themeColor="text1" w:themeTint="80"/>
        </w:rPr>
        <w:t xml:space="preserve"> a</w:t>
      </w:r>
      <w:r w:rsidRPr="008A3430">
        <w:rPr>
          <w:rStyle w:val="Network-bodytext"/>
          <w:color w:val="7F7F7F" w:themeColor="text1" w:themeTint="80"/>
        </w:rPr>
        <w:t xml:space="preserve"> significant role in energy policy.  They have earned their own nickname</w:t>
      </w:r>
      <w:r w:rsidR="00A641EA" w:rsidRPr="008A3430">
        <w:rPr>
          <w:rStyle w:val="Network-bodytext"/>
          <w:color w:val="7F7F7F" w:themeColor="text1" w:themeTint="80"/>
        </w:rPr>
        <w:t xml:space="preserve"> – </w:t>
      </w:r>
      <w:r w:rsidRPr="008A3430">
        <w:rPr>
          <w:rStyle w:val="Network-bodytext"/>
          <w:color w:val="7F7F7F" w:themeColor="text1" w:themeTint="80"/>
        </w:rPr>
        <w:t xml:space="preserve">the </w:t>
      </w:r>
      <w:r w:rsidR="00A070B4" w:rsidRPr="008A3430">
        <w:rPr>
          <w:rStyle w:val="Network-bodytext"/>
          <w:color w:val="7F7F7F" w:themeColor="text1" w:themeTint="80"/>
        </w:rPr>
        <w:t>‘</w:t>
      </w:r>
      <w:r w:rsidR="00EB2840" w:rsidRPr="008A3430">
        <w:rPr>
          <w:rStyle w:val="Network-bodytext"/>
          <w:color w:val="7F7F7F" w:themeColor="text1" w:themeTint="80"/>
        </w:rPr>
        <w:t>energy-effi</w:t>
      </w:r>
      <w:r w:rsidRPr="008A3430">
        <w:rPr>
          <w:rStyle w:val="Network-bodytext"/>
          <w:color w:val="7F7F7F" w:themeColor="text1" w:themeTint="80"/>
        </w:rPr>
        <w:t>ciency gap</w:t>
      </w:r>
      <w:r w:rsidR="00A070B4" w:rsidRPr="008A3430">
        <w:rPr>
          <w:rStyle w:val="Network-bodytext"/>
          <w:color w:val="7F7F7F" w:themeColor="text1" w:themeTint="80"/>
        </w:rPr>
        <w:t>’</w:t>
      </w:r>
      <w:r w:rsidRPr="008A3430">
        <w:rPr>
          <w:rStyle w:val="Network-bodytext"/>
          <w:color w:val="7F7F7F" w:themeColor="text1" w:themeTint="80"/>
        </w:rPr>
        <w:t xml:space="preserve"> between what people actually choose and what they should do, as illustrated by the McKinsey curve.  Gillingham, Newell and Palmer (2009) posit a number of potential </w:t>
      </w:r>
      <w:r w:rsidR="00E015B5" w:rsidRPr="008A3430">
        <w:rPr>
          <w:rStyle w:val="Network-bodytext"/>
          <w:color w:val="7F7F7F" w:themeColor="text1" w:themeTint="80"/>
        </w:rPr>
        <w:t>explanations for these gaps</w:t>
      </w:r>
      <w:r w:rsidRPr="008A3430">
        <w:rPr>
          <w:rStyle w:val="Network-bodytext"/>
          <w:color w:val="7F7F7F" w:themeColor="text1" w:themeTint="80"/>
        </w:rPr>
        <w:t xml:space="preserve">, after observing and citing research suggesting that costs of </w:t>
      </w:r>
      <w:r w:rsidR="00EB2840" w:rsidRPr="008A3430">
        <w:rPr>
          <w:rStyle w:val="Network-bodytext"/>
          <w:color w:val="7F7F7F" w:themeColor="text1" w:themeTint="80"/>
        </w:rPr>
        <w:t>energy-effi</w:t>
      </w:r>
      <w:r w:rsidRPr="008A3430">
        <w:rPr>
          <w:rStyle w:val="Network-bodytext"/>
          <w:color w:val="7F7F7F" w:themeColor="text1" w:themeTint="80"/>
        </w:rPr>
        <w:t>ciency investments, such as reduced quality of services could explain why consumers do not make these investments.</w:t>
      </w:r>
      <w:r w:rsidR="001110D6" w:rsidRPr="008A3430">
        <w:rPr>
          <w:color w:val="7F7F7F" w:themeColor="text1" w:themeTint="80"/>
          <w:kern w:val="36"/>
          <w:vertAlign w:val="superscript"/>
        </w:rPr>
        <w:footnoteReference w:id="6"/>
      </w:r>
      <w:r w:rsidRPr="008A3430">
        <w:rPr>
          <w:rStyle w:val="Network-bodytext"/>
          <w:color w:val="7F7F7F" w:themeColor="text1" w:themeTint="80"/>
        </w:rPr>
        <w:t xml:space="preserve">  Some involving pollution externalities or learning effects are not consistent with the </w:t>
      </w:r>
      <w:r w:rsidR="00EB2840" w:rsidRPr="008A3430">
        <w:rPr>
          <w:rStyle w:val="Network-bodytext"/>
          <w:color w:val="7F7F7F" w:themeColor="text1" w:themeTint="80"/>
        </w:rPr>
        <w:t>energy-effi</w:t>
      </w:r>
      <w:r w:rsidRPr="008A3430">
        <w:rPr>
          <w:rStyle w:val="Network-bodytext"/>
          <w:color w:val="7F7F7F" w:themeColor="text1" w:themeTint="80"/>
        </w:rPr>
        <w:t>ciency gap as defined specifically as a failure of persons and businesses to act in their own self-interest.  Among their list of relevant explanations for such failures are</w:t>
      </w:r>
      <w:r w:rsidR="00EB2840" w:rsidRPr="008A3430">
        <w:rPr>
          <w:rStyle w:val="Network-bodytext"/>
          <w:color w:val="7F7F7F" w:themeColor="text1" w:themeTint="80"/>
        </w:rPr>
        <w:t>:</w:t>
      </w:r>
      <w:r w:rsidRPr="008A3430">
        <w:rPr>
          <w:rStyle w:val="Network-bodytext"/>
          <w:color w:val="7F7F7F" w:themeColor="text1" w:themeTint="80"/>
        </w:rPr>
        <w:t xml:space="preserve"> (1) inability to borrow to pay for </w:t>
      </w:r>
      <w:r w:rsidR="00EB2840" w:rsidRPr="008A3430">
        <w:rPr>
          <w:rStyle w:val="Network-bodytext"/>
          <w:color w:val="7F7F7F" w:themeColor="text1" w:themeTint="80"/>
        </w:rPr>
        <w:t>energy-effi</w:t>
      </w:r>
      <w:r w:rsidRPr="008A3430">
        <w:rPr>
          <w:rStyle w:val="Network-bodytext"/>
          <w:color w:val="7F7F7F" w:themeColor="text1" w:themeTint="80"/>
        </w:rPr>
        <w:t>ciency investments</w:t>
      </w:r>
      <w:r w:rsidR="00EB2840" w:rsidRPr="008A3430">
        <w:rPr>
          <w:rStyle w:val="Network-bodytext"/>
          <w:color w:val="7F7F7F" w:themeColor="text1" w:themeTint="80"/>
        </w:rPr>
        <w:t>;</w:t>
      </w:r>
      <w:r w:rsidRPr="008A3430">
        <w:rPr>
          <w:rStyle w:val="Network-bodytext"/>
          <w:color w:val="7F7F7F" w:themeColor="text1" w:themeTint="80"/>
        </w:rPr>
        <w:t xml:space="preserve"> (2) principal-agent problems</w:t>
      </w:r>
      <w:r w:rsidR="00EB2840" w:rsidRPr="008A3430">
        <w:rPr>
          <w:rStyle w:val="Network-bodytext"/>
          <w:color w:val="7F7F7F" w:themeColor="text1" w:themeTint="80"/>
        </w:rPr>
        <w:t>;</w:t>
      </w:r>
      <w:r w:rsidRPr="008A3430">
        <w:rPr>
          <w:rStyle w:val="Network-bodytext"/>
          <w:color w:val="7F7F7F" w:themeColor="text1" w:themeTint="80"/>
        </w:rPr>
        <w:t xml:space="preserve"> (3) information shortcomings</w:t>
      </w:r>
      <w:r w:rsidR="00EB2840" w:rsidRPr="008A3430">
        <w:rPr>
          <w:rStyle w:val="Network-bodytext"/>
          <w:color w:val="7F7F7F" w:themeColor="text1" w:themeTint="80"/>
        </w:rPr>
        <w:t>;</w:t>
      </w:r>
      <w:r w:rsidRPr="008A3430">
        <w:rPr>
          <w:rStyle w:val="Network-bodytext"/>
          <w:color w:val="7F7F7F" w:themeColor="text1" w:themeTint="80"/>
        </w:rPr>
        <w:t xml:space="preserve"> and (4) </w:t>
      </w:r>
      <w:r w:rsidR="003C521B">
        <w:rPr>
          <w:rStyle w:val="Network-bodytext"/>
          <w:color w:val="7F7F7F" w:themeColor="text1" w:themeTint="80"/>
        </w:rPr>
        <w:t>behavior</w:t>
      </w:r>
      <w:r w:rsidRPr="008A3430">
        <w:rPr>
          <w:rStyle w:val="Network-bodytext"/>
          <w:color w:val="7F7F7F" w:themeColor="text1" w:themeTint="80"/>
        </w:rPr>
        <w:t xml:space="preserve">al economics-identified failures.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The first two of these are not compelling.  Were inability to borrow and capital market failures widespread, one would find them justifying public subsidies to upgrade kitchens, renovate bathrooms, replace roofs, purchase expensive appliances, and buy new cars, as well as invest in </w:t>
      </w:r>
      <w:r w:rsidR="00EB2840" w:rsidRPr="008A3430">
        <w:rPr>
          <w:rStyle w:val="Network-bodytext"/>
          <w:color w:val="7F7F7F" w:themeColor="text1" w:themeTint="80"/>
        </w:rPr>
        <w:t>energy-effi</w:t>
      </w:r>
      <w:r w:rsidRPr="008A3430">
        <w:rPr>
          <w:rStyle w:val="Network-bodytext"/>
          <w:color w:val="7F7F7F" w:themeColor="text1" w:themeTint="80"/>
        </w:rPr>
        <w:t xml:space="preserve">cient appliances.  The prototypical principal-agent problem in </w:t>
      </w:r>
      <w:r w:rsidR="00EB2840" w:rsidRPr="008A3430">
        <w:rPr>
          <w:rStyle w:val="Network-bodytext"/>
          <w:color w:val="7F7F7F" w:themeColor="text1" w:themeTint="80"/>
        </w:rPr>
        <w:t>energy-effi</w:t>
      </w:r>
      <w:r w:rsidRPr="008A3430">
        <w:rPr>
          <w:rStyle w:val="Network-bodytext"/>
          <w:color w:val="7F7F7F" w:themeColor="text1" w:themeTint="80"/>
        </w:rPr>
        <w:t>ciency is that a landlord supposedly lacks an incentive to install more efficient appliances if the tenant pays for the electricity.  However, rental property owners and managers compete by offering tenants all manner of goods and services to increase the quality of the space that the tenants would be renting.  There is no reason to think that property owners could not and would not compete on appliances that reduce energy bills.</w:t>
      </w:r>
      <w:r w:rsidR="001110D6" w:rsidRPr="008A3430">
        <w:rPr>
          <w:color w:val="7F7F7F" w:themeColor="text1" w:themeTint="80"/>
          <w:kern w:val="36"/>
          <w:vertAlign w:val="superscript"/>
        </w:rPr>
        <w:footnoteReference w:id="7"/>
      </w:r>
      <w:r w:rsidRPr="008A3430">
        <w:rPr>
          <w:rStyle w:val="Network-bodytext"/>
          <w:color w:val="7F7F7F" w:themeColor="text1" w:themeTint="80"/>
        </w:rPr>
        <w:t xml:space="preserve">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Information is a more interesting possibility.  The market for </w:t>
      </w:r>
      <w:r w:rsidR="00EB2840" w:rsidRPr="008A3430">
        <w:rPr>
          <w:rStyle w:val="Network-bodytext"/>
          <w:color w:val="7F7F7F" w:themeColor="text1" w:themeTint="80"/>
        </w:rPr>
        <w:t>energy-effi</w:t>
      </w:r>
      <w:r w:rsidRPr="008A3430">
        <w:rPr>
          <w:rStyle w:val="Network-bodytext"/>
          <w:color w:val="7F7F7F" w:themeColor="text1" w:themeTint="80"/>
        </w:rPr>
        <w:t xml:space="preserve">cient appliances may be hampered by asymmetric information, specifically </w:t>
      </w:r>
      <w:r w:rsidRPr="008A3430">
        <w:rPr>
          <w:rStyle w:val="Network-bodytext"/>
          <w:color w:val="7F7F7F" w:themeColor="text1" w:themeTint="80"/>
        </w:rPr>
        <w:lastRenderedPageBreak/>
        <w:t xml:space="preserve">that buyers cannot verify in advance claims made by appliance sellers regarding energy savings.  This can lead buyers to assume the worst, and reduce incentives for manufacturers to produce more expensive but more efficient appliances.  As Gillingham et al. (2009) point out, a solution for this problem is information, either private consumer goods evaluation services or public provision of information, such as expected energy cost labels.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Another information problem may be more subtle</w:t>
      </w:r>
      <w:r w:rsidR="00A641EA" w:rsidRPr="008A3430">
        <w:rPr>
          <w:rStyle w:val="Network-bodytext"/>
          <w:color w:val="7F7F7F" w:themeColor="text1" w:themeTint="80"/>
        </w:rPr>
        <w:t xml:space="preserve"> – </w:t>
      </w:r>
      <w:r w:rsidRPr="008A3430">
        <w:rPr>
          <w:rStyle w:val="Network-bodytext"/>
          <w:color w:val="7F7F7F" w:themeColor="text1" w:themeTint="80"/>
        </w:rPr>
        <w:t xml:space="preserve">the manufacture may be better positioned than a consumer to avoid wasteful uses.  An analogy can </w:t>
      </w:r>
      <w:r w:rsidR="00E015B5" w:rsidRPr="008A3430">
        <w:rPr>
          <w:rStyle w:val="Network-bodytext"/>
          <w:color w:val="7F7F7F" w:themeColor="text1" w:themeTint="80"/>
        </w:rPr>
        <w:t>help clarify this</w:t>
      </w:r>
      <w:r w:rsidRPr="008A3430">
        <w:rPr>
          <w:rStyle w:val="Network-bodytext"/>
          <w:color w:val="7F7F7F" w:themeColor="text1" w:themeTint="80"/>
        </w:rPr>
        <w:t xml:space="preserve">.  Suppose someone buys a lawnmower and then injures his foot using it carelessly, perhaps by cutting the grass after a couple of beers.  One might assume that the buyer would be liable, but in accident law, there is a doctrine of </w:t>
      </w:r>
      <w:r w:rsidR="00A070B4" w:rsidRPr="008A3430">
        <w:rPr>
          <w:rStyle w:val="Network-bodytext"/>
          <w:color w:val="7F7F7F" w:themeColor="text1" w:themeTint="80"/>
        </w:rPr>
        <w:t>‘</w:t>
      </w:r>
      <w:r w:rsidRPr="008A3430">
        <w:rPr>
          <w:rStyle w:val="Network-bodytext"/>
          <w:color w:val="7F7F7F" w:themeColor="text1" w:themeTint="80"/>
        </w:rPr>
        <w:t>foreseeable misuse</w:t>
      </w:r>
      <w:r w:rsidR="00A070B4" w:rsidRPr="008A3430">
        <w:rPr>
          <w:rStyle w:val="Network-bodytext"/>
          <w:color w:val="7F7F7F" w:themeColor="text1" w:themeTint="80"/>
        </w:rPr>
        <w:t>’</w:t>
      </w:r>
      <w:r w:rsidRPr="008A3430">
        <w:rPr>
          <w:rStyle w:val="Network-bodytext"/>
          <w:color w:val="7F7F7F" w:themeColor="text1" w:themeTint="80"/>
        </w:rPr>
        <w:t xml:space="preserve"> under which the manufacturer may be liable for accidents if it could easily have prevented the accident, </w:t>
      </w:r>
      <w:r w:rsidR="00EB2840" w:rsidRPr="008A3430">
        <w:rPr>
          <w:rStyle w:val="Network-bodytext"/>
          <w:color w:val="7F7F7F" w:themeColor="text1" w:themeTint="80"/>
        </w:rPr>
        <w:t>for example,</w:t>
      </w:r>
      <w:r w:rsidRPr="008A3430">
        <w:rPr>
          <w:rStyle w:val="Network-bodytext"/>
          <w:color w:val="7F7F7F" w:themeColor="text1" w:themeTint="80"/>
        </w:rPr>
        <w:t xml:space="preserve"> by installing an inexpensive toe guard.  In economic terms, foreseeable misuse makes sense if the manufacturer can prevent an accident at lower cost than the buyer would have had to undertake to be more careful, such as forgoing beers on a pleasant weekend afternoon.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What does this have to do with </w:t>
      </w:r>
      <w:r w:rsidR="00EB2840" w:rsidRPr="008A3430">
        <w:rPr>
          <w:rStyle w:val="Network-bodytext"/>
          <w:color w:val="7F7F7F" w:themeColor="text1" w:themeTint="80"/>
        </w:rPr>
        <w:t>energy-effi</w:t>
      </w:r>
      <w:r w:rsidRPr="008A3430">
        <w:rPr>
          <w:rStyle w:val="Network-bodytext"/>
          <w:color w:val="7F7F7F" w:themeColor="text1" w:themeTint="80"/>
        </w:rPr>
        <w:t>ciency?  As perhaps with lawnmowers, the manufacturer of an appliance may be better able than the buyers to determine whether a particular performance characteristic</w:t>
      </w:r>
      <w:r w:rsidR="00A641EA" w:rsidRPr="008A3430">
        <w:rPr>
          <w:rStyle w:val="Network-bodytext"/>
          <w:color w:val="7F7F7F" w:themeColor="text1" w:themeTint="80"/>
        </w:rPr>
        <w:t xml:space="preserve"> – </w:t>
      </w:r>
      <w:r w:rsidR="00EB2840" w:rsidRPr="008A3430">
        <w:rPr>
          <w:rStyle w:val="Network-bodytext"/>
          <w:color w:val="7F7F7F" w:themeColor="text1" w:themeTint="80"/>
        </w:rPr>
        <w:t>energy-effi</w:t>
      </w:r>
      <w:r w:rsidRPr="008A3430">
        <w:rPr>
          <w:rStyle w:val="Network-bodytext"/>
          <w:color w:val="7F7F7F" w:themeColor="text1" w:themeTint="80"/>
        </w:rPr>
        <w:t>ciency, like toe guards</w:t>
      </w:r>
      <w:r w:rsidR="00A641EA" w:rsidRPr="008A3430">
        <w:rPr>
          <w:rStyle w:val="Network-bodytext"/>
          <w:color w:val="7F7F7F" w:themeColor="text1" w:themeTint="80"/>
        </w:rPr>
        <w:t xml:space="preserve"> – </w:t>
      </w:r>
      <w:r w:rsidRPr="008A3430">
        <w:rPr>
          <w:rStyle w:val="Network-bodytext"/>
          <w:color w:val="7F7F7F" w:themeColor="text1" w:themeTint="80"/>
        </w:rPr>
        <w:t xml:space="preserve">is worth the cost of including it.  If so, it can make sense as a policy matter to put the onus of responsibility on manufacturers to meet </w:t>
      </w:r>
      <w:r w:rsidR="00EB2840" w:rsidRPr="008A3430">
        <w:rPr>
          <w:rStyle w:val="Network-bodytext"/>
          <w:color w:val="7F7F7F" w:themeColor="text1" w:themeTint="80"/>
        </w:rPr>
        <w:t>energy-effi</w:t>
      </w:r>
      <w:r w:rsidRPr="008A3430">
        <w:rPr>
          <w:rStyle w:val="Network-bodytext"/>
          <w:color w:val="7F7F7F" w:themeColor="text1" w:themeTint="80"/>
        </w:rPr>
        <w:t>ciency standards.</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This leads to the fourth item in the list</w:t>
      </w:r>
      <w:r w:rsidR="00A641EA" w:rsidRPr="008A3430">
        <w:rPr>
          <w:rStyle w:val="Network-bodytext"/>
          <w:color w:val="7F7F7F" w:themeColor="text1" w:themeTint="80"/>
        </w:rPr>
        <w:t xml:space="preserve"> – </w:t>
      </w:r>
      <w:r w:rsidR="003C521B">
        <w:rPr>
          <w:rStyle w:val="Network-bodytext"/>
          <w:color w:val="7F7F7F" w:themeColor="text1" w:themeTint="80"/>
        </w:rPr>
        <w:t>behavior</w:t>
      </w:r>
      <w:r w:rsidRPr="008A3430">
        <w:rPr>
          <w:rStyle w:val="Network-bodytext"/>
          <w:color w:val="7F7F7F" w:themeColor="text1" w:themeTint="80"/>
        </w:rPr>
        <w:t xml:space="preserve">al economic failures, that is, consumers just make mistakes regarding what is in their own self-interest.  The downward columns on the left of the McKinsey curve reflect piles of $20 bills that consumers (residential and commercial) are leaving on the sidewalk.  It may well be true that consumers make mistakes.  However, trying to design regulations, such as utility-funded </w:t>
      </w:r>
      <w:r w:rsidR="00EB2840" w:rsidRPr="008A3430">
        <w:rPr>
          <w:rStyle w:val="Network-bodytext"/>
          <w:color w:val="7F7F7F" w:themeColor="text1" w:themeTint="80"/>
        </w:rPr>
        <w:t>energy-effi</w:t>
      </w:r>
      <w:r w:rsidRPr="008A3430">
        <w:rPr>
          <w:rStyle w:val="Network-bodytext"/>
          <w:color w:val="7F7F7F" w:themeColor="text1" w:themeTint="80"/>
        </w:rPr>
        <w:t xml:space="preserve">ciency programs with that possibility in mind presents some daunting and unappreciated challenges.  </w:t>
      </w:r>
    </w:p>
    <w:p w:rsidR="00052813" w:rsidRPr="008A3430" w:rsidRDefault="00052813" w:rsidP="00052813">
      <w:pPr>
        <w:rPr>
          <w:rStyle w:val="Network-bodytext"/>
          <w:b/>
          <w:color w:val="7F7F7F" w:themeColor="text1" w:themeTint="80"/>
        </w:rPr>
      </w:pPr>
      <w:r w:rsidRPr="008A3430">
        <w:rPr>
          <w:rStyle w:val="Network-bodytext"/>
          <w:b/>
          <w:color w:val="7F7F7F" w:themeColor="text1" w:themeTint="80"/>
        </w:rPr>
        <w:t>But how to evaluate?</w:t>
      </w:r>
    </w:p>
    <w:p w:rsidR="00052813" w:rsidRPr="008A3430" w:rsidRDefault="003C521B" w:rsidP="00052813">
      <w:pPr>
        <w:rPr>
          <w:rStyle w:val="Network-bodytext"/>
          <w:color w:val="7F7F7F" w:themeColor="text1" w:themeTint="80"/>
        </w:rPr>
      </w:pPr>
      <w:r>
        <w:rPr>
          <w:rStyle w:val="Network-bodytext"/>
          <w:color w:val="7F7F7F" w:themeColor="text1" w:themeTint="80"/>
        </w:rPr>
        <w:t>Behavior</w:t>
      </w:r>
      <w:r w:rsidR="00052813" w:rsidRPr="008A3430">
        <w:rPr>
          <w:rStyle w:val="Network-bodytext"/>
          <w:color w:val="7F7F7F" w:themeColor="text1" w:themeTint="80"/>
        </w:rPr>
        <w:t>al economics plays a leading role in justifying regulatory policies, particularly directed at local distribution utilities, to encourage or mandate the use of energy-efficient equipment that consumers would, according to standard economics, already be choosing.  Such policies include subsidies for purchasing more efficient appliances, directly or via tax breaks, and free or low-cost energy audits.</w:t>
      </w:r>
      <w:r w:rsidR="00052813" w:rsidRPr="00052813">
        <w:rPr>
          <w:rStyle w:val="Network-bodytext"/>
        </w:rPr>
        <w:t xml:space="preserve">  </w:t>
      </w:r>
      <w:r w:rsidR="00052813" w:rsidRPr="008A3430">
        <w:rPr>
          <w:rStyle w:val="Network-bodytext"/>
          <w:color w:val="7F7F7F" w:themeColor="text1" w:themeTint="80"/>
        </w:rPr>
        <w:lastRenderedPageBreak/>
        <w:t xml:space="preserve">These subsidies and audits are not without cost.  Depending on how they are structured, their costs typically fall on ratepayers or taxpayers.  This means that </w:t>
      </w:r>
      <w:r w:rsidR="00EB2840" w:rsidRPr="008A3430">
        <w:rPr>
          <w:rStyle w:val="Network-bodytext"/>
          <w:color w:val="7F7F7F" w:themeColor="text1" w:themeTint="80"/>
        </w:rPr>
        <w:t>energy-effi</w:t>
      </w:r>
      <w:r w:rsidR="00052813" w:rsidRPr="008A3430">
        <w:rPr>
          <w:rStyle w:val="Network-bodytext"/>
          <w:color w:val="7F7F7F" w:themeColor="text1" w:themeTint="80"/>
        </w:rPr>
        <w:t xml:space="preserve">ciency regulations programs should be subject to the overarching question all regulations should face:  Are they worth it?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The basic method for evaluating regulations is benefit-cost (or cost-benefit) analysis.  At its heart, it sounds simple: </w:t>
      </w:r>
      <w:r w:rsidR="00E5078B" w:rsidRPr="008A3430">
        <w:rPr>
          <w:rStyle w:val="Network-bodytext"/>
          <w:color w:val="7F7F7F" w:themeColor="text1" w:themeTint="80"/>
        </w:rPr>
        <w:t>a</w:t>
      </w:r>
      <w:r w:rsidRPr="008A3430">
        <w:rPr>
          <w:rStyle w:val="Network-bodytext"/>
          <w:color w:val="7F7F7F" w:themeColor="text1" w:themeTint="80"/>
        </w:rPr>
        <w:t>dd up how much beneficiaries would pay for the benefits</w:t>
      </w:r>
      <w:r w:rsidR="00E5078B" w:rsidRPr="008A3430">
        <w:rPr>
          <w:rStyle w:val="Network-bodytext"/>
          <w:color w:val="7F7F7F" w:themeColor="text1" w:themeTint="80"/>
        </w:rPr>
        <w:t>;</w:t>
      </w:r>
      <w:r w:rsidRPr="008A3430">
        <w:rPr>
          <w:rStyle w:val="Network-bodytext"/>
          <w:color w:val="7F7F7F" w:themeColor="text1" w:themeTint="80"/>
        </w:rPr>
        <w:t xml:space="preserve"> add up how much it would cost to provide those benefits</w:t>
      </w:r>
      <w:r w:rsidR="00E5078B" w:rsidRPr="008A3430">
        <w:rPr>
          <w:rStyle w:val="Network-bodytext"/>
          <w:color w:val="7F7F7F" w:themeColor="text1" w:themeTint="80"/>
        </w:rPr>
        <w:t>;</w:t>
      </w:r>
      <w:r w:rsidRPr="008A3430">
        <w:rPr>
          <w:rStyle w:val="Network-bodytext"/>
          <w:color w:val="7F7F7F" w:themeColor="text1" w:themeTint="80"/>
        </w:rPr>
        <w:t xml:space="preserve"> and adopt only policies where the former exceeds the latter.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This simple formulation camouflages many empirical and ethical problems.  On the ethical side, this addition assumes that benefits can be moneti</w:t>
      </w:r>
      <w:r w:rsidR="00A641EA" w:rsidRPr="008A3430">
        <w:rPr>
          <w:rStyle w:val="Network-bodytext"/>
          <w:color w:val="7F7F7F" w:themeColor="text1" w:themeTint="80"/>
        </w:rPr>
        <w:t>s</w:t>
      </w:r>
      <w:r w:rsidRPr="008A3430">
        <w:rPr>
          <w:rStyle w:val="Network-bodytext"/>
          <w:color w:val="7F7F7F" w:themeColor="text1" w:themeTint="80"/>
        </w:rPr>
        <w:t>ed</w:t>
      </w:r>
      <w:r w:rsidR="00A641EA" w:rsidRPr="008A3430">
        <w:rPr>
          <w:rStyle w:val="Network-bodytext"/>
          <w:color w:val="7F7F7F" w:themeColor="text1" w:themeTint="80"/>
        </w:rPr>
        <w:t xml:space="preserve"> – </w:t>
      </w:r>
      <w:r w:rsidRPr="008A3430">
        <w:rPr>
          <w:rStyle w:val="Network-bodytext"/>
          <w:color w:val="7F7F7F" w:themeColor="text1" w:themeTint="80"/>
        </w:rPr>
        <w:t>not a big problem for economists</w:t>
      </w:r>
      <w:r w:rsidR="001110D6" w:rsidRPr="008A3430">
        <w:rPr>
          <w:color w:val="7F7F7F" w:themeColor="text1" w:themeTint="80"/>
          <w:kern w:val="36"/>
          <w:vertAlign w:val="superscript"/>
        </w:rPr>
        <w:footnoteReference w:id="8"/>
      </w:r>
      <w:r w:rsidR="00A641EA" w:rsidRPr="008A3430">
        <w:rPr>
          <w:rStyle w:val="Network-bodytext"/>
          <w:color w:val="7F7F7F" w:themeColor="text1" w:themeTint="80"/>
        </w:rPr>
        <w:t xml:space="preserve"> – </w:t>
      </w:r>
      <w:r w:rsidRPr="008A3430">
        <w:rPr>
          <w:rStyle w:val="Network-bodytext"/>
          <w:color w:val="7F7F7F" w:themeColor="text1" w:themeTint="80"/>
        </w:rPr>
        <w:t>and that a dollar gain or loss to a rich person counts just as much as a dollar of gain or loss to a poor person.  The response to this is that after instituting a regulation that passes a benefit-cost test, the winners could compensate the losers</w:t>
      </w:r>
      <w:r w:rsidR="00E5078B" w:rsidRPr="008A3430">
        <w:rPr>
          <w:rStyle w:val="Network-bodytext"/>
          <w:color w:val="7F7F7F" w:themeColor="text1" w:themeTint="80"/>
        </w:rPr>
        <w:t>.  B</w:t>
      </w:r>
      <w:r w:rsidRPr="008A3430">
        <w:rPr>
          <w:rStyle w:val="Network-bodytext"/>
          <w:color w:val="7F7F7F" w:themeColor="text1" w:themeTint="80"/>
        </w:rPr>
        <w:t>ut if that compensation does not take place, important distributional considerations may not get the weight they deserve.  On the empirical side, a host of difficulties arise.  These include, among others, how much to discount future benefits against present costs</w:t>
      </w:r>
      <w:r w:rsidR="00E5078B" w:rsidRPr="008A3430">
        <w:rPr>
          <w:rStyle w:val="Network-bodytext"/>
          <w:color w:val="7F7F7F" w:themeColor="text1" w:themeTint="80"/>
        </w:rPr>
        <w:t>;</w:t>
      </w:r>
      <w:r w:rsidRPr="008A3430">
        <w:rPr>
          <w:rStyle w:val="Network-bodytext"/>
          <w:color w:val="7F7F7F" w:themeColor="text1" w:themeTint="80"/>
        </w:rPr>
        <w:t xml:space="preserve"> whether to use willingness to pay for a benefit or willingness to accept the loss of a benefit</w:t>
      </w:r>
      <w:r w:rsidR="00E5078B" w:rsidRPr="008A3430">
        <w:rPr>
          <w:rStyle w:val="Network-bodytext"/>
          <w:color w:val="7F7F7F" w:themeColor="text1" w:themeTint="80"/>
        </w:rPr>
        <w:t>;</w:t>
      </w:r>
      <w:r w:rsidRPr="008A3430">
        <w:rPr>
          <w:rStyle w:val="Network-bodytext"/>
          <w:color w:val="7F7F7F" w:themeColor="text1" w:themeTint="80"/>
        </w:rPr>
        <w:t xml:space="preserve"> and how to measure benefits or costs when there is no market test, for example, willingness to pay to preserve a habitat for rock-wallabies or marine turtles.</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With or without these complications, the data that feed into benefit-cost analyses are estimates of what people would pay for the </w:t>
      </w:r>
      <w:r w:rsidR="00A070B4" w:rsidRPr="008A3430">
        <w:rPr>
          <w:rStyle w:val="Network-bodytext"/>
          <w:color w:val="7F7F7F" w:themeColor="text1" w:themeTint="80"/>
        </w:rPr>
        <w:t>‘</w:t>
      </w:r>
      <w:r w:rsidRPr="008A3430">
        <w:rPr>
          <w:rStyle w:val="Network-bodytext"/>
          <w:color w:val="7F7F7F" w:themeColor="text1" w:themeTint="80"/>
        </w:rPr>
        <w:t>benefits</w:t>
      </w:r>
      <w:r w:rsidR="00A070B4" w:rsidRPr="008A3430">
        <w:rPr>
          <w:rStyle w:val="Network-bodytext"/>
          <w:color w:val="7F7F7F" w:themeColor="text1" w:themeTint="80"/>
        </w:rPr>
        <w:t>’</w:t>
      </w:r>
      <w:r w:rsidRPr="008A3430">
        <w:rPr>
          <w:rStyle w:val="Network-bodytext"/>
          <w:color w:val="7F7F7F" w:themeColor="text1" w:themeTint="80"/>
        </w:rPr>
        <w:t xml:space="preserve"> or to avoid the </w:t>
      </w:r>
      <w:r w:rsidR="00A070B4" w:rsidRPr="008A3430">
        <w:rPr>
          <w:rStyle w:val="Network-bodytext"/>
          <w:color w:val="7F7F7F" w:themeColor="text1" w:themeTint="80"/>
        </w:rPr>
        <w:t>‘</w:t>
      </w:r>
      <w:r w:rsidRPr="008A3430">
        <w:rPr>
          <w:rStyle w:val="Network-bodytext"/>
          <w:color w:val="7F7F7F" w:themeColor="text1" w:themeTint="80"/>
        </w:rPr>
        <w:t>costs</w:t>
      </w:r>
      <w:r w:rsidR="00A070B4" w:rsidRPr="008A3430">
        <w:rPr>
          <w:rStyle w:val="Network-bodytext"/>
          <w:color w:val="7F7F7F" w:themeColor="text1" w:themeTint="80"/>
        </w:rPr>
        <w:t>’</w:t>
      </w:r>
      <w:r w:rsidRPr="008A3430">
        <w:rPr>
          <w:rStyle w:val="Network-bodytext"/>
          <w:color w:val="7F7F7F" w:themeColor="text1" w:themeTint="80"/>
        </w:rPr>
        <w:t xml:space="preserve">.  </w:t>
      </w:r>
      <w:r w:rsidR="00F14285" w:rsidRPr="008A3430">
        <w:rPr>
          <w:rStyle w:val="Network-bodytext"/>
          <w:color w:val="7F7F7F" w:themeColor="text1" w:themeTint="80"/>
        </w:rPr>
        <w:t>When one has market data to ascertain willingness to pay, one uses it</w:t>
      </w:r>
      <w:r w:rsidR="00F14285">
        <w:rPr>
          <w:rStyle w:val="Network-bodytext"/>
          <w:color w:val="7F7F7F" w:themeColor="text1" w:themeTint="80"/>
        </w:rPr>
        <w:t>;</w:t>
      </w:r>
      <w:r w:rsidR="00F14285" w:rsidRPr="008A3430">
        <w:rPr>
          <w:rStyle w:val="Network-bodytext"/>
          <w:color w:val="7F7F7F" w:themeColor="text1" w:themeTint="80"/>
        </w:rPr>
        <w:t xml:space="preserve"> if not, one does one’s best to come up with proxies for those data.  </w:t>
      </w:r>
      <w:r w:rsidRPr="008A3430">
        <w:rPr>
          <w:rStyle w:val="Network-bodytext"/>
          <w:color w:val="7F7F7F" w:themeColor="text1" w:themeTint="80"/>
        </w:rPr>
        <w:t xml:space="preserve">The crucial premise behind using those data is that the preferences they reveal, in terms of what people are willing to buy and what they are not, are the preferences people actually have.  If I pay $10 for a hamburger, I would rather have the hamburger than the $10. </w:t>
      </w:r>
      <w:r w:rsidR="00AA5AF0" w:rsidRPr="008A3430">
        <w:rPr>
          <w:rStyle w:val="Network-bodytext"/>
          <w:color w:val="7F7F7F" w:themeColor="text1" w:themeTint="80"/>
        </w:rPr>
        <w:t xml:space="preserve"> </w:t>
      </w:r>
      <w:r w:rsidRPr="008A3430">
        <w:rPr>
          <w:rStyle w:val="Network-bodytext"/>
          <w:color w:val="7F7F7F" w:themeColor="text1" w:themeTint="80"/>
        </w:rPr>
        <w:t xml:space="preserve">A regulation that gives me that hamburger instead of $10 makes me better off, so that’s what the regulator should do.  And if I don’t pay the $10, the regulator should not give me the hamburger if doing so would deprive me of $10.  </w:t>
      </w:r>
    </w:p>
    <w:p w:rsidR="00052813" w:rsidRPr="008A3430" w:rsidRDefault="003C521B" w:rsidP="00052813">
      <w:pPr>
        <w:rPr>
          <w:rStyle w:val="Network-bodytext"/>
          <w:color w:val="7F7F7F" w:themeColor="text1" w:themeTint="80"/>
        </w:rPr>
      </w:pPr>
      <w:r>
        <w:rPr>
          <w:rStyle w:val="Network-bodytext"/>
          <w:color w:val="7F7F7F" w:themeColor="text1" w:themeTint="80"/>
        </w:rPr>
        <w:t>Behavior</w:t>
      </w:r>
      <w:r w:rsidR="00052813" w:rsidRPr="008A3430">
        <w:rPr>
          <w:rStyle w:val="Network-bodytext"/>
          <w:color w:val="7F7F7F" w:themeColor="text1" w:themeTint="80"/>
        </w:rPr>
        <w:t xml:space="preserve">al economics adds not just another wrinkle to benefit-cost analysis; it undercuts its very </w:t>
      </w:r>
      <w:r w:rsidR="00052813" w:rsidRPr="008A3430">
        <w:rPr>
          <w:rStyle w:val="Network-bodytext"/>
          <w:color w:val="7F7F7F" w:themeColor="text1" w:themeTint="80"/>
        </w:rPr>
        <w:lastRenderedPageBreak/>
        <w:t xml:space="preserve">foundation (Brennan, 2014).  Its defining claim is that revealed preferences are not actual preferences, because of the biases and errors they entail.  If the </w:t>
      </w:r>
      <w:r>
        <w:rPr>
          <w:rStyle w:val="Network-bodytext"/>
          <w:color w:val="7F7F7F" w:themeColor="text1" w:themeTint="80"/>
        </w:rPr>
        <w:t>behavior</w:t>
      </w:r>
      <w:r w:rsidR="00052813" w:rsidRPr="008A3430">
        <w:rPr>
          <w:rStyle w:val="Network-bodytext"/>
          <w:color w:val="7F7F7F" w:themeColor="text1" w:themeTint="80"/>
        </w:rPr>
        <w:t>al economists are correct</w:t>
      </w:r>
      <w:r w:rsidR="00E015B5" w:rsidRPr="008A3430">
        <w:rPr>
          <w:rStyle w:val="Network-bodytext"/>
          <w:color w:val="7F7F7F" w:themeColor="text1" w:themeTint="80"/>
        </w:rPr>
        <w:t xml:space="preserve"> in</w:t>
      </w:r>
      <w:r w:rsidR="00052813" w:rsidRPr="008A3430">
        <w:rPr>
          <w:rStyle w:val="Network-bodytext"/>
          <w:color w:val="7F7F7F" w:themeColor="text1" w:themeTint="80"/>
        </w:rPr>
        <w:t xml:space="preserve"> that one cannot infer actual preference from revealed preference, then the data used to do benefit-cost analyses are irrelevant.  The revealed benefits of a regulation may be less than their costs, but the actual benefits might exceed them from the </w:t>
      </w:r>
      <w:r>
        <w:rPr>
          <w:rStyle w:val="Network-bodytext"/>
          <w:color w:val="7F7F7F" w:themeColor="text1" w:themeTint="80"/>
        </w:rPr>
        <w:t>behavior</w:t>
      </w:r>
      <w:r w:rsidR="00052813" w:rsidRPr="008A3430">
        <w:rPr>
          <w:rStyle w:val="Network-bodytext"/>
          <w:color w:val="7F7F7F" w:themeColor="text1" w:themeTint="80"/>
        </w:rPr>
        <w:t xml:space="preserve">al economists’ perspective.  Following benefit-cost analysis would, for them, give the wrong answer.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The McKinsey curve provides an important </w:t>
      </w:r>
      <w:r w:rsidR="00E015B5" w:rsidRPr="008A3430">
        <w:rPr>
          <w:rStyle w:val="Network-bodytext"/>
          <w:color w:val="7F7F7F" w:themeColor="text1" w:themeTint="80"/>
        </w:rPr>
        <w:t xml:space="preserve">and relevant </w:t>
      </w:r>
      <w:r w:rsidRPr="008A3430">
        <w:rPr>
          <w:rStyle w:val="Network-bodytext"/>
          <w:color w:val="7F7F7F" w:themeColor="text1" w:themeTint="80"/>
        </w:rPr>
        <w:t xml:space="preserve">illustration.  In standard economics, choices not to make the </w:t>
      </w:r>
      <w:r w:rsidR="00A070B4" w:rsidRPr="008A3430">
        <w:rPr>
          <w:rStyle w:val="Network-bodytext"/>
          <w:color w:val="7F7F7F" w:themeColor="text1" w:themeTint="80"/>
        </w:rPr>
        <w:t>‘</w:t>
      </w:r>
      <w:r w:rsidRPr="008A3430">
        <w:rPr>
          <w:rStyle w:val="Network-bodytext"/>
          <w:color w:val="7F7F7F" w:themeColor="text1" w:themeTint="80"/>
        </w:rPr>
        <w:t>negative abatement cost</w:t>
      </w:r>
      <w:r w:rsidR="00A070B4" w:rsidRPr="008A3430">
        <w:rPr>
          <w:rStyle w:val="Network-bodytext"/>
          <w:color w:val="7F7F7F" w:themeColor="text1" w:themeTint="80"/>
        </w:rPr>
        <w:t>’</w:t>
      </w:r>
      <w:r w:rsidRPr="008A3430">
        <w:rPr>
          <w:rStyle w:val="Network-bodytext"/>
          <w:color w:val="7F7F7F" w:themeColor="text1" w:themeTint="80"/>
        </w:rPr>
        <w:t xml:space="preserve"> choices on the left side of the McKinsey curve not only reveal a preference not to do so but imply that people are better off not having done so</w:t>
      </w:r>
      <w:r w:rsidR="00A641EA" w:rsidRPr="008A3430">
        <w:rPr>
          <w:rStyle w:val="Network-bodytext"/>
          <w:color w:val="7F7F7F" w:themeColor="text1" w:themeTint="80"/>
        </w:rPr>
        <w:t xml:space="preserve"> – </w:t>
      </w:r>
      <w:r w:rsidRPr="008A3430">
        <w:rPr>
          <w:rStyle w:val="Network-bodytext"/>
          <w:color w:val="7F7F7F" w:themeColor="text1" w:themeTint="80"/>
        </w:rPr>
        <w:t xml:space="preserve">because that is the choice they made.  </w:t>
      </w:r>
      <w:r w:rsidR="003C521B">
        <w:rPr>
          <w:rStyle w:val="Network-bodytext"/>
          <w:color w:val="7F7F7F" w:themeColor="text1" w:themeTint="80"/>
        </w:rPr>
        <w:t>Behavior</w:t>
      </w:r>
      <w:r w:rsidRPr="008A3430">
        <w:rPr>
          <w:rStyle w:val="Network-bodytext"/>
          <w:color w:val="7F7F7F" w:themeColor="text1" w:themeTint="80"/>
        </w:rPr>
        <w:t>al economics questions this logic, by saying that people actually preferred to make those negative abatement cost choices but mistakenly failed to do so.  A regulation to mandate or subsidi</w:t>
      </w:r>
      <w:r w:rsidR="00A641EA" w:rsidRPr="008A3430">
        <w:rPr>
          <w:rStyle w:val="Network-bodytext"/>
          <w:color w:val="7F7F7F" w:themeColor="text1" w:themeTint="80"/>
        </w:rPr>
        <w:t>s</w:t>
      </w:r>
      <w:r w:rsidRPr="008A3430">
        <w:rPr>
          <w:rStyle w:val="Network-bodytext"/>
          <w:color w:val="7F7F7F" w:themeColor="text1" w:themeTint="80"/>
        </w:rPr>
        <w:t xml:space="preserve">e </w:t>
      </w:r>
      <w:r w:rsidR="00EB2840" w:rsidRPr="008A3430">
        <w:rPr>
          <w:rStyle w:val="Network-bodytext"/>
          <w:color w:val="7F7F7F" w:themeColor="text1" w:themeTint="80"/>
        </w:rPr>
        <w:t>energy-effi</w:t>
      </w:r>
      <w:r w:rsidRPr="008A3430">
        <w:rPr>
          <w:rStyle w:val="Network-bodytext"/>
          <w:color w:val="7F7F7F" w:themeColor="text1" w:themeTint="80"/>
        </w:rPr>
        <w:t xml:space="preserve">ciency may fail a standard benefit-cost test, but the </w:t>
      </w:r>
      <w:r w:rsidR="003C521B">
        <w:rPr>
          <w:rStyle w:val="Network-bodytext"/>
          <w:color w:val="7F7F7F" w:themeColor="text1" w:themeTint="80"/>
        </w:rPr>
        <w:t>behavior</w:t>
      </w:r>
      <w:r w:rsidRPr="008A3430">
        <w:rPr>
          <w:rStyle w:val="Network-bodytext"/>
          <w:color w:val="7F7F7F" w:themeColor="text1" w:themeTint="80"/>
        </w:rPr>
        <w:t xml:space="preserve">al economist can claim that the people chose in error and that they’d really be better off </w:t>
      </w:r>
      <w:r w:rsidR="00E015B5" w:rsidRPr="008A3430">
        <w:rPr>
          <w:rStyle w:val="Network-bodytext"/>
          <w:color w:val="7F7F7F" w:themeColor="text1" w:themeTint="80"/>
        </w:rPr>
        <w:t xml:space="preserve">under such a </w:t>
      </w:r>
      <w:r w:rsidRPr="008A3430">
        <w:rPr>
          <w:rStyle w:val="Network-bodytext"/>
          <w:color w:val="7F7F7F" w:themeColor="text1" w:themeTint="80"/>
        </w:rPr>
        <w:t>regulato</w:t>
      </w:r>
      <w:r w:rsidR="00BE3D65" w:rsidRPr="008A3430">
        <w:rPr>
          <w:rStyle w:val="Network-bodytext"/>
          <w:color w:val="7F7F7F" w:themeColor="text1" w:themeTint="80"/>
        </w:rPr>
        <w:t>ry ma</w:t>
      </w:r>
      <w:r w:rsidRPr="008A3430">
        <w:rPr>
          <w:rStyle w:val="Network-bodytext"/>
          <w:color w:val="7F7F7F" w:themeColor="text1" w:themeTint="80"/>
        </w:rPr>
        <w:t>n</w:t>
      </w:r>
      <w:r w:rsidR="00BE3D65" w:rsidRPr="008A3430">
        <w:rPr>
          <w:rStyle w:val="Network-bodytext"/>
          <w:color w:val="7F7F7F" w:themeColor="text1" w:themeTint="80"/>
        </w:rPr>
        <w:t>date</w:t>
      </w:r>
      <w:r w:rsidRPr="008A3430">
        <w:rPr>
          <w:rStyle w:val="Network-bodytext"/>
          <w:color w:val="7F7F7F" w:themeColor="text1" w:themeTint="80"/>
        </w:rPr>
        <w:t xml:space="preserve">.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One could be precise about this if one had an independent measure of actual benefit that overcame the putative limitations of revealed preference.  So far, there is not one.  Cass Sunstein, the chief regulatory oversight officer in the Obama Administration and a leading advocate for incorporating </w:t>
      </w:r>
      <w:r w:rsidR="003C521B">
        <w:rPr>
          <w:rStyle w:val="Network-bodytext"/>
          <w:color w:val="7F7F7F" w:themeColor="text1" w:themeTint="80"/>
        </w:rPr>
        <w:t>behavior</w:t>
      </w:r>
      <w:r w:rsidRPr="008A3430">
        <w:rPr>
          <w:rStyle w:val="Network-bodytext"/>
          <w:color w:val="7F7F7F" w:themeColor="text1" w:themeTint="80"/>
        </w:rPr>
        <w:t xml:space="preserve">al economics into policy design, proposed a connection between </w:t>
      </w:r>
      <w:r w:rsidR="003C521B">
        <w:rPr>
          <w:rStyle w:val="Network-bodytext"/>
          <w:color w:val="7F7F7F" w:themeColor="text1" w:themeTint="80"/>
        </w:rPr>
        <w:t>behavior</w:t>
      </w:r>
      <w:r w:rsidRPr="008A3430">
        <w:rPr>
          <w:rStyle w:val="Network-bodytext"/>
          <w:color w:val="7F7F7F" w:themeColor="text1" w:themeTint="80"/>
        </w:rPr>
        <w:t>al economics and benefit-cost analysis (Sunstein, 2000).  The connection, however, does not point to a method for undertaking benefit-cost analysis when the underlying data cannot be trusted because of consumer error.  Rather, Sunstein argues that people have the same biases and make the same mistakes when they vote as when they make purchases in the market.  Consequently, public sector decisions, such as regulation</w:t>
      </w:r>
      <w:r w:rsidR="00E5078B" w:rsidRPr="008A3430">
        <w:rPr>
          <w:rStyle w:val="Network-bodytext"/>
          <w:color w:val="7F7F7F" w:themeColor="text1" w:themeTint="80"/>
        </w:rPr>
        <w:t>,</w:t>
      </w:r>
      <w:r w:rsidRPr="008A3430">
        <w:rPr>
          <w:rStyle w:val="Network-bodytext"/>
          <w:color w:val="7F7F7F" w:themeColor="text1" w:themeTint="80"/>
        </w:rPr>
        <w:t xml:space="preserve"> should be made through benefit-cost analysis because decisions made by voting will be error-prone.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Sunstein does not specify how benefits and costs should be calculated.  </w:t>
      </w:r>
      <w:r w:rsidR="00E5078B" w:rsidRPr="008A3430">
        <w:rPr>
          <w:rStyle w:val="Network-bodytext"/>
          <w:color w:val="7F7F7F" w:themeColor="text1" w:themeTint="80"/>
        </w:rPr>
        <w:t>P</w:t>
      </w:r>
      <w:r w:rsidRPr="008A3430">
        <w:rPr>
          <w:rStyle w:val="Network-bodytext"/>
          <w:color w:val="7F7F7F" w:themeColor="text1" w:themeTint="80"/>
        </w:rPr>
        <w:t xml:space="preserve">erhaps </w:t>
      </w:r>
      <w:r w:rsidR="00E5078B" w:rsidRPr="008A3430">
        <w:rPr>
          <w:rStyle w:val="Network-bodytext"/>
          <w:color w:val="7F7F7F" w:themeColor="text1" w:themeTint="80"/>
        </w:rPr>
        <w:t xml:space="preserve">a </w:t>
      </w:r>
      <w:r w:rsidRPr="008A3430">
        <w:rPr>
          <w:rStyle w:val="Network-bodytext"/>
          <w:color w:val="7F7F7F" w:themeColor="text1" w:themeTint="80"/>
        </w:rPr>
        <w:t xml:space="preserve">natural choice would be to attribute as benefits of a policy based on what mistaken consumers would have received had they made the right choice.  This is the implicit standard in the </w:t>
      </w:r>
      <w:r w:rsidR="00A070B4" w:rsidRPr="008A3430">
        <w:rPr>
          <w:rStyle w:val="Network-bodytext"/>
          <w:color w:val="7F7F7F" w:themeColor="text1" w:themeTint="80"/>
        </w:rPr>
        <w:t>‘</w:t>
      </w:r>
      <w:r w:rsidRPr="008A3430">
        <w:rPr>
          <w:rStyle w:val="Network-bodytext"/>
          <w:color w:val="7F7F7F" w:themeColor="text1" w:themeTint="80"/>
        </w:rPr>
        <w:t>California Manual</w:t>
      </w:r>
      <w:r w:rsidR="00A070B4" w:rsidRPr="008A3430">
        <w:rPr>
          <w:rStyle w:val="Network-bodytext"/>
          <w:color w:val="7F7F7F" w:themeColor="text1" w:themeTint="80"/>
        </w:rPr>
        <w:t>’</w:t>
      </w:r>
      <w:r w:rsidRPr="008A3430">
        <w:rPr>
          <w:rStyle w:val="Network-bodytext"/>
          <w:color w:val="7F7F7F" w:themeColor="text1" w:themeTint="80"/>
        </w:rPr>
        <w:t xml:space="preserve"> for evaluating </w:t>
      </w:r>
      <w:r w:rsidR="00EB2840" w:rsidRPr="008A3430">
        <w:rPr>
          <w:rStyle w:val="Network-bodytext"/>
          <w:color w:val="7F7F7F" w:themeColor="text1" w:themeTint="80"/>
        </w:rPr>
        <w:t>energy-effi</w:t>
      </w:r>
      <w:r w:rsidRPr="008A3430">
        <w:rPr>
          <w:rStyle w:val="Network-bodytext"/>
          <w:color w:val="7F7F7F" w:themeColor="text1" w:themeTint="80"/>
        </w:rPr>
        <w:t xml:space="preserve">ciency subsidy programs (State of California, 2002), used widely in the </w:t>
      </w:r>
      <w:r w:rsidR="00AA5AF0" w:rsidRPr="008A3430">
        <w:rPr>
          <w:rStyle w:val="Network-bodytext"/>
          <w:color w:val="7F7F7F" w:themeColor="text1" w:themeTint="80"/>
        </w:rPr>
        <w:t>US.</w:t>
      </w:r>
      <w:r w:rsidRPr="008A3430">
        <w:rPr>
          <w:rStyle w:val="Network-bodytext"/>
          <w:color w:val="7F7F7F" w:themeColor="text1" w:themeTint="80"/>
        </w:rPr>
        <w:t xml:space="preserve">  The California Manual defines a number of different benefit-cost tests looking separately and together at net effects on customers adopting </w:t>
      </w:r>
      <w:r w:rsidR="00EB2840" w:rsidRPr="008A3430">
        <w:rPr>
          <w:rStyle w:val="Network-bodytext"/>
          <w:color w:val="7F7F7F" w:themeColor="text1" w:themeTint="80"/>
        </w:rPr>
        <w:t>energy-effi</w:t>
      </w:r>
      <w:r w:rsidRPr="008A3430">
        <w:rPr>
          <w:rStyle w:val="Network-bodytext"/>
          <w:color w:val="7F7F7F" w:themeColor="text1" w:themeTint="80"/>
        </w:rPr>
        <w:t xml:space="preserve">ciency, </w:t>
      </w:r>
      <w:r w:rsidRPr="008A3430">
        <w:rPr>
          <w:rStyle w:val="Network-bodytext"/>
          <w:color w:val="7F7F7F" w:themeColor="text1" w:themeTint="80"/>
        </w:rPr>
        <w:lastRenderedPageBreak/>
        <w:t>ratepayers as a whole, and utilities, where on</w:t>
      </w:r>
      <w:r w:rsidR="00E5078B" w:rsidRPr="008A3430">
        <w:rPr>
          <w:rStyle w:val="Network-bodytext"/>
          <w:color w:val="7F7F7F" w:themeColor="text1" w:themeTint="80"/>
        </w:rPr>
        <w:t>e</w:t>
      </w:r>
      <w:r w:rsidRPr="008A3430">
        <w:rPr>
          <w:rStyle w:val="Network-bodytext"/>
          <w:color w:val="7F7F7F" w:themeColor="text1" w:themeTint="80"/>
        </w:rPr>
        <w:t xml:space="preserve"> inc</w:t>
      </w:r>
      <w:r w:rsidR="00E5078B" w:rsidRPr="008A3430">
        <w:rPr>
          <w:rStyle w:val="Network-bodytext"/>
          <w:color w:val="7F7F7F" w:themeColor="text1" w:themeTint="80"/>
        </w:rPr>
        <w:t>l</w:t>
      </w:r>
      <w:r w:rsidRPr="008A3430">
        <w:rPr>
          <w:rStyle w:val="Network-bodytext"/>
          <w:color w:val="7F7F7F" w:themeColor="text1" w:themeTint="80"/>
        </w:rPr>
        <w:t xml:space="preserve">udes the cost of administering the </w:t>
      </w:r>
      <w:r w:rsidR="00EB2840" w:rsidRPr="008A3430">
        <w:rPr>
          <w:rStyle w:val="Network-bodytext"/>
          <w:color w:val="7F7F7F" w:themeColor="text1" w:themeTint="80"/>
        </w:rPr>
        <w:t>energy-effi</w:t>
      </w:r>
      <w:r w:rsidRPr="008A3430">
        <w:rPr>
          <w:rStyle w:val="Network-bodytext"/>
          <w:color w:val="7F7F7F" w:themeColor="text1" w:themeTint="80"/>
        </w:rPr>
        <w:t>ciency program.  Going into the weeds of the California Manual tests is considerably beyond the scope of the paper.  The crucial point is that the benefits of the program depend on the idea that some of the consumers</w:t>
      </w:r>
      <w:r w:rsidR="00C51F37">
        <w:rPr>
          <w:rStyle w:val="Network-bodytext"/>
          <w:color w:val="7F7F7F" w:themeColor="text1" w:themeTint="80"/>
        </w:rPr>
        <w:t>,</w:t>
      </w:r>
      <w:r w:rsidRPr="008A3430">
        <w:rPr>
          <w:rStyle w:val="Network-bodytext"/>
          <w:color w:val="7F7F7F" w:themeColor="text1" w:themeTint="80"/>
        </w:rPr>
        <w:t xml:space="preserve"> who had erroneously not adopted </w:t>
      </w:r>
      <w:r w:rsidR="00EB2840" w:rsidRPr="008A3430">
        <w:rPr>
          <w:rStyle w:val="Network-bodytext"/>
          <w:color w:val="7F7F7F" w:themeColor="text1" w:themeTint="80"/>
        </w:rPr>
        <w:t>energy-effi</w:t>
      </w:r>
      <w:r w:rsidRPr="008A3430">
        <w:rPr>
          <w:rStyle w:val="Network-bodytext"/>
          <w:color w:val="7F7F7F" w:themeColor="text1" w:themeTint="80"/>
        </w:rPr>
        <w:t>ciency prior to the subsidy</w:t>
      </w:r>
      <w:r w:rsidR="00C51F37">
        <w:rPr>
          <w:rStyle w:val="Network-bodytext"/>
          <w:color w:val="7F7F7F" w:themeColor="text1" w:themeTint="80"/>
        </w:rPr>
        <w:t>,</w:t>
      </w:r>
      <w:r w:rsidRPr="008A3430">
        <w:rPr>
          <w:rStyle w:val="Network-bodytext"/>
          <w:color w:val="7F7F7F" w:themeColor="text1" w:themeTint="80"/>
        </w:rPr>
        <w:t xml:space="preserve"> do so and in doing so reali</w:t>
      </w:r>
      <w:r w:rsidR="00A641EA" w:rsidRPr="008A3430">
        <w:rPr>
          <w:rStyle w:val="Network-bodytext"/>
          <w:color w:val="7F7F7F" w:themeColor="text1" w:themeTint="80"/>
        </w:rPr>
        <w:t>s</w:t>
      </w:r>
      <w:r w:rsidRPr="008A3430">
        <w:rPr>
          <w:rStyle w:val="Network-bodytext"/>
          <w:color w:val="7F7F7F" w:themeColor="text1" w:themeTint="80"/>
        </w:rPr>
        <w:t>e their mistakes and now regard the previously foregone cost reductions as benefits (Brennan, 2010b at 3882-84).  If electricity users do not make erroneous choices, there is no benefit boost from the subsidy program</w:t>
      </w:r>
      <w:r w:rsidR="00BE3D65" w:rsidRPr="008A3430">
        <w:rPr>
          <w:rStyle w:val="Network-bodytext"/>
          <w:color w:val="7F7F7F" w:themeColor="text1" w:themeTint="80"/>
        </w:rPr>
        <w:t xml:space="preserve">.  Energy-efficiency </w:t>
      </w:r>
      <w:r w:rsidRPr="008A3430">
        <w:rPr>
          <w:rStyle w:val="Network-bodytext"/>
          <w:color w:val="7F7F7F" w:themeColor="text1" w:themeTint="80"/>
        </w:rPr>
        <w:t>subsidies will not be beneficial unless the price of electricity is below its cost of generation (including unpriced externalities).</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Regulators will have to decide whether the benefits to consumers from giving them something they could have chosen before but did not should count.  In the </w:t>
      </w:r>
      <w:r w:rsidR="00AA5AF0" w:rsidRPr="008A3430">
        <w:rPr>
          <w:rStyle w:val="Network-bodytext"/>
          <w:color w:val="7F7F7F" w:themeColor="text1" w:themeTint="80"/>
        </w:rPr>
        <w:t>US</w:t>
      </w:r>
      <w:r w:rsidRPr="008A3430">
        <w:rPr>
          <w:rStyle w:val="Network-bodytext"/>
          <w:color w:val="7F7F7F" w:themeColor="text1" w:themeTint="80"/>
        </w:rPr>
        <w:t xml:space="preserve">, these benefits are called </w:t>
      </w:r>
      <w:r w:rsidR="00A070B4" w:rsidRPr="008A3430">
        <w:rPr>
          <w:rStyle w:val="Network-bodytext"/>
          <w:color w:val="7F7F7F" w:themeColor="text1" w:themeTint="80"/>
        </w:rPr>
        <w:t>‘</w:t>
      </w:r>
      <w:r w:rsidRPr="008A3430">
        <w:rPr>
          <w:rStyle w:val="Network-bodytext"/>
          <w:color w:val="7F7F7F" w:themeColor="text1" w:themeTint="80"/>
        </w:rPr>
        <w:t>private benefits</w:t>
      </w:r>
      <w:r w:rsidR="00A070B4" w:rsidRPr="008A3430">
        <w:rPr>
          <w:rStyle w:val="Network-bodytext"/>
          <w:color w:val="7F7F7F" w:themeColor="text1" w:themeTint="80"/>
        </w:rPr>
        <w:t>’</w:t>
      </w:r>
      <w:r w:rsidRPr="008A3430">
        <w:rPr>
          <w:rStyle w:val="Network-bodytext"/>
          <w:color w:val="7F7F7F" w:themeColor="text1" w:themeTint="80"/>
        </w:rPr>
        <w:t>, to distinguish them from the public benefits that normally count when a policy corrects a market failure.  Miller (2015) finds that of the US$26.6 billion in benefits</w:t>
      </w:r>
      <w:r w:rsidR="00E5078B" w:rsidRPr="008A3430">
        <w:rPr>
          <w:rStyle w:val="Network-bodytext"/>
          <w:color w:val="7F7F7F" w:themeColor="text1" w:themeTint="80"/>
        </w:rPr>
        <w:t>,</w:t>
      </w:r>
      <w:r w:rsidRPr="008A3430">
        <w:rPr>
          <w:rStyle w:val="Network-bodytext"/>
          <w:color w:val="7F7F7F" w:themeColor="text1" w:themeTint="80"/>
        </w:rPr>
        <w:t xml:space="preserve"> the Department of Energy attributed to </w:t>
      </w:r>
      <w:r w:rsidR="00EB2840" w:rsidRPr="008A3430">
        <w:rPr>
          <w:rStyle w:val="Network-bodytext"/>
          <w:color w:val="7F7F7F" w:themeColor="text1" w:themeTint="80"/>
        </w:rPr>
        <w:t>energy-effi</w:t>
      </w:r>
      <w:r w:rsidRPr="008A3430">
        <w:rPr>
          <w:rStyle w:val="Network-bodytext"/>
          <w:color w:val="7F7F7F" w:themeColor="text1" w:themeTint="80"/>
        </w:rPr>
        <w:t>ciency standards promulgated between 2007 and 2014, private benefits</w:t>
      </w:r>
      <w:r w:rsidR="00A641EA" w:rsidRPr="008A3430">
        <w:rPr>
          <w:rStyle w:val="Network-bodytext"/>
          <w:color w:val="7F7F7F" w:themeColor="text1" w:themeTint="80"/>
        </w:rPr>
        <w:t xml:space="preserve"> – </w:t>
      </w:r>
      <w:r w:rsidRPr="008A3430">
        <w:rPr>
          <w:rStyle w:val="Network-bodytext"/>
          <w:color w:val="7F7F7F" w:themeColor="text1" w:themeTint="80"/>
        </w:rPr>
        <w:t>giving consumers what they failed to choose for themselves</w:t>
      </w:r>
      <w:r w:rsidR="00A641EA" w:rsidRPr="008A3430">
        <w:rPr>
          <w:rStyle w:val="Network-bodytext"/>
          <w:color w:val="7F7F7F" w:themeColor="text1" w:themeTint="80"/>
        </w:rPr>
        <w:t xml:space="preserve"> – </w:t>
      </w:r>
      <w:r w:rsidR="00E5078B" w:rsidRPr="008A3430">
        <w:rPr>
          <w:rStyle w:val="Network-bodytext"/>
          <w:color w:val="7F7F7F" w:themeColor="text1" w:themeTint="80"/>
        </w:rPr>
        <w:t>of</w:t>
      </w:r>
      <w:r w:rsidRPr="008A3430">
        <w:rPr>
          <w:rStyle w:val="Network-bodytext"/>
          <w:color w:val="7F7F7F" w:themeColor="text1" w:themeTint="80"/>
        </w:rPr>
        <w:t xml:space="preserve"> US$23.4 billion.  </w:t>
      </w:r>
      <w:r w:rsidR="00E5078B" w:rsidRPr="008A3430">
        <w:rPr>
          <w:rStyle w:val="Network-bodytext"/>
          <w:color w:val="7F7F7F" w:themeColor="text1" w:themeTint="80"/>
        </w:rPr>
        <w:t>The Department</w:t>
      </w:r>
      <w:r w:rsidRPr="008A3430">
        <w:rPr>
          <w:rStyle w:val="Network-bodytext"/>
          <w:color w:val="7F7F7F" w:themeColor="text1" w:themeTint="80"/>
        </w:rPr>
        <w:t>’s estimated cost of these regulations was US$7.8 billion.  Counting private benefits, these regulations collectively pass a benefit-cost test, but if one does not count the private benefits, the benefit of the standards is only US$3.2 billion</w:t>
      </w:r>
      <w:r w:rsidR="00BE3D65" w:rsidRPr="008A3430">
        <w:rPr>
          <w:rStyle w:val="Network-bodytext"/>
          <w:color w:val="7F7F7F" w:themeColor="text1" w:themeTint="80"/>
        </w:rPr>
        <w:t>,</w:t>
      </w:r>
      <w:r w:rsidRPr="008A3430">
        <w:rPr>
          <w:rStyle w:val="Network-bodytext"/>
          <w:color w:val="7F7F7F" w:themeColor="text1" w:themeTint="80"/>
        </w:rPr>
        <w:t xml:space="preserve"> far below the costs.</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The debate then, rests not purely in the ivory tower.  The merits of regulatory requirements to promote </w:t>
      </w:r>
      <w:r w:rsidR="00EB2840" w:rsidRPr="008A3430">
        <w:rPr>
          <w:rStyle w:val="Network-bodytext"/>
          <w:color w:val="7F7F7F" w:themeColor="text1" w:themeTint="80"/>
        </w:rPr>
        <w:t>energy-effi</w:t>
      </w:r>
      <w:r w:rsidRPr="008A3430">
        <w:rPr>
          <w:rStyle w:val="Network-bodytext"/>
          <w:color w:val="7F7F7F" w:themeColor="text1" w:themeTint="80"/>
        </w:rPr>
        <w:t>ciency, whether placed on utilities or the wider energy sector</w:t>
      </w:r>
      <w:r w:rsidR="00E5078B" w:rsidRPr="008A3430">
        <w:rPr>
          <w:rStyle w:val="Network-bodytext"/>
          <w:color w:val="7F7F7F" w:themeColor="text1" w:themeTint="80"/>
        </w:rPr>
        <w:t>,</w:t>
      </w:r>
      <w:r w:rsidRPr="008A3430">
        <w:rPr>
          <w:rStyle w:val="Network-bodytext"/>
          <w:color w:val="7F7F7F" w:themeColor="text1" w:themeTint="80"/>
        </w:rPr>
        <w:t xml:space="preserve"> are closely tied to whether consumer </w:t>
      </w:r>
      <w:r w:rsidR="003C521B">
        <w:rPr>
          <w:rStyle w:val="Network-bodytext"/>
          <w:color w:val="7F7F7F" w:themeColor="text1" w:themeTint="80"/>
        </w:rPr>
        <w:t>behavior</w:t>
      </w:r>
      <w:r w:rsidRPr="008A3430">
        <w:rPr>
          <w:rStyle w:val="Network-bodytext"/>
          <w:color w:val="7F7F7F" w:themeColor="text1" w:themeTint="80"/>
        </w:rPr>
        <w:t xml:space="preserve"> is interpreted as a revealed preference or a mistake.  A very useful debate between advocates of counting </w:t>
      </w:r>
      <w:r w:rsidR="00A070B4" w:rsidRPr="008A3430">
        <w:rPr>
          <w:rStyle w:val="Network-bodytext"/>
          <w:color w:val="7F7F7F" w:themeColor="text1" w:themeTint="80"/>
        </w:rPr>
        <w:t>‘</w:t>
      </w:r>
      <w:r w:rsidRPr="008A3430">
        <w:rPr>
          <w:rStyle w:val="Network-bodytext"/>
          <w:color w:val="7F7F7F" w:themeColor="text1" w:themeTint="80"/>
        </w:rPr>
        <w:t>private benefits</w:t>
      </w:r>
      <w:r w:rsidR="00A070B4" w:rsidRPr="008A3430">
        <w:rPr>
          <w:rStyle w:val="Network-bodytext"/>
          <w:color w:val="7F7F7F" w:themeColor="text1" w:themeTint="80"/>
        </w:rPr>
        <w:t>’</w:t>
      </w:r>
      <w:r w:rsidRPr="008A3430">
        <w:rPr>
          <w:rStyle w:val="Network-bodytext"/>
          <w:color w:val="7F7F7F" w:themeColor="text1" w:themeTint="80"/>
        </w:rPr>
        <w:t xml:space="preserve"> (Allcott and Sunstein, 2015a, 2015b) and those opposed (Dudley and Mannix, 2015a, 2015b) provides insights from both sides.  I lean toward the side of the opponents in this debate, admittedly because leaping to irrationality as an explanation pre-empts the search for theories to explain the previously inexplicable.  Economics would have failed to develop theories based on incomplete information, strategic </w:t>
      </w:r>
      <w:r w:rsidR="003C521B">
        <w:rPr>
          <w:rStyle w:val="Network-bodytext"/>
          <w:color w:val="7F7F7F" w:themeColor="text1" w:themeTint="80"/>
        </w:rPr>
        <w:t>behavior</w:t>
      </w:r>
      <w:r w:rsidRPr="008A3430">
        <w:rPr>
          <w:rStyle w:val="Network-bodytext"/>
          <w:color w:val="7F7F7F" w:themeColor="text1" w:themeTint="80"/>
        </w:rPr>
        <w:t>, and transaction costs</w:t>
      </w:r>
      <w:r w:rsidR="00E5078B" w:rsidRPr="008A3430">
        <w:rPr>
          <w:rStyle w:val="Network-bodytext"/>
          <w:color w:val="7F7F7F" w:themeColor="text1" w:themeTint="80"/>
        </w:rPr>
        <w:t>,</w:t>
      </w:r>
      <w:r w:rsidRPr="008A3430">
        <w:rPr>
          <w:rStyle w:val="Network-bodytext"/>
          <w:color w:val="7F7F7F" w:themeColor="text1" w:themeTint="80"/>
        </w:rPr>
        <w:t xml:space="preserve"> had one just assumed a bias. </w:t>
      </w:r>
      <w:r w:rsidR="00923234" w:rsidRPr="008A3430">
        <w:rPr>
          <w:rStyle w:val="Network-bodytext"/>
          <w:color w:val="7F7F7F" w:themeColor="text1" w:themeTint="80"/>
        </w:rPr>
        <w:t xml:space="preserve"> </w:t>
      </w:r>
      <w:r w:rsidRPr="008A3430">
        <w:rPr>
          <w:rStyle w:val="Network-bodytext"/>
          <w:color w:val="7F7F7F" w:themeColor="text1" w:themeTint="80"/>
        </w:rPr>
        <w:t xml:space="preserve">But there are larger concerns as well, both in electricity regulation and beyond.  </w:t>
      </w:r>
    </w:p>
    <w:p w:rsidR="00052813" w:rsidRPr="008A3430" w:rsidRDefault="00367E43" w:rsidP="00052813">
      <w:pPr>
        <w:rPr>
          <w:rStyle w:val="Network-bodytext"/>
          <w:b/>
          <w:color w:val="7F7F7F" w:themeColor="text1" w:themeTint="80"/>
        </w:rPr>
      </w:pPr>
      <w:r w:rsidRPr="008A3430">
        <w:rPr>
          <w:rStyle w:val="Network-bodytext"/>
          <w:b/>
          <w:color w:val="7F7F7F" w:themeColor="text1" w:themeTint="80"/>
        </w:rPr>
        <w:t>Manipulating Consumers and the S</w:t>
      </w:r>
      <w:r w:rsidR="00052813" w:rsidRPr="008A3430">
        <w:rPr>
          <w:rStyle w:val="Network-bodytext"/>
          <w:b/>
          <w:color w:val="7F7F7F" w:themeColor="text1" w:themeTint="80"/>
        </w:rPr>
        <w:t xml:space="preserve">lippery </w:t>
      </w:r>
      <w:r w:rsidRPr="008A3430">
        <w:rPr>
          <w:rStyle w:val="Network-bodytext"/>
          <w:b/>
          <w:color w:val="7F7F7F" w:themeColor="text1" w:themeTint="80"/>
        </w:rPr>
        <w:t>S</w:t>
      </w:r>
      <w:r w:rsidR="00052813" w:rsidRPr="008A3430">
        <w:rPr>
          <w:rStyle w:val="Network-bodytext"/>
          <w:b/>
          <w:color w:val="7F7F7F" w:themeColor="text1" w:themeTint="80"/>
        </w:rPr>
        <w:t>lope</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Although alleviating consumer error enables </w:t>
      </w:r>
      <w:r w:rsidR="00EB2840" w:rsidRPr="008A3430">
        <w:rPr>
          <w:rStyle w:val="Network-bodytext"/>
          <w:color w:val="7F7F7F" w:themeColor="text1" w:themeTint="80"/>
        </w:rPr>
        <w:t>energy-effi</w:t>
      </w:r>
      <w:r w:rsidRPr="008A3430">
        <w:rPr>
          <w:rStyle w:val="Network-bodytext"/>
          <w:color w:val="7F7F7F" w:themeColor="text1" w:themeTint="80"/>
        </w:rPr>
        <w:t xml:space="preserve">ciency mandates to pass benefit-costs tests, concern for mistaken consumers is not the motivation </w:t>
      </w:r>
      <w:r w:rsidRPr="008A3430">
        <w:rPr>
          <w:rStyle w:val="Network-bodytext"/>
          <w:color w:val="7F7F7F" w:themeColor="text1" w:themeTint="80"/>
        </w:rPr>
        <w:lastRenderedPageBreak/>
        <w:t xml:space="preserve">behind those mandates.  Rather, the motivation is that such policies will produce public environmental benefits, such as mitigating climate change, because they reduce energy use.  This leads to an unstated question: What if consumer error is good for the environment or for climate?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Automobiles offer two examples.  Electric cars are often characteri</w:t>
      </w:r>
      <w:r w:rsidR="00A641EA" w:rsidRPr="008A3430">
        <w:rPr>
          <w:rStyle w:val="Network-bodytext"/>
          <w:color w:val="7F7F7F" w:themeColor="text1" w:themeTint="80"/>
        </w:rPr>
        <w:t>s</w:t>
      </w:r>
      <w:r w:rsidRPr="008A3430">
        <w:rPr>
          <w:rStyle w:val="Network-bodytext"/>
          <w:color w:val="7F7F7F" w:themeColor="text1" w:themeTint="80"/>
        </w:rPr>
        <w:t xml:space="preserve">ed as </w:t>
      </w:r>
      <w:r w:rsidR="00A070B4" w:rsidRPr="008A3430">
        <w:rPr>
          <w:rStyle w:val="Network-bodytext"/>
          <w:color w:val="7F7F7F" w:themeColor="text1" w:themeTint="80"/>
        </w:rPr>
        <w:t>‘</w:t>
      </w:r>
      <w:r w:rsidRPr="008A3430">
        <w:rPr>
          <w:rStyle w:val="Network-bodytext"/>
          <w:color w:val="7F7F7F" w:themeColor="text1" w:themeTint="80"/>
        </w:rPr>
        <w:t>zero emissions</w:t>
      </w:r>
      <w:r w:rsidR="00A070B4" w:rsidRPr="008A3430">
        <w:rPr>
          <w:rStyle w:val="Network-bodytext"/>
          <w:color w:val="7F7F7F" w:themeColor="text1" w:themeTint="80"/>
        </w:rPr>
        <w:t>’</w:t>
      </w:r>
      <w:r w:rsidRPr="008A3430">
        <w:rPr>
          <w:rStyle w:val="Network-bodytext"/>
          <w:color w:val="7F7F7F" w:themeColor="text1" w:themeTint="80"/>
        </w:rPr>
        <w:t>.  Of course, they typically are not, as they draw energy from electricity generated by coal or natural gas plants.  Hence, consumers are likely to overstate the environmental benefits.</w:t>
      </w:r>
      <w:r w:rsidR="001110D6" w:rsidRPr="008A3430">
        <w:rPr>
          <w:color w:val="7F7F7F" w:themeColor="text1" w:themeTint="80"/>
          <w:kern w:val="36"/>
          <w:vertAlign w:val="superscript"/>
        </w:rPr>
        <w:footnoteReference w:id="9"/>
      </w:r>
      <w:r w:rsidRPr="008A3430">
        <w:rPr>
          <w:rStyle w:val="Network-bodytext"/>
          <w:color w:val="7F7F7F" w:themeColor="text1" w:themeTint="80"/>
        </w:rPr>
        <w:t xml:space="preserve">  Another error going beyond electric cars involves how </w:t>
      </w:r>
      <w:r w:rsidR="00AA5AF0" w:rsidRPr="008A3430">
        <w:rPr>
          <w:rStyle w:val="Network-bodytext"/>
          <w:color w:val="7F7F7F" w:themeColor="text1" w:themeTint="80"/>
        </w:rPr>
        <w:t>US</w:t>
      </w:r>
      <w:r w:rsidRPr="008A3430">
        <w:rPr>
          <w:rStyle w:val="Network-bodytext"/>
          <w:color w:val="7F7F7F" w:themeColor="text1" w:themeTint="80"/>
        </w:rPr>
        <w:t xml:space="preserve"> consumers understand fuel efficiency.  The </w:t>
      </w:r>
      <w:r w:rsidR="00AA5AF0" w:rsidRPr="008A3430">
        <w:rPr>
          <w:rStyle w:val="Network-bodytext"/>
          <w:color w:val="7F7F7F" w:themeColor="text1" w:themeTint="80"/>
        </w:rPr>
        <w:t>US</w:t>
      </w:r>
      <w:r w:rsidRPr="008A3430">
        <w:rPr>
          <w:rStyle w:val="Network-bodytext"/>
          <w:color w:val="7F7F7F" w:themeColor="text1" w:themeTint="80"/>
        </w:rPr>
        <w:t>, unlike most countries, uses distance/fuel quantity (miles per gallon) rather than fuel quantity/distance (litres per 100 km).  Consequently it is easy for consumers to assume that going from 40 to 50 miles per gallon has the same benefit as going from 20 to 30 miles per gallon, when the former increase efficiency only 25</w:t>
      </w:r>
      <w:r w:rsidR="00A641EA" w:rsidRPr="008A3430">
        <w:rPr>
          <w:rStyle w:val="Network-bodytext"/>
          <w:color w:val="7F7F7F" w:themeColor="text1" w:themeTint="80"/>
        </w:rPr>
        <w:t xml:space="preserve"> per cent</w:t>
      </w:r>
      <w:r w:rsidRPr="008A3430">
        <w:rPr>
          <w:rStyle w:val="Network-bodytext"/>
          <w:color w:val="7F7F7F" w:themeColor="text1" w:themeTint="80"/>
        </w:rPr>
        <w:t xml:space="preserve"> compared to 50</w:t>
      </w:r>
      <w:r w:rsidR="00A641EA" w:rsidRPr="008A3430">
        <w:rPr>
          <w:rStyle w:val="Network-bodytext"/>
          <w:color w:val="7F7F7F" w:themeColor="text1" w:themeTint="80"/>
        </w:rPr>
        <w:t xml:space="preserve"> per cent</w:t>
      </w:r>
      <w:r w:rsidRPr="008A3430">
        <w:rPr>
          <w:rStyle w:val="Network-bodytext"/>
          <w:color w:val="7F7F7F" w:themeColor="text1" w:themeTint="80"/>
        </w:rPr>
        <w:t xml:space="preserve"> for the latter.  But if consumers are more willing to buy electric or high mileage cars based on mistaken beliefs, will the </w:t>
      </w:r>
      <w:r w:rsidR="00A070B4" w:rsidRPr="008A3430">
        <w:rPr>
          <w:rStyle w:val="Network-bodytext"/>
          <w:color w:val="7F7F7F" w:themeColor="text1" w:themeTint="80"/>
        </w:rPr>
        <w:t>‘</w:t>
      </w:r>
      <w:r w:rsidRPr="008A3430">
        <w:rPr>
          <w:rStyle w:val="Network-bodytext"/>
          <w:color w:val="7F7F7F" w:themeColor="text1" w:themeTint="80"/>
        </w:rPr>
        <w:t>private losses</w:t>
      </w:r>
      <w:r w:rsidR="00A070B4" w:rsidRPr="008A3430">
        <w:rPr>
          <w:rStyle w:val="Network-bodytext"/>
          <w:color w:val="7F7F7F" w:themeColor="text1" w:themeTint="80"/>
        </w:rPr>
        <w:t>’</w:t>
      </w:r>
      <w:r w:rsidRPr="008A3430">
        <w:rPr>
          <w:rStyle w:val="Network-bodytext"/>
          <w:color w:val="7F7F7F" w:themeColor="text1" w:themeTint="80"/>
        </w:rPr>
        <w:t xml:space="preserve"> be included in assessing policies to promote their use?  I have my doubts.</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Going beyond the energy sector, regulators and policy makers face a very slippery slope in considering whether to enact policies on the basis of consumer mistakes.  If regulators believe that people cannot make rational purchasing decisions regarding </w:t>
      </w:r>
      <w:r w:rsidR="00EB2840" w:rsidRPr="008A3430">
        <w:rPr>
          <w:rStyle w:val="Network-bodytext"/>
          <w:color w:val="7F7F7F" w:themeColor="text1" w:themeTint="80"/>
        </w:rPr>
        <w:t>energy-effi</w:t>
      </w:r>
      <w:r w:rsidRPr="008A3430">
        <w:rPr>
          <w:rStyle w:val="Network-bodytext"/>
          <w:color w:val="7F7F7F" w:themeColor="text1" w:themeTint="80"/>
        </w:rPr>
        <w:t>cient lighting or air conditions, what decisions can they be trusted to make?  Wil</w:t>
      </w:r>
      <w:r w:rsidR="00A641EA" w:rsidRPr="008A3430">
        <w:rPr>
          <w:rStyle w:val="Network-bodytext"/>
          <w:color w:val="7F7F7F" w:themeColor="text1" w:themeTint="80"/>
        </w:rPr>
        <w:t>l</w:t>
      </w:r>
      <w:r w:rsidRPr="008A3430">
        <w:rPr>
          <w:rStyle w:val="Network-bodytext"/>
          <w:color w:val="7F7F7F" w:themeColor="text1" w:themeTint="80"/>
        </w:rPr>
        <w:t xml:space="preserve"> they pick the right careers?  Buy the right house or car?  Get the correct medical treatment?  Attend the right university?  Save for their retirement?  For some of these, we have policy interventions, such as accrediting universities, licensing physicians and mandating contributions to public pension systems, which may be responses to consumer mistakes.  But those hardly limit the scope of what could be justified by </w:t>
      </w:r>
      <w:r w:rsidR="00BE3D65" w:rsidRPr="008A3430">
        <w:rPr>
          <w:rStyle w:val="Network-bodytext"/>
          <w:color w:val="7F7F7F" w:themeColor="text1" w:themeTint="80"/>
        </w:rPr>
        <w:t>such errors</w:t>
      </w:r>
      <w:r w:rsidRPr="008A3430">
        <w:rPr>
          <w:rStyle w:val="Network-bodytext"/>
          <w:color w:val="7F7F7F" w:themeColor="text1" w:themeTint="80"/>
        </w:rPr>
        <w:t>.</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In large measure, this viewpoint undercuts the broad reliance on markets characteristic of Australia, the </w:t>
      </w:r>
      <w:r w:rsidR="00AA5AF0" w:rsidRPr="008A3430">
        <w:rPr>
          <w:rStyle w:val="Network-bodytext"/>
          <w:color w:val="7F7F7F" w:themeColor="text1" w:themeTint="80"/>
        </w:rPr>
        <w:t>US</w:t>
      </w:r>
      <w:r w:rsidRPr="008A3430">
        <w:rPr>
          <w:rStyle w:val="Network-bodytext"/>
          <w:color w:val="7F7F7F" w:themeColor="text1" w:themeTint="80"/>
        </w:rPr>
        <w:t>, and most modern developed economies.  If consumers make mistakes, the quantities determined by supply and demand will not typically generate the greatest net economic benefit.  Maximi</w:t>
      </w:r>
      <w:r w:rsidR="00A641EA" w:rsidRPr="008A3430">
        <w:rPr>
          <w:rStyle w:val="Network-bodytext"/>
          <w:color w:val="7F7F7F" w:themeColor="text1" w:themeTint="80"/>
        </w:rPr>
        <w:t>s</w:t>
      </w:r>
      <w:r w:rsidRPr="008A3430">
        <w:rPr>
          <w:rStyle w:val="Network-bodytext"/>
          <w:color w:val="7F7F7F" w:themeColor="text1" w:themeTint="80"/>
        </w:rPr>
        <w:t xml:space="preserve">ing net economic benefit is not the only defence of markets.  They can be defended as being most consistent with freedom of action, apart from whether the outcome is best in a benefit-cost sense.  This libertarian </w:t>
      </w:r>
      <w:r w:rsidRPr="008A3430">
        <w:rPr>
          <w:rStyle w:val="Network-bodytext"/>
          <w:color w:val="7F7F7F" w:themeColor="text1" w:themeTint="80"/>
        </w:rPr>
        <w:lastRenderedPageBreak/>
        <w:t>justification of markets, however, undercuts state actions to address market failures</w:t>
      </w:r>
      <w:r w:rsidR="00A641EA" w:rsidRPr="008A3430">
        <w:rPr>
          <w:rStyle w:val="Network-bodytext"/>
          <w:color w:val="7F7F7F" w:themeColor="text1" w:themeTint="80"/>
        </w:rPr>
        <w:t xml:space="preserve"> – </w:t>
      </w:r>
      <w:r w:rsidRPr="008A3430">
        <w:rPr>
          <w:rStyle w:val="Network-bodytext"/>
          <w:color w:val="7F7F7F" w:themeColor="text1" w:themeTint="80"/>
        </w:rPr>
        <w:t>correct</w:t>
      </w:r>
      <w:r w:rsidR="00E5078B" w:rsidRPr="008A3430">
        <w:rPr>
          <w:rStyle w:val="Network-bodytext"/>
          <w:color w:val="7F7F7F" w:themeColor="text1" w:themeTint="80"/>
        </w:rPr>
        <w:t>ing</w:t>
      </w:r>
      <w:r w:rsidRPr="008A3430">
        <w:rPr>
          <w:rStyle w:val="Network-bodytext"/>
          <w:color w:val="7F7F7F" w:themeColor="text1" w:themeTint="80"/>
        </w:rPr>
        <w:t xml:space="preserve"> for externalities, ameliorat</w:t>
      </w:r>
      <w:r w:rsidR="00E5078B" w:rsidRPr="008A3430">
        <w:rPr>
          <w:rStyle w:val="Network-bodytext"/>
          <w:color w:val="7F7F7F" w:themeColor="text1" w:themeTint="80"/>
        </w:rPr>
        <w:t>ing</w:t>
      </w:r>
      <w:r w:rsidRPr="008A3430">
        <w:rPr>
          <w:rStyle w:val="Network-bodytext"/>
          <w:color w:val="7F7F7F" w:themeColor="text1" w:themeTint="80"/>
        </w:rPr>
        <w:t xml:space="preserve"> market power, overcom</w:t>
      </w:r>
      <w:r w:rsidR="00E5078B" w:rsidRPr="008A3430">
        <w:rPr>
          <w:rStyle w:val="Network-bodytext"/>
          <w:color w:val="7F7F7F" w:themeColor="text1" w:themeTint="80"/>
        </w:rPr>
        <w:t>ing</w:t>
      </w:r>
      <w:r w:rsidRPr="008A3430">
        <w:rPr>
          <w:rStyle w:val="Network-bodytext"/>
          <w:color w:val="7F7F7F" w:themeColor="text1" w:themeTint="80"/>
        </w:rPr>
        <w:t xml:space="preserve"> asymmetric information, provid</w:t>
      </w:r>
      <w:r w:rsidR="00E5078B" w:rsidRPr="008A3430">
        <w:rPr>
          <w:rStyle w:val="Network-bodytext"/>
          <w:color w:val="7F7F7F" w:themeColor="text1" w:themeTint="80"/>
        </w:rPr>
        <w:t>ing</w:t>
      </w:r>
      <w:r w:rsidRPr="008A3430">
        <w:rPr>
          <w:rStyle w:val="Network-bodytext"/>
          <w:color w:val="7F7F7F" w:themeColor="text1" w:themeTint="80"/>
        </w:rPr>
        <w:t xml:space="preserve"> public goods.  If one thinks these are important goals but that markets in general cannot be trusted, one may be left with a more aggressive form of central planning.  </w:t>
      </w:r>
    </w:p>
    <w:p w:rsidR="00052813" w:rsidRPr="008A3430" w:rsidRDefault="00052813" w:rsidP="00052813">
      <w:pPr>
        <w:rPr>
          <w:rStyle w:val="Network-bodytext"/>
          <w:b/>
          <w:color w:val="7F7F7F" w:themeColor="text1" w:themeTint="80"/>
        </w:rPr>
      </w:pPr>
      <w:r w:rsidRPr="008A3430">
        <w:rPr>
          <w:rStyle w:val="Network-bodytext"/>
          <w:b/>
          <w:color w:val="7F7F7F" w:themeColor="text1" w:themeTint="80"/>
        </w:rPr>
        <w:t>So what might regulators and the public do?</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Three options come to mind.  The first, and probably foremost, is to put a high burden on showing that consumer error, and not some underlying preference or information shortcoming, is sufficiently compelling to warrant replacing private choices with regulatory mandates.  Otherwise, one gives up the ability to let disinterested benefit-cost analysis provide appropriate information for what regulators should do.</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If consumer error is sufficiently compelling to warrant superseding choices with mandates, the problem then becomes who gets to make those regulatory choices.  This can be thought of as a higher-order choice question for the public: Who would you like to make choices in contexts where you think you would make the wrong ones?  This is not an unusual question; people delegate choices all the time to doctors, financial advisors, auto mechanics, and the like.  The outcomes are hardly perfect, but one could view regulation as a similar kind of rational delegation through a democratic process of authority to an agent</w:t>
      </w:r>
      <w:r w:rsidR="00A641EA" w:rsidRPr="008A3430">
        <w:rPr>
          <w:rStyle w:val="Network-bodytext"/>
          <w:color w:val="7F7F7F" w:themeColor="text1" w:themeTint="80"/>
        </w:rPr>
        <w:t xml:space="preserve"> – </w:t>
      </w:r>
      <w:r w:rsidRPr="008A3430">
        <w:rPr>
          <w:rStyle w:val="Network-bodytext"/>
          <w:color w:val="7F7F7F" w:themeColor="text1" w:themeTint="80"/>
        </w:rPr>
        <w:t>the regulator</w:t>
      </w:r>
      <w:r w:rsidR="00A641EA" w:rsidRPr="008A3430">
        <w:rPr>
          <w:rStyle w:val="Network-bodytext"/>
          <w:color w:val="7F7F7F" w:themeColor="text1" w:themeTint="80"/>
        </w:rPr>
        <w:t xml:space="preserve"> – </w:t>
      </w:r>
      <w:r w:rsidRPr="008A3430">
        <w:rPr>
          <w:rStyle w:val="Network-bodytext"/>
          <w:color w:val="7F7F7F" w:themeColor="text1" w:themeTint="80"/>
        </w:rPr>
        <w:t>to make choices on behalf of a principal</w:t>
      </w:r>
      <w:r w:rsidR="00A641EA" w:rsidRPr="008A3430">
        <w:rPr>
          <w:rStyle w:val="Network-bodytext"/>
          <w:color w:val="7F7F7F" w:themeColor="text1" w:themeTint="80"/>
        </w:rPr>
        <w:t xml:space="preserve"> – </w:t>
      </w:r>
      <w:r w:rsidRPr="008A3430">
        <w:rPr>
          <w:rStyle w:val="Network-bodytext"/>
          <w:color w:val="7F7F7F" w:themeColor="text1" w:themeTint="80"/>
        </w:rPr>
        <w:t xml:space="preserve">the public. </w:t>
      </w:r>
    </w:p>
    <w:p w:rsidR="00052813" w:rsidRPr="008A3430" w:rsidRDefault="00052813" w:rsidP="00052813">
      <w:pPr>
        <w:rPr>
          <w:rStyle w:val="Network-bodytext"/>
          <w:color w:val="7F7F7F" w:themeColor="text1" w:themeTint="80"/>
        </w:rPr>
      </w:pPr>
      <w:r w:rsidRPr="008A3430">
        <w:rPr>
          <w:rStyle w:val="Network-bodytext"/>
          <w:color w:val="7F7F7F" w:themeColor="text1" w:themeTint="80"/>
        </w:rPr>
        <w:t xml:space="preserve">A final suggestion in these potential error contexts is for a regulator </w:t>
      </w:r>
      <w:r w:rsidR="00E5078B" w:rsidRPr="008A3430">
        <w:rPr>
          <w:rStyle w:val="Network-bodytext"/>
          <w:color w:val="7F7F7F" w:themeColor="text1" w:themeTint="80"/>
        </w:rPr>
        <w:t>not to</w:t>
      </w:r>
      <w:r w:rsidRPr="008A3430">
        <w:rPr>
          <w:rStyle w:val="Network-bodytext"/>
          <w:color w:val="7F7F7F" w:themeColor="text1" w:themeTint="80"/>
        </w:rPr>
        <w:t xml:space="preserve"> act until it gives the public the information and time to understand that it is making a mistake.  A useful methodological principle in limiting the scope of </w:t>
      </w:r>
      <w:r w:rsidR="003C521B">
        <w:rPr>
          <w:rStyle w:val="Network-bodytext"/>
          <w:color w:val="7F7F7F" w:themeColor="text1" w:themeTint="80"/>
        </w:rPr>
        <w:t>behavior</w:t>
      </w:r>
      <w:r w:rsidRPr="008A3430">
        <w:rPr>
          <w:rStyle w:val="Network-bodytext"/>
          <w:color w:val="7F7F7F" w:themeColor="text1" w:themeTint="80"/>
        </w:rPr>
        <w:t xml:space="preserve">al economics is to acknowledge that people make mistakes.  But if they continue that </w:t>
      </w:r>
      <w:r w:rsidR="003C521B">
        <w:rPr>
          <w:rStyle w:val="Network-bodytext"/>
          <w:color w:val="7F7F7F" w:themeColor="text1" w:themeTint="80"/>
        </w:rPr>
        <w:t>behavior</w:t>
      </w:r>
      <w:r w:rsidRPr="008A3430">
        <w:rPr>
          <w:rStyle w:val="Network-bodytext"/>
          <w:color w:val="7F7F7F" w:themeColor="text1" w:themeTint="80"/>
        </w:rPr>
        <w:t xml:space="preserve"> after they understand why it seems to be a mistake, then it becomes a revealed preference to be respected, even if the regulator does not understand its rationale.  If someone says they still want the less </w:t>
      </w:r>
      <w:r w:rsidR="00EB2840" w:rsidRPr="008A3430">
        <w:rPr>
          <w:rStyle w:val="Network-bodytext"/>
          <w:color w:val="7F7F7F" w:themeColor="text1" w:themeTint="80"/>
        </w:rPr>
        <w:t>energy-effi</w:t>
      </w:r>
      <w:r w:rsidRPr="008A3430">
        <w:rPr>
          <w:rStyle w:val="Network-bodytext"/>
          <w:color w:val="7F7F7F" w:themeColor="text1" w:themeTint="80"/>
        </w:rPr>
        <w:t>cient air conditioner despite the energy savings that have been explained to them, that is their choice.  Taking that away from them is a cost, not a private benefit.</w:t>
      </w:r>
    </w:p>
    <w:p w:rsidR="00052813" w:rsidRPr="008A3430" w:rsidRDefault="00052813" w:rsidP="00052813">
      <w:pPr>
        <w:rPr>
          <w:rStyle w:val="Network-bodytext"/>
          <w:b/>
          <w:color w:val="7F7F7F" w:themeColor="text1" w:themeTint="80"/>
        </w:rPr>
      </w:pPr>
      <w:r w:rsidRPr="008A3430">
        <w:rPr>
          <w:rStyle w:val="Network-bodytext"/>
          <w:b/>
          <w:color w:val="7F7F7F" w:themeColor="text1" w:themeTint="80"/>
        </w:rPr>
        <w:t>References</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Allcott, H and C Sunstein (2015a) </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Regulating Internalities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Journal of Policy Analysis and Management</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34, pp. 698–705.</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Allcott, H and C Sunstein (2015b) </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Counterpoint to Six Potential A</w:t>
      </w:r>
      <w:r w:rsidR="00C36342" w:rsidRPr="00BF2B3B">
        <w:rPr>
          <w:rStyle w:val="Network-bodytext"/>
          <w:color w:val="7F7F7F" w:themeColor="text1" w:themeTint="80"/>
          <w:sz w:val="18"/>
          <w:szCs w:val="18"/>
        </w:rPr>
        <w:t>rguments Against “</w:t>
      </w:r>
      <w:r w:rsidRPr="00BF2B3B">
        <w:rPr>
          <w:rStyle w:val="Network-bodytext"/>
          <w:color w:val="7F7F7F" w:themeColor="text1" w:themeTint="80"/>
          <w:sz w:val="18"/>
          <w:szCs w:val="18"/>
        </w:rPr>
        <w:t>Regulating Internalities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Journal of Policy Analysis and Management</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34, pp. 712–715.</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Brennan, T (2010a) </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Decoupling in Electric Utilities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Journal of Regulatory Economics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38, pp. 49-69.</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lastRenderedPageBreak/>
        <w:t xml:space="preserve">Brennan, T (2010b) </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Optimal </w:t>
      </w:r>
      <w:r w:rsidR="00EB2840" w:rsidRPr="00BF2B3B">
        <w:rPr>
          <w:rStyle w:val="Network-bodytext"/>
          <w:color w:val="7F7F7F" w:themeColor="text1" w:themeTint="80"/>
          <w:sz w:val="18"/>
          <w:szCs w:val="18"/>
        </w:rPr>
        <w:t>Energy</w:t>
      </w:r>
      <w:r w:rsidR="00B678DA" w:rsidRPr="00BF2B3B">
        <w:rPr>
          <w:rStyle w:val="Network-bodytext"/>
          <w:color w:val="7F7F7F" w:themeColor="text1" w:themeTint="80"/>
          <w:sz w:val="18"/>
          <w:szCs w:val="18"/>
        </w:rPr>
        <w:t xml:space="preserve"> E</w:t>
      </w:r>
      <w:r w:rsidR="00EB2840" w:rsidRPr="00BF2B3B">
        <w:rPr>
          <w:rStyle w:val="Network-bodytext"/>
          <w:color w:val="7F7F7F" w:themeColor="text1" w:themeTint="80"/>
          <w:sz w:val="18"/>
          <w:szCs w:val="18"/>
        </w:rPr>
        <w:t>ffi</w:t>
      </w:r>
      <w:r w:rsidRPr="00BF2B3B">
        <w:rPr>
          <w:rStyle w:val="Network-bodytext"/>
          <w:color w:val="7F7F7F" w:themeColor="text1" w:themeTint="80"/>
          <w:sz w:val="18"/>
          <w:szCs w:val="18"/>
        </w:rPr>
        <w:t>ciency Policies and Regulatory Demand-Side Management Tests, How Well Do They Match?</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Energy Policy</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38, pp. 3874-85.</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Brennan, T (2013) </w:t>
      </w:r>
      <w:r w:rsidR="00C36342" w:rsidRPr="00BF2B3B">
        <w:rPr>
          <w:rStyle w:val="Network-bodytext"/>
          <w:color w:val="7F7F7F" w:themeColor="text1" w:themeTint="80"/>
          <w:sz w:val="18"/>
          <w:szCs w:val="18"/>
        </w:rPr>
        <w:t>‘</w:t>
      </w:r>
      <w:r w:rsidR="00EB2840" w:rsidRPr="00BF2B3B">
        <w:rPr>
          <w:rStyle w:val="Network-bodytext"/>
          <w:color w:val="7F7F7F" w:themeColor="text1" w:themeTint="80"/>
          <w:sz w:val="18"/>
          <w:szCs w:val="18"/>
        </w:rPr>
        <w:t>Energy</w:t>
      </w:r>
      <w:r w:rsidR="0009592B" w:rsidRPr="00BF2B3B">
        <w:rPr>
          <w:rStyle w:val="Network-bodytext"/>
          <w:color w:val="7F7F7F" w:themeColor="text1" w:themeTint="80"/>
          <w:sz w:val="18"/>
          <w:szCs w:val="18"/>
        </w:rPr>
        <w:t xml:space="preserve"> E</w:t>
      </w:r>
      <w:r w:rsidR="00EB2840" w:rsidRPr="00BF2B3B">
        <w:rPr>
          <w:rStyle w:val="Network-bodytext"/>
          <w:color w:val="7F7F7F" w:themeColor="text1" w:themeTint="80"/>
          <w:sz w:val="18"/>
          <w:szCs w:val="18"/>
        </w:rPr>
        <w:t>ffi</w:t>
      </w:r>
      <w:r w:rsidRPr="00BF2B3B">
        <w:rPr>
          <w:rStyle w:val="Network-bodytext"/>
          <w:color w:val="7F7F7F" w:themeColor="text1" w:themeTint="80"/>
          <w:sz w:val="18"/>
          <w:szCs w:val="18"/>
        </w:rPr>
        <w:t>ciency Policy Puzzles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Energy Journal</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34, pp. 1-25.</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Brennan, T (2014) </w:t>
      </w:r>
      <w:r w:rsidR="00C36342" w:rsidRPr="00BF2B3B">
        <w:rPr>
          <w:rStyle w:val="Network-bodytext"/>
          <w:color w:val="7F7F7F" w:themeColor="text1" w:themeTint="80"/>
          <w:sz w:val="18"/>
          <w:szCs w:val="18"/>
        </w:rPr>
        <w:t>‘</w:t>
      </w:r>
      <w:r w:rsidR="003C521B">
        <w:rPr>
          <w:rStyle w:val="Network-bodytext"/>
          <w:color w:val="7F7F7F" w:themeColor="text1" w:themeTint="80"/>
          <w:sz w:val="18"/>
          <w:szCs w:val="18"/>
        </w:rPr>
        <w:t>Behavior</w:t>
      </w:r>
      <w:r w:rsidR="00F14285" w:rsidRPr="00BF2B3B">
        <w:rPr>
          <w:rStyle w:val="Network-bodytext"/>
          <w:color w:val="7F7F7F" w:themeColor="text1" w:themeTint="80"/>
          <w:sz w:val="18"/>
          <w:szCs w:val="18"/>
        </w:rPr>
        <w:t>al</w:t>
      </w:r>
      <w:r w:rsidRPr="00BF2B3B">
        <w:rPr>
          <w:rStyle w:val="Network-bodytext"/>
          <w:color w:val="7F7F7F" w:themeColor="text1" w:themeTint="80"/>
          <w:sz w:val="18"/>
          <w:szCs w:val="18"/>
        </w:rPr>
        <w:t xml:space="preserve"> Economics and Policy Evaluation</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Journal of Benefit-Cost Analysis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5, pp. 89-109.</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Brennan, T and M Crew (2016) </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Price Cap Regulation and Declining Demand</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in </w:t>
      </w:r>
      <w:r w:rsidR="00C36342" w:rsidRPr="00BF2B3B">
        <w:rPr>
          <w:rStyle w:val="Network-bodytext"/>
          <w:color w:val="7F7F7F" w:themeColor="text1" w:themeTint="80"/>
          <w:sz w:val="18"/>
          <w:szCs w:val="18"/>
        </w:rPr>
        <w:t>M Crew</w:t>
      </w:r>
      <w:r w:rsidRPr="00BF2B3B">
        <w:rPr>
          <w:rStyle w:val="Network-bodytext"/>
          <w:color w:val="7F7F7F" w:themeColor="text1" w:themeTint="80"/>
          <w:sz w:val="18"/>
          <w:szCs w:val="18"/>
        </w:rPr>
        <w:t xml:space="preserve"> and T Brennan (eds.), </w:t>
      </w:r>
      <w:r w:rsidRPr="00BF2B3B">
        <w:rPr>
          <w:rStyle w:val="Network-bodytext"/>
          <w:i/>
          <w:color w:val="7F7F7F" w:themeColor="text1" w:themeTint="80"/>
          <w:sz w:val="18"/>
          <w:szCs w:val="18"/>
        </w:rPr>
        <w:t>The Future of the Postal Sector in a Digital World</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Springer, </w:t>
      </w:r>
      <w:r w:rsidR="00C36342" w:rsidRPr="00BF2B3B">
        <w:rPr>
          <w:rStyle w:val="Network-bodytext"/>
          <w:color w:val="7F7F7F" w:themeColor="text1" w:themeTint="80"/>
          <w:sz w:val="18"/>
          <w:szCs w:val="18"/>
        </w:rPr>
        <w:t>New York,</w:t>
      </w:r>
      <w:r w:rsidRPr="00BF2B3B">
        <w:rPr>
          <w:rStyle w:val="Network-bodytext"/>
          <w:color w:val="7F7F7F" w:themeColor="text1" w:themeTint="80"/>
          <w:sz w:val="18"/>
          <w:szCs w:val="18"/>
        </w:rPr>
        <w:t xml:space="preserve"> pp. 1-17.</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Brennan, T and K Palmer (2013) </w:t>
      </w:r>
      <w:r w:rsidR="00C36342" w:rsidRPr="00BF2B3B">
        <w:rPr>
          <w:rStyle w:val="Network-bodytext"/>
          <w:color w:val="7F7F7F" w:themeColor="text1" w:themeTint="80"/>
          <w:sz w:val="18"/>
          <w:szCs w:val="18"/>
        </w:rPr>
        <w:t>‘</w:t>
      </w:r>
      <w:r w:rsidR="00EB2840" w:rsidRPr="00BF2B3B">
        <w:rPr>
          <w:rStyle w:val="Network-bodytext"/>
          <w:color w:val="7F7F7F" w:themeColor="text1" w:themeTint="80"/>
          <w:sz w:val="18"/>
          <w:szCs w:val="18"/>
        </w:rPr>
        <w:t>Energy</w:t>
      </w:r>
      <w:r w:rsidR="0009592B" w:rsidRPr="00BF2B3B">
        <w:rPr>
          <w:rStyle w:val="Network-bodytext"/>
          <w:color w:val="7F7F7F" w:themeColor="text1" w:themeTint="80"/>
          <w:sz w:val="18"/>
          <w:szCs w:val="18"/>
        </w:rPr>
        <w:t xml:space="preserve"> E</w:t>
      </w:r>
      <w:r w:rsidR="00EB2840" w:rsidRPr="00BF2B3B">
        <w:rPr>
          <w:rStyle w:val="Network-bodytext"/>
          <w:color w:val="7F7F7F" w:themeColor="text1" w:themeTint="80"/>
          <w:sz w:val="18"/>
          <w:szCs w:val="18"/>
        </w:rPr>
        <w:t>ffi</w:t>
      </w:r>
      <w:r w:rsidRPr="00BF2B3B">
        <w:rPr>
          <w:rStyle w:val="Network-bodytext"/>
          <w:color w:val="7F7F7F" w:themeColor="text1" w:themeTint="80"/>
          <w:sz w:val="18"/>
          <w:szCs w:val="18"/>
        </w:rPr>
        <w:t>ciency Resource Standards, Economics and Policy</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Utilities Policy</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25, pp. 58-68.</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Coates, D and B Humphries (1999) </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The Growth Effects of Sports Franchises, Stadia and Arenas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Journal of Policy Analysis and Management</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14, pp. 601-624.</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Gillingham, K, R Newell, and K Palmer (2009) </w:t>
      </w:r>
      <w:r w:rsidR="00C36342" w:rsidRPr="00BF2B3B">
        <w:rPr>
          <w:rStyle w:val="Network-bodytext"/>
          <w:color w:val="7F7F7F" w:themeColor="text1" w:themeTint="80"/>
          <w:sz w:val="18"/>
          <w:szCs w:val="18"/>
        </w:rPr>
        <w:t>‘</w:t>
      </w:r>
      <w:r w:rsidR="00EB2840" w:rsidRPr="00BF2B3B">
        <w:rPr>
          <w:rStyle w:val="Network-bodytext"/>
          <w:color w:val="7F7F7F" w:themeColor="text1" w:themeTint="80"/>
          <w:sz w:val="18"/>
          <w:szCs w:val="18"/>
        </w:rPr>
        <w:t>Energy</w:t>
      </w:r>
      <w:r w:rsidR="0009592B" w:rsidRPr="00BF2B3B">
        <w:rPr>
          <w:rStyle w:val="Network-bodytext"/>
          <w:color w:val="7F7F7F" w:themeColor="text1" w:themeTint="80"/>
          <w:sz w:val="18"/>
          <w:szCs w:val="18"/>
        </w:rPr>
        <w:t xml:space="preserve"> E</w:t>
      </w:r>
      <w:r w:rsidR="00EB2840" w:rsidRPr="00BF2B3B">
        <w:rPr>
          <w:rStyle w:val="Network-bodytext"/>
          <w:color w:val="7F7F7F" w:themeColor="text1" w:themeTint="80"/>
          <w:sz w:val="18"/>
          <w:szCs w:val="18"/>
        </w:rPr>
        <w:t>ffi</w:t>
      </w:r>
      <w:r w:rsidRPr="00BF2B3B">
        <w:rPr>
          <w:rStyle w:val="Network-bodytext"/>
          <w:color w:val="7F7F7F" w:themeColor="text1" w:themeTint="80"/>
          <w:sz w:val="18"/>
          <w:szCs w:val="18"/>
        </w:rPr>
        <w:t>ciency Economics and Policy</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Annual Review of Resource Economics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1, pp. 597-620</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Mannix, B and S Dudley (2015a) </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The Limits of Irrationality as a Rationale for Regulation</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Journal of Policy Analysis and Management</w:t>
      </w:r>
      <w:r w:rsidR="00C36342" w:rsidRPr="00BF2B3B">
        <w:rPr>
          <w:rStyle w:val="Network-bodytext"/>
          <w:color w:val="7F7F7F" w:themeColor="text1" w:themeTint="80"/>
          <w:sz w:val="18"/>
          <w:szCs w:val="18"/>
        </w:rPr>
        <w:t>, 34, pp. 705-</w:t>
      </w:r>
      <w:r w:rsidRPr="00BF2B3B">
        <w:rPr>
          <w:rStyle w:val="Network-bodytext"/>
          <w:color w:val="7F7F7F" w:themeColor="text1" w:themeTint="80"/>
          <w:sz w:val="18"/>
          <w:szCs w:val="18"/>
        </w:rPr>
        <w:t xml:space="preserve">712. </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Mannix, B and S Dudley (2015b) </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Please Don’t Regulate My Internalities</w:t>
      </w:r>
      <w:r w:rsidR="00C36342"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Journal of Policy Analysis and Management</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34, pp. 715</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718.</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McKinsey and Company (2008) An Australian Cost Curve for Greenhouse Gas Reduction, available at http, pp.//www.mckinsey.com/business-functions/sustainability-and-resource-productivity/our-insights/an-australian-cost-curve-for-greenhouse-gas-reduction.  </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Miller, S (2015) </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Whose Benefits Are They, Anyway? Examining the Benefits of </w:t>
      </w:r>
      <w:r w:rsidR="00EB2840" w:rsidRPr="00BF2B3B">
        <w:rPr>
          <w:rStyle w:val="Network-bodytext"/>
          <w:color w:val="7F7F7F" w:themeColor="text1" w:themeTint="80"/>
          <w:sz w:val="18"/>
          <w:szCs w:val="18"/>
        </w:rPr>
        <w:t>Energy</w:t>
      </w:r>
      <w:r w:rsidR="0009592B" w:rsidRPr="00BF2B3B">
        <w:rPr>
          <w:rStyle w:val="Network-bodytext"/>
          <w:color w:val="7F7F7F" w:themeColor="text1" w:themeTint="80"/>
          <w:sz w:val="18"/>
          <w:szCs w:val="18"/>
        </w:rPr>
        <w:t xml:space="preserve"> E</w:t>
      </w:r>
      <w:r w:rsidR="00EB2840" w:rsidRPr="00BF2B3B">
        <w:rPr>
          <w:rStyle w:val="Network-bodytext"/>
          <w:color w:val="7F7F7F" w:themeColor="text1" w:themeTint="80"/>
          <w:sz w:val="18"/>
          <w:szCs w:val="18"/>
        </w:rPr>
        <w:t>ffi</w:t>
      </w:r>
      <w:r w:rsidRPr="00BF2B3B">
        <w:rPr>
          <w:rStyle w:val="Network-bodytext"/>
          <w:color w:val="7F7F7F" w:themeColor="text1" w:themeTint="80"/>
          <w:sz w:val="18"/>
          <w:szCs w:val="18"/>
        </w:rPr>
        <w:t>ciency Rules</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2007-2014</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The George Washington University Regulatory Studies Center. </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Palmer, K, S Grausz, B Beasley and T Brennan (2013) </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Putting a Floor on Energy Savings, Comparing State </w:t>
      </w:r>
      <w:r w:rsidR="00EB2840" w:rsidRPr="00BF2B3B">
        <w:rPr>
          <w:rStyle w:val="Network-bodytext"/>
          <w:color w:val="7F7F7F" w:themeColor="text1" w:themeTint="80"/>
          <w:sz w:val="18"/>
          <w:szCs w:val="18"/>
        </w:rPr>
        <w:t>Energy</w:t>
      </w:r>
      <w:r w:rsidR="0009592B" w:rsidRPr="00BF2B3B">
        <w:rPr>
          <w:rStyle w:val="Network-bodytext"/>
          <w:color w:val="7F7F7F" w:themeColor="text1" w:themeTint="80"/>
          <w:sz w:val="18"/>
          <w:szCs w:val="18"/>
        </w:rPr>
        <w:t xml:space="preserve"> E</w:t>
      </w:r>
      <w:r w:rsidR="00EB2840" w:rsidRPr="00BF2B3B">
        <w:rPr>
          <w:rStyle w:val="Network-bodytext"/>
          <w:color w:val="7F7F7F" w:themeColor="text1" w:themeTint="80"/>
          <w:sz w:val="18"/>
          <w:szCs w:val="18"/>
        </w:rPr>
        <w:t>ffi</w:t>
      </w:r>
      <w:r w:rsidRPr="00BF2B3B">
        <w:rPr>
          <w:rStyle w:val="Network-bodytext"/>
          <w:color w:val="7F7F7F" w:themeColor="text1" w:themeTint="80"/>
          <w:sz w:val="18"/>
          <w:szCs w:val="18"/>
        </w:rPr>
        <w:t>ciency Resource Standards</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Utilities Policy</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25, pp. 43-57.</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State of California (2002) </w:t>
      </w:r>
      <w:r w:rsidRPr="00BF2B3B">
        <w:rPr>
          <w:rStyle w:val="Network-bodytext"/>
          <w:i/>
          <w:color w:val="7F7F7F" w:themeColor="text1" w:themeTint="80"/>
          <w:sz w:val="18"/>
          <w:szCs w:val="18"/>
        </w:rPr>
        <w:t>California Standard Practice Manual, Economic Analysis of De</w:t>
      </w:r>
      <w:r w:rsidR="002C0B30" w:rsidRPr="00BF2B3B">
        <w:rPr>
          <w:rStyle w:val="Network-bodytext"/>
          <w:i/>
          <w:color w:val="7F7F7F" w:themeColor="text1" w:themeTint="80"/>
          <w:sz w:val="18"/>
          <w:szCs w:val="18"/>
        </w:rPr>
        <w:t>mand-Side Programs and Policies</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Governor’s Office of Planning and Research, Sacramento, CA.</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Sunstein, C (2000) </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Cognition and Cost</w:t>
      </w:r>
      <w:r w:rsidRPr="00BF2B3B">
        <w:rPr>
          <w:rStyle w:val="Network-bodytext"/>
          <w:rFonts w:ascii="Cambria Math" w:hAnsi="Cambria Math" w:cs="Cambria Math"/>
          <w:color w:val="7F7F7F" w:themeColor="text1" w:themeTint="80"/>
          <w:sz w:val="18"/>
          <w:szCs w:val="18"/>
        </w:rPr>
        <w:t>‐</w:t>
      </w:r>
      <w:r w:rsidRPr="00BF2B3B">
        <w:rPr>
          <w:rStyle w:val="Network-bodytext"/>
          <w:color w:val="7F7F7F" w:themeColor="text1" w:themeTint="80"/>
          <w:sz w:val="18"/>
          <w:szCs w:val="18"/>
        </w:rPr>
        <w:t>Benefit Analysis</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Journal of Legal Studies</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29, pp. 1059-1103. </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Thaler, R and C Sunstein (2008) </w:t>
      </w:r>
      <w:r w:rsidRPr="00BF2B3B">
        <w:rPr>
          <w:rStyle w:val="Network-bodytext"/>
          <w:i/>
          <w:color w:val="7F7F7F" w:themeColor="text1" w:themeTint="80"/>
          <w:sz w:val="18"/>
          <w:szCs w:val="18"/>
        </w:rPr>
        <w:t>Nudge, Improving Decisions about Health, Wealth, and Happine</w:t>
      </w:r>
      <w:r w:rsidR="002C0B30" w:rsidRPr="00BF2B3B">
        <w:rPr>
          <w:rStyle w:val="Network-bodytext"/>
          <w:i/>
          <w:color w:val="7F7F7F" w:themeColor="text1" w:themeTint="80"/>
          <w:sz w:val="18"/>
          <w:szCs w:val="18"/>
        </w:rPr>
        <w:t>s</w:t>
      </w:r>
      <w:r w:rsidRPr="00BF2B3B">
        <w:rPr>
          <w:rStyle w:val="Network-bodytext"/>
          <w:i/>
          <w:color w:val="7F7F7F" w:themeColor="text1" w:themeTint="80"/>
          <w:sz w:val="18"/>
          <w:szCs w:val="18"/>
        </w:rPr>
        <w:t>s</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Yale University Press</w:t>
      </w:r>
      <w:r w:rsidR="002C0B30" w:rsidRPr="00BF2B3B">
        <w:rPr>
          <w:rStyle w:val="Network-bodytext"/>
          <w:color w:val="7F7F7F" w:themeColor="text1" w:themeTint="80"/>
          <w:sz w:val="18"/>
          <w:szCs w:val="18"/>
        </w:rPr>
        <w:t>, New Haven</w:t>
      </w:r>
    </w:p>
    <w:p w:rsidR="00052813" w:rsidRPr="00BF2B3B" w:rsidRDefault="00F14285"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Zamir, E (2016) ‘Law and </w:t>
      </w:r>
      <w:r w:rsidR="003C521B">
        <w:rPr>
          <w:rStyle w:val="Network-bodytext"/>
          <w:color w:val="7F7F7F" w:themeColor="text1" w:themeTint="80"/>
          <w:sz w:val="18"/>
          <w:szCs w:val="18"/>
        </w:rPr>
        <w:t>Behavior</w:t>
      </w:r>
      <w:r w:rsidRPr="00BF2B3B">
        <w:rPr>
          <w:rStyle w:val="Network-bodytext"/>
          <w:color w:val="7F7F7F" w:themeColor="text1" w:themeTint="80"/>
          <w:sz w:val="18"/>
          <w:szCs w:val="18"/>
        </w:rPr>
        <w:t>al Economics’, available at http//ssrn.com/abstract=2777091.</w:t>
      </w:r>
    </w:p>
    <w:p w:rsidR="00052813" w:rsidRPr="00BF2B3B" w:rsidRDefault="00052813" w:rsidP="00BF2B3B">
      <w:pPr>
        <w:spacing w:before="80" w:after="40" w:line="240" w:lineRule="auto"/>
        <w:rPr>
          <w:rStyle w:val="Network-bodytext"/>
          <w:color w:val="7F7F7F" w:themeColor="text1" w:themeTint="80"/>
          <w:sz w:val="18"/>
          <w:szCs w:val="18"/>
        </w:rPr>
      </w:pPr>
      <w:r w:rsidRPr="00BF2B3B">
        <w:rPr>
          <w:rStyle w:val="Network-bodytext"/>
          <w:color w:val="7F7F7F" w:themeColor="text1" w:themeTint="80"/>
          <w:sz w:val="18"/>
          <w:szCs w:val="18"/>
        </w:rPr>
        <w:t xml:space="preserve">Zivin, J, M Kotchen and E Mansur (2014) </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Spatial and Temporal Heterogeneity of Marginal Emissions, Implications for Electric Cars and Other Electricity-Shifting Policies</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 xml:space="preserve">, </w:t>
      </w:r>
      <w:r w:rsidRPr="00BF2B3B">
        <w:rPr>
          <w:rStyle w:val="Network-bodytext"/>
          <w:i/>
          <w:color w:val="7F7F7F" w:themeColor="text1" w:themeTint="80"/>
          <w:sz w:val="18"/>
          <w:szCs w:val="18"/>
        </w:rPr>
        <w:t xml:space="preserve">Journal of Economic </w:t>
      </w:r>
      <w:r w:rsidR="003C521B">
        <w:rPr>
          <w:rStyle w:val="Network-bodytext"/>
          <w:i/>
          <w:color w:val="7F7F7F" w:themeColor="text1" w:themeTint="80"/>
          <w:sz w:val="18"/>
          <w:szCs w:val="18"/>
        </w:rPr>
        <w:t>Behavior</w:t>
      </w:r>
      <w:r w:rsidRPr="00BF2B3B">
        <w:rPr>
          <w:rStyle w:val="Network-bodytext"/>
          <w:i/>
          <w:color w:val="7F7F7F" w:themeColor="text1" w:themeTint="80"/>
          <w:sz w:val="18"/>
          <w:szCs w:val="18"/>
        </w:rPr>
        <w:t xml:space="preserve"> and Organization</w:t>
      </w:r>
      <w:r w:rsidRPr="00BF2B3B">
        <w:rPr>
          <w:rStyle w:val="Network-bodytext"/>
          <w:color w:val="7F7F7F" w:themeColor="text1" w:themeTint="80"/>
          <w:sz w:val="18"/>
          <w:szCs w:val="18"/>
        </w:rPr>
        <w:t xml:space="preserve"> 107(Part A), pp. 248</w:t>
      </w:r>
      <w:r w:rsidR="002C0B30" w:rsidRPr="00BF2B3B">
        <w:rPr>
          <w:rStyle w:val="Network-bodytext"/>
          <w:color w:val="7F7F7F" w:themeColor="text1" w:themeTint="80"/>
          <w:sz w:val="18"/>
          <w:szCs w:val="18"/>
        </w:rPr>
        <w:t>-</w:t>
      </w:r>
      <w:r w:rsidRPr="00BF2B3B">
        <w:rPr>
          <w:rStyle w:val="Network-bodytext"/>
          <w:color w:val="7F7F7F" w:themeColor="text1" w:themeTint="80"/>
          <w:sz w:val="18"/>
          <w:szCs w:val="18"/>
        </w:rPr>
        <w:t>268.</w:t>
      </w:r>
    </w:p>
    <w:p w:rsidR="006F1F30" w:rsidRDefault="006F1F30" w:rsidP="006F1F30">
      <w:pPr>
        <w:rPr>
          <w:rStyle w:val="Network-bodytext"/>
        </w:rPr>
      </w:pPr>
    </w:p>
    <w:p w:rsidR="0062343B" w:rsidRPr="00D43B46" w:rsidRDefault="0062343B" w:rsidP="00D43B46">
      <w:pPr>
        <w:pStyle w:val="ContentsList"/>
        <w:spacing w:before="0" w:line="240" w:lineRule="auto"/>
        <w:rPr>
          <w:rFonts w:ascii="Arial" w:hAnsi="Arial" w:cs="Arial"/>
        </w:rPr>
        <w:sectPr w:rsidR="0062343B" w:rsidRPr="00D43B46" w:rsidSect="008D0071">
          <w:headerReference w:type="default" r:id="rId16"/>
          <w:endnotePr>
            <w:numFmt w:val="decimal"/>
          </w:endnotePr>
          <w:type w:val="continuous"/>
          <w:pgSz w:w="11906" w:h="16838" w:code="9"/>
          <w:pgMar w:top="1985" w:right="851" w:bottom="1134" w:left="851" w:header="567" w:footer="567" w:gutter="0"/>
          <w:pgNumType w:start="1"/>
          <w:cols w:num="2" w:space="708" w:equalWidth="0">
            <w:col w:w="4748" w:space="708"/>
            <w:col w:w="4748"/>
          </w:cols>
          <w:titlePg/>
          <w:docGrid w:linePitch="360"/>
        </w:sectPr>
      </w:pPr>
    </w:p>
    <w:p w:rsidR="00F931E4" w:rsidRPr="001211CB" w:rsidRDefault="009A44DA" w:rsidP="00F931E4">
      <w:pPr>
        <w:pStyle w:val="Heading1"/>
        <w:spacing w:line="240" w:lineRule="auto"/>
        <w:rPr>
          <w:rFonts w:cs="Arial"/>
        </w:rPr>
      </w:pPr>
      <w:r w:rsidRPr="001211CB">
        <w:rPr>
          <w:rFonts w:cs="Arial"/>
        </w:rPr>
        <w:lastRenderedPageBreak/>
        <w:t>Critical Issues i</w:t>
      </w:r>
      <w:bookmarkStart w:id="1" w:name="OLE_LINK17"/>
      <w:bookmarkStart w:id="2" w:name="OLE_LINK18"/>
      <w:bookmarkStart w:id="3" w:name="OLE_LINK19"/>
      <w:bookmarkStart w:id="4" w:name="OLE_LINK20"/>
      <w:r w:rsidR="00073D6D" w:rsidRPr="001211CB">
        <w:rPr>
          <w:rFonts w:cs="Arial"/>
        </w:rPr>
        <w:t>n Regulation – From the Journal</w:t>
      </w:r>
      <w:bookmarkEnd w:id="1"/>
      <w:bookmarkEnd w:id="2"/>
      <w:bookmarkEnd w:id="3"/>
      <w:bookmarkEnd w:id="4"/>
      <w:r w:rsidR="003142E8" w:rsidRPr="001211CB">
        <w:rPr>
          <w:rFonts w:cs="Arial"/>
        </w:rPr>
        <w:t>s</w:t>
      </w:r>
    </w:p>
    <w:p w:rsidR="00F931E4" w:rsidRPr="001211CB" w:rsidRDefault="00F931E4" w:rsidP="00F931E4">
      <w:pPr>
        <w:pStyle w:val="Heading2"/>
        <w:spacing w:before="240" w:after="240"/>
        <w:rPr>
          <w:rFonts w:cs="Arial"/>
        </w:rPr>
        <w:sectPr w:rsidR="00F931E4" w:rsidRPr="001211CB" w:rsidSect="00556789">
          <w:footerReference w:type="default" r:id="rId17"/>
          <w:endnotePr>
            <w:numFmt w:val="decimal"/>
          </w:endnotePr>
          <w:pgSz w:w="11906" w:h="16838" w:code="9"/>
          <w:pgMar w:top="1985" w:right="851" w:bottom="1134" w:left="851" w:header="567" w:footer="567" w:gutter="0"/>
          <w:cols w:space="708"/>
          <w:docGrid w:linePitch="360"/>
        </w:sectPr>
      </w:pPr>
    </w:p>
    <w:p w:rsidR="003F2E0B" w:rsidRPr="00BF2B3B" w:rsidRDefault="003F2E0B" w:rsidP="003F2E0B">
      <w:pPr>
        <w:rPr>
          <w:rStyle w:val="Network-bodytext"/>
          <w:color w:val="7F7F7F" w:themeColor="text1" w:themeTint="80"/>
        </w:rPr>
      </w:pPr>
      <w:r w:rsidRPr="003F2E0B">
        <w:rPr>
          <w:rStyle w:val="Heading3Char"/>
          <w:rFonts w:eastAsia="Calibri"/>
        </w:rPr>
        <w:lastRenderedPageBreak/>
        <w:t>Sectoral Regulation and Competition Policy:  The U.K.’s Concurrency Arrangements – An Economic Perspective</w:t>
      </w:r>
      <w:r w:rsidRPr="003F2E0B">
        <w:rPr>
          <w:rStyle w:val="Network-bodytext"/>
        </w:rPr>
        <w:t xml:space="preserve">, </w:t>
      </w:r>
      <w:r w:rsidRPr="00BF2B3B">
        <w:rPr>
          <w:rStyle w:val="Network-bodytext"/>
          <w:color w:val="7F7F7F" w:themeColor="text1" w:themeTint="80"/>
        </w:rPr>
        <w:t xml:space="preserve">Jon Stern, </w:t>
      </w:r>
      <w:r w:rsidRPr="00BF2B3B">
        <w:rPr>
          <w:rStyle w:val="Network-bodytext"/>
          <w:i/>
          <w:color w:val="7F7F7F" w:themeColor="text1" w:themeTint="80"/>
        </w:rPr>
        <w:t>Journal of Competition Law and Economics</w:t>
      </w:r>
      <w:r w:rsidRPr="00BF2B3B">
        <w:rPr>
          <w:rStyle w:val="Network-bodytext"/>
          <w:color w:val="7F7F7F" w:themeColor="text1" w:themeTint="80"/>
        </w:rPr>
        <w:t>, 11, 4, December 2015, pp. 881-915.</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This article discusses the concurrency arrangements in the United Kingdom under which sectoral and industry regulators can apply aspects of competition law to their industry areas. </w:t>
      </w:r>
      <w:r w:rsidR="00D75372" w:rsidRPr="00BF2B3B">
        <w:rPr>
          <w:rStyle w:val="Network-bodytext"/>
          <w:color w:val="7F7F7F" w:themeColor="text1" w:themeTint="80"/>
        </w:rPr>
        <w:t xml:space="preserve"> </w:t>
      </w:r>
      <w:r w:rsidRPr="00BF2B3B">
        <w:rPr>
          <w:rStyle w:val="Network-bodytext"/>
          <w:color w:val="7F7F7F" w:themeColor="text1" w:themeTint="80"/>
        </w:rPr>
        <w:t>The author, Jon Stern, argues that concurrency arose during the 1980s as one aspect of an almost uniquely procompetitive regulatory framework for privatised telecommunications and other UK infrastructure areas.  The article discusses the origins of these formal concurrency arrangements and their use in the UK since the 1980s.</w:t>
      </w:r>
      <w:r w:rsidR="00D75372" w:rsidRPr="00BF2B3B">
        <w:rPr>
          <w:rStyle w:val="Network-bodytext"/>
          <w:color w:val="7F7F7F" w:themeColor="text1" w:themeTint="80"/>
        </w:rPr>
        <w:t xml:space="preserve"> </w:t>
      </w:r>
      <w:r w:rsidRPr="00BF2B3B">
        <w:rPr>
          <w:rStyle w:val="Network-bodytext"/>
          <w:color w:val="7F7F7F" w:themeColor="text1" w:themeTint="80"/>
        </w:rPr>
        <w:t xml:space="preserve"> It also compares the UK with other EU and OECD countries over the role of </w:t>
      </w:r>
      <w:r w:rsidRPr="00BF2B3B">
        <w:rPr>
          <w:rStyle w:val="Network-bodytext"/>
          <w:i/>
          <w:color w:val="7F7F7F" w:themeColor="text1" w:themeTint="80"/>
        </w:rPr>
        <w:t>ex post</w:t>
      </w:r>
      <w:r w:rsidRPr="00BF2B3B">
        <w:rPr>
          <w:rStyle w:val="Network-bodytext"/>
          <w:color w:val="7F7F7F" w:themeColor="text1" w:themeTint="80"/>
        </w:rPr>
        <w:t xml:space="preserve"> competition policy relative to </w:t>
      </w:r>
      <w:r w:rsidRPr="00BF2B3B">
        <w:rPr>
          <w:rStyle w:val="Network-bodytext"/>
          <w:i/>
          <w:color w:val="7F7F7F" w:themeColor="text1" w:themeTint="80"/>
        </w:rPr>
        <w:t>ex ante</w:t>
      </w:r>
      <w:r w:rsidRPr="00BF2B3B">
        <w:rPr>
          <w:rStyle w:val="Network-bodytext"/>
          <w:color w:val="7F7F7F" w:themeColor="text1" w:themeTint="80"/>
        </w:rPr>
        <w:t xml:space="preserve"> regulation and the interactions between sectoral regulators and competition authorities.  It emphasises the role of both ‘informal’ concurrency and ‘formal’ concurrency in the UK and other countries.  The author concludes with a discussion of the likely prospects for the UK under the enhanced concurrency regime established in 2013, and makes some recommendations for the future.  Developing and implementing effective methods to evaluate the net welfare benefits of the enhanced concurrency regime will be crucial, both in their own right and in establishing a robust deterrence strategy against anticompetitive </w:t>
      </w:r>
      <w:r w:rsidR="003C521B">
        <w:rPr>
          <w:rStyle w:val="Network-bodytext"/>
          <w:color w:val="7F7F7F" w:themeColor="text1" w:themeTint="80"/>
        </w:rPr>
        <w:t>behavior</w:t>
      </w:r>
      <w:r w:rsidRPr="00BF2B3B">
        <w:rPr>
          <w:rStyle w:val="Network-bodytext"/>
          <w:color w:val="7F7F7F" w:themeColor="text1" w:themeTint="80"/>
        </w:rPr>
        <w:t xml:space="preserve"> in areas with sectoral regulators.</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The article can be accessed by subscription to the </w:t>
      </w:r>
      <w:r w:rsidRPr="00BF2B3B">
        <w:rPr>
          <w:rStyle w:val="Network-bodytext"/>
          <w:i/>
          <w:color w:val="7F7F7F" w:themeColor="text1" w:themeTint="80"/>
        </w:rPr>
        <w:t>Journal of Competition Law and Economics</w:t>
      </w:r>
      <w:r w:rsidRPr="00BF2B3B">
        <w:rPr>
          <w:rStyle w:val="Network-bodytext"/>
          <w:color w:val="7F7F7F" w:themeColor="text1" w:themeTint="80"/>
        </w:rPr>
        <w:t xml:space="preserve">. </w:t>
      </w:r>
    </w:p>
    <w:p w:rsidR="003F2E0B" w:rsidRPr="00BF2B3B" w:rsidRDefault="003F2E0B" w:rsidP="003F2E0B">
      <w:pPr>
        <w:rPr>
          <w:rStyle w:val="Network-bodytext"/>
          <w:color w:val="7F7F7F" w:themeColor="text1" w:themeTint="80"/>
        </w:rPr>
      </w:pPr>
      <w:r w:rsidRPr="00BF2B3B">
        <w:rPr>
          <w:rStyle w:val="Heading3Char"/>
          <w:rFonts w:eastAsia="Calibri"/>
        </w:rPr>
        <w:t>The Political Economy of Energy Tax Differentiation across Industries:  Theory and Empirical Evidence</w:t>
      </w:r>
      <w:r w:rsidRPr="00BF2B3B">
        <w:rPr>
          <w:rStyle w:val="Network-bodytext"/>
          <w:color w:val="7F7F7F" w:themeColor="text1" w:themeTint="80"/>
        </w:rPr>
        <w:t>, N</w:t>
      </w:r>
      <w:r w:rsidR="007C1A4A" w:rsidRPr="00BF2B3B">
        <w:rPr>
          <w:rStyle w:val="Network-bodytext"/>
          <w:color w:val="7F7F7F" w:themeColor="text1" w:themeTint="80"/>
        </w:rPr>
        <w:t>iels Anger, Christoph Bohringer</w:t>
      </w:r>
      <w:r w:rsidRPr="00BF2B3B">
        <w:rPr>
          <w:rStyle w:val="Network-bodytext"/>
          <w:color w:val="7F7F7F" w:themeColor="text1" w:themeTint="80"/>
        </w:rPr>
        <w:t xml:space="preserve"> and Andreas Lange, </w:t>
      </w:r>
      <w:r w:rsidRPr="00BF2B3B">
        <w:rPr>
          <w:rStyle w:val="Network-bodytext"/>
          <w:i/>
          <w:color w:val="7F7F7F" w:themeColor="text1" w:themeTint="80"/>
        </w:rPr>
        <w:t>Journal of Regulatory Economics</w:t>
      </w:r>
      <w:r w:rsidRPr="00BF2B3B">
        <w:rPr>
          <w:rStyle w:val="Network-bodytext"/>
          <w:color w:val="7F7F7F" w:themeColor="text1" w:themeTint="80"/>
        </w:rPr>
        <w:t>, 47, February 2015, pp. 78-98.</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This article investigates the political-economy determinants of energy-tax differentiation across industries. </w:t>
      </w:r>
      <w:r w:rsidR="00D75372" w:rsidRPr="00BF2B3B">
        <w:rPr>
          <w:rStyle w:val="Network-bodytext"/>
          <w:color w:val="7F7F7F" w:themeColor="text1" w:themeTint="80"/>
        </w:rPr>
        <w:t xml:space="preserve"> </w:t>
      </w:r>
      <w:r w:rsidRPr="00BF2B3B">
        <w:rPr>
          <w:rStyle w:val="Network-bodytext"/>
          <w:color w:val="7F7F7F" w:themeColor="text1" w:themeTint="80"/>
        </w:rPr>
        <w:t>The authors argue that industries with relatively inelastic energy demands may face higher energy taxes under environmental tax reform, but that powerful lobbying is able to counteract this effect.</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Regression analysis was performed on a cross-sectional dataset based on data for environmental tax reform in Germany, between 1999 and 2003, for 42 manufacturing industries.  Higher taxes were levied on energy use while recycling the additional energy tax revenue through a deduction of employer’s social </w:t>
      </w:r>
      <w:r w:rsidRPr="00BF2B3B">
        <w:rPr>
          <w:rStyle w:val="Network-bodytext"/>
          <w:color w:val="7F7F7F" w:themeColor="text1" w:themeTint="80"/>
        </w:rPr>
        <w:lastRenderedPageBreak/>
        <w:t>security contributions.</w:t>
      </w:r>
      <w:r w:rsidR="00D75372" w:rsidRPr="00BF2B3B">
        <w:rPr>
          <w:rStyle w:val="Network-bodytext"/>
          <w:color w:val="7F7F7F" w:themeColor="text1" w:themeTint="80"/>
        </w:rPr>
        <w:t xml:space="preserve"> </w:t>
      </w:r>
      <w:r w:rsidRPr="00BF2B3B">
        <w:rPr>
          <w:rStyle w:val="Network-bodytext"/>
          <w:color w:val="7F7F7F" w:themeColor="text1" w:themeTint="80"/>
        </w:rPr>
        <w:t xml:space="preserve"> The aim of the regression analysis is to assess determinants of environmental tax differentiation across industries. </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Dependent variables include the average tax rate on electricity, gas and oil use, and explanatory variables include lobbying power (measured by the number of representatives) and price elasticity of demand for each industry.</w:t>
      </w:r>
      <w:r w:rsidR="00D75372" w:rsidRPr="00BF2B3B">
        <w:rPr>
          <w:rStyle w:val="Network-bodytext"/>
          <w:color w:val="7F7F7F" w:themeColor="text1" w:themeTint="80"/>
        </w:rPr>
        <w:t xml:space="preserve"> </w:t>
      </w:r>
      <w:r w:rsidRPr="00BF2B3B">
        <w:rPr>
          <w:rStyle w:val="Network-bodytext"/>
          <w:color w:val="7F7F7F" w:themeColor="text1" w:themeTint="80"/>
        </w:rPr>
        <w:t xml:space="preserve"> The equations were specified in log-log form and estimated using Seemingly Unrelated Regression Estimation, which allows for contemporaneous correlation between the error terms across equations. </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As the results did not find a statistically significant coefficient for the lobbying variable, it could not be concluded that differentiated taxes are driven by interest-group activities alone.  By considering a multiplicative interaction term between lobbying and the price elasticity of demand, which has a statistically positive coefficient, it appears that less elastic sectors with more powerful lobbies feature lower tax levels and lower net burdens. </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The reference list contains forty-four items, many from major journals such as the </w:t>
      </w:r>
      <w:r w:rsidRPr="00BF2B3B">
        <w:rPr>
          <w:rStyle w:val="Network-bodytext"/>
          <w:i/>
          <w:color w:val="7F7F7F" w:themeColor="text1" w:themeTint="80"/>
        </w:rPr>
        <w:t>American Economic Review</w:t>
      </w:r>
      <w:r w:rsidRPr="00BF2B3B">
        <w:rPr>
          <w:rStyle w:val="Network-bodytext"/>
          <w:color w:val="7F7F7F" w:themeColor="text1" w:themeTint="80"/>
        </w:rPr>
        <w:t xml:space="preserve">, </w:t>
      </w:r>
      <w:r w:rsidRPr="00BF2B3B">
        <w:rPr>
          <w:rStyle w:val="Network-bodytext"/>
          <w:i/>
          <w:color w:val="7F7F7F" w:themeColor="text1" w:themeTint="80"/>
        </w:rPr>
        <w:t>Quarterly Journal of Economics</w:t>
      </w:r>
      <w:r w:rsidRPr="00BF2B3B">
        <w:rPr>
          <w:rStyle w:val="Network-bodytext"/>
          <w:color w:val="7F7F7F" w:themeColor="text1" w:themeTint="80"/>
        </w:rPr>
        <w:t xml:space="preserve">, and </w:t>
      </w:r>
      <w:r w:rsidRPr="00BF2B3B">
        <w:rPr>
          <w:rStyle w:val="Network-bodytext"/>
          <w:i/>
          <w:color w:val="7F7F7F" w:themeColor="text1" w:themeTint="80"/>
        </w:rPr>
        <w:t>European Journal of Political Economy</w:t>
      </w:r>
      <w:r w:rsidRPr="00BF2B3B">
        <w:rPr>
          <w:rStyle w:val="Network-bodytext"/>
          <w:color w:val="7F7F7F" w:themeColor="text1" w:themeTint="80"/>
        </w:rPr>
        <w:t xml:space="preserve">. </w:t>
      </w:r>
      <w:r w:rsidR="00D75372" w:rsidRPr="00BF2B3B">
        <w:rPr>
          <w:rStyle w:val="Network-bodytext"/>
          <w:color w:val="7F7F7F" w:themeColor="text1" w:themeTint="80"/>
        </w:rPr>
        <w:t xml:space="preserve"> </w:t>
      </w:r>
      <w:r w:rsidRPr="00BF2B3B">
        <w:rPr>
          <w:rStyle w:val="Network-bodytext"/>
          <w:color w:val="7F7F7F" w:themeColor="text1" w:themeTint="80"/>
        </w:rPr>
        <w:t xml:space="preserve">Their publication dates range from the years 1962 to 2014, with most having been published in the past decade. </w:t>
      </w:r>
    </w:p>
    <w:p w:rsidR="003F2E0B" w:rsidRPr="00BF2B3B" w:rsidRDefault="003F2E0B" w:rsidP="003F2E0B">
      <w:pPr>
        <w:rPr>
          <w:color w:val="7F7F7F" w:themeColor="text1" w:themeTint="80"/>
          <w:kern w:val="36"/>
        </w:rPr>
      </w:pPr>
      <w:r w:rsidRPr="00BF2B3B">
        <w:rPr>
          <w:rStyle w:val="Network-bodytext"/>
          <w:color w:val="7F7F7F" w:themeColor="text1" w:themeTint="80"/>
        </w:rPr>
        <w:t xml:space="preserve">This article can be accessed by subscription to the </w:t>
      </w:r>
      <w:r w:rsidRPr="00BF2B3B">
        <w:rPr>
          <w:rStyle w:val="Network-bodytext"/>
          <w:i/>
          <w:color w:val="7F7F7F" w:themeColor="text1" w:themeTint="80"/>
        </w:rPr>
        <w:t>Journal of Regulatory Economics</w:t>
      </w:r>
      <w:r w:rsidRPr="00BF2B3B">
        <w:rPr>
          <w:rStyle w:val="Network-bodytext"/>
          <w:color w:val="7F7F7F" w:themeColor="text1" w:themeTint="80"/>
        </w:rPr>
        <w:t>.</w:t>
      </w:r>
    </w:p>
    <w:p w:rsidR="003F2E0B" w:rsidRPr="00BF2B3B" w:rsidRDefault="003F2E0B" w:rsidP="003F2E0B">
      <w:pPr>
        <w:rPr>
          <w:rStyle w:val="Network-bodytext"/>
          <w:color w:val="7F7F7F" w:themeColor="text1" w:themeTint="80"/>
        </w:rPr>
      </w:pPr>
      <w:r w:rsidRPr="00BF2B3B">
        <w:rPr>
          <w:rStyle w:val="Heading3Char"/>
        </w:rPr>
        <w:t>Using Supervised Environmental Composites in Production and Efficiency Analyses:  An Application to the Norwegian Electricity Networks</w:t>
      </w:r>
      <w:r w:rsidRPr="00BF2B3B">
        <w:rPr>
          <w:rStyle w:val="Network-bodytext"/>
          <w:color w:val="7F7F7F" w:themeColor="text1" w:themeTint="80"/>
        </w:rPr>
        <w:t xml:space="preserve">, Luis Orea, Christian Growitsch and Tooraj Jamasb, </w:t>
      </w:r>
      <w:r w:rsidRPr="00BF2B3B">
        <w:rPr>
          <w:rStyle w:val="Network-bodytext"/>
          <w:i/>
          <w:color w:val="7F7F7F" w:themeColor="text1" w:themeTint="80"/>
        </w:rPr>
        <w:t>Competition and Regulation in Network Industries</w:t>
      </w:r>
      <w:r w:rsidRPr="00BF2B3B">
        <w:rPr>
          <w:rStyle w:val="Network-bodytext"/>
          <w:color w:val="7F7F7F" w:themeColor="text1" w:themeTint="80"/>
        </w:rPr>
        <w:t>, 16, 3, September 2015, pp. 260-287.</w:t>
      </w:r>
    </w:p>
    <w:p w:rsidR="003F2E0B" w:rsidRPr="00BF2B3B" w:rsidRDefault="003F2E0B" w:rsidP="003F2E0B">
      <w:pPr>
        <w:spacing w:line="240" w:lineRule="auto"/>
        <w:rPr>
          <w:rStyle w:val="Network-bodytext"/>
          <w:color w:val="7F7F7F" w:themeColor="text1" w:themeTint="80"/>
        </w:rPr>
      </w:pPr>
      <w:r w:rsidRPr="00BF2B3B">
        <w:rPr>
          <w:rStyle w:val="Network-bodytext"/>
          <w:color w:val="7F7F7F" w:themeColor="text1" w:themeTint="80"/>
        </w:rPr>
        <w:t>This article is about supervised dimension reduction methods applied to the regulation of natural monopolies, where a business’s cost and performance are affected by a large number of environmental factors.  The application is in relation to the Norwegian electricity distribution networks.</w:t>
      </w:r>
    </w:p>
    <w:p w:rsidR="003F2E0B" w:rsidRPr="00BF2B3B" w:rsidRDefault="003F2E0B" w:rsidP="003F2E0B">
      <w:pPr>
        <w:spacing w:line="240" w:lineRule="auto"/>
        <w:rPr>
          <w:rStyle w:val="Network-bodytext"/>
          <w:color w:val="7F7F7F" w:themeColor="text1" w:themeTint="80"/>
        </w:rPr>
      </w:pPr>
      <w:r w:rsidRPr="00BF2B3B">
        <w:rPr>
          <w:rStyle w:val="Network-bodytext"/>
          <w:color w:val="7F7F7F" w:themeColor="text1" w:themeTint="80"/>
        </w:rPr>
        <w:t>The estimation procedure used is a sliced inverse regression (SIR), a method of dimension reduction based on inverse regression.</w:t>
      </w:r>
      <w:r w:rsidR="00D75372" w:rsidRPr="00BF2B3B">
        <w:rPr>
          <w:rStyle w:val="Network-bodytext"/>
          <w:color w:val="7F7F7F" w:themeColor="text1" w:themeTint="80"/>
        </w:rPr>
        <w:t xml:space="preserve"> </w:t>
      </w:r>
      <w:r w:rsidRPr="00BF2B3B">
        <w:rPr>
          <w:rStyle w:val="Network-bodytext"/>
          <w:color w:val="7F7F7F" w:themeColor="text1" w:themeTint="80"/>
        </w:rPr>
        <w:t xml:space="preserve"> The parametric counterpart of SIR is parametric inverse regression (PIR).  One of the major issues encountered when working with large datasets is the ‘curse of dimensionality’, where a large number of varied factors have complex interactions, leading to an </w:t>
      </w:r>
      <w:r w:rsidRPr="00BF2B3B">
        <w:rPr>
          <w:rStyle w:val="Network-bodytext"/>
          <w:color w:val="7F7F7F" w:themeColor="text1" w:themeTint="80"/>
        </w:rPr>
        <w:lastRenderedPageBreak/>
        <w:t xml:space="preserve">overfitting of the model and poor predictive performance.  Compared with the more traditional principal component analysis (PCA) method of dimension reduction, the authors found that SIR and its parametric counterpart, PIR, were superior.  The Bayesian Information Criterion (BIC), an index balancing a lack of fit (under-specifying the model) with overfitting (over-specifying the model), was used to evaluate performance of various models. </w:t>
      </w:r>
      <w:r w:rsidR="00D75372" w:rsidRPr="00BF2B3B">
        <w:rPr>
          <w:rStyle w:val="Network-bodytext"/>
          <w:color w:val="7F7F7F" w:themeColor="text1" w:themeTint="80"/>
        </w:rPr>
        <w:t xml:space="preserve"> </w:t>
      </w:r>
      <w:r w:rsidRPr="00BF2B3B">
        <w:rPr>
          <w:rStyle w:val="Network-bodytext"/>
          <w:color w:val="7F7F7F" w:themeColor="text1" w:themeTint="80"/>
        </w:rPr>
        <w:t xml:space="preserve">Generally, lower values of the BIC are preferred.  The minimum BIC achieved was with five composites.  Regarding the different estimation procedures, it was noted that the model using PCA composites was not able to capture any performance variation among the utilities, suggesting the higher suitability of the SIR method.  </w:t>
      </w:r>
    </w:p>
    <w:p w:rsidR="003F2E0B" w:rsidRPr="00BF2B3B" w:rsidRDefault="003F2E0B" w:rsidP="003F2E0B">
      <w:pPr>
        <w:spacing w:line="240" w:lineRule="auto"/>
        <w:rPr>
          <w:rStyle w:val="Network-bodytext"/>
          <w:color w:val="7F7F7F" w:themeColor="text1" w:themeTint="80"/>
        </w:rPr>
      </w:pPr>
      <w:r w:rsidRPr="00BF2B3B">
        <w:rPr>
          <w:rStyle w:val="Network-bodytext"/>
          <w:color w:val="7F7F7F" w:themeColor="text1" w:themeTint="80"/>
        </w:rPr>
        <w:t xml:space="preserve">In the empirical analysis, the authors also addressed issues caused by the fact that the response variable (that is, electricity distribution costs) not only depends on the weather and geographic factors to be aggregated, but also on a set of economic variables (for example, number of customers, energy delivered, network length, etc.) that might be correlated with the environmental variables.  Regardless of the methodology used to avoid the dimensionality problem, the estimated coefficients of the environmental composites are statistically significant indicating that weather and geographic conditions matter, and that they should be included as cost determinants. </w:t>
      </w:r>
      <w:r w:rsidR="00D75372" w:rsidRPr="00BF2B3B">
        <w:rPr>
          <w:rStyle w:val="Network-bodytext"/>
          <w:color w:val="7F7F7F" w:themeColor="text1" w:themeTint="80"/>
        </w:rPr>
        <w:t xml:space="preserve"> </w:t>
      </w:r>
      <w:r w:rsidRPr="00BF2B3B">
        <w:rPr>
          <w:rStyle w:val="Network-bodytext"/>
          <w:color w:val="7F7F7F" w:themeColor="text1" w:themeTint="80"/>
        </w:rPr>
        <w:t xml:space="preserve">The authors also found large differences among utilities in cost attributed to different environmental conditions. </w:t>
      </w:r>
    </w:p>
    <w:p w:rsidR="003F2E0B" w:rsidRPr="00BF2B3B" w:rsidRDefault="003F2E0B" w:rsidP="003F2E0B">
      <w:pPr>
        <w:spacing w:line="240" w:lineRule="auto"/>
        <w:rPr>
          <w:rStyle w:val="Network-bodytext"/>
          <w:color w:val="7F7F7F" w:themeColor="text1" w:themeTint="80"/>
        </w:rPr>
      </w:pPr>
      <w:r w:rsidRPr="00BF2B3B">
        <w:rPr>
          <w:rStyle w:val="Network-bodytext"/>
          <w:color w:val="7F7F7F" w:themeColor="text1" w:themeTint="80"/>
        </w:rPr>
        <w:t xml:space="preserve">The authors’ preferred model predicts up to 44 per cent lower costs for utilities operating in areas with favourable environmental conditions.  For utilities operating in an area with unfavourable environmental conditions, higher costs of up to 35 per cent are predicted.  While lower costs are mostly associated with ‘urban’ factors, district heating systems, and agrarian farms around roads and lines; higher costs are mostly caused by weather conditions and two geographic factors reflecting the hilliness and slope of the ground and the presence of water bodies (for example, wetlands or lakes), or shallow soil.  The authors also examined the robustness of a traditional efficiency analysis in order to use different aggregation methods to control for environmental factors. </w:t>
      </w:r>
    </w:p>
    <w:p w:rsidR="003F2E0B" w:rsidRPr="00BF2B3B" w:rsidRDefault="003F2E0B" w:rsidP="003F2E0B">
      <w:pPr>
        <w:spacing w:line="240" w:lineRule="auto"/>
        <w:rPr>
          <w:rStyle w:val="Network-bodytext"/>
          <w:color w:val="7F7F7F" w:themeColor="text1" w:themeTint="80"/>
        </w:rPr>
      </w:pPr>
      <w:r w:rsidRPr="00BF2B3B">
        <w:rPr>
          <w:rStyle w:val="Network-bodytext"/>
          <w:color w:val="7F7F7F" w:themeColor="text1" w:themeTint="80"/>
        </w:rPr>
        <w:t xml:space="preserve">There are 39 references in the list.  Journals most often cited are </w:t>
      </w:r>
      <w:r w:rsidRPr="00BF2B3B">
        <w:rPr>
          <w:rStyle w:val="Network-bodytext"/>
          <w:i/>
          <w:color w:val="7F7F7F" w:themeColor="text1" w:themeTint="80"/>
        </w:rPr>
        <w:t>Journal of the American Statistical Association</w:t>
      </w:r>
      <w:r w:rsidRPr="00BF2B3B">
        <w:rPr>
          <w:rStyle w:val="Network-bodytext"/>
          <w:color w:val="7F7F7F" w:themeColor="text1" w:themeTint="80"/>
        </w:rPr>
        <w:t xml:space="preserve">, </w:t>
      </w:r>
      <w:r w:rsidRPr="00BF2B3B">
        <w:rPr>
          <w:rStyle w:val="Network-bodytext"/>
          <w:i/>
          <w:color w:val="7F7F7F" w:themeColor="text1" w:themeTint="80"/>
        </w:rPr>
        <w:t>Annals of Statistics</w:t>
      </w:r>
      <w:r w:rsidRPr="00BF2B3B">
        <w:rPr>
          <w:rStyle w:val="Network-bodytext"/>
          <w:color w:val="7F7F7F" w:themeColor="text1" w:themeTint="80"/>
        </w:rPr>
        <w:t xml:space="preserve">, </w:t>
      </w:r>
      <w:r w:rsidRPr="00BF2B3B">
        <w:rPr>
          <w:rStyle w:val="Network-bodytext"/>
          <w:i/>
          <w:color w:val="7F7F7F" w:themeColor="text1" w:themeTint="80"/>
        </w:rPr>
        <w:t>Energy Economics</w:t>
      </w:r>
      <w:r w:rsidRPr="00BF2B3B">
        <w:rPr>
          <w:rStyle w:val="Network-bodytext"/>
          <w:color w:val="7F7F7F" w:themeColor="text1" w:themeTint="80"/>
        </w:rPr>
        <w:t xml:space="preserve"> and </w:t>
      </w:r>
      <w:r w:rsidRPr="00BF2B3B">
        <w:rPr>
          <w:rStyle w:val="Network-bodytext"/>
          <w:i/>
          <w:color w:val="7F7F7F" w:themeColor="text1" w:themeTint="80"/>
        </w:rPr>
        <w:t>Energy Policy</w:t>
      </w:r>
      <w:r w:rsidRPr="00BF2B3B">
        <w:rPr>
          <w:rStyle w:val="Network-bodytext"/>
          <w:color w:val="7F7F7F" w:themeColor="text1" w:themeTint="80"/>
        </w:rPr>
        <w:t>.</w:t>
      </w:r>
    </w:p>
    <w:p w:rsidR="003F2E0B" w:rsidRPr="00BF2B3B" w:rsidRDefault="003F2E0B" w:rsidP="003F2E0B">
      <w:pPr>
        <w:spacing w:line="240" w:lineRule="auto"/>
        <w:rPr>
          <w:rStyle w:val="Network-bodytext"/>
          <w:rFonts w:eastAsia="Calibri"/>
          <w:color w:val="7F7F7F" w:themeColor="text1" w:themeTint="80"/>
        </w:rPr>
      </w:pPr>
      <w:r w:rsidRPr="00BF2B3B">
        <w:rPr>
          <w:rStyle w:val="Network-bodytext"/>
          <w:color w:val="7F7F7F" w:themeColor="text1" w:themeTint="80"/>
        </w:rPr>
        <w:t xml:space="preserve">This article can be accessed by subscription to </w:t>
      </w:r>
      <w:r w:rsidRPr="00BF2B3B">
        <w:rPr>
          <w:rStyle w:val="Network-bodytext"/>
          <w:i/>
          <w:color w:val="7F7F7F" w:themeColor="text1" w:themeTint="80"/>
        </w:rPr>
        <w:t>Competition and Regulation in Network Industries</w:t>
      </w:r>
      <w:r w:rsidRPr="00BF2B3B">
        <w:rPr>
          <w:rStyle w:val="Network-bodytext"/>
          <w:color w:val="7F7F7F" w:themeColor="text1" w:themeTint="80"/>
        </w:rPr>
        <w:t>.</w:t>
      </w:r>
    </w:p>
    <w:p w:rsidR="003F2E0B" w:rsidRPr="00BF2B3B" w:rsidRDefault="00D75372" w:rsidP="003F2E0B">
      <w:pPr>
        <w:rPr>
          <w:rStyle w:val="Network-bodytext"/>
          <w:color w:val="7F7F7F" w:themeColor="text1" w:themeTint="80"/>
        </w:rPr>
      </w:pPr>
      <w:r>
        <w:rPr>
          <w:rStyle w:val="Heading3Char"/>
        </w:rPr>
        <w:br w:type="column"/>
      </w:r>
      <w:r w:rsidR="003F2E0B" w:rsidRPr="00BF2B3B">
        <w:rPr>
          <w:rStyle w:val="Heading3Char"/>
        </w:rPr>
        <w:lastRenderedPageBreak/>
        <w:t>How EU Sector-Specific Regulations and Competition affect Migration from Old to New Communications Infrastructure: Recent Evidence from EU27 Member States</w:t>
      </w:r>
      <w:r w:rsidR="003F2E0B" w:rsidRPr="00BF2B3B">
        <w:rPr>
          <w:rStyle w:val="Network-bodytext"/>
          <w:color w:val="7F7F7F" w:themeColor="text1" w:themeTint="80"/>
        </w:rPr>
        <w:t xml:space="preserve">, Wolfgang Briglauer, </w:t>
      </w:r>
      <w:r w:rsidR="003F2E0B" w:rsidRPr="00BF2B3B">
        <w:rPr>
          <w:rStyle w:val="Network-bodytext"/>
          <w:i/>
          <w:color w:val="7F7F7F" w:themeColor="text1" w:themeTint="80"/>
        </w:rPr>
        <w:t>Journal of Regulatory Economics</w:t>
      </w:r>
      <w:r w:rsidR="003F2E0B" w:rsidRPr="00BF2B3B">
        <w:rPr>
          <w:rStyle w:val="Network-bodytext"/>
          <w:color w:val="7F7F7F" w:themeColor="text1" w:themeTint="80"/>
        </w:rPr>
        <w:t>, 48, May 2015, pp. 194-217.</w:t>
      </w:r>
    </w:p>
    <w:p w:rsidR="003F2E0B" w:rsidRPr="00BF2B3B" w:rsidRDefault="003F2E0B" w:rsidP="003F2E0B">
      <w:pPr>
        <w:spacing w:before="0" w:line="240" w:lineRule="auto"/>
        <w:rPr>
          <w:rStyle w:val="Network-bodytext"/>
          <w:color w:val="7F7F7F" w:themeColor="text1" w:themeTint="80"/>
        </w:rPr>
      </w:pPr>
      <w:r w:rsidRPr="00BF2B3B">
        <w:rPr>
          <w:rStyle w:val="Network-bodytext"/>
          <w:color w:val="7F7F7F" w:themeColor="text1" w:themeTint="80"/>
        </w:rPr>
        <w:t xml:space="preserve">This article examines how to optimally design the regulatory framework around high-performance fibre optic networks in order to incentivise investment.  The authors analysed a recent EU27 panel data set and examined the role of regulatory policies and competition controlling for relevant supply and demand side factors and the investment dynamics. </w:t>
      </w:r>
    </w:p>
    <w:p w:rsidR="003F2E0B" w:rsidRPr="00BF2B3B" w:rsidRDefault="003F2E0B" w:rsidP="003F2E0B">
      <w:pPr>
        <w:spacing w:before="0" w:line="240" w:lineRule="auto"/>
        <w:rPr>
          <w:rStyle w:val="Network-bodytext"/>
          <w:color w:val="7F7F7F" w:themeColor="text1" w:themeTint="80"/>
        </w:rPr>
      </w:pPr>
      <w:r w:rsidRPr="00BF2B3B">
        <w:rPr>
          <w:rStyle w:val="Network-bodytext"/>
          <w:color w:val="7F7F7F" w:themeColor="text1" w:themeTint="80"/>
        </w:rPr>
        <w:t xml:space="preserve">The results indicated that relevant forms of previous broadband access regulation have a negative impact on investment in new fibre infrastructure, and that infrastructure-based competition from mobile operators and the replacement effect stemming from the incumbents’ existing infrastructure exert a negative impact on investment incentives. </w:t>
      </w:r>
    </w:p>
    <w:p w:rsidR="003F2E0B" w:rsidRPr="00BF2B3B" w:rsidRDefault="003F2E0B" w:rsidP="003F2E0B">
      <w:pPr>
        <w:spacing w:before="0" w:line="240" w:lineRule="auto"/>
        <w:rPr>
          <w:rStyle w:val="Network-bodytext"/>
          <w:color w:val="7F7F7F" w:themeColor="text1" w:themeTint="80"/>
        </w:rPr>
      </w:pPr>
      <w:r w:rsidRPr="00BF2B3B">
        <w:rPr>
          <w:rStyle w:val="Network-bodytext"/>
          <w:color w:val="7F7F7F" w:themeColor="text1" w:themeTint="80"/>
        </w:rPr>
        <w:t xml:space="preserve">The authors proposed an aggregate model, with the dependent variable being a measure of total next generation network (NGN) connections expressed in logs.  The main explanatory variable is the ratio of regulated and actually used wholesale broadband lines, which is a measure of the effect of regulation on the market.  Other explanatory variables include the unbundling access charge, and the ‘Polynomics Regulation Index’, a formal measure of relevant EU broadband access obligations, which is used as a regulatory robustness variable.  Demand and cost shifters are included as control variables. </w:t>
      </w:r>
    </w:p>
    <w:p w:rsidR="003F2E0B" w:rsidRPr="00BF2B3B" w:rsidRDefault="003F2E0B" w:rsidP="003F2E0B">
      <w:pPr>
        <w:spacing w:before="0" w:line="240" w:lineRule="auto"/>
        <w:rPr>
          <w:rStyle w:val="Network-bodytext"/>
          <w:color w:val="7F7F7F" w:themeColor="text1" w:themeTint="80"/>
        </w:rPr>
      </w:pPr>
      <w:r w:rsidRPr="00BF2B3B">
        <w:rPr>
          <w:rStyle w:val="Network-bodytext"/>
          <w:color w:val="7F7F7F" w:themeColor="text1" w:themeTint="80"/>
        </w:rPr>
        <w:t xml:space="preserve">The model was estimated by the system-GMM estimator.  The empirical results show that a one per cent increase in the intensity of service-based competition decreases total NGN investment by at least 1.58 per cent and up to 5.30 per cent.  It is also implied that an increase in the unbundling price by one unit (€1) increases NGN investment in the range between 2.9 per cent and 6.4 per cent. </w:t>
      </w:r>
    </w:p>
    <w:p w:rsidR="003F2E0B" w:rsidRPr="00BF2B3B" w:rsidRDefault="003F2E0B" w:rsidP="003F2E0B">
      <w:pPr>
        <w:spacing w:before="0" w:line="240" w:lineRule="auto"/>
        <w:rPr>
          <w:rStyle w:val="Network-bodytext"/>
          <w:color w:val="7F7F7F" w:themeColor="text1" w:themeTint="80"/>
        </w:rPr>
      </w:pPr>
      <w:r w:rsidRPr="00BF2B3B">
        <w:rPr>
          <w:rStyle w:val="Network-bodytext"/>
          <w:color w:val="7F7F7F" w:themeColor="text1" w:themeTint="80"/>
        </w:rPr>
        <w:t xml:space="preserve">Thus, there is strong evidence that previous broadband access regulation imposed on first-generation infrastructure exerts a significant and negative impact on aggregate NGN investment, which is consistent with previous literature.  The paper also finds that the size of the first-generation broadband market has a very strong and positive impact on NGN investment incentives, whereas a highly saturated broadband market involves strong switching costs that hinder migration to NGN services. </w:t>
      </w:r>
    </w:p>
    <w:p w:rsidR="003F2E0B" w:rsidRPr="00BF2B3B" w:rsidRDefault="003F2E0B" w:rsidP="003F2E0B">
      <w:pPr>
        <w:spacing w:before="0" w:line="240" w:lineRule="auto"/>
        <w:rPr>
          <w:bCs/>
          <w:color w:val="7F7F7F" w:themeColor="text1" w:themeTint="80"/>
          <w:kern w:val="36"/>
        </w:rPr>
      </w:pPr>
      <w:r w:rsidRPr="00BF2B3B">
        <w:rPr>
          <w:rStyle w:val="Network-bodytext"/>
          <w:color w:val="7F7F7F" w:themeColor="text1" w:themeTint="80"/>
        </w:rPr>
        <w:t>The reference list contains thirty-six items.</w:t>
      </w:r>
      <w:r w:rsidR="00D75372" w:rsidRPr="00BF2B3B">
        <w:rPr>
          <w:rStyle w:val="Network-bodytext"/>
          <w:color w:val="7F7F7F" w:themeColor="text1" w:themeTint="80"/>
        </w:rPr>
        <w:t xml:space="preserve"> </w:t>
      </w:r>
      <w:r w:rsidRPr="00BF2B3B">
        <w:rPr>
          <w:rStyle w:val="Network-bodytext"/>
          <w:color w:val="7F7F7F" w:themeColor="text1" w:themeTint="80"/>
        </w:rPr>
        <w:t xml:space="preserve"> A wide range of journals were cited, including the </w:t>
      </w:r>
      <w:r w:rsidRPr="00BF2B3B">
        <w:rPr>
          <w:rStyle w:val="Network-bodytext"/>
          <w:i/>
          <w:color w:val="7F7F7F" w:themeColor="text1" w:themeTint="80"/>
        </w:rPr>
        <w:t>Quarterly Journal of Economics</w:t>
      </w:r>
      <w:r w:rsidRPr="00BF2B3B">
        <w:rPr>
          <w:rStyle w:val="Network-bodytext"/>
          <w:color w:val="7F7F7F" w:themeColor="text1" w:themeTint="80"/>
        </w:rPr>
        <w:t xml:space="preserve">, </w:t>
      </w:r>
      <w:r w:rsidRPr="00BF2B3B">
        <w:rPr>
          <w:rStyle w:val="Network-bodytext"/>
          <w:i/>
          <w:color w:val="7F7F7F" w:themeColor="text1" w:themeTint="80"/>
        </w:rPr>
        <w:t>Journal of Econometrics</w:t>
      </w:r>
      <w:r w:rsidRPr="00BF2B3B">
        <w:rPr>
          <w:rStyle w:val="Network-bodytext"/>
          <w:color w:val="7F7F7F" w:themeColor="text1" w:themeTint="80"/>
        </w:rPr>
        <w:t xml:space="preserve">, </w:t>
      </w:r>
      <w:r w:rsidRPr="00BF2B3B">
        <w:rPr>
          <w:rStyle w:val="Network-bodytext"/>
          <w:i/>
          <w:color w:val="7F7F7F" w:themeColor="text1" w:themeTint="80"/>
        </w:rPr>
        <w:t>Telecommunications Policy</w:t>
      </w:r>
      <w:r w:rsidRPr="00BF2B3B">
        <w:rPr>
          <w:rStyle w:val="Network-bodytext"/>
          <w:color w:val="7F7F7F" w:themeColor="text1" w:themeTint="80"/>
        </w:rPr>
        <w:t xml:space="preserve"> and the </w:t>
      </w:r>
      <w:r w:rsidRPr="00BF2B3B">
        <w:rPr>
          <w:rStyle w:val="Network-bodytext"/>
          <w:i/>
          <w:color w:val="7F7F7F" w:themeColor="text1" w:themeTint="80"/>
        </w:rPr>
        <w:t xml:space="preserve">International </w:t>
      </w:r>
      <w:r w:rsidRPr="00BF2B3B">
        <w:rPr>
          <w:rStyle w:val="Network-bodytext"/>
          <w:i/>
          <w:color w:val="7F7F7F" w:themeColor="text1" w:themeTint="80"/>
        </w:rPr>
        <w:lastRenderedPageBreak/>
        <w:t>Journal of Industrial Organisation</w:t>
      </w:r>
      <w:r w:rsidRPr="00BF2B3B">
        <w:rPr>
          <w:rStyle w:val="Network-bodytext"/>
          <w:color w:val="7F7F7F" w:themeColor="text1" w:themeTint="80"/>
        </w:rPr>
        <w:t xml:space="preserve">.  Most of the articles were published in the past ten years. </w:t>
      </w:r>
    </w:p>
    <w:p w:rsidR="003F2E0B" w:rsidRPr="003F2E0B" w:rsidRDefault="003F2E0B" w:rsidP="003F2E0B">
      <w:pPr>
        <w:spacing w:before="0" w:line="240" w:lineRule="auto"/>
        <w:rPr>
          <w:rStyle w:val="Network-bodytext"/>
        </w:rPr>
      </w:pPr>
      <w:r w:rsidRPr="00BF2B3B">
        <w:rPr>
          <w:rStyle w:val="Network-bodytext"/>
          <w:color w:val="7F7F7F" w:themeColor="text1" w:themeTint="80"/>
        </w:rPr>
        <w:t xml:space="preserve">This article can be accessed by subscription to the </w:t>
      </w:r>
      <w:r w:rsidRPr="00BF2B3B">
        <w:rPr>
          <w:rStyle w:val="Network-bodytext"/>
          <w:i/>
          <w:color w:val="7F7F7F" w:themeColor="text1" w:themeTint="80"/>
        </w:rPr>
        <w:t>Journal of Regulatory Economics</w:t>
      </w:r>
      <w:r w:rsidRPr="00BF2B3B">
        <w:rPr>
          <w:rStyle w:val="Network-bodytext"/>
          <w:color w:val="7F7F7F" w:themeColor="text1" w:themeTint="80"/>
        </w:rPr>
        <w:t>.</w:t>
      </w:r>
    </w:p>
    <w:p w:rsidR="003F2E0B" w:rsidRPr="00BF2B3B" w:rsidRDefault="003F2E0B" w:rsidP="003F2E0B">
      <w:pPr>
        <w:rPr>
          <w:rStyle w:val="Network-bodytext"/>
          <w:color w:val="7F7F7F" w:themeColor="text1" w:themeTint="80"/>
        </w:rPr>
      </w:pPr>
      <w:r w:rsidRPr="00BF2B3B">
        <w:rPr>
          <w:rStyle w:val="Heading3Char"/>
          <w:rFonts w:eastAsiaTheme="minorHAnsi"/>
        </w:rPr>
        <w:t>Weak versus Strong Net Neutrality</w:t>
      </w:r>
      <w:r w:rsidRPr="00BF2B3B">
        <w:rPr>
          <w:rStyle w:val="Network-bodytext"/>
          <w:color w:val="7F7F7F" w:themeColor="text1" w:themeTint="80"/>
        </w:rPr>
        <w:t xml:space="preserve">, Joshua Gans, </w:t>
      </w:r>
      <w:r w:rsidRPr="00BF2B3B">
        <w:rPr>
          <w:rStyle w:val="Network-bodytext"/>
          <w:i/>
          <w:color w:val="7F7F7F" w:themeColor="text1" w:themeTint="80"/>
        </w:rPr>
        <w:t>Journal of Regulatory Economics</w:t>
      </w:r>
      <w:r w:rsidRPr="00BF2B3B">
        <w:rPr>
          <w:rStyle w:val="Network-bodytext"/>
          <w:color w:val="7F7F7F" w:themeColor="text1" w:themeTint="80"/>
        </w:rPr>
        <w:t>, 47, December 2014, pp. 183-200.</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This paper discusses the impact of net neutrality regulations on the allocation of consumer attention and the distribution of surplus between consumers, internet service providers (ISPs) and content providers.  The author claims that strong net neutrality may stimulate content-provider investment, while there is unlikely to be any negative impact from such regulation on ISP investment. </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A simple linear model with a single ISP, two content providers (CPs) and a consumer is proposed, with there being no nuance on demand from the consumer.  For simplicity, no analysis of network priority rules, alternative pricing structures or download caps were considered.  Everything is comprised of a set of simple transfers for services. </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Strong and weak net neutrality was also defined, with strong net neutrality referring to the outlawing of content-based price discrimination altogether, and weak net neutrality allowing content-based price discrimination on one side (either the consumer, or CP side).  The author uses the aforementioned model to evaluate a set of five propositions, the most notable of which is the third – that under strong net neutrality, the consumer will choose the socially optimal CP, who will earn zero surplus (as will the other CP).  In this arrangement, the author contends that strong net neutrality is effective in the sense that it can change outcomes in the market, by shifting surplus from the ISP to the CP.</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The reference list contains seventeen elements, most of which have been published in the past few years. Cited journals include the </w:t>
      </w:r>
      <w:r w:rsidRPr="00BF2B3B">
        <w:rPr>
          <w:rStyle w:val="Network-bodytext"/>
          <w:i/>
          <w:color w:val="7F7F7F" w:themeColor="text1" w:themeTint="80"/>
        </w:rPr>
        <w:t>RAND Journal of Economics</w:t>
      </w:r>
      <w:r w:rsidRPr="00BF2B3B">
        <w:rPr>
          <w:rStyle w:val="Network-bodytext"/>
          <w:color w:val="7F7F7F" w:themeColor="text1" w:themeTint="80"/>
        </w:rPr>
        <w:t xml:space="preserve">, </w:t>
      </w:r>
      <w:r w:rsidRPr="00BF2B3B">
        <w:rPr>
          <w:rStyle w:val="Network-bodytext"/>
          <w:i/>
          <w:color w:val="7F7F7F" w:themeColor="text1" w:themeTint="80"/>
        </w:rPr>
        <w:t>Journal of Industrial Economics</w:t>
      </w:r>
      <w:r w:rsidRPr="00BF2B3B">
        <w:rPr>
          <w:rStyle w:val="Network-bodytext"/>
          <w:color w:val="7F7F7F" w:themeColor="text1" w:themeTint="80"/>
        </w:rPr>
        <w:t xml:space="preserve"> and </w:t>
      </w:r>
      <w:r w:rsidRPr="00BF2B3B">
        <w:rPr>
          <w:rStyle w:val="Network-bodytext"/>
          <w:i/>
          <w:color w:val="7F7F7F" w:themeColor="text1" w:themeTint="80"/>
        </w:rPr>
        <w:t>Journal for Competition Law and Economics</w:t>
      </w:r>
      <w:r w:rsidRPr="00BF2B3B">
        <w:rPr>
          <w:rStyle w:val="Network-bodytext"/>
          <w:color w:val="7F7F7F" w:themeColor="text1" w:themeTint="80"/>
        </w:rPr>
        <w:t>.</w:t>
      </w:r>
    </w:p>
    <w:p w:rsidR="003F2E0B" w:rsidRPr="00BF2B3B" w:rsidRDefault="003F2E0B" w:rsidP="003F2E0B">
      <w:pPr>
        <w:rPr>
          <w:rStyle w:val="Network-bodytext"/>
          <w:color w:val="7F7F7F" w:themeColor="text1" w:themeTint="80"/>
        </w:rPr>
      </w:pPr>
      <w:r w:rsidRPr="00BF2B3B">
        <w:rPr>
          <w:rStyle w:val="Network-bodytext"/>
          <w:color w:val="7F7F7F" w:themeColor="text1" w:themeTint="80"/>
        </w:rPr>
        <w:t xml:space="preserve">This article can be accessed by subscription to the </w:t>
      </w:r>
      <w:r w:rsidRPr="00BF2B3B">
        <w:rPr>
          <w:rStyle w:val="Network-bodytext"/>
          <w:i/>
          <w:color w:val="7F7F7F" w:themeColor="text1" w:themeTint="80"/>
        </w:rPr>
        <w:t>Journal of Regulatory Economics</w:t>
      </w:r>
      <w:r w:rsidRPr="00BF2B3B">
        <w:rPr>
          <w:rStyle w:val="Network-bodytext"/>
          <w:color w:val="7F7F7F" w:themeColor="text1" w:themeTint="80"/>
        </w:rPr>
        <w:t>.</w:t>
      </w:r>
    </w:p>
    <w:p w:rsidR="003F2E0B" w:rsidRPr="00BF2B3B" w:rsidRDefault="003F2E0B" w:rsidP="003F2E0B">
      <w:pPr>
        <w:rPr>
          <w:rStyle w:val="Network-bodytext"/>
          <w:rFonts w:eastAsia="Calibri"/>
          <w:color w:val="7F7F7F" w:themeColor="text1" w:themeTint="80"/>
        </w:rPr>
      </w:pPr>
      <w:r w:rsidRPr="00BF2B3B">
        <w:rPr>
          <w:rStyle w:val="Heading3Char"/>
        </w:rPr>
        <w:t>Which Factors are Priced?  An Application of the Fama French Three-Factor Model in Australia</w:t>
      </w:r>
      <w:r w:rsidRPr="00BF2B3B">
        <w:rPr>
          <w:rStyle w:val="Network-bodytext"/>
          <w:rFonts w:eastAsia="Calibri"/>
          <w:color w:val="7F7F7F" w:themeColor="text1" w:themeTint="80"/>
        </w:rPr>
        <w:t xml:space="preserve">, Duc Hong Vo, </w:t>
      </w:r>
      <w:r w:rsidRPr="00BF2B3B">
        <w:rPr>
          <w:rStyle w:val="Network-bodytext"/>
          <w:rFonts w:eastAsia="Calibri"/>
          <w:i/>
          <w:color w:val="7F7F7F" w:themeColor="text1" w:themeTint="80"/>
        </w:rPr>
        <w:t>Economic Papers</w:t>
      </w:r>
      <w:r w:rsidRPr="00BF2B3B">
        <w:rPr>
          <w:rStyle w:val="Network-bodytext"/>
          <w:rFonts w:eastAsia="Calibri"/>
          <w:color w:val="7F7F7F" w:themeColor="text1" w:themeTint="80"/>
        </w:rPr>
        <w:t>, 34, 4, December 2015, pp. 290-301.</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This paper is about the application of the Fama French Three-Factor Mode (FFM) to Australian economic regulation.  Studies by Fama and French in 1992, 1993, and 1996 show that cross-sectional variations in returns were not adequately captured by </w:t>
      </w:r>
      <w:r w:rsidRPr="00BF2B3B">
        <w:rPr>
          <w:rStyle w:val="Network-bodytext"/>
          <w:rFonts w:eastAsia="Calibri"/>
          <w:color w:val="7F7F7F" w:themeColor="text1" w:themeTint="80"/>
        </w:rPr>
        <w:lastRenderedPageBreak/>
        <w:t xml:space="preserve">beta alone, as per the Capital Asset Pricing Model (CAPM).  They proposed an empirical model with an additional two factors, the size factor (SMB) and value (book-to-market ratio) factor (HML) which were supported by existing data, but not by finance theory.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Due to concerns about ‘data mining’, the lack of theoretical support and the commercial unavailability of SMB and HML data, the FFM has not been widely adopted.  It has also been suggested, by Kothari, Shanken and Sloan in a 2005 paper that the effect of the size factor is small and that the value factor is due to survivorship bias.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Previous studies applying the FFM to Australian markets have had mixed results. </w:t>
      </w:r>
      <w:r w:rsidR="00D75372" w:rsidRPr="00BF2B3B">
        <w:rPr>
          <w:rStyle w:val="Network-bodytext"/>
          <w:rFonts w:eastAsia="Calibri"/>
          <w:color w:val="7F7F7F" w:themeColor="text1" w:themeTint="80"/>
        </w:rPr>
        <w:t xml:space="preserve"> </w:t>
      </w:r>
      <w:r w:rsidRPr="00BF2B3B">
        <w:rPr>
          <w:rStyle w:val="Network-bodytext"/>
          <w:rFonts w:eastAsia="Calibri"/>
          <w:color w:val="7F7F7F" w:themeColor="text1" w:themeTint="80"/>
        </w:rPr>
        <w:t>Certain studies have shown that the FFM performs well; however, others have shown the additional factors proposed by the FFM to be statistically insignificant.  The author identifies that previous studies have adopted different approaches to portfolio formation, which may have led to different conclusions.  However, there is no strong theory to guide an appropriate approach in which portfolios can be formed.</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In this study, the author applies the Fama French Three-Factor model to Australian data drawn over a five-year period.  Three different scenarios were considered: (1) weekly data for all listed businesses during the five year period; (2) weekly data for all listed businesses as at 31 May 2014 (regardless of if they were listed at other times); and (3) similar to the previous scenario, but the number of shares traded, rather than the number of shares outstanding, is used to calculate the market cap of a firm.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The results demonstrate that the estimated factor coefficients on beta (the single factor under the CAPM) are statistically significant and carry a positive sign across all portfolio formations in the three scenarios.  It was also noted that, while the size factor (SMB) was generally well priced in the Australian context, the value factor (HML) showed mixed results.  The risk premiums for the two additional factors (SMB and HML) varied significantly across the different portfolios and scenarios.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It is interesting to note that, in 2014, Fama and French have begun to move away from the FFM, instead, proposing a new five-factor model which they suggest outperforms the original three-factor model.  However, it was also found that the value factor (HML) was redundant, as excluding it did not reduce the predictive power of the model.  This supports the author’s observations regarding the value factor (HML) in the Australian market.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Due to the inconsistent results of studies into the Fama-French Three-Factor Model and its possible reliance on ‘data mining’, it is suggested that whilst interesting for research endeavours, its application to policy is problematic, and thus, not recommended. </w:t>
      </w:r>
      <w:r w:rsidR="00D75372" w:rsidRPr="00BF2B3B">
        <w:rPr>
          <w:rStyle w:val="Network-bodytext"/>
          <w:rFonts w:eastAsia="Calibri"/>
          <w:color w:val="7F7F7F" w:themeColor="text1" w:themeTint="80"/>
        </w:rPr>
        <w:t xml:space="preserve">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lastRenderedPageBreak/>
        <w:t xml:space="preserve">There are twenty-two items in the reference list, including international journals, such as the </w:t>
      </w:r>
      <w:r w:rsidRPr="00BF2B3B">
        <w:rPr>
          <w:rStyle w:val="Network-bodytext"/>
          <w:rFonts w:eastAsia="Calibri"/>
          <w:i/>
          <w:color w:val="7F7F7F" w:themeColor="text1" w:themeTint="80"/>
        </w:rPr>
        <w:t>Journal of Finance</w:t>
      </w:r>
      <w:r w:rsidRPr="00BF2B3B">
        <w:rPr>
          <w:rStyle w:val="Network-bodytext"/>
          <w:rFonts w:eastAsia="Calibri"/>
          <w:color w:val="7F7F7F" w:themeColor="text1" w:themeTint="80"/>
        </w:rPr>
        <w:t xml:space="preserve"> and </w:t>
      </w:r>
      <w:r w:rsidRPr="00BF2B3B">
        <w:rPr>
          <w:rStyle w:val="Network-bodytext"/>
          <w:rFonts w:eastAsia="Calibri"/>
          <w:i/>
          <w:color w:val="7F7F7F" w:themeColor="text1" w:themeTint="80"/>
        </w:rPr>
        <w:t>Applied Financial Economics</w:t>
      </w:r>
      <w:r w:rsidRPr="00BF2B3B">
        <w:rPr>
          <w:rStyle w:val="Network-bodytext"/>
          <w:rFonts w:eastAsia="Calibri"/>
          <w:color w:val="7F7F7F" w:themeColor="text1" w:themeTint="80"/>
        </w:rPr>
        <w:t xml:space="preserve">, and many Australian journals, such as the </w:t>
      </w:r>
      <w:r w:rsidRPr="00BF2B3B">
        <w:rPr>
          <w:rStyle w:val="Network-bodytext"/>
          <w:rFonts w:eastAsia="Calibri"/>
          <w:i/>
          <w:color w:val="7F7F7F" w:themeColor="text1" w:themeTint="80"/>
        </w:rPr>
        <w:t>Australian Journal of Management</w:t>
      </w:r>
      <w:r w:rsidRPr="00BF2B3B">
        <w:rPr>
          <w:rStyle w:val="Network-bodytext"/>
          <w:rFonts w:eastAsia="Calibri"/>
          <w:color w:val="7F7F7F" w:themeColor="text1" w:themeTint="80"/>
        </w:rPr>
        <w:t xml:space="preserve">. </w:t>
      </w:r>
    </w:p>
    <w:p w:rsidR="003F2E0B" w:rsidRPr="00BF2B3B" w:rsidRDefault="003F2E0B" w:rsidP="003F2E0B">
      <w:pPr>
        <w:spacing w:before="0" w:line="240" w:lineRule="auto"/>
        <w:rPr>
          <w:rStyle w:val="Network-bodytext"/>
          <w:color w:val="7F7F7F" w:themeColor="text1" w:themeTint="80"/>
        </w:rPr>
      </w:pPr>
      <w:r w:rsidRPr="00BF2B3B">
        <w:rPr>
          <w:rStyle w:val="Network-bodytext"/>
          <w:rFonts w:eastAsia="Calibri"/>
          <w:color w:val="7F7F7F" w:themeColor="text1" w:themeTint="80"/>
        </w:rPr>
        <w:t xml:space="preserve">This paper can be accessed by subscription to </w:t>
      </w:r>
      <w:r w:rsidRPr="00BF2B3B">
        <w:rPr>
          <w:rStyle w:val="Network-bodytext"/>
          <w:rFonts w:eastAsia="Calibri"/>
          <w:i/>
          <w:color w:val="7F7F7F" w:themeColor="text1" w:themeTint="80"/>
        </w:rPr>
        <w:t>Economic Papers</w:t>
      </w:r>
      <w:r w:rsidRPr="00BF2B3B">
        <w:rPr>
          <w:rStyle w:val="Network-bodytext"/>
          <w:rFonts w:eastAsia="Calibri"/>
          <w:color w:val="7F7F7F" w:themeColor="text1" w:themeTint="80"/>
        </w:rPr>
        <w:t>.</w:t>
      </w:r>
    </w:p>
    <w:p w:rsidR="003F2E0B" w:rsidRPr="00BF2B3B" w:rsidRDefault="003F2E0B" w:rsidP="003F2E0B">
      <w:pPr>
        <w:rPr>
          <w:rStyle w:val="Network-bodytext"/>
          <w:rFonts w:eastAsia="Calibri"/>
          <w:color w:val="7F7F7F" w:themeColor="text1" w:themeTint="80"/>
        </w:rPr>
      </w:pPr>
      <w:r w:rsidRPr="003F2E0B">
        <w:rPr>
          <w:rStyle w:val="Heading3Char"/>
          <w:rFonts w:eastAsia="Calibri"/>
        </w:rPr>
        <w:t>Government Intervention and Information Aggregation by Prices</w:t>
      </w:r>
      <w:r w:rsidRPr="00BF2B3B">
        <w:rPr>
          <w:rStyle w:val="Network-bodytext"/>
          <w:rFonts w:eastAsia="Calibri"/>
          <w:color w:val="7F7F7F" w:themeColor="text1" w:themeTint="80"/>
        </w:rPr>
        <w:t xml:space="preserve">, Philip Bond and Itay Goldstein, </w:t>
      </w:r>
      <w:r w:rsidRPr="00BF2B3B">
        <w:rPr>
          <w:rStyle w:val="Network-bodytext"/>
          <w:rFonts w:eastAsia="Calibri"/>
          <w:i/>
          <w:color w:val="7F7F7F" w:themeColor="text1" w:themeTint="80"/>
        </w:rPr>
        <w:t>Journal of Finance</w:t>
      </w:r>
      <w:r w:rsidRPr="00BF2B3B">
        <w:rPr>
          <w:rStyle w:val="Network-bodytext"/>
          <w:rFonts w:eastAsia="Calibri"/>
          <w:color w:val="7F7F7F" w:themeColor="text1" w:themeTint="80"/>
        </w:rPr>
        <w:t xml:space="preserve">, 70, 6, December 2015, pp. 2777-2812.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This article explores government intervention in private businesse</w:t>
      </w:r>
      <w:r w:rsidR="00D75372" w:rsidRPr="00BF2B3B">
        <w:rPr>
          <w:rStyle w:val="Network-bodytext"/>
          <w:rFonts w:eastAsia="Calibri"/>
          <w:color w:val="7F7F7F" w:themeColor="text1" w:themeTint="80"/>
        </w:rPr>
        <w:t>s.</w:t>
      </w:r>
      <w:r w:rsidRPr="00BF2B3B">
        <w:rPr>
          <w:rStyle w:val="Network-bodytext"/>
          <w:rFonts w:eastAsia="Calibri"/>
          <w:color w:val="7F7F7F" w:themeColor="text1" w:themeTint="80"/>
        </w:rPr>
        <w:t xml:space="preserve">  Efficient interventions depend on economic conditions, about which a government often has only limited information.  The authors contend that it is efficient for governments to follow at least partially the market and make interventions based on observed stock prices.  However, since price information is endogenous to government policy, it might, in some cases, be optimal for the government to commit to limited reliance on market prices in order to avoid harming trading incentives.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An important motivation for government intervention is the externalities that firms and financial institutions impose on the rest of the economy.  This was one of the major reasons behind the US Government ‘bailouts’ of large financial institutions, such as Bear Stearns and the automobile industry. </w:t>
      </w:r>
      <w:r w:rsidR="00D75372" w:rsidRPr="00BF2B3B">
        <w:rPr>
          <w:rStyle w:val="Network-bodytext"/>
          <w:rFonts w:eastAsia="Calibri"/>
          <w:color w:val="7F7F7F" w:themeColor="text1" w:themeTint="80"/>
        </w:rPr>
        <w:t xml:space="preserve"> </w:t>
      </w:r>
      <w:r w:rsidRPr="00BF2B3B">
        <w:rPr>
          <w:rStyle w:val="Network-bodytext"/>
          <w:rFonts w:eastAsia="Calibri"/>
          <w:color w:val="7F7F7F" w:themeColor="text1" w:themeTint="80"/>
        </w:rPr>
        <w:t xml:space="preserve">However, a long-standing concern is that governments only have limited information, preventing them from intervening in the most efficient way.  A common tenet in finance is that, as the market price contains much information, it could potentially provide valuable guidance for governments.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The authors propose a mathematical model which combines its own signals and the signals gained from observing financial markets, along with respective weights.  The weights depend on the precision of the government’s signal and the informativeness of market prices.  Situations in which the government did not utilise information in an optimal way ex post are also considered.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Analysis of the model shows that government usage of market prices as an input for policy might damage the informational content of the prices themselves.  This is because increasing government reliance on market prices affects the risk-return trade-off faced by speculators.  Thus, there are cases in which the government would achieve a better outcome by limiting its reliance on market prices and increasing its informational content.  However, the government always benefits from some reliance on market prices.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The authors also noted that government transparency could have negative effects on the market by reducing trading incentives and price </w:t>
      </w:r>
      <w:r w:rsidRPr="00BF2B3B">
        <w:rPr>
          <w:rStyle w:val="Network-bodytext"/>
          <w:rFonts w:eastAsia="Calibri"/>
          <w:color w:val="7F7F7F" w:themeColor="text1" w:themeTint="80"/>
        </w:rPr>
        <w:lastRenderedPageBreak/>
        <w:t xml:space="preserve">informativeness.  Whilst this paper is focused on market-based government policy, it is noted that the analysis and results could apply more generally to other non-government actions based on price. </w:t>
      </w:r>
    </w:p>
    <w:p w:rsidR="003F2E0B" w:rsidRPr="00BF2B3B" w:rsidRDefault="003F2E0B" w:rsidP="003F2E0B">
      <w:pPr>
        <w:spacing w:before="0" w:line="240" w:lineRule="auto"/>
        <w:rPr>
          <w:rStyle w:val="Network-bodytext"/>
          <w:rFonts w:eastAsia="Calibri"/>
          <w:color w:val="7F7F7F" w:themeColor="text1" w:themeTint="80"/>
        </w:rPr>
      </w:pPr>
      <w:r w:rsidRPr="00BF2B3B">
        <w:rPr>
          <w:rStyle w:val="Network-bodytext"/>
          <w:rFonts w:eastAsia="Calibri"/>
          <w:color w:val="7F7F7F" w:themeColor="text1" w:themeTint="80"/>
        </w:rPr>
        <w:t xml:space="preserve">The reference list consists of forty-three items. </w:t>
      </w:r>
    </w:p>
    <w:p w:rsidR="003F2E0B" w:rsidRPr="00BF2B3B" w:rsidRDefault="003F2E0B" w:rsidP="003F2E0B">
      <w:pPr>
        <w:spacing w:before="0" w:line="240" w:lineRule="auto"/>
        <w:rPr>
          <w:rStyle w:val="Network-bodytext"/>
          <w:color w:val="7F7F7F" w:themeColor="text1" w:themeTint="80"/>
        </w:rPr>
      </w:pPr>
      <w:r w:rsidRPr="00BF2B3B">
        <w:rPr>
          <w:rStyle w:val="Network-bodytext"/>
          <w:rFonts w:eastAsia="Calibri"/>
          <w:color w:val="7F7F7F" w:themeColor="text1" w:themeTint="80"/>
        </w:rPr>
        <w:t xml:space="preserve">The article can be accessed by subscription to the </w:t>
      </w:r>
      <w:r w:rsidRPr="00BF2B3B">
        <w:rPr>
          <w:rStyle w:val="Network-bodytext"/>
          <w:rFonts w:eastAsia="Calibri"/>
          <w:i/>
          <w:color w:val="7F7F7F" w:themeColor="text1" w:themeTint="80"/>
        </w:rPr>
        <w:t>Journal of Finance</w:t>
      </w:r>
      <w:r w:rsidRPr="00BF2B3B">
        <w:rPr>
          <w:rStyle w:val="Network-bodytext"/>
          <w:rFonts w:eastAsia="Calibri"/>
          <w:color w:val="7F7F7F" w:themeColor="text1" w:themeTint="80"/>
        </w:rPr>
        <w:t xml:space="preserve">. </w:t>
      </w:r>
    </w:p>
    <w:p w:rsidR="00680D66" w:rsidRPr="003F2E0B" w:rsidRDefault="00680D66" w:rsidP="007D3E4D">
      <w:pPr>
        <w:rPr>
          <w:rStyle w:val="Network-bodytext"/>
          <w:rFonts w:eastAsia="Calibri"/>
        </w:rPr>
      </w:pPr>
    </w:p>
    <w:p w:rsidR="00753F14" w:rsidRPr="007D3E4D" w:rsidRDefault="00753F14" w:rsidP="00E66994">
      <w:pPr>
        <w:rPr>
          <w:rStyle w:val="Network-bodytext"/>
        </w:rPr>
        <w:sectPr w:rsidR="00753F14" w:rsidRPr="007D3E4D" w:rsidSect="006C2364">
          <w:footerReference w:type="even" r:id="rId18"/>
          <w:footerReference w:type="default" r:id="rId19"/>
          <w:endnotePr>
            <w:numFmt w:val="decimal"/>
          </w:endnotePr>
          <w:type w:val="continuous"/>
          <w:pgSz w:w="11906" w:h="16838" w:code="9"/>
          <w:pgMar w:top="1985" w:right="851" w:bottom="1134" w:left="851" w:header="567" w:footer="567" w:gutter="0"/>
          <w:cols w:num="2" w:space="708" w:equalWidth="0">
            <w:col w:w="4748" w:space="708"/>
            <w:col w:w="4748"/>
          </w:cols>
          <w:docGrid w:linePitch="360"/>
        </w:sectPr>
      </w:pPr>
    </w:p>
    <w:p w:rsidR="009907AF" w:rsidRPr="000E0A2C" w:rsidRDefault="00775501" w:rsidP="000E0A2C">
      <w:pPr>
        <w:pStyle w:val="Heading1"/>
      </w:pPr>
      <w:r w:rsidRPr="000E0A2C">
        <w:lastRenderedPageBreak/>
        <w:t>Regulatory Deci</w:t>
      </w:r>
      <w:r w:rsidR="00556789" w:rsidRPr="000E0A2C">
        <w:t xml:space="preserve">sions in </w:t>
      </w:r>
      <w:r w:rsidRPr="000E0A2C">
        <w:t>Australia</w:t>
      </w:r>
      <w:r w:rsidR="00D27FDC" w:rsidRPr="000E0A2C">
        <w:t xml:space="preserve"> and New Zealand</w:t>
      </w:r>
    </w:p>
    <w:p w:rsidR="00B7019C" w:rsidRPr="00BE195F" w:rsidRDefault="00B7019C" w:rsidP="008F2FD1">
      <w:pPr>
        <w:pStyle w:val="Heading2"/>
      </w:pPr>
      <w:r w:rsidRPr="00BE195F">
        <w:t>Australia</w:t>
      </w:r>
    </w:p>
    <w:p w:rsidR="00B7019C" w:rsidRPr="00BE195F" w:rsidRDefault="00B7019C" w:rsidP="008F2FD1">
      <w:pPr>
        <w:pStyle w:val="Heading2"/>
        <w:jc w:val="both"/>
      </w:pPr>
      <w:r w:rsidRPr="00BE195F">
        <w:t>Australian Competition and Consumer Commission (ACCC)</w:t>
      </w:r>
    </w:p>
    <w:p w:rsidR="00324AE8" w:rsidRPr="00BF2B3B" w:rsidRDefault="00324AE8" w:rsidP="00BF2B3B">
      <w:pPr>
        <w:pStyle w:val="Heading3"/>
        <w:rPr>
          <w:rFonts w:eastAsia="Calibri"/>
        </w:rPr>
      </w:pPr>
      <w:r w:rsidRPr="00BF2B3B">
        <w:rPr>
          <w:rFonts w:eastAsia="Calibri"/>
        </w:rPr>
        <w:t>A</w:t>
      </w:r>
      <w:r w:rsidR="00BE195F" w:rsidRPr="00BF2B3B">
        <w:rPr>
          <w:rFonts w:eastAsia="Calibri"/>
        </w:rPr>
        <w:t>RTC’s Compliance with the Hunter Valley Access Undertaking for 2013</w:t>
      </w:r>
    </w:p>
    <w:p w:rsidR="00561D22" w:rsidRPr="00BF2B3B" w:rsidRDefault="00440C0F" w:rsidP="00561D22">
      <w:pPr>
        <w:rPr>
          <w:rStyle w:val="Network-bodytext"/>
          <w:rFonts w:eastAsia="Calibri"/>
          <w:color w:val="7F7F7F" w:themeColor="text1" w:themeTint="80"/>
        </w:rPr>
      </w:pPr>
      <w:r w:rsidRPr="00BF2B3B">
        <w:rPr>
          <w:rStyle w:val="Network-bodytext"/>
          <w:rFonts w:eastAsia="Calibri"/>
          <w:color w:val="7F7F7F" w:themeColor="text1" w:themeTint="80"/>
        </w:rPr>
        <w:t>See ‘Notes On Interesting Decisions’.</w:t>
      </w:r>
    </w:p>
    <w:p w:rsidR="008A1292" w:rsidRPr="00BF2B3B" w:rsidRDefault="008A1292" w:rsidP="00BF2B3B">
      <w:pPr>
        <w:pStyle w:val="Heading3"/>
        <w:rPr>
          <w:rFonts w:eastAsia="Calibri"/>
        </w:rPr>
      </w:pPr>
      <w:r w:rsidRPr="00BF2B3B">
        <w:rPr>
          <w:rFonts w:eastAsia="Calibri"/>
        </w:rPr>
        <w:t>NBN Co’s Revenue Controls</w:t>
      </w:r>
      <w:r w:rsidR="009F697E" w:rsidRPr="00BF2B3B">
        <w:rPr>
          <w:rFonts w:eastAsia="Calibri"/>
        </w:rPr>
        <w:t xml:space="preserve"> –</w:t>
      </w:r>
      <w:r w:rsidR="00493143" w:rsidRPr="00BF2B3B">
        <w:rPr>
          <w:rFonts w:eastAsia="Calibri"/>
        </w:rPr>
        <w:t xml:space="preserve"> </w:t>
      </w:r>
      <w:r w:rsidR="0063638C" w:rsidRPr="00BF2B3B">
        <w:rPr>
          <w:rFonts w:eastAsia="Calibri"/>
        </w:rPr>
        <w:t>Final</w:t>
      </w:r>
      <w:r w:rsidR="00493143" w:rsidRPr="00BF2B3B">
        <w:rPr>
          <w:rFonts w:eastAsia="Calibri"/>
        </w:rPr>
        <w:t xml:space="preserve"> Determination</w:t>
      </w:r>
    </w:p>
    <w:p w:rsidR="00561D22" w:rsidRPr="00BF2B3B" w:rsidRDefault="00561D22" w:rsidP="00561D22">
      <w:pPr>
        <w:keepNext/>
        <w:outlineLvl w:val="2"/>
        <w:rPr>
          <w:rStyle w:val="Network-bodytext"/>
          <w:rFonts w:eastAsia="Calibri"/>
          <w:color w:val="7F7F7F" w:themeColor="text1" w:themeTint="80"/>
        </w:rPr>
      </w:pPr>
      <w:r w:rsidRPr="00BF2B3B">
        <w:rPr>
          <w:rStyle w:val="Network-bodytext"/>
          <w:rFonts w:eastAsia="Calibri"/>
          <w:color w:val="7F7F7F" w:themeColor="text1" w:themeTint="80"/>
        </w:rPr>
        <w:t xml:space="preserve">On 3 June 2016 the ACCC issued its </w:t>
      </w:r>
      <w:hyperlink r:id="rId20" w:history="1">
        <w:r w:rsidRPr="00BF2B3B">
          <w:rPr>
            <w:rStyle w:val="Network-bodytext"/>
            <w:b/>
            <w:color w:val="7F7F7F" w:themeColor="text1" w:themeTint="80"/>
          </w:rPr>
          <w:t>final determination</w:t>
        </w:r>
      </w:hyperlink>
      <w:r w:rsidRPr="00BF2B3B">
        <w:rPr>
          <w:rStyle w:val="Network-bodytext"/>
          <w:color w:val="7F7F7F" w:themeColor="text1" w:themeTint="80"/>
        </w:rPr>
        <w:t xml:space="preserve"> </w:t>
      </w:r>
      <w:r w:rsidRPr="00BF2B3B">
        <w:rPr>
          <w:rStyle w:val="Network-bodytext"/>
          <w:rFonts w:eastAsia="Calibri"/>
          <w:color w:val="7F7F7F" w:themeColor="text1" w:themeTint="80"/>
        </w:rPr>
        <w:t>on NBN Co’s revenue controls for 2014-15.</w:t>
      </w:r>
      <w:r w:rsidR="00BF2B3B">
        <w:rPr>
          <w:rStyle w:val="Network-bodytext"/>
          <w:rFonts w:eastAsia="Calibri"/>
          <w:color w:val="7F7F7F" w:themeColor="text1" w:themeTint="80"/>
        </w:rPr>
        <w:t xml:space="preserve"> </w:t>
      </w:r>
      <w:r w:rsidRPr="00BF2B3B">
        <w:rPr>
          <w:rStyle w:val="Network-bodytext"/>
          <w:rFonts w:eastAsia="Calibri"/>
          <w:color w:val="7F7F7F" w:themeColor="text1" w:themeTint="80"/>
        </w:rPr>
        <w:t xml:space="preserve"> It has also set out its view that NBN Co’s prices did not exceed maximum regulated prices during the 2014-15 financial year.</w:t>
      </w:r>
    </w:p>
    <w:p w:rsidR="00561D22" w:rsidRPr="00BF2B3B" w:rsidRDefault="00561D22" w:rsidP="00BF2B3B">
      <w:pPr>
        <w:pStyle w:val="Heading3"/>
        <w:rPr>
          <w:rFonts w:eastAsia="Calibri"/>
        </w:rPr>
      </w:pPr>
      <w:r w:rsidRPr="00BF2B3B">
        <w:rPr>
          <w:rFonts w:eastAsia="Calibri"/>
        </w:rPr>
        <w:t>NBN Co’s Special Access Undertaking – Proposed Variation</w:t>
      </w:r>
    </w:p>
    <w:p w:rsidR="00561D22" w:rsidRPr="00BF2B3B" w:rsidRDefault="00561D22" w:rsidP="00BF2B3B">
      <w:pPr>
        <w:rPr>
          <w:rStyle w:val="Network-bodytext"/>
          <w:rFonts w:eastAsia="Calibri"/>
          <w:color w:val="7F7F7F" w:themeColor="text1" w:themeTint="80"/>
        </w:rPr>
      </w:pPr>
      <w:r w:rsidRPr="00BF2B3B">
        <w:rPr>
          <w:rStyle w:val="Network-bodytext"/>
          <w:rFonts w:eastAsia="Calibri"/>
          <w:color w:val="7F7F7F" w:themeColor="text1" w:themeTint="80"/>
        </w:rPr>
        <w:t xml:space="preserve">On 31 May 2016 the ACCC </w:t>
      </w:r>
      <w:hyperlink r:id="rId21" w:history="1">
        <w:r w:rsidRPr="00BF2B3B">
          <w:rPr>
            <w:rStyle w:val="Network-bodytext"/>
            <w:rFonts w:eastAsia="Calibri"/>
            <w:b/>
            <w:color w:val="7F7F7F" w:themeColor="text1" w:themeTint="80"/>
          </w:rPr>
          <w:t>published</w:t>
        </w:r>
      </w:hyperlink>
      <w:r w:rsidRPr="00BF2B3B">
        <w:rPr>
          <w:rStyle w:val="Network-bodytext"/>
          <w:rFonts w:eastAsia="Calibri"/>
          <w:color w:val="7F7F7F" w:themeColor="text1" w:themeTint="80"/>
        </w:rPr>
        <w:t xml:space="preserve"> NBN Co’s proposed variation to its Special Access Undertaking (SAU) and is inviting feedback from interested parties on the proposed variation.</w:t>
      </w:r>
      <w:r w:rsidR="00BF2B3B">
        <w:rPr>
          <w:rStyle w:val="Network-bodytext"/>
          <w:rFonts w:eastAsia="Calibri"/>
          <w:color w:val="7F7F7F" w:themeColor="text1" w:themeTint="80"/>
        </w:rPr>
        <w:t xml:space="preserve">  </w:t>
      </w:r>
      <w:r w:rsidRPr="00BF2B3B">
        <w:rPr>
          <w:rStyle w:val="Network-bodytext"/>
          <w:rFonts w:eastAsia="Calibri"/>
          <w:color w:val="7F7F7F" w:themeColor="text1" w:themeTint="80"/>
        </w:rPr>
        <w:t>The SAU is a key part of the framework that governs the price and other terms upon which NBN Co will supply wholesale services over the NBN.</w:t>
      </w:r>
    </w:p>
    <w:p w:rsidR="00561D22" w:rsidRPr="00BF2B3B" w:rsidRDefault="00561D22" w:rsidP="00BF2B3B">
      <w:pPr>
        <w:pStyle w:val="Heading3"/>
        <w:rPr>
          <w:rFonts w:eastAsia="Calibri"/>
        </w:rPr>
      </w:pPr>
      <w:r w:rsidRPr="00BF2B3B">
        <w:rPr>
          <w:rFonts w:eastAsia="Calibri"/>
        </w:rPr>
        <w:t>Telstra’s Migration Plan – Proposed Variation</w:t>
      </w:r>
    </w:p>
    <w:p w:rsidR="00561D22" w:rsidRPr="00BF2B3B" w:rsidRDefault="00561D22" w:rsidP="00561D22">
      <w:pPr>
        <w:keepNext/>
        <w:outlineLvl w:val="2"/>
        <w:rPr>
          <w:rStyle w:val="Network-bodytext"/>
          <w:rFonts w:eastAsia="Calibri"/>
          <w:color w:val="7F7F7F" w:themeColor="text1" w:themeTint="80"/>
        </w:rPr>
      </w:pPr>
      <w:r w:rsidRPr="00BF2B3B">
        <w:rPr>
          <w:rStyle w:val="Network-bodytext"/>
          <w:color w:val="7F7F7F" w:themeColor="text1" w:themeTint="80"/>
        </w:rPr>
        <w:t xml:space="preserve">On 20 May 2016 the ACCC </w:t>
      </w:r>
      <w:hyperlink r:id="rId22" w:history="1">
        <w:r w:rsidRPr="00BF2B3B">
          <w:rPr>
            <w:rStyle w:val="Network-bodytext"/>
            <w:color w:val="7F7F7F" w:themeColor="text1" w:themeTint="80"/>
          </w:rPr>
          <w:t>released</w:t>
        </w:r>
      </w:hyperlink>
      <w:r w:rsidRPr="00BF2B3B">
        <w:rPr>
          <w:rStyle w:val="Network-bodytext"/>
          <w:color w:val="7F7F7F" w:themeColor="text1" w:themeTint="80"/>
        </w:rPr>
        <w:t xml:space="preserve"> a discussion paper on Telstra’s proposed variation to the Migration Plan.  The Migration Plan sets out how Telstra will progressively migrate telephone and internet services from its copper and HFC networks to the National Broadband Network (NBN) as it is deployed</w:t>
      </w:r>
      <w:r w:rsidRPr="00BF2B3B">
        <w:rPr>
          <w:rStyle w:val="Network-bodytext"/>
          <w:rFonts w:eastAsia="Calibri"/>
          <w:color w:val="7F7F7F" w:themeColor="text1" w:themeTint="80"/>
        </w:rPr>
        <w:t>.</w:t>
      </w:r>
    </w:p>
    <w:p w:rsidR="0063638C" w:rsidRPr="000D32FE" w:rsidRDefault="0063638C" w:rsidP="000D32FE">
      <w:pPr>
        <w:pStyle w:val="Heading3"/>
        <w:rPr>
          <w:rFonts w:eastAsia="Calibri"/>
        </w:rPr>
      </w:pPr>
      <w:r w:rsidRPr="000D32FE">
        <w:rPr>
          <w:rFonts w:eastAsia="Calibri"/>
        </w:rPr>
        <w:t xml:space="preserve">NBN </w:t>
      </w:r>
      <w:r w:rsidR="006C3312" w:rsidRPr="000D32FE">
        <w:rPr>
          <w:rFonts w:eastAsia="Calibri"/>
        </w:rPr>
        <w:t>Wholesale Market Indicators – First Report Released</w:t>
      </w:r>
    </w:p>
    <w:p w:rsidR="0063638C" w:rsidRPr="000D32FE" w:rsidRDefault="006C3312" w:rsidP="0063638C">
      <w:pPr>
        <w:keepNext/>
        <w:outlineLvl w:val="2"/>
        <w:rPr>
          <w:rStyle w:val="Network-bodytext"/>
          <w:rFonts w:eastAsia="Calibri"/>
          <w:color w:val="7F7F7F" w:themeColor="text1" w:themeTint="80"/>
        </w:rPr>
      </w:pPr>
      <w:r w:rsidRPr="000D32FE">
        <w:rPr>
          <w:rStyle w:val="Network-bodytext"/>
          <w:color w:val="7F7F7F" w:themeColor="text1" w:themeTint="80"/>
        </w:rPr>
        <w:t xml:space="preserve">On 29 April 2016 the ACCC </w:t>
      </w:r>
      <w:hyperlink r:id="rId23" w:history="1">
        <w:r w:rsidRPr="000D32FE">
          <w:rPr>
            <w:rStyle w:val="Network-bodytext"/>
            <w:color w:val="7F7F7F" w:themeColor="text1" w:themeTint="80"/>
          </w:rPr>
          <w:t>released</w:t>
        </w:r>
      </w:hyperlink>
      <w:r w:rsidRPr="000D32FE">
        <w:rPr>
          <w:rStyle w:val="Network-bodytext"/>
          <w:color w:val="7F7F7F" w:themeColor="text1" w:themeTint="80"/>
        </w:rPr>
        <w:t xml:space="preserve"> its initial quarterly National Broadband Network (NBN) wholesale market indicators report for the period ending 31 March 2016.</w:t>
      </w:r>
    </w:p>
    <w:p w:rsidR="008A1292" w:rsidRPr="000D32FE" w:rsidRDefault="006C3312" w:rsidP="000D32FE">
      <w:pPr>
        <w:pStyle w:val="Heading3"/>
        <w:rPr>
          <w:rFonts w:eastAsia="Calibri"/>
        </w:rPr>
      </w:pPr>
      <w:r w:rsidRPr="000D32FE">
        <w:rPr>
          <w:rFonts w:eastAsia="Calibri"/>
        </w:rPr>
        <w:t xml:space="preserve">Domestic Transmission Capacity Service (DCTS) </w:t>
      </w:r>
      <w:r w:rsidR="0063638C" w:rsidRPr="000D32FE">
        <w:rPr>
          <w:rFonts w:eastAsia="Calibri"/>
        </w:rPr>
        <w:t xml:space="preserve">– </w:t>
      </w:r>
      <w:r w:rsidRPr="000D32FE">
        <w:rPr>
          <w:rFonts w:eastAsia="Calibri"/>
        </w:rPr>
        <w:t>Final Access Determin</w:t>
      </w:r>
      <w:r w:rsidR="0063638C" w:rsidRPr="000D32FE">
        <w:rPr>
          <w:rFonts w:eastAsia="Calibri"/>
        </w:rPr>
        <w:t>ation</w:t>
      </w:r>
    </w:p>
    <w:p w:rsidR="008A1292" w:rsidRPr="000D32FE" w:rsidRDefault="006C3312" w:rsidP="000D32FE">
      <w:pPr>
        <w:rPr>
          <w:rStyle w:val="Network-bodytext"/>
          <w:color w:val="7F7F7F" w:themeColor="text1" w:themeTint="80"/>
        </w:rPr>
      </w:pPr>
      <w:r w:rsidRPr="000D32FE">
        <w:rPr>
          <w:rStyle w:val="Network-bodytext"/>
          <w:color w:val="7F7F7F" w:themeColor="text1" w:themeTint="80"/>
        </w:rPr>
        <w:t>On 21 April 2016 the ACCC released its final decision on the regulated prices for the declared Domestic Transmission Capacity Service (DTCS).</w:t>
      </w:r>
    </w:p>
    <w:p w:rsidR="001C30E6" w:rsidRPr="000D32FE" w:rsidRDefault="001C30E6" w:rsidP="000D32FE">
      <w:pPr>
        <w:pStyle w:val="Heading3"/>
        <w:rPr>
          <w:rFonts w:eastAsia="Calibri"/>
        </w:rPr>
      </w:pPr>
      <w:r w:rsidRPr="000D32FE">
        <w:rPr>
          <w:rFonts w:eastAsia="Calibri"/>
        </w:rPr>
        <w:lastRenderedPageBreak/>
        <w:t xml:space="preserve">WaterNSW’s </w:t>
      </w:r>
      <w:r w:rsidR="00B86666" w:rsidRPr="000D32FE">
        <w:rPr>
          <w:rFonts w:eastAsia="Calibri"/>
        </w:rPr>
        <w:t>Proposed Charges</w:t>
      </w:r>
      <w:r w:rsidRPr="000D32FE">
        <w:rPr>
          <w:rFonts w:eastAsia="Calibri"/>
        </w:rPr>
        <w:t xml:space="preserve"> for Infrastructure Services in the Murray-Darling Basin – Draft Decision </w:t>
      </w:r>
    </w:p>
    <w:p w:rsidR="001C30E6" w:rsidRPr="000D32FE" w:rsidRDefault="001C30E6" w:rsidP="001C30E6">
      <w:pPr>
        <w:keepNext/>
        <w:outlineLvl w:val="2"/>
        <w:rPr>
          <w:rStyle w:val="Network-bodytext"/>
          <w:rFonts w:eastAsia="Calibri"/>
          <w:color w:val="7F7F7F" w:themeColor="text1" w:themeTint="80"/>
        </w:rPr>
      </w:pPr>
      <w:r w:rsidRPr="000D32FE">
        <w:rPr>
          <w:rStyle w:val="Network-bodytext"/>
          <w:color w:val="7F7F7F" w:themeColor="text1" w:themeTint="80"/>
        </w:rPr>
        <w:t xml:space="preserve">On 13 April 2016 the ACCC </w:t>
      </w:r>
      <w:hyperlink r:id="rId24" w:history="1">
        <w:r w:rsidRPr="000D32FE">
          <w:rPr>
            <w:rStyle w:val="Network-bodytext"/>
            <w:b/>
            <w:color w:val="7F7F7F" w:themeColor="text1" w:themeTint="80"/>
          </w:rPr>
          <w:t>released its draft decision</w:t>
        </w:r>
      </w:hyperlink>
      <w:r w:rsidRPr="000D32FE">
        <w:rPr>
          <w:rStyle w:val="Network-bodytext"/>
          <w:color w:val="7F7F7F" w:themeColor="text1" w:themeTint="80"/>
        </w:rPr>
        <w:t xml:space="preserve"> on proposed charges for WaterNSW’s infrastructure services in the Murray-Darling Basin (MDB) during 2016-17.</w:t>
      </w:r>
    </w:p>
    <w:p w:rsidR="001F7E44" w:rsidRPr="0031276E" w:rsidRDefault="001F7E44" w:rsidP="001F7E44">
      <w:pPr>
        <w:pStyle w:val="Heading2"/>
        <w:jc w:val="both"/>
      </w:pPr>
      <w:r w:rsidRPr="0031276E">
        <w:t>Australian Competition Tribunal (ACT)</w:t>
      </w:r>
    </w:p>
    <w:p w:rsidR="007F2A83" w:rsidRPr="0031276E" w:rsidRDefault="0031276E" w:rsidP="007F2A83">
      <w:pPr>
        <w:pStyle w:val="Heading3"/>
      </w:pPr>
      <w:r>
        <w:rPr>
          <w:lang w:val="en"/>
        </w:rPr>
        <w:t>Declaration of the Right to Access and Use of the Shipping Channels Provided by the Port of Newcastl</w:t>
      </w:r>
      <w:r w:rsidRPr="002D25D8">
        <w:t>e</w:t>
      </w:r>
    </w:p>
    <w:p w:rsidR="007F2A83" w:rsidRPr="000D32FE" w:rsidRDefault="0031276E" w:rsidP="007F2A83">
      <w:pPr>
        <w:pStyle w:val="Heading3"/>
        <w:rPr>
          <w:rStyle w:val="Network-bodytext"/>
          <w:color w:val="7F7F7F" w:themeColor="text1" w:themeTint="80"/>
        </w:rPr>
      </w:pPr>
      <w:r w:rsidRPr="000D32FE">
        <w:rPr>
          <w:rStyle w:val="Network-bodytext"/>
          <w:b w:val="0"/>
          <w:color w:val="7F7F7F" w:themeColor="text1" w:themeTint="80"/>
        </w:rPr>
        <w:t>See ‘Notes on Interesting Decisions’</w:t>
      </w:r>
    </w:p>
    <w:p w:rsidR="00827E27" w:rsidRPr="00A83197" w:rsidRDefault="00827E27" w:rsidP="008F2FD1">
      <w:pPr>
        <w:pStyle w:val="Heading2"/>
        <w:jc w:val="both"/>
      </w:pPr>
      <w:r w:rsidRPr="00A83197">
        <w:t>Australian Energy Market Commission (AEMC)</w:t>
      </w:r>
    </w:p>
    <w:p w:rsidR="00073E0C" w:rsidRPr="00A83197" w:rsidRDefault="000A4019" w:rsidP="00073E0C">
      <w:pPr>
        <w:pStyle w:val="Heading3"/>
      </w:pPr>
      <w:r>
        <w:t>Annual Market Performance Review 2015 – Published</w:t>
      </w:r>
    </w:p>
    <w:p w:rsidR="00A83197" w:rsidRPr="000D32FE" w:rsidRDefault="00073E0C" w:rsidP="000D32FE">
      <w:pPr>
        <w:rPr>
          <w:rStyle w:val="Network-bodytext"/>
          <w:color w:val="7F7F7F" w:themeColor="text1" w:themeTint="80"/>
        </w:rPr>
      </w:pPr>
      <w:r w:rsidRPr="000D32FE">
        <w:rPr>
          <w:rStyle w:val="Network-bodytext"/>
          <w:color w:val="7F7F7F" w:themeColor="text1" w:themeTint="80"/>
        </w:rPr>
        <w:t>On</w:t>
      </w:r>
      <w:r w:rsidR="000A4019" w:rsidRPr="000D32FE">
        <w:rPr>
          <w:rStyle w:val="Network-bodytext"/>
          <w:color w:val="7F7F7F" w:themeColor="text1" w:themeTint="80"/>
        </w:rPr>
        <w:t xml:space="preserve"> 16 June 2016 the Reliability Panel of the AEMC published for consultation a draft report on the annual market performance review.</w:t>
      </w:r>
      <w:r w:rsidR="000D32FE">
        <w:rPr>
          <w:rStyle w:val="Network-bodytext"/>
          <w:color w:val="7F7F7F" w:themeColor="text1" w:themeTint="80"/>
        </w:rPr>
        <w:t xml:space="preserve"> </w:t>
      </w:r>
      <w:r w:rsidR="000A4019" w:rsidRPr="000D32FE">
        <w:rPr>
          <w:rStyle w:val="Network-bodytext"/>
          <w:color w:val="7F7F7F" w:themeColor="text1" w:themeTint="80"/>
        </w:rPr>
        <w:t xml:space="preserve"> </w:t>
      </w:r>
      <w:hyperlink r:id="rId25" w:history="1">
        <w:r w:rsidR="000A4019" w:rsidRPr="000D32FE">
          <w:rPr>
            <w:rStyle w:val="Network-bodytext"/>
            <w:b/>
            <w:color w:val="7F7F7F" w:themeColor="text1" w:themeTint="80"/>
          </w:rPr>
          <w:t>The draft report is available here.</w:t>
        </w:r>
      </w:hyperlink>
    </w:p>
    <w:p w:rsidR="00B7019C" w:rsidRPr="00915C0E" w:rsidRDefault="00B7019C" w:rsidP="008F2FD1">
      <w:pPr>
        <w:pStyle w:val="Heading2"/>
        <w:jc w:val="both"/>
      </w:pPr>
      <w:r w:rsidRPr="00915C0E">
        <w:t>Australian Energy Regulator (AER)</w:t>
      </w:r>
    </w:p>
    <w:p w:rsidR="005D5E3E" w:rsidRPr="00915C0E" w:rsidRDefault="00915C0E" w:rsidP="00CF57F3">
      <w:pPr>
        <w:pStyle w:val="Heading3"/>
      </w:pPr>
      <w:r w:rsidRPr="00915C0E">
        <w:rPr>
          <w:bCs/>
        </w:rPr>
        <w:t>Victorian Electricity Distributors – Final Decisions</w:t>
      </w:r>
      <w:r w:rsidR="005D5E3E" w:rsidRPr="00915C0E">
        <w:t xml:space="preserve"> </w:t>
      </w:r>
    </w:p>
    <w:p w:rsidR="008F5C61" w:rsidRPr="000D32FE" w:rsidRDefault="00915C0E" w:rsidP="000D32FE">
      <w:pPr>
        <w:rPr>
          <w:rStyle w:val="Network-bodytext"/>
          <w:color w:val="7F7F7F" w:themeColor="text1" w:themeTint="80"/>
        </w:rPr>
      </w:pPr>
      <w:r w:rsidRPr="000D32FE">
        <w:rPr>
          <w:rStyle w:val="Network-bodytext"/>
          <w:color w:val="7F7F7F" w:themeColor="text1" w:themeTint="80"/>
        </w:rPr>
        <w:t xml:space="preserve">On 26 May 2016 the AER </w:t>
      </w:r>
      <w:hyperlink r:id="rId26" w:history="1">
        <w:r w:rsidRPr="000D32FE">
          <w:rPr>
            <w:rStyle w:val="Network-bodytext"/>
            <w:b/>
            <w:color w:val="7F7F7F" w:themeColor="text1" w:themeTint="80"/>
          </w:rPr>
          <w:t>announced</w:t>
        </w:r>
      </w:hyperlink>
      <w:r w:rsidRPr="000D32FE">
        <w:rPr>
          <w:rStyle w:val="Network-bodytext"/>
          <w:color w:val="7F7F7F" w:themeColor="text1" w:themeTint="80"/>
        </w:rPr>
        <w:t xml:space="preserve"> its final decision on revenues for the five Victorian electricity distributors</w:t>
      </w:r>
      <w:r w:rsidR="005D5E3E" w:rsidRPr="000D32FE">
        <w:rPr>
          <w:rStyle w:val="Network-bodytext"/>
          <w:color w:val="7F7F7F" w:themeColor="text1" w:themeTint="80"/>
        </w:rPr>
        <w:t>.</w:t>
      </w:r>
    </w:p>
    <w:p w:rsidR="00092A17" w:rsidRPr="00915C0E" w:rsidRDefault="00915C0E" w:rsidP="00092A17">
      <w:pPr>
        <w:pStyle w:val="Heading3"/>
      </w:pPr>
      <w:r w:rsidRPr="00915C0E">
        <w:t>ActewAGL’s Gas Distribution Network – Final Decisio</w:t>
      </w:r>
      <w:r w:rsidR="00092A17" w:rsidRPr="00915C0E">
        <w:t xml:space="preserve">n </w:t>
      </w:r>
    </w:p>
    <w:p w:rsidR="00092A17" w:rsidRPr="000D32FE" w:rsidRDefault="00915C0E" w:rsidP="00092A17">
      <w:pPr>
        <w:rPr>
          <w:color w:val="7F7F7F" w:themeColor="text1" w:themeTint="80"/>
        </w:rPr>
      </w:pPr>
      <w:r w:rsidRPr="000D32FE">
        <w:rPr>
          <w:rStyle w:val="Network-bodytext"/>
          <w:color w:val="7F7F7F" w:themeColor="text1" w:themeTint="80"/>
        </w:rPr>
        <w:t>On 26 May 2016 the AER issued its final decision on the access arrangement that will apply to ActewAGL’s gas distribution network from 1 July 2016</w:t>
      </w:r>
      <w:r w:rsidR="006A4C31" w:rsidRPr="000D32FE">
        <w:rPr>
          <w:rStyle w:val="Network-bodytext"/>
          <w:color w:val="7F7F7F" w:themeColor="text1" w:themeTint="80"/>
        </w:rPr>
        <w:t>.</w:t>
      </w:r>
    </w:p>
    <w:p w:rsidR="008F5C61" w:rsidRPr="00915C0E" w:rsidRDefault="00915C0E" w:rsidP="00324AE8">
      <w:pPr>
        <w:pStyle w:val="Heading3"/>
      </w:pPr>
      <w:r w:rsidRPr="00915C0E">
        <w:rPr>
          <w:lang w:val="en"/>
        </w:rPr>
        <w:t>Amadeus Gas Pipeline – Final Decisio</w:t>
      </w:r>
      <w:r>
        <w:rPr>
          <w:lang w:val="en"/>
        </w:rPr>
        <w:t>n</w:t>
      </w:r>
    </w:p>
    <w:p w:rsidR="00CF57F3" w:rsidRPr="000D32FE" w:rsidRDefault="00915C0E" w:rsidP="008F2FD1">
      <w:pPr>
        <w:rPr>
          <w:rStyle w:val="Network-bodytext"/>
          <w:color w:val="7F7F7F" w:themeColor="text1" w:themeTint="80"/>
        </w:rPr>
      </w:pPr>
      <w:r w:rsidRPr="000D32FE">
        <w:rPr>
          <w:rStyle w:val="Network-bodytext"/>
          <w:color w:val="7F7F7F" w:themeColor="text1" w:themeTint="80"/>
        </w:rPr>
        <w:t>On 26 May 2016 the AER released its final decision on the access arrangement that will apply to the Amadeus Gas Pipeline for the 2016-21 access arrangement period, commencing on 1 July 2016.</w:t>
      </w:r>
    </w:p>
    <w:p w:rsidR="00915C0E" w:rsidRPr="000D32FE" w:rsidRDefault="00915C0E" w:rsidP="000D32FE">
      <w:pPr>
        <w:pStyle w:val="Heading3"/>
      </w:pPr>
      <w:r w:rsidRPr="000D32FE">
        <w:t xml:space="preserve">ACT and NSW Network Charges Finalised </w:t>
      </w:r>
    </w:p>
    <w:p w:rsidR="00915C0E" w:rsidRPr="000D32FE" w:rsidRDefault="00915C0E" w:rsidP="000D32FE">
      <w:pPr>
        <w:rPr>
          <w:rStyle w:val="Network-bodytext"/>
          <w:color w:val="7F7F7F" w:themeColor="text1" w:themeTint="80"/>
        </w:rPr>
      </w:pPr>
      <w:r w:rsidRPr="000D32FE">
        <w:rPr>
          <w:rStyle w:val="Network-bodytext"/>
          <w:color w:val="7F7F7F" w:themeColor="text1" w:themeTint="80"/>
        </w:rPr>
        <w:t>On 17 May 2016 the AER published the network charges that will apply from 1 July 2016 for the ACT electricity distributor, ActewAGL; the NSW electricity distributors Ausgrid, Endeavour Energy and Essential Energy; and the NSW gas distri</w:t>
      </w:r>
      <w:r w:rsidR="000D32FE">
        <w:rPr>
          <w:rStyle w:val="Network-bodytext"/>
          <w:color w:val="7F7F7F" w:themeColor="text1" w:themeTint="80"/>
        </w:rPr>
        <w:t>butor, Jemena Gas Networks</w:t>
      </w:r>
      <w:r w:rsidRPr="000D32FE">
        <w:rPr>
          <w:rStyle w:val="Network-bodytext"/>
          <w:color w:val="7F7F7F" w:themeColor="text1" w:themeTint="80"/>
        </w:rPr>
        <w:t>.</w:t>
      </w:r>
    </w:p>
    <w:p w:rsidR="00092A17" w:rsidRPr="00915C0E" w:rsidRDefault="00915C0E" w:rsidP="00092A17">
      <w:pPr>
        <w:pStyle w:val="Heading3"/>
      </w:pPr>
      <w:r w:rsidRPr="00915C0E">
        <w:rPr>
          <w:lang w:val="en"/>
        </w:rPr>
        <w:lastRenderedPageBreak/>
        <w:t>Ring Fencing Guideline – Preliminary Positions</w:t>
      </w:r>
    </w:p>
    <w:p w:rsidR="00092A17" w:rsidRPr="000D32FE" w:rsidRDefault="00915C0E" w:rsidP="000D32FE">
      <w:pPr>
        <w:rPr>
          <w:rStyle w:val="Network-bodytext"/>
          <w:color w:val="7F7F7F" w:themeColor="text1" w:themeTint="80"/>
        </w:rPr>
      </w:pPr>
      <w:r w:rsidRPr="000D32FE">
        <w:rPr>
          <w:rStyle w:val="Network-bodytext"/>
          <w:color w:val="7F7F7F" w:themeColor="text1" w:themeTint="80"/>
        </w:rPr>
        <w:t xml:space="preserve">On 20 April 2016 the </w:t>
      </w:r>
      <w:hyperlink r:id="rId27" w:history="1">
        <w:r w:rsidRPr="000D32FE">
          <w:rPr>
            <w:rStyle w:val="Network-bodytext"/>
            <w:b/>
            <w:color w:val="7F7F7F" w:themeColor="text1" w:themeTint="80"/>
          </w:rPr>
          <w:t>AER published</w:t>
        </w:r>
      </w:hyperlink>
      <w:r w:rsidRPr="000D32FE">
        <w:rPr>
          <w:rStyle w:val="Network-bodytext"/>
          <w:color w:val="7F7F7F" w:themeColor="text1" w:themeTint="80"/>
        </w:rPr>
        <w:t xml:space="preserve"> its </w:t>
      </w:r>
      <w:r w:rsidRPr="000D32FE">
        <w:rPr>
          <w:rStyle w:val="Network-bodytext"/>
          <w:i/>
          <w:color w:val="7F7F7F" w:themeColor="text1" w:themeTint="80"/>
        </w:rPr>
        <w:t>AER Ring Fencing Guideline</w:t>
      </w:r>
      <w:r w:rsidR="00CE4980" w:rsidRPr="000D32FE">
        <w:rPr>
          <w:rStyle w:val="Network-bodytext"/>
          <w:i/>
          <w:color w:val="7F7F7F" w:themeColor="text1" w:themeTint="80"/>
        </w:rPr>
        <w:t xml:space="preserve"> – </w:t>
      </w:r>
      <w:r w:rsidRPr="000D32FE">
        <w:rPr>
          <w:rStyle w:val="Network-bodytext"/>
          <w:i/>
          <w:color w:val="7F7F7F" w:themeColor="text1" w:themeTint="80"/>
        </w:rPr>
        <w:t>Preliminary Positions Paper</w:t>
      </w:r>
      <w:r w:rsidRPr="000D32FE">
        <w:rPr>
          <w:rStyle w:val="Network-bodytext"/>
          <w:color w:val="7F7F7F" w:themeColor="text1" w:themeTint="80"/>
        </w:rPr>
        <w:t>.</w:t>
      </w:r>
    </w:p>
    <w:p w:rsidR="00B7019C" w:rsidRPr="00EE3CEB" w:rsidRDefault="00B7019C" w:rsidP="001439E3">
      <w:pPr>
        <w:pStyle w:val="Heading2"/>
        <w:jc w:val="both"/>
      </w:pPr>
      <w:r w:rsidRPr="00EE3CEB">
        <w:t>National Competition Council (NCC)</w:t>
      </w:r>
    </w:p>
    <w:p w:rsidR="00073E0C" w:rsidRPr="00EE3CEB" w:rsidRDefault="00073E0C" w:rsidP="00073E0C">
      <w:pPr>
        <w:pStyle w:val="Heading3"/>
      </w:pPr>
      <w:r w:rsidRPr="00EE3CEB">
        <w:t xml:space="preserve">Declaration of Shipping Channel Services at the Port of Newcastle </w:t>
      </w:r>
    </w:p>
    <w:p w:rsidR="00EE3CEB" w:rsidRPr="000D32FE" w:rsidRDefault="00EE3CEB" w:rsidP="00EE3CEB">
      <w:pPr>
        <w:rPr>
          <w:rStyle w:val="Network-bodytext"/>
          <w:color w:val="7F7F7F" w:themeColor="text1" w:themeTint="80"/>
        </w:rPr>
      </w:pPr>
      <w:r w:rsidRPr="000D32FE">
        <w:rPr>
          <w:rStyle w:val="Network-bodytext"/>
          <w:color w:val="7F7F7F" w:themeColor="text1" w:themeTint="80"/>
        </w:rPr>
        <w:t>See ‘Notes on Interesting Decisions’.</w:t>
      </w:r>
    </w:p>
    <w:p w:rsidR="00B7019C" w:rsidRPr="000D32FE" w:rsidRDefault="00B7019C" w:rsidP="000D32FE">
      <w:pPr>
        <w:pStyle w:val="Heading2"/>
        <w:jc w:val="both"/>
      </w:pPr>
      <w:r w:rsidRPr="000D32FE">
        <w:t>Australian Capital Territory</w:t>
      </w:r>
    </w:p>
    <w:p w:rsidR="00B7019C" w:rsidRPr="000D32FE" w:rsidRDefault="00B7019C" w:rsidP="000D32FE">
      <w:pPr>
        <w:pStyle w:val="Heading2"/>
        <w:jc w:val="both"/>
      </w:pPr>
      <w:r w:rsidRPr="000D32FE">
        <w:t>Independent Competition and Regulatory Commission (ICRC)</w:t>
      </w:r>
    </w:p>
    <w:p w:rsidR="00743172" w:rsidRPr="000D32FE" w:rsidRDefault="00CE4980" w:rsidP="000D32FE">
      <w:pPr>
        <w:pStyle w:val="Heading3"/>
      </w:pPr>
      <w:r w:rsidRPr="000D32FE">
        <w:t>Retail Prices for Small Electricity Customers for 2016-17</w:t>
      </w:r>
    </w:p>
    <w:p w:rsidR="008309CE" w:rsidRPr="000D32FE" w:rsidRDefault="004A7C18" w:rsidP="000D32FE">
      <w:pPr>
        <w:rPr>
          <w:rStyle w:val="Network-bodytext"/>
          <w:color w:val="7F7F7F" w:themeColor="text1" w:themeTint="80"/>
        </w:rPr>
      </w:pPr>
      <w:r w:rsidRPr="000D32FE">
        <w:rPr>
          <w:rStyle w:val="Network-bodytext"/>
          <w:color w:val="7F7F7F" w:themeColor="text1" w:themeTint="80"/>
        </w:rPr>
        <w:t xml:space="preserve">On </w:t>
      </w:r>
      <w:r w:rsidR="00CE4980" w:rsidRPr="000D32FE">
        <w:rPr>
          <w:rStyle w:val="Network-bodytext"/>
          <w:color w:val="7F7F7F" w:themeColor="text1" w:themeTint="80"/>
        </w:rPr>
        <w:t xml:space="preserve">9 June 2016 the ICRC announced its final decision on </w:t>
      </w:r>
      <w:hyperlink r:id="rId28" w:history="1">
        <w:r w:rsidR="00692CFF" w:rsidRPr="000D32FE">
          <w:rPr>
            <w:rStyle w:val="Network-bodytext"/>
            <w:b/>
            <w:color w:val="7F7F7F" w:themeColor="text1" w:themeTint="80"/>
          </w:rPr>
          <w:t>retail prices</w:t>
        </w:r>
      </w:hyperlink>
      <w:r w:rsidR="00CE4980" w:rsidRPr="000D32FE">
        <w:rPr>
          <w:rStyle w:val="Network-bodytext"/>
          <w:color w:val="7F7F7F" w:themeColor="text1" w:themeTint="80"/>
        </w:rPr>
        <w:t xml:space="preserve"> for small electricity customers</w:t>
      </w:r>
      <w:r w:rsidR="00692CFF" w:rsidRPr="000D32FE">
        <w:rPr>
          <w:rStyle w:val="Network-bodytext"/>
          <w:color w:val="7F7F7F" w:themeColor="text1" w:themeTint="80"/>
        </w:rPr>
        <w:t xml:space="preserve"> for 2016-17</w:t>
      </w:r>
      <w:r w:rsidR="00CE4980" w:rsidRPr="000D32FE">
        <w:rPr>
          <w:rStyle w:val="Network-bodytext"/>
          <w:color w:val="7F7F7F" w:themeColor="text1" w:themeTint="80"/>
        </w:rPr>
        <w:t>.</w:t>
      </w:r>
    </w:p>
    <w:p w:rsidR="00B7019C" w:rsidRPr="00625416" w:rsidRDefault="00B7019C" w:rsidP="00743172">
      <w:pPr>
        <w:pStyle w:val="Heading2"/>
        <w:jc w:val="both"/>
      </w:pPr>
      <w:r w:rsidRPr="00625416">
        <w:t>New South Wales</w:t>
      </w:r>
    </w:p>
    <w:p w:rsidR="00B7019C" w:rsidRPr="00625416" w:rsidRDefault="00B7019C" w:rsidP="008F2FD1">
      <w:pPr>
        <w:pStyle w:val="Heading2"/>
        <w:jc w:val="both"/>
      </w:pPr>
      <w:r w:rsidRPr="00625416">
        <w:t>Independent Pricing and Regulatory Tribunal (IPART)</w:t>
      </w:r>
    </w:p>
    <w:p w:rsidR="00D14958" w:rsidRPr="00625416" w:rsidRDefault="007C1A4A" w:rsidP="00D14958">
      <w:pPr>
        <w:pStyle w:val="Heading3"/>
      </w:pPr>
      <w:r>
        <w:t>Sydney Water, Hunter Water and WaterNSW Price Reviews Released</w:t>
      </w:r>
    </w:p>
    <w:p w:rsidR="00D14958" w:rsidRPr="000D32FE" w:rsidRDefault="00D14958" w:rsidP="000D32FE">
      <w:pPr>
        <w:rPr>
          <w:rStyle w:val="Network-bodytext"/>
          <w:color w:val="7F7F7F" w:themeColor="text1" w:themeTint="80"/>
        </w:rPr>
      </w:pPr>
      <w:r w:rsidRPr="000D32FE">
        <w:rPr>
          <w:rStyle w:val="Network-bodytext"/>
          <w:color w:val="7F7F7F" w:themeColor="text1" w:themeTint="80"/>
        </w:rPr>
        <w:t xml:space="preserve">On </w:t>
      </w:r>
      <w:r w:rsidR="007C1A4A" w:rsidRPr="000D32FE">
        <w:rPr>
          <w:rStyle w:val="Network-bodytext"/>
          <w:color w:val="7F7F7F" w:themeColor="text1" w:themeTint="80"/>
        </w:rPr>
        <w:t xml:space="preserve">14 June 2016 the IPART released its final reports and </w:t>
      </w:r>
      <w:hyperlink r:id="rId29" w:history="1">
        <w:r w:rsidR="007652D9" w:rsidRPr="000D32FE">
          <w:rPr>
            <w:rStyle w:val="Network-bodytext"/>
            <w:b/>
            <w:color w:val="7F7F7F" w:themeColor="text1" w:themeTint="80"/>
          </w:rPr>
          <w:t>determinations</w:t>
        </w:r>
      </w:hyperlink>
      <w:r w:rsidR="007C1A4A" w:rsidRPr="000D32FE">
        <w:rPr>
          <w:rStyle w:val="Network-bodytext"/>
          <w:color w:val="7F7F7F" w:themeColor="text1" w:themeTint="80"/>
        </w:rPr>
        <w:t xml:space="preserve"> for Sydney Water, Hunter Water and WaterNSW for prices </w:t>
      </w:r>
      <w:r w:rsidR="007652D9" w:rsidRPr="000D32FE">
        <w:rPr>
          <w:rStyle w:val="Network-bodytext"/>
          <w:color w:val="7F7F7F" w:themeColor="text1" w:themeTint="80"/>
        </w:rPr>
        <w:t xml:space="preserve">(for monopoly water and where applicable sewerage) </w:t>
      </w:r>
      <w:r w:rsidR="007C1A4A" w:rsidRPr="000D32FE">
        <w:rPr>
          <w:rStyle w:val="Network-bodytext"/>
          <w:color w:val="7F7F7F" w:themeColor="text1" w:themeTint="80"/>
        </w:rPr>
        <w:t>to apply from 1 July 2016 to 30 June 2020.</w:t>
      </w:r>
    </w:p>
    <w:p w:rsidR="007C1A4A" w:rsidRPr="00625416" w:rsidRDefault="00E65BA0" w:rsidP="007C1A4A">
      <w:pPr>
        <w:pStyle w:val="Heading3"/>
      </w:pPr>
      <w:r>
        <w:t xml:space="preserve">Regulated Gas </w:t>
      </w:r>
      <w:r w:rsidR="007C1A4A" w:rsidRPr="00625416">
        <w:t>P</w:t>
      </w:r>
      <w:r>
        <w:t>rices and Charges – Final Report Released</w:t>
      </w:r>
    </w:p>
    <w:p w:rsidR="007C1A4A" w:rsidRPr="000D32FE" w:rsidRDefault="007C1A4A" w:rsidP="007C1A4A">
      <w:pPr>
        <w:pStyle w:val="Heading3"/>
        <w:rPr>
          <w:rStyle w:val="Network-bodytext"/>
          <w:b w:val="0"/>
          <w:color w:val="7F7F7F" w:themeColor="text1" w:themeTint="80"/>
        </w:rPr>
      </w:pPr>
      <w:r w:rsidRPr="000D32FE">
        <w:rPr>
          <w:rStyle w:val="Network-bodytext"/>
          <w:b w:val="0"/>
          <w:color w:val="7F7F7F" w:themeColor="text1" w:themeTint="80"/>
        </w:rPr>
        <w:t xml:space="preserve">On </w:t>
      </w:r>
      <w:r w:rsidR="00E65BA0" w:rsidRPr="000D32FE">
        <w:rPr>
          <w:rStyle w:val="Network-bodytext"/>
          <w:b w:val="0"/>
          <w:color w:val="7F7F7F" w:themeColor="text1" w:themeTint="80"/>
        </w:rPr>
        <w:t xml:space="preserve">10 June 2016 the IPART released its </w:t>
      </w:r>
      <w:hyperlink r:id="rId30" w:history="1">
        <w:r w:rsidR="00E65BA0" w:rsidRPr="000D32FE">
          <w:rPr>
            <w:rStyle w:val="Network-bodytext"/>
            <w:color w:val="7F7F7F" w:themeColor="text1" w:themeTint="80"/>
          </w:rPr>
          <w:t>final report</w:t>
        </w:r>
      </w:hyperlink>
      <w:r w:rsidR="00E65BA0" w:rsidRPr="000D32FE">
        <w:rPr>
          <w:rStyle w:val="Network-bodytext"/>
          <w:b w:val="0"/>
          <w:color w:val="7F7F7F" w:themeColor="text1" w:themeTint="80"/>
        </w:rPr>
        <w:t xml:space="preserve"> of the review of regulated gas prices to apply to AGL, ActewAGL and Origin Energy for residential and small business customers that remain on regulated prices under a standard contract.</w:t>
      </w:r>
    </w:p>
    <w:p w:rsidR="00C70F3B" w:rsidRPr="00625416" w:rsidRDefault="00C70F3B" w:rsidP="00C70F3B">
      <w:pPr>
        <w:pStyle w:val="Heading3"/>
      </w:pPr>
      <w:r>
        <w:t>Solar Feed-in Tariffs for 2016-17 – Final Decision Released</w:t>
      </w:r>
    </w:p>
    <w:p w:rsidR="00C70F3B" w:rsidRPr="000D32FE" w:rsidRDefault="00C70F3B" w:rsidP="00C70F3B">
      <w:pPr>
        <w:pStyle w:val="Heading3"/>
        <w:rPr>
          <w:rStyle w:val="Network-bodytext"/>
          <w:b w:val="0"/>
          <w:color w:val="7F7F7F" w:themeColor="text1" w:themeTint="80"/>
        </w:rPr>
      </w:pPr>
      <w:r w:rsidRPr="000D32FE">
        <w:rPr>
          <w:rStyle w:val="Network-bodytext"/>
          <w:b w:val="0"/>
          <w:color w:val="7F7F7F" w:themeColor="text1" w:themeTint="80"/>
        </w:rPr>
        <w:t xml:space="preserve">On 9 June 2016 the IPART released a </w:t>
      </w:r>
      <w:hyperlink r:id="rId31" w:history="1">
        <w:r w:rsidRPr="000D32FE">
          <w:rPr>
            <w:rStyle w:val="Network-bodytext"/>
            <w:color w:val="7F7F7F" w:themeColor="text1" w:themeTint="80"/>
          </w:rPr>
          <w:t>Fact Sheet and Final Decision</w:t>
        </w:r>
      </w:hyperlink>
      <w:r w:rsidRPr="000D32FE">
        <w:rPr>
          <w:rStyle w:val="Network-bodytext"/>
          <w:b w:val="0"/>
          <w:color w:val="7F7F7F" w:themeColor="text1" w:themeTint="80"/>
        </w:rPr>
        <w:t xml:space="preserve"> for solar feed-in tariffs.</w:t>
      </w:r>
    </w:p>
    <w:p w:rsidR="006273EE" w:rsidRPr="00625416" w:rsidRDefault="006273EE" w:rsidP="006273EE">
      <w:pPr>
        <w:pStyle w:val="Heading3"/>
      </w:pPr>
      <w:r w:rsidRPr="00625416">
        <w:t>Prices for Water Management Services Provided by W</w:t>
      </w:r>
      <w:r w:rsidR="00625416">
        <w:t>AMC</w:t>
      </w:r>
    </w:p>
    <w:p w:rsidR="00625416" w:rsidRPr="000D32FE" w:rsidRDefault="00625416" w:rsidP="006273EE">
      <w:pPr>
        <w:pStyle w:val="Heading3"/>
        <w:rPr>
          <w:rStyle w:val="Network-bodytext"/>
          <w:b w:val="0"/>
          <w:color w:val="7F7F7F" w:themeColor="text1" w:themeTint="80"/>
        </w:rPr>
      </w:pPr>
      <w:r w:rsidRPr="000D32FE">
        <w:rPr>
          <w:rStyle w:val="Network-bodytext"/>
          <w:b w:val="0"/>
          <w:color w:val="7F7F7F" w:themeColor="text1" w:themeTint="80"/>
        </w:rPr>
        <w:t xml:space="preserve">On 7 June 2016 the IPART </w:t>
      </w:r>
      <w:hyperlink r:id="rId32" w:history="1">
        <w:r w:rsidRPr="000D32FE">
          <w:rPr>
            <w:rStyle w:val="Network-bodytext"/>
            <w:color w:val="7F7F7F" w:themeColor="text1" w:themeTint="80"/>
          </w:rPr>
          <w:t>released its report</w:t>
        </w:r>
      </w:hyperlink>
      <w:r w:rsidRPr="000D32FE">
        <w:rPr>
          <w:rStyle w:val="Network-bodytext"/>
          <w:b w:val="0"/>
          <w:color w:val="7F7F7F" w:themeColor="text1" w:themeTint="80"/>
        </w:rPr>
        <w:t xml:space="preserve"> on Water Administration Ministerial Corporation (WAMC) Prices for water management services.  The Report sets out IPART’s prices and decisions for the review of the maximum prices the WAMC may charge. Its </w:t>
      </w:r>
      <w:r w:rsidRPr="000D32FE">
        <w:rPr>
          <w:rStyle w:val="Network-bodytext"/>
          <w:b w:val="0"/>
          <w:color w:val="7F7F7F" w:themeColor="text1" w:themeTint="80"/>
        </w:rPr>
        <w:lastRenderedPageBreak/>
        <w:t xml:space="preserve">water management services are currently undertaken on its behalf by DPI Water.  The determination is scheduled to apply for the four years until 30 June 2020. </w:t>
      </w:r>
    </w:p>
    <w:p w:rsidR="006273EE" w:rsidRPr="00625416" w:rsidRDefault="00625416" w:rsidP="006273EE">
      <w:pPr>
        <w:pStyle w:val="Heading3"/>
      </w:pPr>
      <w:r>
        <w:t>Sydney Water and Hunter Water Wholesale Charges – Consultation</w:t>
      </w:r>
    </w:p>
    <w:p w:rsidR="00625416" w:rsidRPr="000D32FE" w:rsidRDefault="00DB0537" w:rsidP="00625416">
      <w:pPr>
        <w:rPr>
          <w:rStyle w:val="Network-bodytext"/>
          <w:rFonts w:eastAsia="Calibri"/>
          <w:color w:val="7F7F7F" w:themeColor="text1" w:themeTint="80"/>
        </w:rPr>
      </w:pPr>
      <w:r w:rsidRPr="000D32FE">
        <w:rPr>
          <w:rStyle w:val="Network-bodytext"/>
          <w:color w:val="7F7F7F" w:themeColor="text1" w:themeTint="80"/>
        </w:rPr>
        <w:t xml:space="preserve">On 26 April 2016 the IPART announced it is </w:t>
      </w:r>
      <w:hyperlink r:id="rId33" w:history="1">
        <w:r w:rsidRPr="000D32FE">
          <w:rPr>
            <w:rStyle w:val="Network-bodytext"/>
            <w:b/>
            <w:color w:val="7F7F7F" w:themeColor="text1" w:themeTint="80"/>
          </w:rPr>
          <w:t>conducting a review</w:t>
        </w:r>
      </w:hyperlink>
      <w:r w:rsidRPr="000D32FE">
        <w:rPr>
          <w:rStyle w:val="Network-bodytext"/>
          <w:color w:val="7F7F7F" w:themeColor="text1" w:themeTint="80"/>
        </w:rPr>
        <w:t xml:space="preserve"> of the maximum prices Sydney Water and Hunter Water can charge for wholesale water and sewerage services.</w:t>
      </w:r>
      <w:r w:rsidR="000D32FE">
        <w:rPr>
          <w:rStyle w:val="Network-bodytext"/>
          <w:color w:val="7F7F7F" w:themeColor="text1" w:themeTint="80"/>
        </w:rPr>
        <w:t xml:space="preserve">  </w:t>
      </w:r>
      <w:r w:rsidRPr="000D32FE">
        <w:rPr>
          <w:rStyle w:val="Network-bodytext"/>
          <w:color w:val="7F7F7F" w:themeColor="text1" w:themeTint="80"/>
        </w:rPr>
        <w:t>The IPART’s Discussion Paper outlines IPART’s proposed approach to setting wholesale prices, the rationale for these decisions and explains how stakeholders can provide input.</w:t>
      </w:r>
    </w:p>
    <w:p w:rsidR="00C4075E" w:rsidRPr="00EE3CEB" w:rsidRDefault="00C4075E" w:rsidP="008F2FD1">
      <w:pPr>
        <w:pStyle w:val="Heading2"/>
        <w:jc w:val="both"/>
      </w:pPr>
      <w:r w:rsidRPr="00EE3CEB">
        <w:t>Northern Territory</w:t>
      </w:r>
    </w:p>
    <w:p w:rsidR="00C4075E" w:rsidRPr="00EE3CEB" w:rsidRDefault="00C4075E" w:rsidP="008F2FD1">
      <w:pPr>
        <w:pStyle w:val="Heading2"/>
        <w:jc w:val="both"/>
      </w:pPr>
      <w:r w:rsidRPr="00EE3CEB">
        <w:t>Utilities Commission</w:t>
      </w:r>
    </w:p>
    <w:p w:rsidR="006517B1" w:rsidRPr="00EE3CEB" w:rsidRDefault="00EE3CEB" w:rsidP="006517B1">
      <w:pPr>
        <w:pStyle w:val="Heading3"/>
      </w:pPr>
      <w:r>
        <w:t xml:space="preserve">Draft Access Policy – </w:t>
      </w:r>
      <w:r w:rsidR="006517B1" w:rsidRPr="00EE3CEB">
        <w:t xml:space="preserve">Port </w:t>
      </w:r>
      <w:r>
        <w:t>of Darwin:  Update</w:t>
      </w:r>
      <w:r w:rsidR="006517B1" w:rsidRPr="00EE3CEB">
        <w:t xml:space="preserve">   </w:t>
      </w:r>
    </w:p>
    <w:p w:rsidR="006517B1" w:rsidRPr="00BE5C26" w:rsidRDefault="00EE3CEB" w:rsidP="006517B1">
      <w:pPr>
        <w:pStyle w:val="Heading2"/>
        <w:jc w:val="both"/>
        <w:rPr>
          <w:rStyle w:val="Network-bodytext"/>
          <w:b w:val="0"/>
          <w:color w:val="7F7F7F" w:themeColor="text1" w:themeTint="80"/>
        </w:rPr>
      </w:pPr>
      <w:r w:rsidRPr="00BE5C26">
        <w:rPr>
          <w:rStyle w:val="Network-bodytext"/>
          <w:b w:val="0"/>
          <w:color w:val="7F7F7F" w:themeColor="text1" w:themeTint="80"/>
        </w:rPr>
        <w:t>On 10 May 2016 the Utilities Commission posted a brief update on its consideration and consultation on its access policy for the Port of Darwin.</w:t>
      </w:r>
    </w:p>
    <w:p w:rsidR="00B7019C" w:rsidRPr="00356E4B" w:rsidRDefault="00B7019C" w:rsidP="006517B1">
      <w:pPr>
        <w:pStyle w:val="Heading2"/>
        <w:jc w:val="both"/>
      </w:pPr>
      <w:r w:rsidRPr="00356E4B">
        <w:t>Queensland</w:t>
      </w:r>
    </w:p>
    <w:p w:rsidR="00B7019C" w:rsidRPr="00356E4B" w:rsidRDefault="00B7019C" w:rsidP="008F2FD1">
      <w:pPr>
        <w:pStyle w:val="Heading2"/>
        <w:jc w:val="both"/>
      </w:pPr>
      <w:r w:rsidRPr="00356E4B">
        <w:t>Queensland Competition Authority (QCA)</w:t>
      </w:r>
    </w:p>
    <w:p w:rsidR="004C0A27" w:rsidRPr="00356E4B" w:rsidRDefault="000E535D" w:rsidP="004C0A27">
      <w:pPr>
        <w:pStyle w:val="Heading3"/>
      </w:pPr>
      <w:r>
        <w:t xml:space="preserve">Queensland </w:t>
      </w:r>
      <w:r w:rsidR="004C0A27">
        <w:t>R</w:t>
      </w:r>
      <w:r>
        <w:t>ail 2015 Draft Access Undertaking</w:t>
      </w:r>
      <w:r w:rsidR="004D7895">
        <w:t xml:space="preserve"> (DAU)</w:t>
      </w:r>
      <w:r>
        <w:t xml:space="preserve"> – Final Decision</w:t>
      </w:r>
      <w:r w:rsidR="004C0A27" w:rsidRPr="00356E4B">
        <w:t xml:space="preserve"> </w:t>
      </w:r>
    </w:p>
    <w:p w:rsidR="004C0A27" w:rsidRPr="00BE5C26" w:rsidRDefault="004C0A27" w:rsidP="00BE5C26">
      <w:pPr>
        <w:rPr>
          <w:rStyle w:val="Network-bodytext"/>
          <w:color w:val="7F7F7F" w:themeColor="text1" w:themeTint="80"/>
        </w:rPr>
      </w:pPr>
      <w:r w:rsidRPr="00BE5C26">
        <w:rPr>
          <w:rStyle w:val="Network-bodytext"/>
          <w:color w:val="7F7F7F" w:themeColor="text1" w:themeTint="80"/>
        </w:rPr>
        <w:t xml:space="preserve">On </w:t>
      </w:r>
      <w:r w:rsidR="000E535D" w:rsidRPr="00BE5C26">
        <w:rPr>
          <w:rStyle w:val="Network-bodytext"/>
          <w:color w:val="7F7F7F" w:themeColor="text1" w:themeTint="80"/>
        </w:rPr>
        <w:t xml:space="preserve">17 June 2016 the QCA </w:t>
      </w:r>
      <w:hyperlink r:id="rId34" w:history="1">
        <w:r w:rsidR="004D7895" w:rsidRPr="00BE5C26">
          <w:rPr>
            <w:rStyle w:val="Network-bodytext"/>
            <w:b/>
            <w:color w:val="7F7F7F" w:themeColor="text1" w:themeTint="80"/>
          </w:rPr>
          <w:t>released</w:t>
        </w:r>
      </w:hyperlink>
      <w:r w:rsidR="000E535D" w:rsidRPr="00BE5C26">
        <w:rPr>
          <w:rStyle w:val="Network-bodytext"/>
          <w:color w:val="7F7F7F" w:themeColor="text1" w:themeTint="80"/>
        </w:rPr>
        <w:t xml:space="preserve"> its final decision on Queensland Rail’s Draft Access Undertaking which was not to approve and to indicate how it </w:t>
      </w:r>
      <w:r w:rsidR="004D7895" w:rsidRPr="00BE5C26">
        <w:rPr>
          <w:rStyle w:val="Network-bodytext"/>
          <w:color w:val="7F7F7F" w:themeColor="text1" w:themeTint="80"/>
        </w:rPr>
        <w:t>‘must</w:t>
      </w:r>
      <w:r w:rsidR="000E535D" w:rsidRPr="00BE5C26">
        <w:rPr>
          <w:rStyle w:val="Network-bodytext"/>
          <w:color w:val="7F7F7F" w:themeColor="text1" w:themeTint="80"/>
        </w:rPr>
        <w:t xml:space="preserve"> be amended </w:t>
      </w:r>
      <w:r w:rsidR="004D7895" w:rsidRPr="00BE5C26">
        <w:rPr>
          <w:rStyle w:val="Network-bodytext"/>
          <w:color w:val="7F7F7F" w:themeColor="text1" w:themeTint="80"/>
        </w:rPr>
        <w:t>in order for it to be appropriate to approve’.</w:t>
      </w:r>
    </w:p>
    <w:p w:rsidR="00356E4B" w:rsidRPr="00356E4B" w:rsidRDefault="00356E4B" w:rsidP="00356E4B">
      <w:pPr>
        <w:pStyle w:val="Heading3"/>
      </w:pPr>
      <w:r>
        <w:t xml:space="preserve">Regulated </w:t>
      </w:r>
      <w:r w:rsidRPr="00356E4B">
        <w:t xml:space="preserve">Retail Electricity Prices for </w:t>
      </w:r>
      <w:r>
        <w:t xml:space="preserve">Regional Queensland </w:t>
      </w:r>
      <w:r w:rsidRPr="00356E4B">
        <w:t xml:space="preserve">2016-17 </w:t>
      </w:r>
    </w:p>
    <w:p w:rsidR="00356E4B" w:rsidRPr="00BE5C26" w:rsidRDefault="00356E4B" w:rsidP="00BE5C26">
      <w:pPr>
        <w:rPr>
          <w:rStyle w:val="Network-bodytext"/>
          <w:color w:val="7F7F7F" w:themeColor="text1" w:themeTint="80"/>
        </w:rPr>
      </w:pPr>
      <w:r w:rsidRPr="00BE5C26">
        <w:rPr>
          <w:rStyle w:val="Network-bodytext"/>
          <w:color w:val="7F7F7F" w:themeColor="text1" w:themeTint="80"/>
        </w:rPr>
        <w:t xml:space="preserve">On 31 May 2016 </w:t>
      </w:r>
      <w:hyperlink r:id="rId35" w:history="1">
        <w:r w:rsidRPr="00BE5C26">
          <w:rPr>
            <w:rStyle w:val="Network-bodytext"/>
            <w:rFonts w:eastAsia="Calibri"/>
            <w:color w:val="7F7F7F" w:themeColor="text1" w:themeTint="80"/>
          </w:rPr>
          <w:t xml:space="preserve">the QCA released </w:t>
        </w:r>
        <w:r w:rsidRPr="00BE5C26">
          <w:rPr>
            <w:rStyle w:val="Network-bodytext"/>
            <w:rFonts w:eastAsia="Calibri"/>
            <w:b/>
            <w:color w:val="7F7F7F" w:themeColor="text1" w:themeTint="80"/>
          </w:rPr>
          <w:t xml:space="preserve">its </w:t>
        </w:r>
        <w:hyperlink r:id="rId36" w:history="1">
          <w:r w:rsidRPr="00BE5C26">
            <w:rPr>
              <w:rStyle w:val="Network-bodytext"/>
              <w:b/>
              <w:color w:val="7F7F7F" w:themeColor="text1" w:themeTint="80"/>
            </w:rPr>
            <w:t>final decision</w:t>
          </w:r>
        </w:hyperlink>
        <w:r w:rsidRPr="00BE5C26">
          <w:rPr>
            <w:rStyle w:val="Network-bodytext"/>
            <w:rFonts w:eastAsia="Calibri"/>
            <w:color w:val="7F7F7F" w:themeColor="text1" w:themeTint="80"/>
          </w:rPr>
          <w:t xml:space="preserve"> </w:t>
        </w:r>
      </w:hyperlink>
      <w:r w:rsidRPr="00BE5C26">
        <w:rPr>
          <w:rStyle w:val="Network-bodytext"/>
          <w:color w:val="7F7F7F" w:themeColor="text1" w:themeTint="80"/>
        </w:rPr>
        <w:t xml:space="preserve">on regulated retail electricity prices in regional Queensland for 2016-17.  </w:t>
      </w:r>
    </w:p>
    <w:p w:rsidR="007B45E5" w:rsidRPr="00356E4B" w:rsidRDefault="007B45E5" w:rsidP="007B45E5">
      <w:pPr>
        <w:pStyle w:val="Heading3"/>
      </w:pPr>
      <w:r>
        <w:t>Solar Feed-in Tariff for Regional</w:t>
      </w:r>
      <w:r w:rsidRPr="00356E4B">
        <w:t xml:space="preserve"> Queensland</w:t>
      </w:r>
    </w:p>
    <w:p w:rsidR="007B45E5" w:rsidRPr="00BE5C26" w:rsidRDefault="007B45E5" w:rsidP="00BE5C26">
      <w:pPr>
        <w:rPr>
          <w:rStyle w:val="Network-bodytext"/>
          <w:rFonts w:eastAsia="Calibri"/>
          <w:color w:val="7F7F7F" w:themeColor="text1" w:themeTint="80"/>
        </w:rPr>
      </w:pPr>
      <w:r w:rsidRPr="00BE5C26">
        <w:rPr>
          <w:rStyle w:val="Network-bodytext"/>
          <w:color w:val="7F7F7F" w:themeColor="text1" w:themeTint="80"/>
        </w:rPr>
        <w:t xml:space="preserve">On 20 May 2016 the QCA released its final decision on the </w:t>
      </w:r>
      <w:hyperlink r:id="rId37" w:history="1">
        <w:r w:rsidRPr="00BE5C26">
          <w:rPr>
            <w:rStyle w:val="Network-bodytext"/>
            <w:rFonts w:eastAsia="Calibri"/>
            <w:b/>
            <w:color w:val="7F7F7F" w:themeColor="text1" w:themeTint="80"/>
          </w:rPr>
          <w:t>Regional Solar Feed-In Tariff</w:t>
        </w:r>
      </w:hyperlink>
      <w:r w:rsidRPr="00BE5C26">
        <w:rPr>
          <w:rStyle w:val="Network-bodytext"/>
          <w:rFonts w:eastAsia="Calibri"/>
          <w:color w:val="7F7F7F" w:themeColor="text1" w:themeTint="80"/>
        </w:rPr>
        <w:t>.</w:t>
      </w:r>
    </w:p>
    <w:p w:rsidR="00AD7235" w:rsidRPr="00356E4B" w:rsidRDefault="00AD7235" w:rsidP="00AD7235">
      <w:pPr>
        <w:pStyle w:val="Heading3"/>
      </w:pPr>
      <w:r>
        <w:t>Aurizon Network’s Draft Access Undertaking – Final Decision</w:t>
      </w:r>
    </w:p>
    <w:p w:rsidR="007B45E5" w:rsidRPr="00BE5C26" w:rsidRDefault="00AD7235" w:rsidP="00BE5C26">
      <w:pPr>
        <w:rPr>
          <w:rStyle w:val="Network-bodytext"/>
          <w:color w:val="7F7F7F" w:themeColor="text1" w:themeTint="80"/>
        </w:rPr>
      </w:pPr>
      <w:r w:rsidRPr="00BE5C26">
        <w:rPr>
          <w:rStyle w:val="Network-bodytext"/>
          <w:color w:val="7F7F7F" w:themeColor="text1" w:themeTint="80"/>
        </w:rPr>
        <w:t xml:space="preserve">On 28 April 2016 the QCA released its final decision on </w:t>
      </w:r>
      <w:hyperlink r:id="rId38" w:history="1">
        <w:r w:rsidRPr="00BE5C26">
          <w:rPr>
            <w:rStyle w:val="Network-bodytext"/>
            <w:b/>
            <w:color w:val="7F7F7F" w:themeColor="text1" w:themeTint="80"/>
          </w:rPr>
          <w:t>Aurizon Network's Draft Access Undertaking</w:t>
        </w:r>
      </w:hyperlink>
      <w:r w:rsidR="004C0A27" w:rsidRPr="00BE5C26">
        <w:rPr>
          <w:rStyle w:val="Network-bodytext"/>
          <w:color w:val="7F7F7F" w:themeColor="text1" w:themeTint="80"/>
        </w:rPr>
        <w:t>.</w:t>
      </w:r>
    </w:p>
    <w:p w:rsidR="006517B1" w:rsidRPr="00356E4B" w:rsidRDefault="006517B1" w:rsidP="00356E4B">
      <w:pPr>
        <w:pStyle w:val="Heading3"/>
      </w:pPr>
      <w:r w:rsidRPr="00356E4B">
        <w:lastRenderedPageBreak/>
        <w:t>DBCT</w:t>
      </w:r>
      <w:r w:rsidR="004C0A27">
        <w:t>M</w:t>
      </w:r>
      <w:r w:rsidRPr="00356E4B">
        <w:t xml:space="preserve">'s </w:t>
      </w:r>
      <w:r w:rsidR="00493143" w:rsidRPr="00356E4B">
        <w:t xml:space="preserve">Draft </w:t>
      </w:r>
      <w:r w:rsidR="004C0A27">
        <w:t xml:space="preserve">Access Undertaking – Draft </w:t>
      </w:r>
      <w:r w:rsidR="00493143" w:rsidRPr="00356E4B">
        <w:t>Decision Released</w:t>
      </w:r>
    </w:p>
    <w:p w:rsidR="006517B1" w:rsidRPr="00BE5C26" w:rsidRDefault="006517B1" w:rsidP="00BE5C26">
      <w:pPr>
        <w:rPr>
          <w:rStyle w:val="Network-bodytext"/>
          <w:color w:val="7F7F7F" w:themeColor="text1" w:themeTint="80"/>
        </w:rPr>
      </w:pPr>
      <w:r w:rsidRPr="00BE5C26">
        <w:rPr>
          <w:rStyle w:val="Network-bodytext"/>
          <w:color w:val="7F7F7F" w:themeColor="text1" w:themeTint="80"/>
        </w:rPr>
        <w:t>On 2</w:t>
      </w:r>
      <w:r w:rsidR="004C0A27" w:rsidRPr="00BE5C26">
        <w:rPr>
          <w:rStyle w:val="Network-bodytext"/>
          <w:color w:val="7F7F7F" w:themeColor="text1" w:themeTint="80"/>
        </w:rPr>
        <w:t>2</w:t>
      </w:r>
      <w:r w:rsidRPr="00BE5C26">
        <w:rPr>
          <w:rStyle w:val="Network-bodytext"/>
          <w:color w:val="7F7F7F" w:themeColor="text1" w:themeTint="80"/>
        </w:rPr>
        <w:t xml:space="preserve"> </w:t>
      </w:r>
      <w:r w:rsidR="004C0A27" w:rsidRPr="00BE5C26">
        <w:rPr>
          <w:rStyle w:val="Network-bodytext"/>
          <w:color w:val="7F7F7F" w:themeColor="text1" w:themeTint="80"/>
        </w:rPr>
        <w:t>April</w:t>
      </w:r>
      <w:r w:rsidRPr="00BE5C26">
        <w:rPr>
          <w:rStyle w:val="Network-bodytext"/>
          <w:color w:val="7F7F7F" w:themeColor="text1" w:themeTint="80"/>
        </w:rPr>
        <w:t xml:space="preserve"> 2016 the QCA released a </w:t>
      </w:r>
      <w:hyperlink r:id="rId39" w:history="1">
        <w:r w:rsidR="004C0A27" w:rsidRPr="00BE5C26">
          <w:rPr>
            <w:rStyle w:val="Network-bodytext"/>
            <w:b/>
            <w:color w:val="7F7F7F" w:themeColor="text1" w:themeTint="80"/>
          </w:rPr>
          <w:t>Draft Decision</w:t>
        </w:r>
      </w:hyperlink>
      <w:r w:rsidR="004C0A27" w:rsidRPr="00BE5C26">
        <w:rPr>
          <w:rStyle w:val="Network-bodytext"/>
          <w:color w:val="7F7F7F" w:themeColor="text1" w:themeTint="80"/>
        </w:rPr>
        <w:t xml:space="preserve"> </w:t>
      </w:r>
      <w:r w:rsidRPr="00BE5C26">
        <w:rPr>
          <w:rStyle w:val="Network-bodytext"/>
          <w:color w:val="7F7F7F" w:themeColor="text1" w:themeTint="80"/>
        </w:rPr>
        <w:t xml:space="preserve">on Dalrymple Bay Coal Terminal Management's (DBCTM's) </w:t>
      </w:r>
      <w:r w:rsidR="004C0A27" w:rsidRPr="00BE5C26">
        <w:rPr>
          <w:rStyle w:val="Network-bodytext"/>
          <w:color w:val="7F7F7F" w:themeColor="text1" w:themeTint="80"/>
        </w:rPr>
        <w:t>draft access undertaking.</w:t>
      </w:r>
    </w:p>
    <w:p w:rsidR="00B7019C" w:rsidRPr="007459EF" w:rsidRDefault="00B7019C" w:rsidP="008F2FD1">
      <w:pPr>
        <w:pStyle w:val="Heading2"/>
        <w:jc w:val="both"/>
      </w:pPr>
      <w:r w:rsidRPr="007459EF">
        <w:t>South Australia</w:t>
      </w:r>
    </w:p>
    <w:p w:rsidR="00B7019C" w:rsidRPr="007459EF" w:rsidRDefault="00B7019C" w:rsidP="008F2FD1">
      <w:pPr>
        <w:pStyle w:val="Heading2"/>
        <w:jc w:val="both"/>
      </w:pPr>
      <w:r w:rsidRPr="007459EF">
        <w:t>Essential Services Commission of South Australia (ESCOSA)</w:t>
      </w:r>
    </w:p>
    <w:p w:rsidR="00E75758" w:rsidRPr="007459EF" w:rsidRDefault="00E75758" w:rsidP="00E75758">
      <w:pPr>
        <w:pStyle w:val="Heading3"/>
      </w:pPr>
      <w:r w:rsidRPr="007459EF">
        <w:t>SA Water Regulatory Determination 2016</w:t>
      </w:r>
    </w:p>
    <w:p w:rsidR="00E75758" w:rsidRPr="00BE5C26" w:rsidRDefault="004547CD" w:rsidP="004547CD">
      <w:pPr>
        <w:spacing w:before="0" w:after="0" w:line="240" w:lineRule="auto"/>
        <w:rPr>
          <w:rStyle w:val="Network-bodytext"/>
          <w:color w:val="7F7F7F" w:themeColor="text1" w:themeTint="80"/>
        </w:rPr>
      </w:pPr>
      <w:r w:rsidRPr="00BE5C26">
        <w:rPr>
          <w:rStyle w:val="Network-bodytext"/>
          <w:color w:val="7F7F7F" w:themeColor="text1" w:themeTint="80"/>
        </w:rPr>
        <w:t xml:space="preserve">On 6 June 2016 the ESCOSA made a </w:t>
      </w:r>
      <w:hyperlink r:id="rId40" w:history="1">
        <w:r w:rsidRPr="00BE5C26">
          <w:rPr>
            <w:rStyle w:val="Network-bodytext"/>
            <w:rFonts w:eastAsia="Calibri"/>
            <w:color w:val="7F7F7F" w:themeColor="text1" w:themeTint="80"/>
          </w:rPr>
          <w:t>regulatory determination</w:t>
        </w:r>
      </w:hyperlink>
      <w:r w:rsidRPr="00BE5C26">
        <w:rPr>
          <w:rStyle w:val="Network-bodytext"/>
          <w:color w:val="7F7F7F" w:themeColor="text1" w:themeTint="80"/>
        </w:rPr>
        <w:t xml:space="preserve"> to apply to SA Water for the period 1 July 2016 to 30 June 2020 (RD16). RD16 is the second regulatory determination under the Water Industry Act 2012 and the Essential Services Commission Act 2002</w:t>
      </w:r>
      <w:r w:rsidR="008A14DC" w:rsidRPr="00BE5C26">
        <w:rPr>
          <w:rStyle w:val="Network-bodytext"/>
          <w:color w:val="7F7F7F" w:themeColor="text1" w:themeTint="80"/>
        </w:rPr>
        <w:t>.  It</w:t>
      </w:r>
      <w:r w:rsidR="00CA3DD6">
        <w:rPr>
          <w:rStyle w:val="Network-bodytext"/>
          <w:color w:val="7F7F7F" w:themeColor="text1" w:themeTint="80"/>
        </w:rPr>
        <w:t xml:space="preserve"> was developed following</w:t>
      </w:r>
      <w:r w:rsidRPr="00BE5C26">
        <w:rPr>
          <w:rStyle w:val="Network-bodytext"/>
          <w:color w:val="7F7F7F" w:themeColor="text1" w:themeTint="80"/>
        </w:rPr>
        <w:t xml:space="preserve"> a</w:t>
      </w:r>
      <w:r w:rsidR="008A14DC" w:rsidRPr="00BE5C26">
        <w:rPr>
          <w:rStyle w:val="Network-bodytext"/>
          <w:color w:val="7F7F7F" w:themeColor="text1" w:themeTint="80"/>
        </w:rPr>
        <w:t>n</w:t>
      </w:r>
      <w:r w:rsidRPr="00BE5C26">
        <w:rPr>
          <w:rStyle w:val="Network-bodytext"/>
          <w:color w:val="7F7F7F" w:themeColor="text1" w:themeTint="80"/>
        </w:rPr>
        <w:t xml:space="preserve"> </w:t>
      </w:r>
      <w:r w:rsidR="008A14DC" w:rsidRPr="00BE5C26">
        <w:rPr>
          <w:rStyle w:val="Network-bodytext"/>
          <w:color w:val="7F7F7F" w:themeColor="text1" w:themeTint="80"/>
        </w:rPr>
        <w:t>i</w:t>
      </w:r>
      <w:r w:rsidRPr="00BE5C26">
        <w:rPr>
          <w:rStyle w:val="Network-bodytext"/>
          <w:color w:val="7F7F7F" w:themeColor="text1" w:themeTint="80"/>
        </w:rPr>
        <w:t>ndependent review, with widespread community engagement by both SA Water and the ESCOSA.  RD16 includes a price determination that sets four</w:t>
      </w:r>
      <w:r w:rsidR="00BD4DEA" w:rsidRPr="00BE5C26">
        <w:rPr>
          <w:rStyle w:val="Network-bodytext"/>
          <w:color w:val="7F7F7F" w:themeColor="text1" w:themeTint="80"/>
        </w:rPr>
        <w:t>-</w:t>
      </w:r>
      <w:r w:rsidRPr="00BE5C26">
        <w:rPr>
          <w:rStyle w:val="Network-bodytext"/>
          <w:color w:val="7F7F7F" w:themeColor="text1" w:themeTint="80"/>
        </w:rPr>
        <w:t>year revenue caps for drinking water retail services and sewerage retail services and specifies pricing principles for excluded retail services.</w:t>
      </w:r>
    </w:p>
    <w:p w:rsidR="00652299" w:rsidRPr="007459EF" w:rsidRDefault="004547CD" w:rsidP="00E75758">
      <w:pPr>
        <w:pStyle w:val="Heading3"/>
      </w:pPr>
      <w:r>
        <w:t xml:space="preserve">National </w:t>
      </w:r>
      <w:r w:rsidR="00652299" w:rsidRPr="007459EF">
        <w:t>E</w:t>
      </w:r>
      <w:r>
        <w:t>nergy Retail Law Review</w:t>
      </w:r>
      <w:r w:rsidR="008A14DC">
        <w:t xml:space="preserve"> (NERL)</w:t>
      </w:r>
      <w:r>
        <w:t xml:space="preserve"> – Report</w:t>
      </w:r>
    </w:p>
    <w:p w:rsidR="00652299" w:rsidRPr="00BE5C26" w:rsidRDefault="004547CD" w:rsidP="00BE5C26">
      <w:pPr>
        <w:rPr>
          <w:rStyle w:val="Network-bodytext"/>
          <w:color w:val="7F7F7F" w:themeColor="text1" w:themeTint="80"/>
        </w:rPr>
      </w:pPr>
      <w:r w:rsidRPr="00BE5C26">
        <w:rPr>
          <w:rStyle w:val="Network-bodytext"/>
          <w:color w:val="7F7F7F" w:themeColor="text1" w:themeTint="80"/>
        </w:rPr>
        <w:t xml:space="preserve">On 30 May 2016 the ESCOSA </w:t>
      </w:r>
      <w:hyperlink r:id="rId41" w:history="1">
        <w:r w:rsidRPr="00BE5C26">
          <w:rPr>
            <w:rStyle w:val="Network-bodytext"/>
            <w:color w:val="7F7F7F" w:themeColor="text1" w:themeTint="80"/>
          </w:rPr>
          <w:t>released its findings</w:t>
        </w:r>
      </w:hyperlink>
      <w:r w:rsidRPr="00BE5C26">
        <w:rPr>
          <w:rStyle w:val="Network-bodytext"/>
          <w:color w:val="7F7F7F" w:themeColor="text1" w:themeTint="80"/>
        </w:rPr>
        <w:t xml:space="preserve"> for the NERL review. </w:t>
      </w:r>
      <w:r w:rsidR="00BE5C26">
        <w:rPr>
          <w:rStyle w:val="Network-bodytext"/>
          <w:color w:val="7F7F7F" w:themeColor="text1" w:themeTint="80"/>
        </w:rPr>
        <w:t xml:space="preserve"> </w:t>
      </w:r>
      <w:r w:rsidRPr="00BE5C26">
        <w:rPr>
          <w:rStyle w:val="Network-bodytext"/>
          <w:color w:val="7F7F7F" w:themeColor="text1" w:themeTint="80"/>
        </w:rPr>
        <w:t>The ESCOSA’s overall</w:t>
      </w:r>
      <w:r w:rsidR="00BE5C26">
        <w:rPr>
          <w:rStyle w:val="Network-bodytext"/>
          <w:color w:val="7F7F7F" w:themeColor="text1" w:themeTint="80"/>
        </w:rPr>
        <w:t xml:space="preserve"> </w:t>
      </w:r>
      <w:r w:rsidRPr="00BE5C26">
        <w:rPr>
          <w:rStyle w:val="Network-bodytext"/>
          <w:color w:val="7F7F7F" w:themeColor="text1" w:themeTint="80"/>
        </w:rPr>
        <w:t>finding</w:t>
      </w:r>
      <w:r w:rsidR="008A14DC" w:rsidRPr="00BE5C26">
        <w:rPr>
          <w:rStyle w:val="Network-bodytext"/>
          <w:color w:val="7F7F7F" w:themeColor="text1" w:themeTint="80"/>
        </w:rPr>
        <w:t xml:space="preserve">s are that </w:t>
      </w:r>
      <w:r w:rsidRPr="00BE5C26">
        <w:rPr>
          <w:rStyle w:val="Network-bodytext"/>
          <w:color w:val="7F7F7F" w:themeColor="text1" w:themeTint="80"/>
        </w:rPr>
        <w:t>the operation of the NERL has</w:t>
      </w:r>
      <w:r w:rsidR="008A14DC" w:rsidRPr="00BE5C26">
        <w:rPr>
          <w:rStyle w:val="Network-bodytext"/>
          <w:color w:val="7F7F7F" w:themeColor="text1" w:themeTint="80"/>
        </w:rPr>
        <w:t xml:space="preserve">: </w:t>
      </w:r>
      <w:r w:rsidRPr="00BE5C26">
        <w:rPr>
          <w:rStyle w:val="Network-bodytext"/>
          <w:color w:val="7F7F7F" w:themeColor="text1" w:themeTint="80"/>
        </w:rPr>
        <w:t xml:space="preserve"> furthered the interests of South Australian energy consumers</w:t>
      </w:r>
      <w:r w:rsidR="008A14DC" w:rsidRPr="00BE5C26">
        <w:rPr>
          <w:rStyle w:val="Network-bodytext"/>
          <w:color w:val="7F7F7F" w:themeColor="text1" w:themeTint="80"/>
        </w:rPr>
        <w:t>; resulted</w:t>
      </w:r>
      <w:r w:rsidRPr="00BE5C26">
        <w:rPr>
          <w:rStyle w:val="Network-bodytext"/>
          <w:color w:val="7F7F7F" w:themeColor="text1" w:themeTint="80"/>
        </w:rPr>
        <w:t xml:space="preserve"> in increased efficiencies</w:t>
      </w:r>
      <w:r w:rsidR="008A14DC" w:rsidRPr="00BE5C26">
        <w:rPr>
          <w:rStyle w:val="Network-bodytext"/>
          <w:color w:val="7F7F7F" w:themeColor="text1" w:themeTint="80"/>
        </w:rPr>
        <w:t>;</w:t>
      </w:r>
      <w:r w:rsidRPr="00BE5C26">
        <w:rPr>
          <w:rStyle w:val="Network-bodytext"/>
          <w:color w:val="7F7F7F" w:themeColor="text1" w:themeTint="80"/>
        </w:rPr>
        <w:t xml:space="preserve"> and has not adversely affected consumer protection in pursuit of national consistency</w:t>
      </w:r>
      <w:r w:rsidR="00652299" w:rsidRPr="00BE5C26">
        <w:rPr>
          <w:rStyle w:val="Network-bodytext"/>
          <w:color w:val="7F7F7F" w:themeColor="text1" w:themeTint="80"/>
        </w:rPr>
        <w:t>.</w:t>
      </w:r>
    </w:p>
    <w:p w:rsidR="00B7019C" w:rsidRPr="00FA1B34" w:rsidRDefault="00B7019C" w:rsidP="000939E0">
      <w:pPr>
        <w:pStyle w:val="Heading2"/>
        <w:jc w:val="both"/>
      </w:pPr>
      <w:r w:rsidRPr="00FA1B34">
        <w:t>Tasmania</w:t>
      </w:r>
    </w:p>
    <w:p w:rsidR="00B7019C" w:rsidRPr="00FA1B34" w:rsidRDefault="00B7019C" w:rsidP="002B375F">
      <w:pPr>
        <w:pStyle w:val="Heading2"/>
        <w:jc w:val="both"/>
      </w:pPr>
      <w:r w:rsidRPr="00FA1B34">
        <w:t>Office of the Tasmanian Economic Regulator (OTTER)</w:t>
      </w:r>
    </w:p>
    <w:p w:rsidR="008A14DC" w:rsidRDefault="00BD7FB4" w:rsidP="008A14DC">
      <w:pPr>
        <w:pStyle w:val="Heading3"/>
      </w:pPr>
      <w:r>
        <w:t>Aurora Energy’s Standing Offer Prices and Regulated Feed-in Tariff Rate Approved</w:t>
      </w:r>
    </w:p>
    <w:p w:rsidR="008A14DC" w:rsidRPr="00BE5C26" w:rsidRDefault="008A14DC" w:rsidP="00BE5C26">
      <w:pPr>
        <w:rPr>
          <w:rStyle w:val="Network-bodytext"/>
          <w:color w:val="7F7F7F" w:themeColor="text1" w:themeTint="80"/>
        </w:rPr>
      </w:pPr>
      <w:r w:rsidRPr="00BE5C26">
        <w:rPr>
          <w:rStyle w:val="Network-bodytext"/>
          <w:color w:val="7F7F7F" w:themeColor="text1" w:themeTint="80"/>
        </w:rPr>
        <w:t>On 22 June 2016 the OTTER</w:t>
      </w:r>
      <w:r w:rsidR="00BD7FB4" w:rsidRPr="00BE5C26">
        <w:rPr>
          <w:rStyle w:val="Network-bodytext"/>
          <w:color w:val="7F7F7F" w:themeColor="text1" w:themeTint="80"/>
        </w:rPr>
        <w:t xml:space="preserve"> announced that it </w:t>
      </w:r>
      <w:hyperlink r:id="rId42" w:history="1">
        <w:r w:rsidR="00BD7FB4" w:rsidRPr="00BE5C26">
          <w:rPr>
            <w:rStyle w:val="Network-bodytext"/>
            <w:b/>
            <w:color w:val="7F7F7F" w:themeColor="text1" w:themeTint="80"/>
          </w:rPr>
          <w:t>has approved</w:t>
        </w:r>
      </w:hyperlink>
      <w:r w:rsidR="00BD7FB4" w:rsidRPr="00BE5C26">
        <w:rPr>
          <w:rStyle w:val="Network-bodytext"/>
          <w:color w:val="7F7F7F" w:themeColor="text1" w:themeTint="80"/>
        </w:rPr>
        <w:t xml:space="preserve"> Aurora Energy’s Standing Offer Prices for 2016-17; its proposal to introduce time-of-use tariffs and the regulated feed-in rate for 2016-17.</w:t>
      </w:r>
      <w:r w:rsidRPr="00BE5C26">
        <w:rPr>
          <w:rStyle w:val="Network-bodytext"/>
          <w:color w:val="7F7F7F" w:themeColor="text1" w:themeTint="80"/>
        </w:rPr>
        <w:t xml:space="preserve">  </w:t>
      </w:r>
    </w:p>
    <w:p w:rsidR="004C3C1E" w:rsidRDefault="004C3C1E" w:rsidP="008A14DC">
      <w:pPr>
        <w:pStyle w:val="Heading3"/>
      </w:pPr>
      <w:r>
        <w:t>TasWater’s Proposed Price and Service Plan – Price and Service Plan</w:t>
      </w:r>
    </w:p>
    <w:p w:rsidR="004C3C1E" w:rsidRPr="00BE5C26" w:rsidRDefault="004C3C1E" w:rsidP="00BE5C26">
      <w:pPr>
        <w:rPr>
          <w:rStyle w:val="Network-bodytext"/>
          <w:color w:val="7F7F7F" w:themeColor="text1" w:themeTint="80"/>
        </w:rPr>
      </w:pPr>
      <w:r w:rsidRPr="00BE5C26">
        <w:rPr>
          <w:rStyle w:val="Network-bodytext"/>
          <w:color w:val="7F7F7F" w:themeColor="text1" w:themeTint="80"/>
        </w:rPr>
        <w:t xml:space="preserve">The </w:t>
      </w:r>
      <w:r w:rsidR="008A14DC" w:rsidRPr="00BE5C26">
        <w:rPr>
          <w:rStyle w:val="Network-bodytext"/>
          <w:color w:val="7F7F7F" w:themeColor="text1" w:themeTint="80"/>
        </w:rPr>
        <w:t>OTTER</w:t>
      </w:r>
      <w:r w:rsidRPr="00BE5C26">
        <w:rPr>
          <w:rStyle w:val="Network-bodytext"/>
          <w:color w:val="7F7F7F" w:themeColor="text1" w:themeTint="80"/>
        </w:rPr>
        <w:t xml:space="preserve"> released a </w:t>
      </w:r>
      <w:hyperlink r:id="rId43" w:anchor="The%20Economic%20Regulator%20has%20also%20p" w:history="1">
        <w:r w:rsidRPr="00BE5C26">
          <w:rPr>
            <w:rStyle w:val="Network-bodytext"/>
            <w:color w:val="7F7F7F" w:themeColor="text1" w:themeTint="80"/>
          </w:rPr>
          <w:t>Consultation Paper</w:t>
        </w:r>
      </w:hyperlink>
      <w:r w:rsidRPr="00BE5C26">
        <w:rPr>
          <w:rStyle w:val="Network-bodytext"/>
          <w:color w:val="7F7F7F" w:themeColor="text1" w:themeTint="80"/>
        </w:rPr>
        <w:t xml:space="preserve"> and is seeking comment on its </w:t>
      </w:r>
      <w:hyperlink r:id="rId44" w:anchor="The%20Economic%20Regulator%20has%20also%20p_0" w:history="1">
        <w:r w:rsidRPr="00BE5C26">
          <w:rPr>
            <w:rStyle w:val="Network-bodytext"/>
            <w:color w:val="7F7F7F" w:themeColor="text1" w:themeTint="80"/>
          </w:rPr>
          <w:t>draft Guideline</w:t>
        </w:r>
      </w:hyperlink>
      <w:r w:rsidRPr="00BE5C26">
        <w:rPr>
          <w:rStyle w:val="Network-bodytext"/>
          <w:color w:val="7F7F7F" w:themeColor="text1" w:themeTint="80"/>
        </w:rPr>
        <w:t xml:space="preserve"> with respect to TasWater’s proposed price and service plan for the 2018 water and sewerage price determination investigation.  </w:t>
      </w:r>
    </w:p>
    <w:p w:rsidR="00FA1B34" w:rsidRDefault="00FA1B34" w:rsidP="00FA1B34">
      <w:pPr>
        <w:pStyle w:val="Heading3"/>
      </w:pPr>
      <w:r>
        <w:lastRenderedPageBreak/>
        <w:t>2016 Regulated Feed-in Tariff Rate – Investigation and Determination</w:t>
      </w:r>
    </w:p>
    <w:p w:rsidR="00FA1B34" w:rsidRPr="00BE5C26" w:rsidRDefault="00FA1B34" w:rsidP="00BE5C26">
      <w:pPr>
        <w:rPr>
          <w:rStyle w:val="Network-bodytext"/>
          <w:rFonts w:eastAsia="Calibri"/>
          <w:color w:val="7F7F7F" w:themeColor="text1" w:themeTint="80"/>
        </w:rPr>
      </w:pPr>
      <w:r w:rsidRPr="00BE5C26">
        <w:rPr>
          <w:rStyle w:val="Network-bodytext"/>
          <w:color w:val="7F7F7F" w:themeColor="text1" w:themeTint="80"/>
        </w:rPr>
        <w:t>On 5 May 2016 the OTTER released its Final Report and Determination in relation to its investigation to determine the Feed-in-Tariff (FiT) payable to Tasmanian residential and small business customers.</w:t>
      </w:r>
      <w:r w:rsidR="00BE5C26">
        <w:rPr>
          <w:rStyle w:val="Network-bodytext"/>
          <w:color w:val="7F7F7F" w:themeColor="text1" w:themeTint="80"/>
        </w:rPr>
        <w:t xml:space="preserve"> </w:t>
      </w:r>
      <w:r w:rsidRPr="00BE5C26">
        <w:rPr>
          <w:rStyle w:val="Network-bodytext"/>
          <w:color w:val="7F7F7F" w:themeColor="text1" w:themeTint="80"/>
        </w:rPr>
        <w:t xml:space="preserve"> The FiT is payable for excess electricity generated by eligible renewable generation systems (mostly solar photo voltaic systems) which is exported to the Tasmanian electricity network.</w:t>
      </w:r>
      <w:r w:rsidR="00BE5C26">
        <w:rPr>
          <w:rStyle w:val="Network-bodytext"/>
          <w:color w:val="7F7F7F" w:themeColor="text1" w:themeTint="80"/>
        </w:rPr>
        <w:t xml:space="preserve"> </w:t>
      </w:r>
      <w:r w:rsidRPr="00BE5C26">
        <w:rPr>
          <w:rStyle w:val="Network-bodytext"/>
          <w:color w:val="7F7F7F" w:themeColor="text1" w:themeTint="80"/>
        </w:rPr>
        <w:t xml:space="preserve"> </w:t>
      </w:r>
      <w:hyperlink r:id="rId45" w:history="1">
        <w:r w:rsidRPr="00BE5C26">
          <w:rPr>
            <w:rStyle w:val="Network-bodytext"/>
            <w:b/>
            <w:color w:val="7F7F7F" w:themeColor="text1" w:themeTint="80"/>
          </w:rPr>
          <w:t>Read the Final Report and Determination.</w:t>
        </w:r>
      </w:hyperlink>
      <w:r w:rsidRPr="00BE5C26">
        <w:rPr>
          <w:rStyle w:val="Network-bodytext"/>
          <w:color w:val="7F7F7F" w:themeColor="text1" w:themeTint="80"/>
        </w:rPr>
        <w:t xml:space="preserve"> </w:t>
      </w:r>
    </w:p>
    <w:p w:rsidR="00FA1B34" w:rsidRDefault="00FA1B34" w:rsidP="00FA1B34">
      <w:pPr>
        <w:pStyle w:val="Heading3"/>
        <w:rPr>
          <w:rStyle w:val="Network-bodytext"/>
          <w:b w:val="0"/>
        </w:rPr>
      </w:pPr>
      <w:r>
        <w:t xml:space="preserve">Standing Offer Electricity Pricing Investigation – Final Report and Determination </w:t>
      </w:r>
    </w:p>
    <w:p w:rsidR="00FA1B34" w:rsidRPr="002F51EA" w:rsidRDefault="00FA1B34" w:rsidP="002F51EA">
      <w:pPr>
        <w:rPr>
          <w:rStyle w:val="Network-bodytext"/>
          <w:b/>
          <w:color w:val="7F7F7F" w:themeColor="text1" w:themeTint="80"/>
        </w:rPr>
      </w:pPr>
      <w:r w:rsidRPr="002F51EA">
        <w:rPr>
          <w:rStyle w:val="Network-bodytext"/>
          <w:color w:val="7F7F7F" w:themeColor="text1" w:themeTint="80"/>
        </w:rPr>
        <w:t>On 5 May 2016 the OTTER released its 2016 Standing Offer Pricing Investigation Final Report and Determination.</w:t>
      </w:r>
      <w:r w:rsidR="002F51EA">
        <w:rPr>
          <w:rStyle w:val="Network-bodytext"/>
          <w:color w:val="7F7F7F" w:themeColor="text1" w:themeTint="80"/>
        </w:rPr>
        <w:t xml:space="preserve"> </w:t>
      </w:r>
      <w:r w:rsidRPr="002F51EA">
        <w:rPr>
          <w:rStyle w:val="Network-bodytext"/>
          <w:color w:val="7F7F7F" w:themeColor="text1" w:themeTint="80"/>
        </w:rPr>
        <w:t xml:space="preserve"> The Final Report provides the background to the OTTER’s investigation into retail electricity prices for customers who are not on a market contract; that is, standing offer customers.</w:t>
      </w:r>
      <w:r w:rsidR="002F51EA">
        <w:rPr>
          <w:rStyle w:val="Network-bodytext"/>
          <w:color w:val="7F7F7F" w:themeColor="text1" w:themeTint="80"/>
        </w:rPr>
        <w:t xml:space="preserve"> </w:t>
      </w:r>
      <w:r w:rsidRPr="002F51EA">
        <w:rPr>
          <w:rStyle w:val="Network-bodytext"/>
          <w:color w:val="7F7F7F" w:themeColor="text1" w:themeTint="80"/>
        </w:rPr>
        <w:t xml:space="preserve"> </w:t>
      </w:r>
      <w:hyperlink r:id="rId46" w:history="1">
        <w:r w:rsidRPr="002F51EA">
          <w:rPr>
            <w:rStyle w:val="Network-bodytext"/>
            <w:b/>
            <w:color w:val="7F7F7F" w:themeColor="text1" w:themeTint="80"/>
          </w:rPr>
          <w:t>Read the Final Report and Determination.</w:t>
        </w:r>
      </w:hyperlink>
    </w:p>
    <w:p w:rsidR="00B7019C" w:rsidRPr="00FA1B34" w:rsidRDefault="00B7019C" w:rsidP="002B375F">
      <w:pPr>
        <w:pStyle w:val="Heading2"/>
        <w:jc w:val="both"/>
      </w:pPr>
      <w:r w:rsidRPr="00FA1B34">
        <w:t>Victoria</w:t>
      </w:r>
    </w:p>
    <w:p w:rsidR="00B7019C" w:rsidRPr="00FA1B34" w:rsidRDefault="00B7019C" w:rsidP="002B375F">
      <w:pPr>
        <w:pStyle w:val="Heading2"/>
        <w:jc w:val="both"/>
      </w:pPr>
      <w:r w:rsidRPr="00FA1B34">
        <w:t>Essential Services Commission (ESC)</w:t>
      </w:r>
    </w:p>
    <w:p w:rsidR="00D53F72" w:rsidRPr="002F51EA" w:rsidRDefault="00D53F72" w:rsidP="002F51EA">
      <w:pPr>
        <w:pStyle w:val="Heading3"/>
      </w:pPr>
      <w:r w:rsidRPr="002F51EA">
        <w:t>Goulburn-Murray Water’s 2016-2020 Pricing – Final Decision</w:t>
      </w:r>
    </w:p>
    <w:p w:rsidR="00D53F72" w:rsidRPr="002F51EA" w:rsidRDefault="00D53F72" w:rsidP="002F51EA">
      <w:pPr>
        <w:rPr>
          <w:rStyle w:val="Network-bodytext"/>
          <w:color w:val="7F7F7F" w:themeColor="text1" w:themeTint="80"/>
        </w:rPr>
      </w:pPr>
      <w:r w:rsidRPr="002F51EA">
        <w:rPr>
          <w:rStyle w:val="Network-bodytext"/>
          <w:color w:val="7F7F7F" w:themeColor="text1" w:themeTint="80"/>
        </w:rPr>
        <w:t xml:space="preserve">On 16 June 2016 the ESC released its </w:t>
      </w:r>
      <w:hyperlink r:id="rId47" w:history="1">
        <w:r w:rsidRPr="002F51EA">
          <w:rPr>
            <w:rStyle w:val="Network-bodytext"/>
            <w:b/>
            <w:color w:val="7F7F7F" w:themeColor="text1" w:themeTint="80"/>
          </w:rPr>
          <w:t>Final Decision</w:t>
        </w:r>
      </w:hyperlink>
      <w:r w:rsidRPr="002F51EA">
        <w:rPr>
          <w:rStyle w:val="Network-bodytext"/>
          <w:color w:val="7F7F7F" w:themeColor="text1" w:themeTint="80"/>
        </w:rPr>
        <w:t xml:space="preserve"> on Goulburn-Murray Water’s Price Submission.</w:t>
      </w:r>
    </w:p>
    <w:p w:rsidR="00B42488" w:rsidRPr="002F51EA" w:rsidRDefault="00B42488" w:rsidP="002F51EA">
      <w:pPr>
        <w:pStyle w:val="Heading3"/>
      </w:pPr>
      <w:r w:rsidRPr="002F51EA">
        <w:t>Review of Water Pricing Approach – Position Paper Released</w:t>
      </w:r>
    </w:p>
    <w:p w:rsidR="00B42488" w:rsidRPr="002F51EA" w:rsidRDefault="00B42488" w:rsidP="002F51EA">
      <w:pPr>
        <w:rPr>
          <w:rStyle w:val="Network-bodytext"/>
          <w:color w:val="7F7F7F" w:themeColor="text1" w:themeTint="80"/>
        </w:rPr>
      </w:pPr>
      <w:r w:rsidRPr="002F51EA">
        <w:rPr>
          <w:rStyle w:val="Network-bodytext"/>
          <w:color w:val="7F7F7F" w:themeColor="text1" w:themeTint="80"/>
        </w:rPr>
        <w:t xml:space="preserve">On 24 May 2016 the ESC released its </w:t>
      </w:r>
      <w:hyperlink r:id="rId48" w:history="1">
        <w:r w:rsidRPr="002F51EA">
          <w:rPr>
            <w:rStyle w:val="Network-bodytext"/>
            <w:b/>
            <w:color w:val="7F7F7F" w:themeColor="text1" w:themeTint="80"/>
          </w:rPr>
          <w:t>water pricing position paper</w:t>
        </w:r>
      </w:hyperlink>
      <w:r w:rsidRPr="002F51EA">
        <w:rPr>
          <w:rStyle w:val="Network-bodytext"/>
          <w:color w:val="7F7F7F" w:themeColor="text1" w:themeTint="80"/>
        </w:rPr>
        <w:t xml:space="preserve"> titled </w:t>
      </w:r>
      <w:r w:rsidRPr="002F51EA">
        <w:rPr>
          <w:rStyle w:val="Network-bodytext"/>
          <w:i/>
          <w:color w:val="7F7F7F" w:themeColor="text1" w:themeTint="80"/>
        </w:rPr>
        <w:t>A New Model for Pricing Services in Victoria’s Water Sector, Position Paper</w:t>
      </w:r>
      <w:r w:rsidRPr="002F51EA">
        <w:rPr>
          <w:rStyle w:val="Network-bodytext"/>
          <w:color w:val="7F7F7F" w:themeColor="text1" w:themeTint="80"/>
        </w:rPr>
        <w:t>.</w:t>
      </w:r>
    </w:p>
    <w:p w:rsidR="00FA1B34" w:rsidRPr="002F51EA" w:rsidRDefault="00FA1B34" w:rsidP="002F51EA">
      <w:pPr>
        <w:pStyle w:val="Heading3"/>
      </w:pPr>
      <w:r w:rsidRPr="002F51EA">
        <w:t>Former G</w:t>
      </w:r>
      <w:r w:rsidR="006123F5" w:rsidRPr="002F51EA">
        <w:t>o Energy Customers Transferred t</w:t>
      </w:r>
      <w:r w:rsidRPr="002F51EA">
        <w:t>o New Retailers</w:t>
      </w:r>
    </w:p>
    <w:p w:rsidR="00FA1B34" w:rsidRPr="002F51EA" w:rsidRDefault="00FA1B34" w:rsidP="002F51EA">
      <w:pPr>
        <w:rPr>
          <w:rStyle w:val="Network-bodytext"/>
          <w:rFonts w:eastAsia="Calibri"/>
          <w:b/>
          <w:color w:val="7F7F7F" w:themeColor="text1" w:themeTint="80"/>
        </w:rPr>
      </w:pPr>
      <w:r w:rsidRPr="002F51EA">
        <w:rPr>
          <w:rStyle w:val="Network-bodytext"/>
          <w:color w:val="7F7F7F" w:themeColor="text1" w:themeTint="80"/>
        </w:rPr>
        <w:t>On 2 April 2016 the ESC announced that electricity retailer</w:t>
      </w:r>
      <w:r w:rsidR="008C0EAB" w:rsidRPr="002F51EA">
        <w:rPr>
          <w:rStyle w:val="Network-bodytext"/>
          <w:color w:val="7F7F7F" w:themeColor="text1" w:themeTint="80"/>
        </w:rPr>
        <w:t>,</w:t>
      </w:r>
      <w:r w:rsidRPr="002F51EA">
        <w:rPr>
          <w:rStyle w:val="Network-bodytext"/>
          <w:color w:val="7F7F7F" w:themeColor="text1" w:themeTint="80"/>
        </w:rPr>
        <w:t xml:space="preserve"> Go Energy</w:t>
      </w:r>
      <w:r w:rsidR="008C0EAB" w:rsidRPr="002F51EA">
        <w:rPr>
          <w:rStyle w:val="Network-bodytext"/>
          <w:color w:val="7F7F7F" w:themeColor="text1" w:themeTint="80"/>
        </w:rPr>
        <w:t>,</w:t>
      </w:r>
      <w:r w:rsidRPr="002F51EA">
        <w:rPr>
          <w:rStyle w:val="Network-bodytext"/>
          <w:color w:val="7F7F7F" w:themeColor="text1" w:themeTint="80"/>
        </w:rPr>
        <w:t xml:space="preserve"> has been suspended as an electricity market participant for failing to comply with Australian Energy Market Operator requirements.</w:t>
      </w:r>
      <w:r w:rsidR="002F51EA">
        <w:rPr>
          <w:rStyle w:val="Network-bodytext"/>
          <w:color w:val="7F7F7F" w:themeColor="text1" w:themeTint="80"/>
        </w:rPr>
        <w:t xml:space="preserve"> </w:t>
      </w:r>
      <w:r w:rsidRPr="002F51EA">
        <w:rPr>
          <w:rStyle w:val="Network-bodytext"/>
          <w:color w:val="7F7F7F" w:themeColor="text1" w:themeTint="80"/>
        </w:rPr>
        <w:t xml:space="preserve"> It can no longer operate as a retailer in Victoria, however, all Go Energy customers will continue to be supplied with electricity under the ESC’s Retailer of Last Resort arrangements.</w:t>
      </w:r>
      <w:r w:rsidR="002F51EA">
        <w:rPr>
          <w:rStyle w:val="Network-bodytext"/>
          <w:color w:val="7F7F7F" w:themeColor="text1" w:themeTint="80"/>
        </w:rPr>
        <w:t xml:space="preserve"> </w:t>
      </w:r>
      <w:r w:rsidRPr="002F51EA">
        <w:rPr>
          <w:rStyle w:val="Network-bodytext"/>
          <w:color w:val="7F7F7F" w:themeColor="text1" w:themeTint="80"/>
        </w:rPr>
        <w:t xml:space="preserve"> </w:t>
      </w:r>
      <w:hyperlink r:id="rId49" w:history="1">
        <w:r w:rsidRPr="002F51EA">
          <w:rPr>
            <w:rStyle w:val="Network-bodytext"/>
            <w:b/>
            <w:color w:val="7F7F7F" w:themeColor="text1" w:themeTint="80"/>
          </w:rPr>
          <w:t>Read about retailer suspension.</w:t>
        </w:r>
      </w:hyperlink>
    </w:p>
    <w:p w:rsidR="00FA1B34" w:rsidRPr="002F51EA" w:rsidRDefault="00FA1B34" w:rsidP="002F51EA">
      <w:pPr>
        <w:pStyle w:val="Heading3"/>
        <w:rPr>
          <w:rFonts w:eastAsia="Calibri"/>
        </w:rPr>
      </w:pPr>
      <w:r w:rsidRPr="002F51EA">
        <w:lastRenderedPageBreak/>
        <w:t>Energy Hardship Inquiry Final Report</w:t>
      </w:r>
    </w:p>
    <w:p w:rsidR="000732A7" w:rsidRPr="002F51EA" w:rsidRDefault="00FA1B34" w:rsidP="002F51EA">
      <w:pPr>
        <w:rPr>
          <w:rStyle w:val="Network-bodytext"/>
          <w:rFonts w:eastAsia="Calibri"/>
          <w:color w:val="7F7F7F" w:themeColor="text1" w:themeTint="80"/>
        </w:rPr>
      </w:pPr>
      <w:r w:rsidRPr="002F51EA">
        <w:rPr>
          <w:rStyle w:val="Network-bodytext"/>
          <w:color w:val="7F7F7F" w:themeColor="text1" w:themeTint="80"/>
        </w:rPr>
        <w:t>In 22 March 2015, the ESC reported on its inquiry on the best-practice financial hardship programs of energy retailers.</w:t>
      </w:r>
      <w:r w:rsidR="002F51EA">
        <w:rPr>
          <w:rStyle w:val="Network-bodytext"/>
          <w:color w:val="7F7F7F" w:themeColor="text1" w:themeTint="80"/>
        </w:rPr>
        <w:t xml:space="preserve"> </w:t>
      </w:r>
      <w:r w:rsidRPr="002F51EA">
        <w:rPr>
          <w:rStyle w:val="Network-bodytext"/>
          <w:color w:val="7F7F7F" w:themeColor="text1" w:themeTint="80"/>
        </w:rPr>
        <w:t xml:space="preserve"> </w:t>
      </w:r>
      <w:hyperlink r:id="rId50" w:history="1">
        <w:r w:rsidRPr="002F51EA">
          <w:rPr>
            <w:rStyle w:val="Network-bodytext"/>
            <w:b/>
            <w:color w:val="7F7F7F" w:themeColor="text1" w:themeTint="80"/>
          </w:rPr>
          <w:t>View the report.</w:t>
        </w:r>
      </w:hyperlink>
    </w:p>
    <w:p w:rsidR="00B7019C" w:rsidRPr="00FA1B34" w:rsidRDefault="00B7019C" w:rsidP="002B375F">
      <w:pPr>
        <w:pStyle w:val="Heading2"/>
        <w:jc w:val="both"/>
      </w:pPr>
      <w:r w:rsidRPr="00FA1B34">
        <w:t>Western Australia</w:t>
      </w:r>
    </w:p>
    <w:p w:rsidR="00B7019C" w:rsidRPr="00FA1B34" w:rsidRDefault="00B7019C" w:rsidP="002B375F">
      <w:pPr>
        <w:pStyle w:val="Heading2"/>
        <w:jc w:val="both"/>
      </w:pPr>
      <w:r w:rsidRPr="00FA1B34">
        <w:t>Economic Regulation Authority (ERA)</w:t>
      </w:r>
    </w:p>
    <w:p w:rsidR="00EB37DA" w:rsidRPr="002F51EA" w:rsidRDefault="001B4B0C" w:rsidP="002F51EA">
      <w:pPr>
        <w:pStyle w:val="Heading3"/>
      </w:pPr>
      <w:bookmarkStart w:id="5" w:name="OLE_LINK1"/>
      <w:bookmarkStart w:id="6" w:name="OLE_LINK2"/>
      <w:r w:rsidRPr="002F51EA">
        <w:t>Appointment of the Chair of ERA</w:t>
      </w:r>
    </w:p>
    <w:p w:rsidR="00EB37DA" w:rsidRPr="002F51EA" w:rsidRDefault="00EB37DA" w:rsidP="002F51EA">
      <w:pPr>
        <w:rPr>
          <w:rStyle w:val="Network-bodytext"/>
          <w:color w:val="7F7F7F" w:themeColor="text1" w:themeTint="80"/>
        </w:rPr>
      </w:pPr>
      <w:r w:rsidRPr="002F51EA">
        <w:rPr>
          <w:rStyle w:val="Network-bodytext"/>
          <w:color w:val="7F7F7F" w:themeColor="text1" w:themeTint="80"/>
        </w:rPr>
        <w:t xml:space="preserve">On </w:t>
      </w:r>
      <w:r w:rsidR="001B4B0C" w:rsidRPr="002F51EA">
        <w:rPr>
          <w:rStyle w:val="Network-bodytext"/>
          <w:color w:val="7F7F7F" w:themeColor="text1" w:themeTint="80"/>
        </w:rPr>
        <w:t>22 June 2016 the Governor of Western Australia announced the appointment of Ms Nicky Cusworth as the Chair of the Economic Regulation Authority for a period of five years.</w:t>
      </w:r>
    </w:p>
    <w:p w:rsidR="00B7019C" w:rsidRPr="005E1503" w:rsidRDefault="00B7019C" w:rsidP="00EB37DA">
      <w:pPr>
        <w:pStyle w:val="Heading2"/>
        <w:jc w:val="both"/>
      </w:pPr>
      <w:r w:rsidRPr="005E1503">
        <w:t>New Zealand</w:t>
      </w:r>
    </w:p>
    <w:bookmarkEnd w:id="5"/>
    <w:bookmarkEnd w:id="6"/>
    <w:p w:rsidR="00B7019C" w:rsidRPr="00E15A37" w:rsidRDefault="00B7019C" w:rsidP="002B375F">
      <w:pPr>
        <w:pStyle w:val="Heading2"/>
        <w:jc w:val="both"/>
      </w:pPr>
      <w:r w:rsidRPr="00E15A37">
        <w:t>New Zealand Commerce Commission (CCNZ)</w:t>
      </w:r>
    </w:p>
    <w:p w:rsidR="00A373A7" w:rsidRPr="00E15A37" w:rsidRDefault="00FB00C6" w:rsidP="00A373A7">
      <w:pPr>
        <w:pStyle w:val="Heading3"/>
      </w:pPr>
      <w:r>
        <w:t xml:space="preserve">Electricity Distributors Subject to </w:t>
      </w:r>
      <w:r w:rsidR="005E1503">
        <w:t>Price-Quality Regulation – Profitability Report</w:t>
      </w:r>
    </w:p>
    <w:p w:rsidR="005E1503" w:rsidRPr="002F51EA" w:rsidRDefault="005E1503" w:rsidP="002F51EA">
      <w:pPr>
        <w:rPr>
          <w:rStyle w:val="Network-bodytext"/>
          <w:color w:val="7F7F7F" w:themeColor="text1" w:themeTint="80"/>
        </w:rPr>
      </w:pPr>
      <w:r w:rsidRPr="002F51EA">
        <w:rPr>
          <w:rStyle w:val="Network-bodytext"/>
          <w:color w:val="7F7F7F" w:themeColor="text1" w:themeTint="80"/>
        </w:rPr>
        <w:t xml:space="preserve">On 8 June 2016 the CCNZ released a </w:t>
      </w:r>
      <w:hyperlink r:id="rId51" w:history="1">
        <w:r w:rsidRPr="002F51EA">
          <w:rPr>
            <w:rStyle w:val="Network-bodytext"/>
            <w:b/>
            <w:color w:val="7F7F7F" w:themeColor="text1" w:themeTint="80"/>
          </w:rPr>
          <w:t>new report</w:t>
        </w:r>
      </w:hyperlink>
      <w:r w:rsidRPr="002F51EA">
        <w:rPr>
          <w:rStyle w:val="Network-bodytext"/>
          <w:color w:val="7F7F7F" w:themeColor="text1" w:themeTint="80"/>
        </w:rPr>
        <w:t xml:space="preserve"> detailing the profitability of the 16 electricity distributors subject to price-quality regulation in New Zealand between 2012 and 2015.  The CCNZ claims that ‘the analysis shows the revenue limits were effective at limiting excessive profits, while investment in the electricity distribution network also increased’. </w:t>
      </w:r>
    </w:p>
    <w:p w:rsidR="000F4B01" w:rsidRPr="00E15A37" w:rsidRDefault="000F4B01" w:rsidP="000F4B01">
      <w:pPr>
        <w:pStyle w:val="Heading3"/>
      </w:pPr>
      <w:r>
        <w:t>Telecommunications Market Monitoring R</w:t>
      </w:r>
      <w:r w:rsidRPr="00E15A37">
        <w:t>eport for 2014-15</w:t>
      </w:r>
      <w:r>
        <w:t xml:space="preserve"> Released</w:t>
      </w:r>
    </w:p>
    <w:p w:rsidR="000F4B01" w:rsidRPr="002F51EA" w:rsidRDefault="000F4B01" w:rsidP="000F4B01">
      <w:pPr>
        <w:pStyle w:val="Heading2"/>
        <w:spacing w:line="240" w:lineRule="auto"/>
        <w:jc w:val="both"/>
        <w:rPr>
          <w:rStyle w:val="Network-bodytext"/>
          <w:b w:val="0"/>
          <w:color w:val="7F7F7F" w:themeColor="text1" w:themeTint="80"/>
        </w:rPr>
      </w:pPr>
      <w:r w:rsidRPr="002F51EA">
        <w:rPr>
          <w:rStyle w:val="Network-bodytext"/>
          <w:b w:val="0"/>
          <w:color w:val="7F7F7F" w:themeColor="text1" w:themeTint="80"/>
        </w:rPr>
        <w:t>See ‘Notes on Interesting Decisions’.</w:t>
      </w:r>
    </w:p>
    <w:p w:rsidR="00FB00C6" w:rsidRDefault="00FB00C6" w:rsidP="00FB00C6">
      <w:pPr>
        <w:pStyle w:val="Heading3"/>
      </w:pPr>
      <w:r>
        <w:t>Deregulating Selected Schedule 1 Telecommunications Services – Submissions Sought</w:t>
      </w:r>
    </w:p>
    <w:p w:rsidR="00A373A7" w:rsidRPr="002F51EA" w:rsidRDefault="00FB00C6" w:rsidP="002F51EA">
      <w:pPr>
        <w:rPr>
          <w:rStyle w:val="Network-bodytext"/>
          <w:b/>
          <w:color w:val="7F7F7F" w:themeColor="text1" w:themeTint="80"/>
        </w:rPr>
      </w:pPr>
      <w:r w:rsidRPr="002F51EA">
        <w:rPr>
          <w:rStyle w:val="Network-bodytext"/>
          <w:color w:val="7F7F7F" w:themeColor="text1" w:themeTint="80"/>
        </w:rPr>
        <w:t>On 29 April 2016 the CCNZ released the preliminary findings of its five-yearly review investigating deregulating selected services in Schedule 1 of the Telecommunications Act 2001 (the Act).</w:t>
      </w:r>
      <w:r w:rsidR="002F51EA" w:rsidRPr="002F51EA">
        <w:rPr>
          <w:rStyle w:val="Network-bodytext"/>
          <w:color w:val="7F7F7F" w:themeColor="text1" w:themeTint="80"/>
        </w:rPr>
        <w:t xml:space="preserve"> </w:t>
      </w:r>
      <w:r w:rsidRPr="002F51EA">
        <w:rPr>
          <w:rStyle w:val="Network-bodytext"/>
          <w:color w:val="7F7F7F" w:themeColor="text1" w:themeTint="80"/>
        </w:rPr>
        <w:t xml:space="preserve"> </w:t>
      </w:r>
      <w:hyperlink r:id="rId52" w:history="1">
        <w:r w:rsidRPr="002F51EA">
          <w:rPr>
            <w:rStyle w:val="Network-bodytext"/>
            <w:b/>
            <w:color w:val="7F7F7F" w:themeColor="text1" w:themeTint="80"/>
          </w:rPr>
          <w:t>Read the draft decision.</w:t>
        </w:r>
      </w:hyperlink>
    </w:p>
    <w:p w:rsidR="00FB00C6" w:rsidRPr="00E15A37" w:rsidRDefault="00FB00C6" w:rsidP="00FB00C6">
      <w:pPr>
        <w:pStyle w:val="Heading3"/>
      </w:pPr>
      <w:r w:rsidRPr="00E15A37">
        <w:lastRenderedPageBreak/>
        <w:t>U</w:t>
      </w:r>
      <w:r w:rsidR="000F4B01">
        <w:t>nbundled Bitstream Access Non-Price Terms – Consultation Document</w:t>
      </w:r>
    </w:p>
    <w:p w:rsidR="00FB00C6" w:rsidRPr="007C57D8" w:rsidRDefault="000F4B01" w:rsidP="00FB00C6">
      <w:pPr>
        <w:pStyle w:val="Heading2"/>
        <w:spacing w:line="240" w:lineRule="auto"/>
        <w:jc w:val="both"/>
        <w:rPr>
          <w:rStyle w:val="Network-bodytext"/>
          <w:b w:val="0"/>
          <w:color w:val="7F7F7F" w:themeColor="text1" w:themeTint="80"/>
        </w:rPr>
      </w:pPr>
      <w:r w:rsidRPr="007C57D8">
        <w:rPr>
          <w:rStyle w:val="Network-bodytext"/>
          <w:b w:val="0"/>
          <w:color w:val="7F7F7F" w:themeColor="text1" w:themeTint="80"/>
        </w:rPr>
        <w:t xml:space="preserve">On 7 April 2016 the CCNZ released a </w:t>
      </w:r>
      <w:hyperlink r:id="rId53" w:history="1">
        <w:r w:rsidRPr="007C57D8">
          <w:rPr>
            <w:rStyle w:val="Network-bodytext"/>
            <w:color w:val="7F7F7F" w:themeColor="text1" w:themeTint="80"/>
          </w:rPr>
          <w:t>consultation document</w:t>
        </w:r>
      </w:hyperlink>
      <w:r w:rsidRPr="007C57D8">
        <w:rPr>
          <w:rStyle w:val="Network-bodytext"/>
          <w:b w:val="0"/>
          <w:color w:val="7F7F7F" w:themeColor="text1" w:themeTint="80"/>
        </w:rPr>
        <w:t xml:space="preserve"> on the non-price terms of the Unbundled Bitstream Access (UBA) Standard Terms Determination (STD). </w:t>
      </w:r>
      <w:r w:rsidR="007C57D8">
        <w:rPr>
          <w:rStyle w:val="Network-bodytext"/>
          <w:b w:val="0"/>
          <w:color w:val="7F7F7F" w:themeColor="text1" w:themeTint="80"/>
        </w:rPr>
        <w:t xml:space="preserve"> </w:t>
      </w:r>
      <w:r w:rsidRPr="007C57D8">
        <w:rPr>
          <w:rStyle w:val="Network-bodytext"/>
          <w:b w:val="0"/>
          <w:color w:val="7F7F7F" w:themeColor="text1" w:themeTint="80"/>
        </w:rPr>
        <w:t>The paper seeks views on the key issues the CCNZ intends to address in the review.</w:t>
      </w:r>
      <w:r w:rsidR="00FB00C6" w:rsidRPr="007C57D8">
        <w:rPr>
          <w:rStyle w:val="Network-bodytext"/>
          <w:b w:val="0"/>
          <w:color w:val="7F7F7F" w:themeColor="text1" w:themeTint="80"/>
        </w:rPr>
        <w:t xml:space="preserve"> </w:t>
      </w:r>
    </w:p>
    <w:p w:rsidR="000F4B01" w:rsidRPr="00E15A37" w:rsidRDefault="000F4B01" w:rsidP="000F4B01">
      <w:pPr>
        <w:pStyle w:val="Heading3"/>
      </w:pPr>
      <w:r>
        <w:t>Mobile Telecommunications Business Market – Competition Report</w:t>
      </w:r>
    </w:p>
    <w:p w:rsidR="000F4B01" w:rsidRPr="007C57D8" w:rsidRDefault="00021DCD" w:rsidP="007C57D8">
      <w:pPr>
        <w:rPr>
          <w:rStyle w:val="Network-bodytext"/>
          <w:color w:val="7F7F7F" w:themeColor="text1" w:themeTint="80"/>
        </w:rPr>
      </w:pPr>
      <w:r w:rsidRPr="007C57D8">
        <w:rPr>
          <w:rStyle w:val="Network-bodytext"/>
          <w:color w:val="7F7F7F" w:themeColor="text1" w:themeTint="80"/>
        </w:rPr>
        <w:t xml:space="preserve">On 31 March 2016 the CCNZ released </w:t>
      </w:r>
      <w:hyperlink r:id="rId54" w:history="1">
        <w:r w:rsidRPr="007C57D8">
          <w:rPr>
            <w:rStyle w:val="Network-bodytext"/>
            <w:b/>
            <w:color w:val="7F7F7F" w:themeColor="text1" w:themeTint="80"/>
          </w:rPr>
          <w:t>independent research</w:t>
        </w:r>
      </w:hyperlink>
      <w:r w:rsidRPr="007C57D8">
        <w:rPr>
          <w:rStyle w:val="Network-bodytext"/>
          <w:color w:val="7F7F7F" w:themeColor="text1" w:themeTint="80"/>
        </w:rPr>
        <w:t xml:space="preserve">  aimed at providing greater insight into the factors affecting competition in the high-value business segment of the mobile market.</w:t>
      </w:r>
    </w:p>
    <w:p w:rsidR="000F4B01" w:rsidRPr="000F4B01" w:rsidRDefault="000F4B01" w:rsidP="000F4B01"/>
    <w:p w:rsidR="00FB00C6" w:rsidRDefault="00FB00C6" w:rsidP="00C16911">
      <w:pPr>
        <w:rPr>
          <w:i/>
        </w:rPr>
      </w:pPr>
    </w:p>
    <w:p w:rsidR="00FB00C6" w:rsidRPr="003F65D3" w:rsidRDefault="00FB00C6" w:rsidP="00C16911">
      <w:pPr>
        <w:rPr>
          <w:i/>
        </w:rPr>
        <w:sectPr w:rsidR="00FB00C6" w:rsidRPr="003F65D3" w:rsidSect="003E7B10">
          <w:endnotePr>
            <w:numFmt w:val="decimal"/>
          </w:endnotePr>
          <w:pgSz w:w="11906" w:h="16838" w:code="9"/>
          <w:pgMar w:top="1985" w:right="851" w:bottom="1134" w:left="851" w:header="567" w:footer="567" w:gutter="0"/>
          <w:cols w:num="2" w:space="708" w:equalWidth="0">
            <w:col w:w="4748" w:space="708"/>
            <w:col w:w="4748"/>
          </w:cols>
          <w:docGrid w:linePitch="360"/>
        </w:sectPr>
      </w:pPr>
    </w:p>
    <w:p w:rsidR="00CE58F2" w:rsidRPr="002D25D8" w:rsidRDefault="009A44DA" w:rsidP="00CB0302">
      <w:pPr>
        <w:rPr>
          <w:rStyle w:val="Heading1Char"/>
        </w:rPr>
      </w:pPr>
      <w:r w:rsidRPr="002D25D8">
        <w:rPr>
          <w:rStyle w:val="Heading1Char"/>
        </w:rPr>
        <w:lastRenderedPageBreak/>
        <w:t>Notes on Interesting Decisions</w:t>
      </w:r>
    </w:p>
    <w:p w:rsidR="00BE195F" w:rsidRPr="00CA3DD6" w:rsidRDefault="00BE195F" w:rsidP="00CA3DD6">
      <w:pPr>
        <w:pStyle w:val="Heading3"/>
        <w:rPr>
          <w:rFonts w:eastAsia="Calibri"/>
        </w:rPr>
      </w:pPr>
      <w:r w:rsidRPr="00CA3DD6">
        <w:rPr>
          <w:rFonts w:eastAsia="Calibri"/>
        </w:rPr>
        <w:t>ARTC’s Compliance with the Hunter Valley Access Undertaking for 2013</w:t>
      </w:r>
    </w:p>
    <w:p w:rsidR="0099475D" w:rsidRPr="00CA3DD6" w:rsidRDefault="00BE195F" w:rsidP="00692CFF">
      <w:pPr>
        <w:spacing w:line="240" w:lineRule="auto"/>
        <w:rPr>
          <w:rStyle w:val="Network-bodytext"/>
          <w:color w:val="7F7F7F" w:themeColor="text1" w:themeTint="80"/>
        </w:rPr>
      </w:pPr>
      <w:r w:rsidRPr="00CA3DD6">
        <w:rPr>
          <w:rStyle w:val="Network-bodytext"/>
          <w:color w:val="7F7F7F" w:themeColor="text1" w:themeTint="80"/>
        </w:rPr>
        <w:t xml:space="preserve">On 6 June 2016 the Australian Competition and Consumer Commission (ACCC) published its </w:t>
      </w:r>
      <w:hyperlink r:id="rId55" w:history="1">
        <w:r w:rsidRPr="00CA3DD6">
          <w:rPr>
            <w:rStyle w:val="Network-bodytext"/>
            <w:color w:val="7F7F7F" w:themeColor="text1" w:themeTint="80"/>
          </w:rPr>
          <w:t>final determination</w:t>
        </w:r>
      </w:hyperlink>
      <w:r w:rsidRPr="00CA3DD6">
        <w:rPr>
          <w:rStyle w:val="Network-bodytext"/>
          <w:color w:val="7F7F7F" w:themeColor="text1" w:themeTint="80"/>
        </w:rPr>
        <w:t xml:space="preserve"> on ARTC's annual compliance with the Hunter Valley Access Undertaking (HVAU) for 2013.</w:t>
      </w:r>
    </w:p>
    <w:p w:rsidR="0099475D" w:rsidRPr="00CA3DD6" w:rsidRDefault="0099475D" w:rsidP="00692CFF">
      <w:pPr>
        <w:spacing w:line="240" w:lineRule="auto"/>
        <w:rPr>
          <w:rStyle w:val="Network-bodytext"/>
          <w:color w:val="7F7F7F" w:themeColor="text1" w:themeTint="80"/>
        </w:rPr>
      </w:pPr>
      <w:r w:rsidRPr="00CA3DD6">
        <w:rPr>
          <w:rStyle w:val="Network-bodytext"/>
          <w:color w:val="7F7F7F" w:themeColor="text1" w:themeTint="80"/>
        </w:rPr>
        <w:t xml:space="preserve">The HVAU financial model allows ARTC to recover revenue equivalent to its efficient costs in each calendar year for the ‘Constrained Network’ (currently comprising rail segments in Pricing Zone 1 and 2), while allowing ARTC to capitalise revenue shortfalls for Pricing Zone 3 into its regulatory value of assets for recovery in future years.  ARTC is required </w:t>
      </w:r>
      <w:r w:rsidR="00D53F72" w:rsidRPr="00CA3DD6">
        <w:rPr>
          <w:rStyle w:val="Network-bodytext"/>
          <w:color w:val="7F7F7F" w:themeColor="text1" w:themeTint="80"/>
        </w:rPr>
        <w:t xml:space="preserve">annually </w:t>
      </w:r>
      <w:r w:rsidRPr="00CA3DD6">
        <w:rPr>
          <w:rStyle w:val="Network-bodytext"/>
          <w:color w:val="7F7F7F" w:themeColor="text1" w:themeTint="80"/>
        </w:rPr>
        <w:t xml:space="preserve">to submit documentation to the ACCC for an assessment of its compliance with the HVAU financial model. </w:t>
      </w:r>
      <w:r w:rsidR="00CA0F2E">
        <w:rPr>
          <w:rStyle w:val="Network-bodytext"/>
          <w:color w:val="7F7F7F" w:themeColor="text1" w:themeTint="80"/>
        </w:rPr>
        <w:t xml:space="preserve"> </w:t>
      </w:r>
      <w:r w:rsidRPr="00CA3DD6">
        <w:rPr>
          <w:rStyle w:val="Network-bodytext"/>
          <w:color w:val="7F7F7F" w:themeColor="text1" w:themeTint="80"/>
        </w:rPr>
        <w:t>ARTC submitted documentation for the 2013 calendar year to the ACCC in May 2014 and submitted revised documentation on 1 April 2016 following the ACCC’s Draft Determination (released in late 2015).</w:t>
      </w:r>
      <w:r w:rsidR="00CA0F2E">
        <w:rPr>
          <w:rStyle w:val="Network-bodytext"/>
          <w:color w:val="7F7F7F" w:themeColor="text1" w:themeTint="80"/>
        </w:rPr>
        <w:t xml:space="preserve"> </w:t>
      </w:r>
      <w:r w:rsidRPr="00CA3DD6">
        <w:rPr>
          <w:rStyle w:val="Network-bodytext"/>
          <w:color w:val="7F7F7F" w:themeColor="text1" w:themeTint="80"/>
        </w:rPr>
        <w:t xml:space="preserve"> In its revised documentation, ARTC submitted that its total costs for the Constrained Network to be recovered from ‘Constrained Coal Customers’ were $297.6 million and that it had a $19.6 million shortfall in the revenue it received for the Constrained Network for the period. </w:t>
      </w:r>
      <w:r w:rsidR="00CA3DD6">
        <w:rPr>
          <w:rStyle w:val="Network-bodytext"/>
          <w:color w:val="7F7F7F" w:themeColor="text1" w:themeTint="80"/>
        </w:rPr>
        <w:t xml:space="preserve"> </w:t>
      </w:r>
      <w:r w:rsidRPr="00CA3DD6">
        <w:rPr>
          <w:rStyle w:val="Network-bodytext"/>
          <w:color w:val="7F7F7F" w:themeColor="text1" w:themeTint="80"/>
        </w:rPr>
        <w:t>ARTC proposed to recover this shortfall from ‘Constrained Coal Customers’ (currently comprising Access Holders whose mines are in Pricing Zones 1 and 2).  ARTC also submitted that it had a revenue shortfall for Pricing Zone 3 and proposed to capitalise cumulative losses of $8.7 million into its Pricing Zone 3 regulatory asset base for future recovery.</w:t>
      </w:r>
    </w:p>
    <w:p w:rsidR="0099475D" w:rsidRPr="00CA3DD6" w:rsidRDefault="0099475D" w:rsidP="00692CFF">
      <w:pPr>
        <w:spacing w:line="240" w:lineRule="auto"/>
        <w:rPr>
          <w:rStyle w:val="Network-bodytext"/>
          <w:color w:val="7F7F7F" w:themeColor="text1" w:themeTint="80"/>
        </w:rPr>
      </w:pPr>
      <w:r w:rsidRPr="00CA3DD6">
        <w:rPr>
          <w:rStyle w:val="Network-bodytext"/>
          <w:color w:val="7F7F7F" w:themeColor="text1" w:themeTint="80"/>
        </w:rPr>
        <w:t>The ACCC’s assessment has involved four stages of public consultation with stakeholders on three key issues:</w:t>
      </w:r>
      <w:r w:rsidR="004964AC" w:rsidRPr="00CA3DD6">
        <w:rPr>
          <w:rStyle w:val="Network-bodytext"/>
          <w:color w:val="7F7F7F" w:themeColor="text1" w:themeTint="80"/>
        </w:rPr>
        <w:t xml:space="preserve"> </w:t>
      </w:r>
      <w:r w:rsidRPr="00CA3DD6">
        <w:rPr>
          <w:rStyle w:val="Network-bodytext"/>
          <w:color w:val="7F7F7F" w:themeColor="text1" w:themeTint="80"/>
        </w:rPr>
        <w:t>prudency of capital expenditure; efficiency of operating expenditure; and reconciliation of revenues.</w:t>
      </w:r>
      <w:r w:rsidR="004964AC" w:rsidRPr="00CA3DD6">
        <w:rPr>
          <w:rStyle w:val="Network-bodytext"/>
          <w:color w:val="7F7F7F" w:themeColor="text1" w:themeTint="80"/>
        </w:rPr>
        <w:t xml:space="preserve"> </w:t>
      </w:r>
      <w:r w:rsidRPr="00CA3DD6">
        <w:rPr>
          <w:rStyle w:val="Network-bodytext"/>
          <w:color w:val="7F7F7F" w:themeColor="text1" w:themeTint="80"/>
        </w:rPr>
        <w:t xml:space="preserve"> ARTC and Pricing Zone 3 Access Holders did not agree with the ACCC’s position, arguing that ARTC’s application was the correct interpretation and approach.  In contrast, a number of stakeholders in Pricing Zones 1 and 2 supported the ACCC’s position, while some of those stakeholders were concerned that it excluded some further costs for Pricing Zone 1 that Pricing Zone 3 Access Holders should contribute to. </w:t>
      </w:r>
    </w:p>
    <w:p w:rsidR="0099475D" w:rsidRPr="00CA3DD6" w:rsidRDefault="0099475D" w:rsidP="00692CFF">
      <w:pPr>
        <w:spacing w:line="240" w:lineRule="auto"/>
        <w:rPr>
          <w:rStyle w:val="Network-bodytext"/>
          <w:color w:val="7F7F7F" w:themeColor="text1" w:themeTint="80"/>
        </w:rPr>
      </w:pPr>
      <w:r w:rsidRPr="00CA3DD6">
        <w:rPr>
          <w:rStyle w:val="Network-bodytext"/>
          <w:color w:val="7F7F7F" w:themeColor="text1" w:themeTint="80"/>
        </w:rPr>
        <w:t>In the final determination, the ACCC maintain</w:t>
      </w:r>
      <w:r w:rsidR="004964AC" w:rsidRPr="00CA3DD6">
        <w:rPr>
          <w:rStyle w:val="Network-bodytext"/>
          <w:color w:val="7F7F7F" w:themeColor="text1" w:themeTint="80"/>
        </w:rPr>
        <w:t>ed</w:t>
      </w:r>
      <w:r w:rsidRPr="00CA3DD6">
        <w:rPr>
          <w:rStyle w:val="Network-bodytext"/>
          <w:color w:val="7F7F7F" w:themeColor="text1" w:themeTint="80"/>
        </w:rPr>
        <w:t xml:space="preserve"> that its views as presented in the Draft Determination on the interpretation of the ceiling limit in the HVAU are correct and appropriate. </w:t>
      </w:r>
      <w:r w:rsidR="00CA3DD6">
        <w:rPr>
          <w:rStyle w:val="Network-bodytext"/>
          <w:color w:val="7F7F7F" w:themeColor="text1" w:themeTint="80"/>
        </w:rPr>
        <w:t xml:space="preserve"> </w:t>
      </w:r>
      <w:r w:rsidRPr="00CA3DD6">
        <w:rPr>
          <w:rStyle w:val="Network-bodytext"/>
          <w:color w:val="7F7F7F" w:themeColor="text1" w:themeTint="80"/>
        </w:rPr>
        <w:t xml:space="preserve">In particular, the ACCC’s interpretation is consistent with the objectives of the HVAU </w:t>
      </w:r>
      <w:r w:rsidR="004964AC" w:rsidRPr="00CA3DD6">
        <w:rPr>
          <w:rStyle w:val="Network-bodytext"/>
          <w:color w:val="7F7F7F" w:themeColor="text1" w:themeTint="80"/>
        </w:rPr>
        <w:t xml:space="preserve">– </w:t>
      </w:r>
      <w:r w:rsidRPr="00CA3DD6">
        <w:rPr>
          <w:rStyle w:val="Network-bodytext"/>
          <w:color w:val="7F7F7F" w:themeColor="text1" w:themeTint="80"/>
        </w:rPr>
        <w:t xml:space="preserve">removing the scope for cross subsidies between coal producers will result in more efficient pricing signals and investment across the Hunter </w:t>
      </w:r>
      <w:r w:rsidRPr="00CA3DD6">
        <w:rPr>
          <w:rStyle w:val="Network-bodytext"/>
          <w:color w:val="7F7F7F" w:themeColor="text1" w:themeTint="80"/>
        </w:rPr>
        <w:lastRenderedPageBreak/>
        <w:t xml:space="preserve">Valley Coal Network. </w:t>
      </w:r>
      <w:r w:rsidR="00CA3DD6">
        <w:rPr>
          <w:rStyle w:val="Network-bodytext"/>
          <w:color w:val="7F7F7F" w:themeColor="text1" w:themeTint="80"/>
        </w:rPr>
        <w:t xml:space="preserve"> </w:t>
      </w:r>
      <w:r w:rsidRPr="00CA3DD6">
        <w:rPr>
          <w:rStyle w:val="Network-bodytext"/>
          <w:color w:val="7F7F7F" w:themeColor="text1" w:themeTint="80"/>
        </w:rPr>
        <w:t xml:space="preserve">Also, under the ACCC’s interpretation, ARTC remains able to recover its full economic costs, with the timing of the recovery of some costs related to Pricing Zone 3 Access Holders being deferred to </w:t>
      </w:r>
      <w:r w:rsidR="004964AC" w:rsidRPr="00CA3DD6">
        <w:rPr>
          <w:rStyle w:val="Network-bodytext"/>
          <w:color w:val="7F7F7F" w:themeColor="text1" w:themeTint="80"/>
        </w:rPr>
        <w:t xml:space="preserve">the </w:t>
      </w:r>
      <w:r w:rsidRPr="00CA3DD6">
        <w:rPr>
          <w:rStyle w:val="Network-bodytext"/>
          <w:color w:val="7F7F7F" w:themeColor="text1" w:themeTint="80"/>
        </w:rPr>
        <w:t xml:space="preserve">future.  ARTC is compensated for this through its loss capitalisation model. </w:t>
      </w:r>
      <w:r w:rsidR="00CA3DD6">
        <w:rPr>
          <w:rStyle w:val="Network-bodytext"/>
          <w:color w:val="7F7F7F" w:themeColor="text1" w:themeTint="80"/>
        </w:rPr>
        <w:t xml:space="preserve"> </w:t>
      </w:r>
      <w:r w:rsidRPr="00CA3DD6">
        <w:rPr>
          <w:rStyle w:val="Network-bodytext"/>
          <w:color w:val="7F7F7F" w:themeColor="text1" w:themeTint="80"/>
        </w:rPr>
        <w:t xml:space="preserve">While maintaining their overall opposition to the ACCC’s interpretation, ARTC and Pricing Zone 3 Access Holders proposed alternative methodologies to WIK’s (the ACCC’s consultant) approach to estimating the incremental costs of Pricing Zone 3 Access Holders’ use of Pricing Zone 1. </w:t>
      </w:r>
      <w:r w:rsidR="00CA3DD6">
        <w:rPr>
          <w:rStyle w:val="Network-bodytext"/>
          <w:color w:val="7F7F7F" w:themeColor="text1" w:themeTint="80"/>
        </w:rPr>
        <w:t xml:space="preserve"> </w:t>
      </w:r>
      <w:r w:rsidRPr="00CA3DD6">
        <w:rPr>
          <w:rStyle w:val="Network-bodytext"/>
          <w:color w:val="7F7F7F" w:themeColor="text1" w:themeTint="80"/>
        </w:rPr>
        <w:t xml:space="preserve">The ACCC conducted further analysis based on the alternative methodologies proposed by stakeholders in their submissions to the Draft Determination. </w:t>
      </w:r>
      <w:r w:rsidR="00CA3DD6">
        <w:rPr>
          <w:rStyle w:val="Network-bodytext"/>
          <w:color w:val="7F7F7F" w:themeColor="text1" w:themeTint="80"/>
        </w:rPr>
        <w:t xml:space="preserve"> </w:t>
      </w:r>
      <w:r w:rsidRPr="00CA3DD6">
        <w:rPr>
          <w:rStyle w:val="Network-bodytext"/>
          <w:color w:val="7F7F7F" w:themeColor="text1" w:themeTint="80"/>
        </w:rPr>
        <w:t xml:space="preserve">The ACCC’s findings through this additional analysis did not support the results claimed by ARTC and Pricing Zone 3 Access Holders in their submissions. </w:t>
      </w:r>
    </w:p>
    <w:p w:rsidR="00BE195F" w:rsidRPr="00CA3DD6" w:rsidRDefault="0099475D" w:rsidP="00692CFF">
      <w:pPr>
        <w:spacing w:line="240" w:lineRule="auto"/>
        <w:rPr>
          <w:rStyle w:val="Network-bodytext"/>
          <w:color w:val="7F7F7F" w:themeColor="text1" w:themeTint="80"/>
        </w:rPr>
      </w:pPr>
      <w:r w:rsidRPr="00CA3DD6">
        <w:rPr>
          <w:rStyle w:val="Network-bodytext"/>
          <w:color w:val="7F7F7F" w:themeColor="text1" w:themeTint="80"/>
        </w:rPr>
        <w:t>The ACCC considers that WIK’s approach to the calculation of incremental cost is thorough and robust and is supported by economic theory.</w:t>
      </w:r>
      <w:r w:rsidR="00CA3DD6">
        <w:rPr>
          <w:rStyle w:val="Network-bodytext"/>
          <w:color w:val="7F7F7F" w:themeColor="text1" w:themeTint="80"/>
        </w:rPr>
        <w:t xml:space="preserve"> </w:t>
      </w:r>
      <w:r w:rsidRPr="00CA3DD6">
        <w:rPr>
          <w:rStyle w:val="Network-bodytext"/>
          <w:color w:val="7F7F7F" w:themeColor="text1" w:themeTint="80"/>
        </w:rPr>
        <w:t xml:space="preserve"> The WIK assessment included close consultation with a rail engineering expert.</w:t>
      </w:r>
      <w:r w:rsidR="00CA3DD6">
        <w:rPr>
          <w:rStyle w:val="Network-bodytext"/>
          <w:color w:val="7F7F7F" w:themeColor="text1" w:themeTint="80"/>
        </w:rPr>
        <w:t xml:space="preserve"> </w:t>
      </w:r>
      <w:r w:rsidRPr="00CA3DD6">
        <w:rPr>
          <w:rStyle w:val="Network-bodytext"/>
          <w:color w:val="7F7F7F" w:themeColor="text1" w:themeTint="80"/>
        </w:rPr>
        <w:t xml:space="preserve"> WIK met with various access holders and the ARTC, and based its assessment on a substantial amount of information provided by ARTC.  Additionally, the ACCC considers that, compared to the alternative methodologies proposed by stakeholders, WIK’s approach removes subjectivity around the original rationale for investments in Pricing Zone 1. </w:t>
      </w:r>
      <w:r w:rsidR="00CA3DD6">
        <w:rPr>
          <w:rStyle w:val="Network-bodytext"/>
          <w:color w:val="7F7F7F" w:themeColor="text1" w:themeTint="80"/>
        </w:rPr>
        <w:t xml:space="preserve"> </w:t>
      </w:r>
      <w:r w:rsidRPr="00CA3DD6">
        <w:rPr>
          <w:rStyle w:val="Network-bodytext"/>
          <w:color w:val="7F7F7F" w:themeColor="text1" w:themeTint="80"/>
        </w:rPr>
        <w:t xml:space="preserve">The ACCC considers that WIK’s approach is consistent with the evidence that the investments were ultimately for the benefit of all users of Pricing Zone 1. </w:t>
      </w:r>
      <w:r w:rsidR="00BE195F" w:rsidRPr="00CA3DD6">
        <w:rPr>
          <w:rStyle w:val="Network-bodytext"/>
          <w:color w:val="7F7F7F" w:themeColor="text1" w:themeTint="80"/>
        </w:rPr>
        <w:t xml:space="preserve">    </w:t>
      </w:r>
    </w:p>
    <w:p w:rsidR="008E6C13" w:rsidRPr="002D25D8" w:rsidRDefault="002D25D8" w:rsidP="002E3B71">
      <w:pPr>
        <w:pStyle w:val="Heading3"/>
      </w:pPr>
      <w:r>
        <w:rPr>
          <w:lang w:val="en"/>
        </w:rPr>
        <w:t xml:space="preserve">Declaration of the Right to Access and Use </w:t>
      </w:r>
      <w:r w:rsidR="0031276E">
        <w:rPr>
          <w:lang w:val="en"/>
        </w:rPr>
        <w:t xml:space="preserve">of </w:t>
      </w:r>
      <w:r>
        <w:rPr>
          <w:lang w:val="en"/>
        </w:rPr>
        <w:t>the Shipping Channels Provided by the Port of Newcastl</w:t>
      </w:r>
      <w:r w:rsidR="008E6C13" w:rsidRPr="002D25D8">
        <w:t xml:space="preserve">e </w:t>
      </w:r>
    </w:p>
    <w:p w:rsidR="002D25D8" w:rsidRPr="00CA3DD6" w:rsidRDefault="002D25D8" w:rsidP="00CA3DD6">
      <w:pPr>
        <w:rPr>
          <w:rStyle w:val="Network-bodytext"/>
          <w:color w:val="7F7F7F" w:themeColor="text1" w:themeTint="80"/>
        </w:rPr>
      </w:pPr>
      <w:r w:rsidRPr="00CA3DD6">
        <w:rPr>
          <w:rStyle w:val="Network-bodytext"/>
          <w:color w:val="7F7F7F" w:themeColor="text1" w:themeTint="80"/>
        </w:rPr>
        <w:t>On 13 May 2015 the National Competition Council</w:t>
      </w:r>
      <w:r w:rsidR="003560A4">
        <w:rPr>
          <w:rStyle w:val="Network-bodytext"/>
          <w:color w:val="7F7F7F" w:themeColor="text1" w:themeTint="80"/>
        </w:rPr>
        <w:t xml:space="preserve"> </w:t>
      </w:r>
      <w:r w:rsidRPr="00CA3DD6">
        <w:rPr>
          <w:rStyle w:val="Network-bodytext"/>
          <w:color w:val="7F7F7F" w:themeColor="text1" w:themeTint="80"/>
        </w:rPr>
        <w:t xml:space="preserve">(NCC) received an application under Part IIIA of the Competition and Consumer Act 2010 (CCA) from Glencore Coal Pty Ltd seeking declaration provision of the right to access and use the shipping channels provided by the Port of Newcastle. </w:t>
      </w:r>
      <w:r w:rsidR="00CA3DD6">
        <w:rPr>
          <w:rStyle w:val="Network-bodytext"/>
          <w:color w:val="7F7F7F" w:themeColor="text1" w:themeTint="80"/>
        </w:rPr>
        <w:t xml:space="preserve"> </w:t>
      </w:r>
      <w:r w:rsidRPr="00CA3DD6">
        <w:rPr>
          <w:rStyle w:val="Network-bodytext"/>
          <w:color w:val="7F7F7F" w:themeColor="text1" w:themeTint="80"/>
        </w:rPr>
        <w:t>Over the ensuing year, the application was considered by the National Competition Council (recommended not to declare), the designated Minister (decided not to declare) and (on appeal) the Australian Competition Tribunal (ACT) (should be declared).</w:t>
      </w:r>
    </w:p>
    <w:p w:rsidR="002D25D8" w:rsidRPr="00CA3DD6" w:rsidRDefault="002D25D8" w:rsidP="00CA3DD6">
      <w:pPr>
        <w:rPr>
          <w:rStyle w:val="Network-bodytext"/>
          <w:color w:val="7F7F7F" w:themeColor="text1" w:themeTint="80"/>
        </w:rPr>
      </w:pPr>
      <w:r w:rsidRPr="00CA3DD6">
        <w:rPr>
          <w:rStyle w:val="Network-bodytext"/>
          <w:color w:val="7F7F7F" w:themeColor="text1" w:themeTint="80"/>
        </w:rPr>
        <w:t>The NCC received thirteen submissions on the application and two submissions on the designated minister issue.</w:t>
      </w:r>
      <w:r w:rsidR="00CA3DD6">
        <w:rPr>
          <w:rStyle w:val="Network-bodytext"/>
          <w:color w:val="7F7F7F" w:themeColor="text1" w:themeTint="80"/>
        </w:rPr>
        <w:t xml:space="preserve">  </w:t>
      </w:r>
      <w:r w:rsidRPr="00CA3DD6">
        <w:rPr>
          <w:rStyle w:val="Network-bodytext"/>
          <w:color w:val="7F7F7F" w:themeColor="text1" w:themeTint="80"/>
        </w:rPr>
        <w:t>On 30 July 2015 the NCC released its draft recommendation on the application for declaration of the shipping channel service at the Port of Newcastle.</w:t>
      </w:r>
      <w:r w:rsidR="00CA3DD6">
        <w:rPr>
          <w:rStyle w:val="Network-bodytext"/>
          <w:color w:val="7F7F7F" w:themeColor="text1" w:themeTint="80"/>
        </w:rPr>
        <w:t xml:space="preserve"> </w:t>
      </w:r>
      <w:r w:rsidRPr="00CA3DD6">
        <w:rPr>
          <w:rStyle w:val="Network-bodytext"/>
          <w:color w:val="7F7F7F" w:themeColor="text1" w:themeTint="80"/>
        </w:rPr>
        <w:t xml:space="preserve"> The draft recommendation was that the service not be declared. </w:t>
      </w:r>
      <w:r w:rsidR="00CA3DD6">
        <w:rPr>
          <w:rStyle w:val="Network-bodytext"/>
          <w:color w:val="7F7F7F" w:themeColor="text1" w:themeTint="80"/>
        </w:rPr>
        <w:t xml:space="preserve"> </w:t>
      </w:r>
      <w:r w:rsidRPr="00CA3DD6">
        <w:rPr>
          <w:rStyle w:val="Network-bodytext"/>
          <w:color w:val="7F7F7F" w:themeColor="text1" w:themeTint="80"/>
        </w:rPr>
        <w:t>The NCC also reached the view that the designated Minister for this matter is the Commonwealth Minister.</w:t>
      </w:r>
      <w:r w:rsidR="00CA3DD6">
        <w:rPr>
          <w:rStyle w:val="Network-bodytext"/>
          <w:color w:val="7F7F7F" w:themeColor="text1" w:themeTint="80"/>
        </w:rPr>
        <w:t xml:space="preserve"> </w:t>
      </w:r>
      <w:r w:rsidRPr="00CA3DD6">
        <w:rPr>
          <w:rStyle w:val="Network-bodytext"/>
          <w:color w:val="7F7F7F" w:themeColor="text1" w:themeTint="80"/>
        </w:rPr>
        <w:t xml:space="preserve"> A further </w:t>
      </w:r>
      <w:r w:rsidRPr="00CA3DD6">
        <w:rPr>
          <w:rStyle w:val="Network-bodytext"/>
          <w:color w:val="7F7F7F" w:themeColor="text1" w:themeTint="80"/>
        </w:rPr>
        <w:lastRenderedPageBreak/>
        <w:t xml:space="preserve">round of consultation was commenced and nine submissions were received. </w:t>
      </w:r>
      <w:r w:rsidR="00CA3DD6">
        <w:rPr>
          <w:rStyle w:val="Network-bodytext"/>
          <w:color w:val="7F7F7F" w:themeColor="text1" w:themeTint="80"/>
        </w:rPr>
        <w:t xml:space="preserve"> </w:t>
      </w:r>
      <w:r w:rsidRPr="00CA3DD6">
        <w:rPr>
          <w:rStyle w:val="Network-bodytext"/>
          <w:color w:val="7F7F7F" w:themeColor="text1" w:themeTint="80"/>
        </w:rPr>
        <w:t>On 10 November 2015, the NCC sent to the Federal Treasurer, the Hon. Scott Morrison MP, its final recommendation in respect of the application by Glencore Coal Pty Ltd for declaration of the shipping channel service at the Port of Newcastle.</w:t>
      </w:r>
      <w:r w:rsidR="00CA3DD6">
        <w:rPr>
          <w:rStyle w:val="Network-bodytext"/>
          <w:color w:val="7F7F7F" w:themeColor="text1" w:themeTint="80"/>
        </w:rPr>
        <w:t xml:space="preserve"> </w:t>
      </w:r>
      <w:r w:rsidR="003560A4">
        <w:rPr>
          <w:rStyle w:val="Network-bodytext"/>
          <w:color w:val="7F7F7F" w:themeColor="text1" w:themeTint="80"/>
        </w:rPr>
        <w:t xml:space="preserve"> Under s</w:t>
      </w:r>
      <w:r w:rsidRPr="00CA3DD6">
        <w:rPr>
          <w:rStyle w:val="Network-bodytext"/>
          <w:color w:val="7F7F7F" w:themeColor="text1" w:themeTint="80"/>
        </w:rPr>
        <w:t>44H(9) of the Competition and Consumer Act 2010 (Cth), if the Minister had not published his decision and the reasons for his decision within 60 days after receiving the NCC’s recommendation, he will be deemed to have decided not to declare the service.</w:t>
      </w:r>
    </w:p>
    <w:p w:rsidR="002D25D8" w:rsidRPr="00CA3DD6" w:rsidRDefault="002D25D8" w:rsidP="00CA3DD6">
      <w:pPr>
        <w:rPr>
          <w:rStyle w:val="Network-bodytext"/>
          <w:color w:val="7F7F7F" w:themeColor="text1" w:themeTint="80"/>
        </w:rPr>
      </w:pPr>
      <w:r w:rsidRPr="00CA3DD6">
        <w:rPr>
          <w:rStyle w:val="Network-bodytext"/>
          <w:color w:val="7F7F7F" w:themeColor="text1" w:themeTint="80"/>
        </w:rPr>
        <w:t xml:space="preserve">The Acting Treasurer, Senator the Hon. Mathias Cormann, made a decision on 8 January 2016, which was published on the NCC website on 11 January 2016. </w:t>
      </w:r>
      <w:r w:rsidR="00CA3DD6">
        <w:rPr>
          <w:rStyle w:val="Network-bodytext"/>
          <w:color w:val="7F7F7F" w:themeColor="text1" w:themeTint="80"/>
        </w:rPr>
        <w:t xml:space="preserve"> </w:t>
      </w:r>
      <w:r w:rsidRPr="00CA3DD6">
        <w:rPr>
          <w:rStyle w:val="Network-bodytext"/>
          <w:color w:val="7F7F7F" w:themeColor="text1" w:themeTint="80"/>
        </w:rPr>
        <w:t xml:space="preserve">The Minister’s decision was not to declare the service. </w:t>
      </w:r>
      <w:r w:rsidR="003560A4">
        <w:rPr>
          <w:rStyle w:val="Network-bodytext"/>
          <w:color w:val="7F7F7F" w:themeColor="text1" w:themeTint="80"/>
        </w:rPr>
        <w:t xml:space="preserve"> </w:t>
      </w:r>
      <w:r w:rsidRPr="00CA3DD6">
        <w:rPr>
          <w:rStyle w:val="Network-bodytext"/>
          <w:color w:val="7F7F7F" w:themeColor="text1" w:themeTint="80"/>
        </w:rPr>
        <w:t>The Minister was not satisfied that declaring access to the Service would promote a material increase in competition in any of the five functionally dependent markets.</w:t>
      </w:r>
      <w:r w:rsidR="00CA3DD6">
        <w:rPr>
          <w:rStyle w:val="Network-bodytext"/>
          <w:color w:val="7F7F7F" w:themeColor="text1" w:themeTint="80"/>
        </w:rPr>
        <w:t xml:space="preserve"> </w:t>
      </w:r>
      <w:r w:rsidRPr="00CA3DD6">
        <w:rPr>
          <w:rStyle w:val="Network-bodytext"/>
          <w:color w:val="7F7F7F" w:themeColor="text1" w:themeTint="80"/>
        </w:rPr>
        <w:t xml:space="preserve"> Amongst other t</w:t>
      </w:r>
      <w:r w:rsidR="00CA3DD6">
        <w:rPr>
          <w:rStyle w:val="Network-bodytext"/>
          <w:color w:val="7F7F7F" w:themeColor="text1" w:themeTint="80"/>
        </w:rPr>
        <w:t>hings, the Minister found that:</w:t>
      </w:r>
      <w:r w:rsidRPr="00CA3DD6">
        <w:rPr>
          <w:rStyle w:val="Network-bodytext"/>
          <w:color w:val="7F7F7F" w:themeColor="text1" w:themeTint="80"/>
        </w:rPr>
        <w:t xml:space="preserve"> there is insufficient evidence that the identified dependent markets are currently not workably competitive; the navigation charges represent a small fraction of the overall coal price at present and even if the charges are increased significantly in future, it will remain a minor cost element; and coal producers currently manage a range of uncertainties in their businesses, many of which are likely to be far greater than that which exists in relation to navigation charges.</w:t>
      </w:r>
      <w:r w:rsidR="00CA3DD6">
        <w:rPr>
          <w:rStyle w:val="Network-bodytext"/>
          <w:color w:val="7F7F7F" w:themeColor="text1" w:themeTint="80"/>
        </w:rPr>
        <w:t xml:space="preserve"> </w:t>
      </w:r>
      <w:r w:rsidRPr="00CA3DD6">
        <w:rPr>
          <w:rStyle w:val="Network-bodytext"/>
          <w:color w:val="7F7F7F" w:themeColor="text1" w:themeTint="80"/>
        </w:rPr>
        <w:t xml:space="preserve"> The Minister’s decision and the Council’s final recommendation are available on the NCC’s website.</w:t>
      </w:r>
    </w:p>
    <w:p w:rsidR="002D25D8" w:rsidRPr="00CA3DD6" w:rsidRDefault="002D25D8" w:rsidP="00CA3DD6">
      <w:pPr>
        <w:rPr>
          <w:rStyle w:val="Network-bodytext"/>
          <w:color w:val="7F7F7F" w:themeColor="text1" w:themeTint="80"/>
        </w:rPr>
      </w:pPr>
      <w:r w:rsidRPr="00CA3DD6">
        <w:rPr>
          <w:rStyle w:val="Network-bodytext"/>
          <w:color w:val="7F7F7F" w:themeColor="text1" w:themeTint="80"/>
        </w:rPr>
        <w:t xml:space="preserve">On 29 January 2016 Glencore applied to the Australian Competition Tribunal (ACT) for a review of the Minister’s decision. </w:t>
      </w:r>
      <w:r w:rsidR="00CA3DD6">
        <w:rPr>
          <w:rStyle w:val="Network-bodytext"/>
          <w:color w:val="7F7F7F" w:themeColor="text1" w:themeTint="80"/>
        </w:rPr>
        <w:t xml:space="preserve"> </w:t>
      </w:r>
      <w:r w:rsidRPr="00CA3DD6">
        <w:rPr>
          <w:rStyle w:val="Network-bodytext"/>
          <w:color w:val="7F7F7F" w:themeColor="text1" w:themeTint="80"/>
        </w:rPr>
        <w:t xml:space="preserve">On 31 May 2016 the ACT </w:t>
      </w:r>
      <w:hyperlink r:id="rId56" w:history="1">
        <w:r w:rsidRPr="00CA3DD6">
          <w:rPr>
            <w:rStyle w:val="Network-bodytext"/>
            <w:color w:val="7F7F7F" w:themeColor="text1" w:themeTint="80"/>
          </w:rPr>
          <w:t>decided</w:t>
        </w:r>
      </w:hyperlink>
      <w:r w:rsidRPr="00CA3DD6">
        <w:rPr>
          <w:rStyle w:val="Network-bodytext"/>
          <w:color w:val="7F7F7F" w:themeColor="text1" w:themeTint="80"/>
        </w:rPr>
        <w:t xml:space="preserve"> the service should be declared.</w:t>
      </w:r>
      <w:r w:rsidR="00CA3DD6">
        <w:rPr>
          <w:rStyle w:val="Network-bodytext"/>
          <w:color w:val="7F7F7F" w:themeColor="text1" w:themeTint="80"/>
        </w:rPr>
        <w:t xml:space="preserve">  </w:t>
      </w:r>
      <w:r w:rsidRPr="00CA3DD6">
        <w:rPr>
          <w:rStyle w:val="Network-bodytext"/>
          <w:color w:val="7F7F7F" w:themeColor="text1" w:themeTint="80"/>
        </w:rPr>
        <w:t xml:space="preserve">The ACT was satisfied that – adopting the approach mandated by the Sydney Airport FC decision – access to the Service would promote a material increase in competition in the market for the export of coal from the Hunter Valley. </w:t>
      </w:r>
      <w:r w:rsidR="00CA3DD6">
        <w:rPr>
          <w:rStyle w:val="Network-bodytext"/>
          <w:color w:val="7F7F7F" w:themeColor="text1" w:themeTint="80"/>
        </w:rPr>
        <w:t xml:space="preserve"> </w:t>
      </w:r>
      <w:r w:rsidRPr="00CA3DD6">
        <w:rPr>
          <w:rStyle w:val="Network-bodytext"/>
          <w:color w:val="7F7F7F" w:themeColor="text1" w:themeTint="80"/>
        </w:rPr>
        <w:t xml:space="preserve">That view is reached even though, as counsel for Port of Newcastle says, it has an incentive to maximise the revenue from the provision of the Service (but perhaps by the balancing of volume and charges) and the Port is not capacity constrained. </w:t>
      </w:r>
      <w:r w:rsidR="00CA3DD6">
        <w:rPr>
          <w:rStyle w:val="Network-bodytext"/>
          <w:color w:val="7F7F7F" w:themeColor="text1" w:themeTint="80"/>
        </w:rPr>
        <w:t xml:space="preserve"> </w:t>
      </w:r>
      <w:r w:rsidRPr="00CA3DD6">
        <w:rPr>
          <w:rStyle w:val="Network-bodytext"/>
          <w:color w:val="7F7F7F" w:themeColor="text1" w:themeTint="80"/>
        </w:rPr>
        <w:t>The ACT stated (166) that ‘the fact remains …that coal miners supplying coal into that market from mines in the Hunter Valley have no real practical alternative to using the Service, and in more profitable times (accepting what has been said about the present state of that industry) be vulnerable to charging changes imposed by … Port of Newcastle for access to the Service to absorb to a significant degree the profitability of exporting coal produced from the Hunter Valley.’</w:t>
      </w:r>
      <w:r w:rsidR="00CA3DD6">
        <w:rPr>
          <w:rStyle w:val="Network-bodytext"/>
          <w:color w:val="7F7F7F" w:themeColor="text1" w:themeTint="80"/>
        </w:rPr>
        <w:t xml:space="preserve"> </w:t>
      </w:r>
      <w:r w:rsidRPr="00CA3DD6">
        <w:rPr>
          <w:rStyle w:val="Network-bodytext"/>
          <w:color w:val="7F7F7F" w:themeColor="text1" w:themeTint="80"/>
        </w:rPr>
        <w:t xml:space="preserve"> Further (167) the ACT ‘is not satisfied that the declaration would cause any </w:t>
      </w:r>
      <w:r w:rsidRPr="00CA3DD6">
        <w:rPr>
          <w:rStyle w:val="Network-bodytext"/>
          <w:color w:val="7F7F7F" w:themeColor="text1" w:themeTint="80"/>
        </w:rPr>
        <w:lastRenderedPageBreak/>
        <w:t xml:space="preserve">adverse effect on incentives or obligations to invest or discourage efficient investment and costs to … the provider of the Service.’ </w:t>
      </w:r>
    </w:p>
    <w:p w:rsidR="007C5040" w:rsidRPr="00CA3DD6" w:rsidRDefault="00E67C1E" w:rsidP="00CA3DD6">
      <w:pPr>
        <w:pStyle w:val="Heading3"/>
      </w:pPr>
      <w:r w:rsidRPr="00CA3DD6">
        <w:t>New Zealand Telecommunications Market Monitoring Report for 2014-15 Released</w:t>
      </w:r>
      <w:r w:rsidR="007C5040" w:rsidRPr="00CA3DD6">
        <w:t xml:space="preserve"> </w:t>
      </w:r>
    </w:p>
    <w:p w:rsidR="00562F4C" w:rsidRPr="00CA3DD6" w:rsidRDefault="00562F4C" w:rsidP="00CA3DD6">
      <w:pPr>
        <w:rPr>
          <w:rStyle w:val="Network-bodytext"/>
          <w:color w:val="7F7F7F" w:themeColor="text1" w:themeTint="80"/>
        </w:rPr>
      </w:pPr>
      <w:r w:rsidRPr="00CA3DD6">
        <w:rPr>
          <w:rStyle w:val="Network-bodytext"/>
          <w:color w:val="7F7F7F" w:themeColor="text1" w:themeTint="80"/>
        </w:rPr>
        <w:t xml:space="preserve">On 26 May 2016 the Commerce Commission of New Zealand (CCNZ) released its ninth annual New Zealand telecommunications </w:t>
      </w:r>
      <w:hyperlink r:id="rId57" w:history="1">
        <w:r w:rsidRPr="00CA3DD6">
          <w:rPr>
            <w:rStyle w:val="Network-bodytext"/>
            <w:color w:val="7F7F7F" w:themeColor="text1" w:themeTint="80"/>
          </w:rPr>
          <w:t>market monitoring report</w:t>
        </w:r>
      </w:hyperlink>
      <w:r w:rsidRPr="00CA3DD6">
        <w:rPr>
          <w:rStyle w:val="Network-bodytext"/>
          <w:color w:val="7F7F7F" w:themeColor="text1" w:themeTint="80"/>
        </w:rPr>
        <w:t xml:space="preserve"> for 2014-15.  The report is over 50 pages in length and contains data from 2005</w:t>
      </w:r>
      <w:r w:rsidR="00DC74D0">
        <w:rPr>
          <w:rStyle w:val="Network-bodytext"/>
          <w:color w:val="7F7F7F" w:themeColor="text1" w:themeTint="80"/>
        </w:rPr>
        <w:t>-</w:t>
      </w:r>
      <w:r w:rsidRPr="00CA3DD6">
        <w:rPr>
          <w:rStyle w:val="Network-bodytext"/>
          <w:color w:val="7F7F7F" w:themeColor="text1" w:themeTint="80"/>
        </w:rPr>
        <w:t>06 for many items; and fo</w:t>
      </w:r>
      <w:r w:rsidR="00BB386A">
        <w:rPr>
          <w:rStyle w:val="Network-bodytext"/>
          <w:color w:val="7F7F7F" w:themeColor="text1" w:themeTint="80"/>
        </w:rPr>
        <w:t>r lesser time periods for other data</w:t>
      </w:r>
      <w:r w:rsidRPr="00CA3DD6">
        <w:rPr>
          <w:rStyle w:val="Network-bodytext"/>
          <w:color w:val="7F7F7F" w:themeColor="text1" w:themeTint="80"/>
        </w:rPr>
        <w:t xml:space="preserve"> (for example, since 2008-09 for investment data).  The information is presented in the form of clear graphs and charts, with accompanying explanatory text.  In many cases, the CCNZ benchmarks trends in New Zealand against those in the OECD.</w:t>
      </w:r>
      <w:r w:rsidR="00CA3DD6">
        <w:rPr>
          <w:rStyle w:val="Network-bodytext"/>
          <w:color w:val="7F7F7F" w:themeColor="text1" w:themeTint="80"/>
        </w:rPr>
        <w:t xml:space="preserve"> </w:t>
      </w:r>
      <w:r w:rsidRPr="00CA3DD6">
        <w:rPr>
          <w:rStyle w:val="Network-bodytext"/>
          <w:color w:val="7F7F7F" w:themeColor="text1" w:themeTint="80"/>
        </w:rPr>
        <w:t xml:space="preserve"> The report concludes with a month-by-month chronicle of important events in New Zealand telecommunications fro</w:t>
      </w:r>
      <w:r w:rsidR="00CA3DD6">
        <w:rPr>
          <w:rStyle w:val="Network-bodytext"/>
          <w:color w:val="7F7F7F" w:themeColor="text1" w:themeTint="80"/>
        </w:rPr>
        <w:t>m January 2015 to April 2016.</w:t>
      </w:r>
    </w:p>
    <w:p w:rsidR="00562F4C" w:rsidRPr="00CA3DD6" w:rsidRDefault="00562F4C" w:rsidP="00CA3DD6">
      <w:pPr>
        <w:rPr>
          <w:rStyle w:val="Network-bodytext"/>
          <w:color w:val="7F7F7F" w:themeColor="text1" w:themeTint="80"/>
        </w:rPr>
      </w:pPr>
      <w:r w:rsidRPr="00CA3DD6">
        <w:rPr>
          <w:rStyle w:val="Network-bodytext"/>
          <w:color w:val="7F7F7F" w:themeColor="text1" w:themeTint="80"/>
        </w:rPr>
        <w:t xml:space="preserve">The CCNZ presents 2014-15 as a ‘milestone year’ for telecommunications in New Zealand in a number of respects. </w:t>
      </w:r>
      <w:r w:rsidR="00CA3DD6">
        <w:rPr>
          <w:rStyle w:val="Network-bodytext"/>
          <w:color w:val="7F7F7F" w:themeColor="text1" w:themeTint="80"/>
        </w:rPr>
        <w:t xml:space="preserve"> </w:t>
      </w:r>
      <w:r w:rsidRPr="00CA3DD6">
        <w:rPr>
          <w:rStyle w:val="Network-bodytext"/>
          <w:color w:val="7F7F7F" w:themeColor="text1" w:themeTint="80"/>
        </w:rPr>
        <w:t>In particular, the launch of Netflix and other video</w:t>
      </w:r>
      <w:r w:rsidRPr="00CA3DD6">
        <w:rPr>
          <w:rStyle w:val="Network-bodytext"/>
          <w:color w:val="7F7F7F" w:themeColor="text1" w:themeTint="80"/>
        </w:rPr>
        <w:noBreakHyphen/>
        <w:t xml:space="preserve">streaming services led to strong growth in broadband data consumption – which was also responsible for some signs of congestion. </w:t>
      </w:r>
      <w:r w:rsidR="00CA3DD6">
        <w:rPr>
          <w:rStyle w:val="Network-bodytext"/>
          <w:color w:val="7F7F7F" w:themeColor="text1" w:themeTint="80"/>
        </w:rPr>
        <w:t xml:space="preserve"> </w:t>
      </w:r>
      <w:r w:rsidRPr="00CA3DD6">
        <w:rPr>
          <w:rStyle w:val="Network-bodytext"/>
          <w:color w:val="7F7F7F" w:themeColor="text1" w:themeTint="80"/>
        </w:rPr>
        <w:t>Further, the deployment of 4G mobile technology allowed retailers to start offering fixed wireless broadband services that were comparable, if not better, in price and performance to some copper fixed</w:t>
      </w:r>
      <w:r w:rsidRPr="00CA3DD6">
        <w:rPr>
          <w:rStyle w:val="Network-bodytext"/>
          <w:color w:val="7F7F7F" w:themeColor="text1" w:themeTint="80"/>
        </w:rPr>
        <w:noBreakHyphen/>
        <w:t>line broadband services.</w:t>
      </w:r>
    </w:p>
    <w:p w:rsidR="00562F4C" w:rsidRPr="00CA3DD6" w:rsidRDefault="00562F4C" w:rsidP="00CA3DD6">
      <w:pPr>
        <w:rPr>
          <w:rStyle w:val="Network-bodytext"/>
          <w:color w:val="7F7F7F" w:themeColor="text1" w:themeTint="80"/>
        </w:rPr>
      </w:pPr>
      <w:r w:rsidRPr="00CA3DD6">
        <w:rPr>
          <w:rStyle w:val="Network-bodytext"/>
          <w:color w:val="7F7F7F" w:themeColor="text1" w:themeTint="80"/>
        </w:rPr>
        <w:t>Mobile telecommunications is overtaking fixed-line telecommunications, and the size of the overall retail market in telecommunications fell slightly.</w:t>
      </w:r>
      <w:r w:rsidR="00CA3DD6">
        <w:rPr>
          <w:rStyle w:val="Network-bodytext"/>
          <w:color w:val="7F7F7F" w:themeColor="text1" w:themeTint="80"/>
        </w:rPr>
        <w:t xml:space="preserve"> </w:t>
      </w:r>
      <w:r w:rsidRPr="00CA3DD6">
        <w:rPr>
          <w:rStyle w:val="Network-bodytext"/>
          <w:color w:val="7F7F7F" w:themeColor="text1" w:themeTint="80"/>
        </w:rPr>
        <w:t xml:space="preserve"> Calling on a mobile device is becoming more popular than calling on a fixed</w:t>
      </w:r>
      <w:r w:rsidRPr="00CA3DD6">
        <w:rPr>
          <w:rStyle w:val="Network-bodytext"/>
          <w:color w:val="7F7F7F" w:themeColor="text1" w:themeTint="80"/>
        </w:rPr>
        <w:noBreakHyphen/>
        <w:t>line phone, with mobile voice minutes poised to overtake fixed</w:t>
      </w:r>
      <w:r w:rsidRPr="00CA3DD6">
        <w:rPr>
          <w:rStyle w:val="Network-bodytext"/>
          <w:color w:val="7F7F7F" w:themeColor="text1" w:themeTint="80"/>
        </w:rPr>
        <w:noBreakHyphen/>
        <w:t xml:space="preserve">line voice minutes.  Mobile calling increased strongly to reach 6.63 billion minutes, which is an average of 120 minutes per person per month. </w:t>
      </w:r>
      <w:r w:rsidR="00CA3DD6">
        <w:rPr>
          <w:rStyle w:val="Network-bodytext"/>
          <w:color w:val="7F7F7F" w:themeColor="text1" w:themeTint="80"/>
        </w:rPr>
        <w:t xml:space="preserve"> </w:t>
      </w:r>
      <w:r w:rsidRPr="00CA3DD6">
        <w:rPr>
          <w:rStyle w:val="Network-bodytext"/>
          <w:color w:val="7F7F7F" w:themeColor="text1" w:themeTint="80"/>
        </w:rPr>
        <w:t>While the volume of texting decreased from its peak in 2011-12, it has remained constant in the past two years.  Mobile revenue appears set to overtake fixed</w:t>
      </w:r>
      <w:r w:rsidRPr="00CA3DD6">
        <w:rPr>
          <w:rStyle w:val="Network-bodytext"/>
          <w:color w:val="7F7F7F" w:themeColor="text1" w:themeTint="80"/>
        </w:rPr>
        <w:noBreakHyphen/>
        <w:t>line revenue, with mobile revenue increasing to $2.54 billion in 2014-15; while fixed</w:t>
      </w:r>
      <w:r w:rsidRPr="00CA3DD6">
        <w:rPr>
          <w:rStyle w:val="Network-bodytext"/>
          <w:color w:val="7F7F7F" w:themeColor="text1" w:themeTint="80"/>
        </w:rPr>
        <w:noBreakHyphen/>
        <w:t>line revenue fell to $2.57 billion.</w:t>
      </w:r>
      <w:r w:rsidR="00CA3DD6">
        <w:rPr>
          <w:rStyle w:val="Network-bodytext"/>
          <w:color w:val="7F7F7F" w:themeColor="text1" w:themeTint="80"/>
        </w:rPr>
        <w:t xml:space="preserve"> </w:t>
      </w:r>
      <w:r w:rsidRPr="00CA3DD6">
        <w:rPr>
          <w:rStyle w:val="Network-bodytext"/>
          <w:color w:val="7F7F7F" w:themeColor="text1" w:themeTint="80"/>
        </w:rPr>
        <w:t xml:space="preserve"> Total retail telecommunications revenues fell a little to $5.11 billion.</w:t>
      </w:r>
    </w:p>
    <w:p w:rsidR="00562F4C" w:rsidRPr="00CA3DD6" w:rsidRDefault="00562F4C" w:rsidP="00CA3DD6">
      <w:pPr>
        <w:rPr>
          <w:rStyle w:val="Network-bodytext"/>
          <w:color w:val="7F7F7F" w:themeColor="text1" w:themeTint="80"/>
        </w:rPr>
      </w:pPr>
      <w:r w:rsidRPr="00CA3DD6">
        <w:rPr>
          <w:rStyle w:val="Network-bodytext"/>
          <w:color w:val="7F7F7F" w:themeColor="text1" w:themeTint="80"/>
        </w:rPr>
        <w:t>The UFB fibre network deployment continued to be associated with a high level of investment by the telecommunications industry.  The UFB fibre network is now connecting around 100</w:t>
      </w:r>
      <w:r w:rsidR="00DC74D0">
        <w:rPr>
          <w:rStyle w:val="Network-bodytext"/>
          <w:color w:val="7F7F7F" w:themeColor="text1" w:themeTint="80"/>
        </w:rPr>
        <w:t xml:space="preserve"> </w:t>
      </w:r>
      <w:r w:rsidRPr="00CA3DD6">
        <w:rPr>
          <w:rStyle w:val="Network-bodytext"/>
          <w:color w:val="7F7F7F" w:themeColor="text1" w:themeTint="80"/>
        </w:rPr>
        <w:t xml:space="preserve">000 customers.  There was also significant investment in 4G mobile spectrum. </w:t>
      </w:r>
      <w:r w:rsidR="00CA3DD6">
        <w:rPr>
          <w:rStyle w:val="Network-bodytext"/>
          <w:color w:val="7F7F7F" w:themeColor="text1" w:themeTint="80"/>
        </w:rPr>
        <w:t xml:space="preserve"> </w:t>
      </w:r>
      <w:r w:rsidRPr="00CA3DD6">
        <w:rPr>
          <w:rStyle w:val="Network-bodytext"/>
          <w:color w:val="7F7F7F" w:themeColor="text1" w:themeTint="80"/>
        </w:rPr>
        <w:t>Total industry investment increased in 2014-15 over the prior year to reach a new record of $1.77 billion.</w:t>
      </w:r>
    </w:p>
    <w:p w:rsidR="00562F4C" w:rsidRPr="00CA3DD6" w:rsidRDefault="00562F4C" w:rsidP="00CA3DD6">
      <w:pPr>
        <w:rPr>
          <w:rStyle w:val="Network-bodytext"/>
          <w:color w:val="7F7F7F" w:themeColor="text1" w:themeTint="80"/>
        </w:rPr>
      </w:pPr>
      <w:r w:rsidRPr="00CA3DD6">
        <w:rPr>
          <w:rStyle w:val="Network-bodytext"/>
          <w:color w:val="7F7F7F" w:themeColor="text1" w:themeTint="80"/>
        </w:rPr>
        <w:lastRenderedPageBreak/>
        <w:t>The total number of fixed</w:t>
      </w:r>
      <w:r w:rsidRPr="00CA3DD6">
        <w:rPr>
          <w:rStyle w:val="Network-bodytext"/>
          <w:color w:val="7F7F7F" w:themeColor="text1" w:themeTint="80"/>
        </w:rPr>
        <w:noBreakHyphen/>
        <w:t xml:space="preserve">line connections remained approximately constant, while fixed broadband connections continued growing to reach 1.45 million as at 30 June 2015 (78 per cent of total lines) and held New Zealand’s OECD broadband ranking.  Average download speeds increased, and average data consumed per fixed connection increased (assisted by the growth in video streaming), to reach 48GB per month compared with 32GB in the prior year. </w:t>
      </w:r>
      <w:r w:rsidR="00CA3DD6">
        <w:rPr>
          <w:rStyle w:val="Network-bodytext"/>
          <w:color w:val="7F7F7F" w:themeColor="text1" w:themeTint="80"/>
        </w:rPr>
        <w:t xml:space="preserve"> </w:t>
      </w:r>
      <w:r w:rsidRPr="00CA3DD6">
        <w:rPr>
          <w:rStyle w:val="Network-bodytext"/>
          <w:color w:val="7F7F7F" w:themeColor="text1" w:themeTint="80"/>
        </w:rPr>
        <w:t>Mobile data use also continued to grow strongly, up 70 per cent in 2014-15 over the prior year to reach 390MB per connection per month, with a very high proportion of mobile devices being used to access the internet.</w:t>
      </w:r>
    </w:p>
    <w:p w:rsidR="00562F4C" w:rsidRPr="00CA3DD6" w:rsidRDefault="00562F4C" w:rsidP="00CA3DD6">
      <w:pPr>
        <w:rPr>
          <w:rStyle w:val="Network-bodytext"/>
          <w:color w:val="7F7F7F" w:themeColor="text1" w:themeTint="80"/>
        </w:rPr>
      </w:pPr>
      <w:r w:rsidRPr="00CA3DD6">
        <w:rPr>
          <w:rStyle w:val="Network-bodytext"/>
          <w:color w:val="7F7F7F" w:themeColor="text1" w:themeTint="80"/>
        </w:rPr>
        <w:t>The CCNZ observes that mobile pricing continues to be competitive across all bundle sizes, with what it sees as a significant improvement over last year</w:t>
      </w:r>
      <w:r w:rsidR="00DC74D0">
        <w:rPr>
          <w:rStyle w:val="Network-bodytext"/>
          <w:color w:val="7F7F7F" w:themeColor="text1" w:themeTint="80"/>
        </w:rPr>
        <w:t>,</w:t>
      </w:r>
      <w:r w:rsidRPr="00CA3DD6">
        <w:rPr>
          <w:rStyle w:val="Network-bodytext"/>
          <w:color w:val="7F7F7F" w:themeColor="text1" w:themeTint="80"/>
        </w:rPr>
        <w:t xml:space="preserve"> coming in the pricing of larger bundles. </w:t>
      </w:r>
      <w:r w:rsidR="00CA3DD6">
        <w:rPr>
          <w:rStyle w:val="Network-bodytext"/>
          <w:color w:val="7F7F7F" w:themeColor="text1" w:themeTint="80"/>
        </w:rPr>
        <w:t xml:space="preserve"> </w:t>
      </w:r>
      <w:r w:rsidRPr="00CA3DD6">
        <w:rPr>
          <w:rStyle w:val="Network-bodytext"/>
          <w:color w:val="7F7F7F" w:themeColor="text1" w:themeTint="80"/>
        </w:rPr>
        <w:t>A bundle sufficient for 900 calls and 2GB of data in February 2016 could be purchased for $59 a month compared to $69 per month in August 2014.  New Zealand’s OECD ranking on pricing improved.  On the other hand, New Zealand’s OECD ranking for popular $20 and $30 plans has fallen as prices in other jurisdictions have fallen relatively more than those in New Zealand.</w:t>
      </w:r>
    </w:p>
    <w:p w:rsidR="00562F4C" w:rsidRPr="00CA3DD6" w:rsidRDefault="00562F4C" w:rsidP="00CA3DD6">
      <w:pPr>
        <w:rPr>
          <w:rStyle w:val="Network-bodytext"/>
          <w:color w:val="7F7F7F" w:themeColor="text1" w:themeTint="80"/>
        </w:rPr>
      </w:pPr>
      <w:r w:rsidRPr="00CA3DD6">
        <w:rPr>
          <w:rStyle w:val="Network-bodytext"/>
          <w:color w:val="7F7F7F" w:themeColor="text1" w:themeTint="80"/>
        </w:rPr>
        <w:t>The CCNZ presents fixed-broadband pricing as being ‘more dispersed’.</w:t>
      </w:r>
      <w:r w:rsidR="00CA3DD6">
        <w:rPr>
          <w:rStyle w:val="Network-bodytext"/>
          <w:color w:val="7F7F7F" w:themeColor="text1" w:themeTint="80"/>
        </w:rPr>
        <w:t xml:space="preserve"> </w:t>
      </w:r>
      <w:r w:rsidRPr="00CA3DD6">
        <w:rPr>
          <w:rStyle w:val="Network-bodytext"/>
          <w:color w:val="7F7F7F" w:themeColor="text1" w:themeTint="80"/>
        </w:rPr>
        <w:t xml:space="preserve"> A 100GB data and voice bundle can be purchased for $75 a month, </w:t>
      </w:r>
      <w:r w:rsidR="00DC74D0">
        <w:rPr>
          <w:rStyle w:val="Network-bodytext"/>
          <w:color w:val="7F7F7F" w:themeColor="text1" w:themeTint="80"/>
        </w:rPr>
        <w:t>five</w:t>
      </w:r>
      <w:r w:rsidRPr="00CA3DD6">
        <w:rPr>
          <w:rStyle w:val="Network-bodytext"/>
          <w:color w:val="7F7F7F" w:themeColor="text1" w:themeTint="80"/>
        </w:rPr>
        <w:t xml:space="preserve"> per cent below the OECD average.</w:t>
      </w:r>
    </w:p>
    <w:p w:rsidR="00E67C1E" w:rsidRPr="00CA3DD6" w:rsidRDefault="00E67C1E" w:rsidP="00CA3DD6">
      <w:pPr>
        <w:rPr>
          <w:rStyle w:val="Network-bodytext"/>
          <w:color w:val="7F7F7F" w:themeColor="text1" w:themeTint="80"/>
        </w:rPr>
      </w:pPr>
    </w:p>
    <w:p w:rsidR="007C5040" w:rsidRPr="00CA3DD6" w:rsidRDefault="007C5040" w:rsidP="00CA3DD6">
      <w:pPr>
        <w:rPr>
          <w:rStyle w:val="Network-bodytext"/>
          <w:rFonts w:eastAsia="Calibri"/>
          <w:color w:val="7F7F7F" w:themeColor="text1" w:themeTint="80"/>
        </w:rPr>
      </w:pPr>
    </w:p>
    <w:p w:rsidR="00D20B25" w:rsidRPr="0099475D" w:rsidRDefault="00CE58F2" w:rsidP="00493D32">
      <w:pPr>
        <w:pStyle w:val="Heading2"/>
      </w:pPr>
      <w:r w:rsidRPr="003F65D3">
        <w:rPr>
          <w:i/>
        </w:rPr>
        <w:br w:type="page"/>
      </w:r>
      <w:r w:rsidR="00D20B25" w:rsidRPr="0099475D">
        <w:lastRenderedPageBreak/>
        <w:t>Regulatory News</w:t>
      </w:r>
    </w:p>
    <w:p w:rsidR="005E5762" w:rsidRPr="0099475D" w:rsidRDefault="005E5762" w:rsidP="005E5762">
      <w:pPr>
        <w:pStyle w:val="Heading3"/>
      </w:pPr>
      <w:r w:rsidRPr="0099475D">
        <w:t xml:space="preserve">The </w:t>
      </w:r>
      <w:r w:rsidR="00F93A52" w:rsidRPr="0099475D">
        <w:t>Seventeenth ACCC/AER Regulatory Conference, Brisbane, Thursday 4 and Friday 5 August 2016</w:t>
      </w:r>
      <w:r w:rsidRPr="0099475D">
        <w:t xml:space="preserve"> </w:t>
      </w:r>
    </w:p>
    <w:p w:rsidR="005E5762" w:rsidRPr="00CA3DD6" w:rsidRDefault="005E5762" w:rsidP="00FF4C51">
      <w:pPr>
        <w:rPr>
          <w:rStyle w:val="Network-bodytext"/>
          <w:rFonts w:eastAsia="Calibri"/>
          <w:color w:val="7F7F7F" w:themeColor="text1" w:themeTint="80"/>
        </w:rPr>
      </w:pPr>
      <w:r w:rsidRPr="00CA3DD6">
        <w:rPr>
          <w:rStyle w:val="Network-bodytext"/>
          <w:rFonts w:eastAsia="Calibri"/>
          <w:color w:val="7F7F7F" w:themeColor="text1" w:themeTint="80"/>
        </w:rPr>
        <w:t xml:space="preserve">The </w:t>
      </w:r>
      <w:r w:rsidR="00F93A52" w:rsidRPr="00CA3DD6">
        <w:rPr>
          <w:rStyle w:val="Network-bodytext"/>
          <w:rFonts w:eastAsia="Calibri"/>
          <w:color w:val="7F7F7F" w:themeColor="text1" w:themeTint="80"/>
        </w:rPr>
        <w:t>seventeenth annual ACCC/AER Regulatory Conference will be held in Brisbane on Thursday 4 and Friday 5 August 2016.  The theme of the conference this year is ‘The Future of Economic Regulation</w:t>
      </w:r>
      <w:r w:rsidR="00A457C8">
        <w:rPr>
          <w:rStyle w:val="Network-bodytext"/>
          <w:rFonts w:eastAsia="Calibri"/>
          <w:color w:val="7F7F7F" w:themeColor="text1" w:themeTint="80"/>
        </w:rPr>
        <w:t>:</w:t>
      </w:r>
      <w:r w:rsidR="00F93A52" w:rsidRPr="00CA3DD6">
        <w:rPr>
          <w:rStyle w:val="Network-bodytext"/>
          <w:rFonts w:eastAsia="Calibri"/>
          <w:color w:val="7F7F7F" w:themeColor="text1" w:themeTint="80"/>
        </w:rPr>
        <w:t xml:space="preserve"> Does the Conventional Wisdom Still Apply?’  </w:t>
      </w:r>
      <w:r w:rsidR="00B019DE" w:rsidRPr="00CA3DD6">
        <w:rPr>
          <w:rStyle w:val="Network-bodytext"/>
          <w:rFonts w:eastAsia="Calibri"/>
          <w:color w:val="7F7F7F" w:themeColor="text1" w:themeTint="80"/>
        </w:rPr>
        <w:t xml:space="preserve">A </w:t>
      </w:r>
      <w:hyperlink r:id="rId58" w:history="1">
        <w:r w:rsidR="00F11DE8" w:rsidRPr="00CA3DD6">
          <w:rPr>
            <w:rStyle w:val="Network-bodytext"/>
            <w:b/>
            <w:color w:val="7F7F7F" w:themeColor="text1" w:themeTint="80"/>
          </w:rPr>
          <w:t>draft program and details about how to register</w:t>
        </w:r>
      </w:hyperlink>
      <w:r w:rsidR="00B019DE" w:rsidRPr="00CA3DD6">
        <w:rPr>
          <w:rStyle w:val="Network-bodytext"/>
          <w:rFonts w:eastAsia="Calibri"/>
          <w:color w:val="7F7F7F" w:themeColor="text1" w:themeTint="80"/>
        </w:rPr>
        <w:t xml:space="preserve"> </w:t>
      </w:r>
      <w:r w:rsidR="0099475D" w:rsidRPr="00CA3DD6">
        <w:rPr>
          <w:rStyle w:val="Network-bodytext"/>
          <w:rFonts w:eastAsia="Calibri"/>
          <w:color w:val="7F7F7F" w:themeColor="text1" w:themeTint="80"/>
        </w:rPr>
        <w:t>ar</w:t>
      </w:r>
      <w:r w:rsidR="00B019DE" w:rsidRPr="00CA3DD6">
        <w:rPr>
          <w:rStyle w:val="Network-bodytext"/>
          <w:rFonts w:eastAsia="Calibri"/>
          <w:color w:val="7F7F7F" w:themeColor="text1" w:themeTint="80"/>
        </w:rPr>
        <w:t>e available on the ACCC website</w:t>
      </w:r>
      <w:r w:rsidR="00DB0E5C" w:rsidRPr="00CA3DD6">
        <w:rPr>
          <w:rStyle w:val="Network-bodytext"/>
          <w:rFonts w:eastAsia="Calibri"/>
          <w:color w:val="7F7F7F" w:themeColor="text1" w:themeTint="80"/>
        </w:rPr>
        <w:t>.</w:t>
      </w:r>
    </w:p>
    <w:p w:rsidR="00F93A52" w:rsidRPr="003F65D3" w:rsidRDefault="00F93A52" w:rsidP="00FF4C51">
      <w:pPr>
        <w:rPr>
          <w:bCs/>
          <w:i/>
          <w:kern w:val="36"/>
        </w:rPr>
      </w:pPr>
    </w:p>
    <w:p w:rsidR="00AD3C5D" w:rsidRPr="003F65D3" w:rsidRDefault="00AD3C5D" w:rsidP="003F4F8C">
      <w:pPr>
        <w:pStyle w:val="StyleGray-65LinespacingsinglePatternClearWhite"/>
        <w:rPr>
          <w:rStyle w:val="Network-bodytext"/>
          <w:i/>
        </w:rPr>
      </w:pPr>
    </w:p>
    <w:p w:rsidR="00E77FAD" w:rsidRPr="003F65D3" w:rsidRDefault="00E77FAD" w:rsidP="003F4F8C">
      <w:pPr>
        <w:pStyle w:val="StyleGray-65LinespacingsinglePatternClearWhite"/>
        <w:rPr>
          <w:rStyle w:val="Network-bodytext"/>
          <w:i/>
        </w:rPr>
      </w:pPr>
    </w:p>
    <w:p w:rsidR="0015784B" w:rsidRPr="003F4F8C" w:rsidRDefault="0015784B" w:rsidP="003F4F8C">
      <w:pPr>
        <w:pStyle w:val="StyleGray-65LinespacingsinglePatternClearWhite"/>
        <w:rPr>
          <w:rStyle w:val="Network-bodytext"/>
        </w:rPr>
      </w:pPr>
    </w:p>
    <w:p w:rsidR="00283099" w:rsidRPr="003F4F8C" w:rsidRDefault="00FB5C0E" w:rsidP="003F4F8C">
      <w:pPr>
        <w:pStyle w:val="StyleGray-65LinespacingsinglePatternClearWhite"/>
        <w:rPr>
          <w:rStyle w:val="Network-bodytext"/>
        </w:rPr>
      </w:pPr>
      <w:r>
        <w:rPr>
          <w:rStyle w:val="Network-bodytext"/>
        </w:rPr>
        <w:pict>
          <v:shape id="_x0000_s1482" type="#_x0000_t202" style="position:absolute;left:0;text-align:left;margin-left:1.7pt;margin-top:318.25pt;width:502.15pt;height:57.85pt;z-index:251659264" fillcolor="silver" strokecolor="#969696">
            <v:textbox style="mso-next-textbox:#_x0000_s1482">
              <w:txbxContent>
                <w:p w:rsidR="004547CD" w:rsidRPr="00656DCD" w:rsidRDefault="004547CD" w:rsidP="00AD3C5D">
                  <w:pPr>
                    <w:rPr>
                      <w:rStyle w:val="Network-bodytext"/>
                    </w:rPr>
                  </w:pPr>
                  <w:r w:rsidRPr="00AD3C5D">
                    <w:rPr>
                      <w:rStyle w:val="Network-bodytext"/>
                      <w:rFonts w:eastAsia="Calibri"/>
                      <w:i/>
                    </w:rPr>
                    <w:t>Network</w:t>
                  </w:r>
                  <w:r w:rsidRPr="00AD3C5D">
                    <w:rPr>
                      <w:rStyle w:val="Network-bodytext"/>
                      <w:rFonts w:eastAsia="Calibri"/>
                    </w:rPr>
                    <w:t xml:space="preserve"> is a quarterly publication of the Australian Competition and Consumer Commission for the Utility Regulators Forum.  For editorial enquiries please contact Rob Albon (</w:t>
                  </w:r>
                  <w:hyperlink r:id="rId59" w:history="1">
                    <w:r w:rsidRPr="00AD3C5D">
                      <w:rPr>
                        <w:rStyle w:val="Network-bodytext"/>
                        <w:rFonts w:eastAsia="Calibri"/>
                      </w:rPr>
                      <w:t>Robert.Albon@accc.gov.au</w:t>
                    </w:r>
                  </w:hyperlink>
                  <w:r w:rsidRPr="00AD3C5D">
                    <w:rPr>
                      <w:rStyle w:val="Network-bodytext"/>
                      <w:rFonts w:eastAsia="Calibri"/>
                    </w:rPr>
                    <w:t>) and for mailing list enquiries please contact Genevieve Pound (</w:t>
                  </w:r>
                  <w:hyperlink r:id="rId60" w:history="1">
                    <w:r w:rsidRPr="00AD3C5D">
                      <w:rPr>
                        <w:rStyle w:val="Network-bodytext"/>
                        <w:rFonts w:eastAsia="Calibri"/>
                      </w:rPr>
                      <w:t>Genevieve.Pound@accc.gov.au</w:t>
                    </w:r>
                  </w:hyperlink>
                  <w:r w:rsidRPr="00AD3C5D">
                    <w:rPr>
                      <w:rStyle w:val="Network-bodytext"/>
                      <w:rFonts w:eastAsia="Calibri"/>
                    </w:rPr>
                    <w:t>).</w:t>
                  </w:r>
                </w:p>
              </w:txbxContent>
            </v:textbox>
          </v:shape>
        </w:pict>
      </w:r>
    </w:p>
    <w:sectPr w:rsidR="00283099" w:rsidRPr="003F4F8C" w:rsidSect="00BD0BDF">
      <w:endnotePr>
        <w:numFmt w:val="decimal"/>
      </w:endnotePr>
      <w:pgSz w:w="11906" w:h="16838" w:code="9"/>
      <w:pgMar w:top="1985" w:right="851" w:bottom="1134" w:left="851" w:header="567" w:footer="567" w:gutter="0"/>
      <w:cols w:num="2" w:space="708" w:equalWidth="0">
        <w:col w:w="4748" w:space="708"/>
        <w:col w:w="4748"/>
      </w:cols>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7CD" w:rsidRDefault="004547CD">
      <w:r>
        <w:separator/>
      </w:r>
    </w:p>
  </w:endnote>
  <w:endnote w:type="continuationSeparator" w:id="0">
    <w:p w:rsidR="004547CD" w:rsidRDefault="00454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Default="004547CD" w:rsidP="003978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47CD" w:rsidRDefault="004547CD" w:rsidP="003978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Pr="00131260" w:rsidRDefault="004547CD" w:rsidP="00131260">
    <w:pPr>
      <w:pStyle w:val="Networkfooter"/>
      <w:jc w:val="center"/>
    </w:pPr>
    <w:r w:rsidRPr="00131260">
      <w:rPr>
        <w:rStyle w:val="PageNumber"/>
      </w:rPr>
      <w:fldChar w:fldCharType="begin"/>
    </w:r>
    <w:r w:rsidRPr="00131260">
      <w:rPr>
        <w:rStyle w:val="PageNumber"/>
      </w:rPr>
      <w:instrText xml:space="preserve">PAGE  </w:instrText>
    </w:r>
    <w:r w:rsidRPr="00131260">
      <w:rPr>
        <w:rStyle w:val="PageNumber"/>
      </w:rPr>
      <w:fldChar w:fldCharType="separate"/>
    </w:r>
    <w:r w:rsidR="00FB5C0E">
      <w:rPr>
        <w:rStyle w:val="PageNumber"/>
        <w:noProof/>
      </w:rPr>
      <w:t>8</w:t>
    </w:r>
    <w:r w:rsidRPr="00131260">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Pr="008A3430" w:rsidRDefault="004547CD" w:rsidP="006635DC">
    <w:pPr>
      <w:pStyle w:val="Networkfooter"/>
      <w:spacing w:before="0" w:after="0" w:line="240" w:lineRule="auto"/>
      <w:rPr>
        <w:color w:val="7F7F7F" w:themeColor="text1" w:themeTint="80"/>
      </w:rPr>
    </w:pPr>
    <w:r w:rsidRPr="008A3430">
      <w:rPr>
        <w:rStyle w:val="FootnoteReference"/>
        <w:color w:val="7F7F7F" w:themeColor="text1" w:themeTint="80"/>
        <w:vertAlign w:val="baseline"/>
      </w:rPr>
      <w:footnoteRef/>
    </w:r>
    <w:r w:rsidRPr="008A3430">
      <w:rPr>
        <w:color w:val="7F7F7F" w:themeColor="text1" w:themeTint="80"/>
      </w:rPr>
      <w:t xml:space="preserve"> </w:t>
    </w:r>
    <w:r w:rsidR="001B6833" w:rsidRPr="008A3430">
      <w:rPr>
        <w:color w:val="7F7F7F" w:themeColor="text1" w:themeTint="80"/>
      </w:rPr>
      <w:t>Tim Brennan is currently Professor, Public Policy and Economics, at the University of Maryland, Baltimore County; and Senior Fellow, Resources for the Future.  Other offices include: economist for the Antitrust Division of the US Department of Justice; senior economist with the White House Council of Economic Advisers; staff consultant to the director of the Bureau of Economics of the Federal Trade Commission; the TD MacDonald Chair in Industrial Economics at the Canadian Competition Bureau; and Chief Economist at the Federal Communications Commission.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Default="004547CD" w:rsidP="00131260">
    <w:pPr>
      <w:pStyle w:val="NetworkFooter0"/>
      <w:jc w:val="center"/>
    </w:pPr>
    <w:r>
      <w:fldChar w:fldCharType="begin"/>
    </w:r>
    <w:r>
      <w:instrText xml:space="preserve"> PAGE   \* MERGEFORMAT </w:instrText>
    </w:r>
    <w:r>
      <w:fldChar w:fldCharType="separate"/>
    </w:r>
    <w:r w:rsidR="00FB5C0E">
      <w:rPr>
        <w:noProof/>
      </w:rPr>
      <w:t>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Default="004547CD" w:rsidP="006A79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47CD" w:rsidRDefault="004547CD" w:rsidP="006A79E4">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Pr="00131260" w:rsidRDefault="004547CD" w:rsidP="00131260">
    <w:pPr>
      <w:pStyle w:val="Networkfooter"/>
      <w:jc w:val="center"/>
    </w:pPr>
    <w:r w:rsidRPr="00131260">
      <w:rPr>
        <w:rStyle w:val="PageNumber"/>
      </w:rPr>
      <w:fldChar w:fldCharType="begin"/>
    </w:r>
    <w:r w:rsidRPr="00131260">
      <w:rPr>
        <w:rStyle w:val="PageNumber"/>
      </w:rPr>
      <w:instrText xml:space="preserve">PAGE  </w:instrText>
    </w:r>
    <w:r w:rsidRPr="00131260">
      <w:rPr>
        <w:rStyle w:val="PageNumber"/>
      </w:rPr>
      <w:fldChar w:fldCharType="separate"/>
    </w:r>
    <w:r w:rsidR="00FB5C0E">
      <w:rPr>
        <w:rStyle w:val="PageNumber"/>
        <w:noProof/>
      </w:rPr>
      <w:t>20</w:t>
    </w:r>
    <w:r w:rsidRPr="0013126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7CD" w:rsidRDefault="004547CD">
      <w:r>
        <w:separator/>
      </w:r>
    </w:p>
  </w:footnote>
  <w:footnote w:type="continuationSeparator" w:id="0">
    <w:p w:rsidR="004547CD" w:rsidRDefault="004547CD">
      <w:r>
        <w:continuationSeparator/>
      </w:r>
    </w:p>
  </w:footnote>
  <w:footnote w:id="1">
    <w:p w:rsidR="001110D6" w:rsidRPr="008A3430" w:rsidRDefault="001110D6" w:rsidP="00C80317">
      <w:pPr>
        <w:pStyle w:val="Networkfooter"/>
        <w:spacing w:before="0" w:after="0" w:line="240" w:lineRule="auto"/>
        <w:rPr>
          <w:color w:val="7F7F7F" w:themeColor="text1" w:themeTint="80"/>
        </w:rPr>
      </w:pPr>
      <w:r w:rsidRPr="008A3430">
        <w:rPr>
          <w:rStyle w:val="FootnoteReference"/>
          <w:color w:val="7F7F7F" w:themeColor="text1" w:themeTint="80"/>
        </w:rPr>
        <w:footnoteRef/>
      </w:r>
      <w:r w:rsidRPr="008A3430">
        <w:rPr>
          <w:color w:val="7F7F7F" w:themeColor="text1" w:themeTint="80"/>
        </w:rPr>
        <w:t xml:space="preserve"> Brennan and Crew (2016) provide a formula for adjusting regulated prices in the face of declining demand, based on the elasticities of demand and of average cost.</w:t>
      </w:r>
    </w:p>
  </w:footnote>
  <w:footnote w:id="2">
    <w:p w:rsidR="001110D6" w:rsidRPr="00392528" w:rsidRDefault="001110D6" w:rsidP="00C80317">
      <w:pPr>
        <w:pStyle w:val="Networkfooter"/>
        <w:spacing w:before="0" w:after="0" w:line="240" w:lineRule="auto"/>
        <w:rPr>
          <w:color w:val="7F7F7F" w:themeColor="text1" w:themeTint="80"/>
        </w:rPr>
      </w:pPr>
      <w:r>
        <w:rPr>
          <w:rStyle w:val="FootnoteReference"/>
        </w:rPr>
        <w:footnoteRef/>
      </w:r>
      <w:r>
        <w:t xml:space="preserve"> </w:t>
      </w:r>
      <w:r w:rsidRPr="00392528">
        <w:rPr>
          <w:color w:val="7F7F7F" w:themeColor="text1" w:themeTint="80"/>
        </w:rPr>
        <w:t>http://www.</w:t>
      </w:r>
      <w:r w:rsidR="003C521B">
        <w:rPr>
          <w:color w:val="7F7F7F" w:themeColor="text1" w:themeTint="80"/>
        </w:rPr>
        <w:t>behavior</w:t>
      </w:r>
      <w:r w:rsidRPr="00392528">
        <w:rPr>
          <w:color w:val="7F7F7F" w:themeColor="text1" w:themeTint="80"/>
        </w:rPr>
        <w:t xml:space="preserve">alinsights.co.uk/.  It is also known as the “Nudge Unit,” </w:t>
      </w:r>
      <w:r w:rsidRPr="008A3430">
        <w:rPr>
          <w:color w:val="7F7F7F" w:themeColor="text1" w:themeTint="80"/>
        </w:rPr>
        <w:t>following</w:t>
      </w:r>
      <w:r w:rsidRPr="00392528">
        <w:rPr>
          <w:color w:val="7F7F7F" w:themeColor="text1" w:themeTint="80"/>
        </w:rPr>
        <w:t xml:space="preserve"> Thaler and Sunstein’s (2008) prominent book.  https://www.gov.uk/government/organisations/</w:t>
      </w:r>
      <w:r w:rsidR="003C521B">
        <w:rPr>
          <w:color w:val="7F7F7F" w:themeColor="text1" w:themeTint="80"/>
        </w:rPr>
        <w:t>behavior</w:t>
      </w:r>
      <w:r w:rsidRPr="00392528">
        <w:rPr>
          <w:color w:val="7F7F7F" w:themeColor="text1" w:themeTint="80"/>
        </w:rPr>
        <w:t xml:space="preserve">al-insights-team.  </w:t>
      </w:r>
    </w:p>
  </w:footnote>
  <w:footnote w:id="3">
    <w:p w:rsidR="001110D6" w:rsidRPr="00392528" w:rsidRDefault="001110D6" w:rsidP="00C80317">
      <w:pPr>
        <w:pStyle w:val="Networkfooter"/>
        <w:spacing w:before="0" w:after="0" w:line="240" w:lineRule="auto"/>
        <w:rPr>
          <w:color w:val="7F7F7F" w:themeColor="text1" w:themeTint="80"/>
          <w:lang w:val="en-AU"/>
        </w:rPr>
      </w:pPr>
      <w:r w:rsidRPr="00392528">
        <w:rPr>
          <w:rStyle w:val="FootnoteReference"/>
          <w:color w:val="7F7F7F" w:themeColor="text1" w:themeTint="80"/>
        </w:rPr>
        <w:footnoteRef/>
      </w:r>
      <w:r w:rsidRPr="00392528">
        <w:rPr>
          <w:color w:val="7F7F7F" w:themeColor="text1" w:themeTint="80"/>
        </w:rPr>
        <w:t xml:space="preserve"> </w:t>
      </w:r>
      <w:r w:rsidRPr="00392528">
        <w:rPr>
          <w:rFonts w:ascii="Calibri" w:hAnsi="Calibri" w:cs="Times New Roman"/>
          <w:bCs/>
          <w:color w:val="7F7F7F" w:themeColor="text1" w:themeTint="80"/>
          <w:kern w:val="36"/>
        </w:rPr>
        <w:t>https://sbst.gov/uploads/exec-order-signed.pdf</w:t>
      </w:r>
      <w:r w:rsidRPr="00392528">
        <w:rPr>
          <w:color w:val="7F7F7F" w:themeColor="text1" w:themeTint="80"/>
          <w:lang w:val="en-AU"/>
        </w:rPr>
        <w:t xml:space="preserve">.  Cass Sunstein, a prominent advocate of </w:t>
      </w:r>
      <w:r w:rsidR="003C521B">
        <w:rPr>
          <w:color w:val="7F7F7F" w:themeColor="text1" w:themeTint="80"/>
          <w:lang w:val="en-AU"/>
        </w:rPr>
        <w:t>behavior</w:t>
      </w:r>
      <w:r w:rsidRPr="00392528">
        <w:rPr>
          <w:color w:val="7F7F7F" w:themeColor="text1" w:themeTint="80"/>
          <w:lang w:val="en-AU"/>
        </w:rPr>
        <w:t xml:space="preserve">al economics, was the chief of the Office of Information and Regulatory Analysis, the chief regulatory oversight official in the Executive Office of the President.  </w:t>
      </w:r>
    </w:p>
  </w:footnote>
  <w:footnote w:id="4">
    <w:p w:rsidR="00155DD9" w:rsidRPr="00E015B5" w:rsidRDefault="00155DD9" w:rsidP="00155DD9">
      <w:pPr>
        <w:pStyle w:val="FootnoteText"/>
        <w:spacing w:before="0" w:after="0"/>
        <w:rPr>
          <w:color w:val="7F7F7F" w:themeColor="text1" w:themeTint="80"/>
        </w:rPr>
      </w:pPr>
      <w:r w:rsidRPr="00E015B5">
        <w:rPr>
          <w:rStyle w:val="FootnoteReference"/>
          <w:color w:val="7F7F7F" w:themeColor="text1" w:themeTint="80"/>
          <w:sz w:val="16"/>
          <w:szCs w:val="16"/>
        </w:rPr>
        <w:footnoteRef/>
      </w:r>
      <w:r w:rsidRPr="00E015B5">
        <w:rPr>
          <w:color w:val="7F7F7F" w:themeColor="text1" w:themeTint="80"/>
          <w:sz w:val="16"/>
          <w:szCs w:val="16"/>
        </w:rPr>
        <w:t>https://www.dpmc.gov.au/domestic-policy/</w:t>
      </w:r>
      <w:r w:rsidR="003C521B">
        <w:rPr>
          <w:color w:val="7F7F7F" w:themeColor="text1" w:themeTint="80"/>
          <w:sz w:val="16"/>
          <w:szCs w:val="16"/>
        </w:rPr>
        <w:t>behavio</w:t>
      </w:r>
      <w:r w:rsidRPr="00E015B5">
        <w:rPr>
          <w:color w:val="7F7F7F" w:themeColor="text1" w:themeTint="80"/>
          <w:sz w:val="16"/>
          <w:szCs w:val="16"/>
        </w:rPr>
        <w:t>ral-economics.</w:t>
      </w:r>
    </w:p>
  </w:footnote>
  <w:footnote w:id="5">
    <w:p w:rsidR="001110D6" w:rsidRPr="008A3430" w:rsidRDefault="001110D6" w:rsidP="00F129B3">
      <w:pPr>
        <w:pStyle w:val="Networkfooter"/>
        <w:spacing w:before="0" w:after="0" w:line="240" w:lineRule="auto"/>
        <w:rPr>
          <w:color w:val="7F7F7F" w:themeColor="text1" w:themeTint="80"/>
        </w:rPr>
      </w:pPr>
      <w:r w:rsidRPr="008A3430">
        <w:rPr>
          <w:rStyle w:val="FootnoteReference"/>
          <w:color w:val="7F7F7F" w:themeColor="text1" w:themeTint="80"/>
        </w:rPr>
        <w:footnoteRef/>
      </w:r>
      <w:r w:rsidRPr="008A3430">
        <w:rPr>
          <w:color w:val="7F7F7F" w:themeColor="text1" w:themeTint="80"/>
        </w:rPr>
        <w:t xml:space="preserve">http://wbi.worldbank.org/energy/Data/energy/files/Urban_Energy/SUEEP_Toolkit/Knowledge_Center/Stage_3/3_step8_agressivebut_slide11.pdf.  McKinsey (2008) has produced a qualitatively similar version for Australia.  </w:t>
      </w:r>
    </w:p>
  </w:footnote>
  <w:footnote w:id="6">
    <w:p w:rsidR="001110D6" w:rsidRPr="008A3430" w:rsidRDefault="001110D6" w:rsidP="00F129B3">
      <w:pPr>
        <w:pStyle w:val="Networkfooter"/>
        <w:spacing w:before="0" w:after="0" w:line="240" w:lineRule="auto"/>
        <w:rPr>
          <w:color w:val="7F7F7F" w:themeColor="text1" w:themeTint="80"/>
        </w:rPr>
      </w:pPr>
      <w:r w:rsidRPr="008A3430">
        <w:rPr>
          <w:rStyle w:val="FootnoteReference"/>
          <w:color w:val="7F7F7F" w:themeColor="text1" w:themeTint="80"/>
        </w:rPr>
        <w:footnoteRef/>
      </w:r>
      <w:r w:rsidRPr="008A3430">
        <w:rPr>
          <w:color w:val="7F7F7F" w:themeColor="text1" w:themeTint="80"/>
        </w:rPr>
        <w:t xml:space="preserve"> To put it another way, there are no $20 bills on the sidewalk because people use those to pay for the higher quality of service from less </w:t>
      </w:r>
      <w:r w:rsidR="00EB2840" w:rsidRPr="008A3430">
        <w:rPr>
          <w:color w:val="7F7F7F" w:themeColor="text1" w:themeTint="80"/>
        </w:rPr>
        <w:t>energy-effi</w:t>
      </w:r>
      <w:r w:rsidRPr="008A3430">
        <w:rPr>
          <w:color w:val="7F7F7F" w:themeColor="text1" w:themeTint="80"/>
        </w:rPr>
        <w:t>ciency equipment, be it incandescent bulbs relative to compact fluorescent lights or faster, heavier automobiles compared to lighter subcompacts.</w:t>
      </w:r>
    </w:p>
  </w:footnote>
  <w:footnote w:id="7">
    <w:p w:rsidR="001110D6" w:rsidRPr="008A3430" w:rsidRDefault="001110D6" w:rsidP="00F129B3">
      <w:pPr>
        <w:pStyle w:val="Networkfooter"/>
        <w:spacing w:before="0" w:after="0" w:line="240" w:lineRule="auto"/>
        <w:rPr>
          <w:color w:val="7F7F7F" w:themeColor="text1" w:themeTint="80"/>
        </w:rPr>
      </w:pPr>
      <w:r w:rsidRPr="008A3430">
        <w:rPr>
          <w:rStyle w:val="FootnoteReference"/>
          <w:color w:val="7F7F7F" w:themeColor="text1" w:themeTint="80"/>
        </w:rPr>
        <w:footnoteRef/>
      </w:r>
      <w:r w:rsidRPr="008A3430">
        <w:rPr>
          <w:color w:val="7F7F7F" w:themeColor="text1" w:themeTint="80"/>
        </w:rPr>
        <w:t xml:space="preserve"> In principle, the</w:t>
      </w:r>
      <w:r w:rsidR="006635DC" w:rsidRPr="008A3430">
        <w:rPr>
          <w:color w:val="7F7F7F" w:themeColor="text1" w:themeTint="80"/>
        </w:rPr>
        <w:t xml:space="preserve"> property owner could internalis</w:t>
      </w:r>
      <w:r w:rsidRPr="008A3430">
        <w:rPr>
          <w:color w:val="7F7F7F" w:themeColor="text1" w:themeTint="80"/>
        </w:rPr>
        <w:t xml:space="preserve">e the incentive by purchasing the </w:t>
      </w:r>
      <w:r w:rsidR="00EB2840" w:rsidRPr="008A3430">
        <w:rPr>
          <w:color w:val="7F7F7F" w:themeColor="text1" w:themeTint="80"/>
        </w:rPr>
        <w:t>energy-effi</w:t>
      </w:r>
      <w:r w:rsidRPr="008A3430">
        <w:rPr>
          <w:color w:val="7F7F7F" w:themeColor="text1" w:themeTint="80"/>
        </w:rPr>
        <w:t>cient appliances and pay the electricity bill (</w:t>
      </w:r>
      <w:r w:rsidR="00392528" w:rsidRPr="008A3430">
        <w:rPr>
          <w:color w:val="7F7F7F" w:themeColor="text1" w:themeTint="80"/>
        </w:rPr>
        <w:t>‘</w:t>
      </w:r>
      <w:r w:rsidRPr="008A3430">
        <w:rPr>
          <w:color w:val="7F7F7F" w:themeColor="text1" w:themeTint="80"/>
        </w:rPr>
        <w:t>rent includes utilities</w:t>
      </w:r>
      <w:r w:rsidR="00392528" w:rsidRPr="008A3430">
        <w:rPr>
          <w:color w:val="7F7F7F" w:themeColor="text1" w:themeTint="80"/>
        </w:rPr>
        <w:t>’</w:t>
      </w:r>
      <w:r w:rsidRPr="008A3430">
        <w:rPr>
          <w:color w:val="7F7F7F" w:themeColor="text1" w:themeTint="80"/>
        </w:rPr>
        <w:t xml:space="preserve">). </w:t>
      </w:r>
      <w:r w:rsidR="008A3430">
        <w:rPr>
          <w:color w:val="7F7F7F" w:themeColor="text1" w:themeTint="80"/>
        </w:rPr>
        <w:t xml:space="preserve"> </w:t>
      </w:r>
      <w:r w:rsidRPr="008A3430">
        <w:rPr>
          <w:color w:val="7F7F7F" w:themeColor="text1" w:themeTint="80"/>
        </w:rPr>
        <w:t xml:space="preserve">However, if the property owner pays the electric bill, tenants will have incentives to use the appliances too much, particular cooling in the summer and heating in the winter.  This would lead to an outcome in which the property owners invests more in energy-efficiency than is optimal and charges rents large enough to cover those costs as well as the cost of energy by tenants who act as if it is free.  </w:t>
      </w:r>
    </w:p>
  </w:footnote>
  <w:footnote w:id="8">
    <w:p w:rsidR="001110D6" w:rsidRPr="008A3430" w:rsidRDefault="001110D6" w:rsidP="00F129B3">
      <w:pPr>
        <w:pStyle w:val="Networkfooter"/>
        <w:spacing w:before="0" w:after="0" w:line="240" w:lineRule="auto"/>
        <w:rPr>
          <w:color w:val="7F7F7F" w:themeColor="text1" w:themeTint="80"/>
        </w:rPr>
      </w:pPr>
      <w:r w:rsidRPr="008A3430">
        <w:rPr>
          <w:rStyle w:val="FootnoteReference"/>
          <w:color w:val="7F7F7F" w:themeColor="text1" w:themeTint="80"/>
        </w:rPr>
        <w:footnoteRef/>
      </w:r>
      <w:r w:rsidRPr="008A3430">
        <w:rPr>
          <w:color w:val="7F7F7F" w:themeColor="text1" w:themeTint="80"/>
        </w:rPr>
        <w:t xml:space="preserve"> The most compelling example may be that one values an expected saving of a life from an environmental or safety regulation by how much people are observed to pay for safety equipment or give up to avoid a dangerous job that would reduce risk in such a way to avoid one death on average.  </w:t>
      </w:r>
    </w:p>
  </w:footnote>
  <w:footnote w:id="9">
    <w:p w:rsidR="001110D6" w:rsidRPr="008A3430" w:rsidRDefault="001110D6" w:rsidP="00F129B3">
      <w:pPr>
        <w:pStyle w:val="Networkfooter"/>
        <w:spacing w:before="0" w:after="0" w:line="240" w:lineRule="auto"/>
        <w:rPr>
          <w:color w:val="7F7F7F" w:themeColor="text1" w:themeTint="80"/>
        </w:rPr>
      </w:pPr>
      <w:r w:rsidRPr="008A3430">
        <w:rPr>
          <w:rStyle w:val="FootnoteReference"/>
          <w:color w:val="7F7F7F" w:themeColor="text1" w:themeTint="80"/>
        </w:rPr>
        <w:footnoteRef/>
      </w:r>
      <w:r w:rsidRPr="008A3430">
        <w:rPr>
          <w:color w:val="7F7F7F" w:themeColor="text1" w:themeTint="80"/>
        </w:rPr>
        <w:t xml:space="preserve"> Zivin, Kotchen and Mansur (2014) f</w:t>
      </w:r>
      <w:r w:rsidR="00F129B3" w:rsidRPr="008A3430">
        <w:rPr>
          <w:color w:val="7F7F7F" w:themeColor="text1" w:themeTint="80"/>
        </w:rPr>
        <w:t>ound that in the middle of the U</w:t>
      </w:r>
      <w:r w:rsidRPr="008A3430">
        <w:rPr>
          <w:color w:val="7F7F7F" w:themeColor="text1" w:themeTint="80"/>
        </w:rPr>
        <w:t xml:space="preserve">S where coal generation is prominent, an electric car charged at night has greater emissions than the average car.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Default="004547CD">
    <w:r>
      <w:rPr>
        <w:noProof/>
      </w:rPr>
      <w:drawing>
        <wp:anchor distT="0" distB="0" distL="114300" distR="114300" simplePos="0" relativeHeight="251657728" behindDoc="1" locked="0" layoutInCell="1" allowOverlap="0" wp14:anchorId="4629CAA1" wp14:editId="4C4F574F">
          <wp:simplePos x="0" y="0"/>
          <wp:positionH relativeFrom="page">
            <wp:posOffset>-31115</wp:posOffset>
          </wp:positionH>
          <wp:positionV relativeFrom="page">
            <wp:posOffset>-76835</wp:posOffset>
          </wp:positionV>
          <wp:extent cx="7628255" cy="889635"/>
          <wp:effectExtent l="19050" t="0" r="0" b="0"/>
          <wp:wrapNone/>
          <wp:docPr id="5" name="Picture 5" descr="Network_v1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_v1_p2"/>
                  <pic:cNvPicPr>
                    <a:picLocks noChangeAspect="1" noChangeArrowheads="1"/>
                  </pic:cNvPicPr>
                </pic:nvPicPr>
                <pic:blipFill>
                  <a:blip r:embed="rId1"/>
                  <a:srcRect/>
                  <a:stretch>
                    <a:fillRect/>
                  </a:stretch>
                </pic:blipFill>
                <pic:spPr bwMode="auto">
                  <a:xfrm>
                    <a:off x="0" y="0"/>
                    <a:ext cx="7628255" cy="88963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Default="004547CD">
    <w:pPr>
      <w:pStyle w:val="Header"/>
    </w:pPr>
    <w:r>
      <w:rPr>
        <w:noProof/>
      </w:rPr>
      <w:drawing>
        <wp:anchor distT="0" distB="0" distL="114300" distR="114300" simplePos="0" relativeHeight="251656704" behindDoc="1" locked="0" layoutInCell="1" allowOverlap="0" wp14:anchorId="1AD53CDB" wp14:editId="018C5828">
          <wp:simplePos x="0" y="0"/>
          <wp:positionH relativeFrom="page">
            <wp:posOffset>-31115</wp:posOffset>
          </wp:positionH>
          <wp:positionV relativeFrom="page">
            <wp:posOffset>-76835</wp:posOffset>
          </wp:positionV>
          <wp:extent cx="7626985" cy="1790065"/>
          <wp:effectExtent l="19050" t="0" r="0" b="0"/>
          <wp:wrapNone/>
          <wp:docPr id="6" name="Picture 6" descr="Networ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_v1"/>
                  <pic:cNvPicPr>
                    <a:picLocks noChangeAspect="1" noChangeArrowheads="1"/>
                  </pic:cNvPicPr>
                </pic:nvPicPr>
                <pic:blipFill>
                  <a:blip r:embed="rId1"/>
                  <a:srcRect/>
                  <a:stretch>
                    <a:fillRect/>
                  </a:stretch>
                </pic:blipFill>
                <pic:spPr bwMode="auto">
                  <a:xfrm>
                    <a:off x="0" y="0"/>
                    <a:ext cx="7626985" cy="179006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CD" w:rsidRDefault="00FB5C0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2.45pt;margin-top:-6.05pt;width:600.65pt;height:70.05pt;z-index:-251657728;mso-position-horizontal-relative:page;mso-position-vertical-relative:page" o:allowoverlap="f">
          <v:imagedata r:id="rId1" o:title="Network_v1_p2"/>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6845"/>
    <w:multiLevelType w:val="hybridMultilevel"/>
    <w:tmpl w:val="F4B2E496"/>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D2542B"/>
    <w:multiLevelType w:val="hybridMultilevel"/>
    <w:tmpl w:val="7C60E1FC"/>
    <w:lvl w:ilvl="0" w:tplc="021E8868">
      <w:start w:val="1"/>
      <w:numFmt w:val="decimal"/>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E4066C6"/>
    <w:multiLevelType w:val="multilevel"/>
    <w:tmpl w:val="2198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13D85"/>
    <w:multiLevelType w:val="hybridMultilevel"/>
    <w:tmpl w:val="D6FE52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nsid w:val="14EE2E29"/>
    <w:multiLevelType w:val="multilevel"/>
    <w:tmpl w:val="4922F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179025BA"/>
    <w:multiLevelType w:val="hybridMultilevel"/>
    <w:tmpl w:val="747E99C2"/>
    <w:lvl w:ilvl="0" w:tplc="2C5057B6">
      <w:start w:val="1"/>
      <w:numFmt w:val="bullet"/>
      <w:pStyle w:val="ListBullet3"/>
      <w:lvlText w:val=""/>
      <w:lvlJc w:val="left"/>
      <w:pPr>
        <w:ind w:left="1080" w:hanging="360"/>
      </w:pPr>
      <w:rPr>
        <w:rFonts w:ascii="Symbol" w:hAnsi="Symbol" w:hint="default"/>
        <w:sz w:val="22"/>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nsid w:val="1D5F6DFD"/>
    <w:multiLevelType w:val="hybridMultilevel"/>
    <w:tmpl w:val="A2868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E275AFA"/>
    <w:multiLevelType w:val="hybridMultilevel"/>
    <w:tmpl w:val="F104E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E9D6BEF"/>
    <w:multiLevelType w:val="hybridMultilevel"/>
    <w:tmpl w:val="D7FEDB62"/>
    <w:lvl w:ilvl="0" w:tplc="85AC7A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52677D"/>
    <w:multiLevelType w:val="hybridMultilevel"/>
    <w:tmpl w:val="F9003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1">
    <w:nsid w:val="310259DF"/>
    <w:multiLevelType w:val="hybridMultilevel"/>
    <w:tmpl w:val="180C05EA"/>
    <w:lvl w:ilvl="0" w:tplc="1B3296E0">
      <w:start w:val="1"/>
      <w:numFmt w:val="bullet"/>
      <w:lvlText w:val="-"/>
      <w:lvlJc w:val="left"/>
      <w:pPr>
        <w:tabs>
          <w:tab w:val="num" w:pos="720"/>
        </w:tabs>
        <w:ind w:left="720" w:hanging="360"/>
      </w:pPr>
      <w:rPr>
        <w:rFonts w:ascii="Times" w:hAnsi="Times" w:hint="default"/>
      </w:rPr>
    </w:lvl>
    <w:lvl w:ilvl="1" w:tplc="8ACAEBBE" w:tentative="1">
      <w:start w:val="1"/>
      <w:numFmt w:val="bullet"/>
      <w:lvlText w:val="-"/>
      <w:lvlJc w:val="left"/>
      <w:pPr>
        <w:tabs>
          <w:tab w:val="num" w:pos="1440"/>
        </w:tabs>
        <w:ind w:left="1440" w:hanging="360"/>
      </w:pPr>
      <w:rPr>
        <w:rFonts w:ascii="Times" w:hAnsi="Times" w:hint="default"/>
      </w:rPr>
    </w:lvl>
    <w:lvl w:ilvl="2" w:tplc="904C544C" w:tentative="1">
      <w:start w:val="1"/>
      <w:numFmt w:val="bullet"/>
      <w:lvlText w:val="-"/>
      <w:lvlJc w:val="left"/>
      <w:pPr>
        <w:tabs>
          <w:tab w:val="num" w:pos="2160"/>
        </w:tabs>
        <w:ind w:left="2160" w:hanging="360"/>
      </w:pPr>
      <w:rPr>
        <w:rFonts w:ascii="Times" w:hAnsi="Times" w:hint="default"/>
      </w:rPr>
    </w:lvl>
    <w:lvl w:ilvl="3" w:tplc="81F4F868" w:tentative="1">
      <w:start w:val="1"/>
      <w:numFmt w:val="bullet"/>
      <w:lvlText w:val="-"/>
      <w:lvlJc w:val="left"/>
      <w:pPr>
        <w:tabs>
          <w:tab w:val="num" w:pos="2880"/>
        </w:tabs>
        <w:ind w:left="2880" w:hanging="360"/>
      </w:pPr>
      <w:rPr>
        <w:rFonts w:ascii="Times" w:hAnsi="Times" w:hint="default"/>
      </w:rPr>
    </w:lvl>
    <w:lvl w:ilvl="4" w:tplc="5DA8536E" w:tentative="1">
      <w:start w:val="1"/>
      <w:numFmt w:val="bullet"/>
      <w:lvlText w:val="-"/>
      <w:lvlJc w:val="left"/>
      <w:pPr>
        <w:tabs>
          <w:tab w:val="num" w:pos="3600"/>
        </w:tabs>
        <w:ind w:left="3600" w:hanging="360"/>
      </w:pPr>
      <w:rPr>
        <w:rFonts w:ascii="Times" w:hAnsi="Times" w:hint="default"/>
      </w:rPr>
    </w:lvl>
    <w:lvl w:ilvl="5" w:tplc="008EC7F0" w:tentative="1">
      <w:start w:val="1"/>
      <w:numFmt w:val="bullet"/>
      <w:lvlText w:val="-"/>
      <w:lvlJc w:val="left"/>
      <w:pPr>
        <w:tabs>
          <w:tab w:val="num" w:pos="4320"/>
        </w:tabs>
        <w:ind w:left="4320" w:hanging="360"/>
      </w:pPr>
      <w:rPr>
        <w:rFonts w:ascii="Times" w:hAnsi="Times" w:hint="default"/>
      </w:rPr>
    </w:lvl>
    <w:lvl w:ilvl="6" w:tplc="F7B80182" w:tentative="1">
      <w:start w:val="1"/>
      <w:numFmt w:val="bullet"/>
      <w:lvlText w:val="-"/>
      <w:lvlJc w:val="left"/>
      <w:pPr>
        <w:tabs>
          <w:tab w:val="num" w:pos="5040"/>
        </w:tabs>
        <w:ind w:left="5040" w:hanging="360"/>
      </w:pPr>
      <w:rPr>
        <w:rFonts w:ascii="Times" w:hAnsi="Times" w:hint="default"/>
      </w:rPr>
    </w:lvl>
    <w:lvl w:ilvl="7" w:tplc="35708F4E" w:tentative="1">
      <w:start w:val="1"/>
      <w:numFmt w:val="bullet"/>
      <w:lvlText w:val="-"/>
      <w:lvlJc w:val="left"/>
      <w:pPr>
        <w:tabs>
          <w:tab w:val="num" w:pos="5760"/>
        </w:tabs>
        <w:ind w:left="5760" w:hanging="360"/>
      </w:pPr>
      <w:rPr>
        <w:rFonts w:ascii="Times" w:hAnsi="Times" w:hint="default"/>
      </w:rPr>
    </w:lvl>
    <w:lvl w:ilvl="8" w:tplc="4BDC9590" w:tentative="1">
      <w:start w:val="1"/>
      <w:numFmt w:val="bullet"/>
      <w:lvlText w:val="-"/>
      <w:lvlJc w:val="left"/>
      <w:pPr>
        <w:tabs>
          <w:tab w:val="num" w:pos="6480"/>
        </w:tabs>
        <w:ind w:left="6480" w:hanging="360"/>
      </w:pPr>
      <w:rPr>
        <w:rFonts w:ascii="Times" w:hAnsi="Times" w:hint="default"/>
      </w:rPr>
    </w:lvl>
  </w:abstractNum>
  <w:abstractNum w:abstractNumId="12">
    <w:nsid w:val="33352FA9"/>
    <w:multiLevelType w:val="hybridMultilevel"/>
    <w:tmpl w:val="F9C0EAB6"/>
    <w:lvl w:ilvl="0" w:tplc="C7EAF36C">
      <w:start w:val="1"/>
      <w:numFmt w:val="bullet"/>
      <w:pStyle w:val="ListBullet"/>
      <w:lvlText w:val=""/>
      <w:lvlJc w:val="left"/>
      <w:pPr>
        <w:ind w:left="360" w:hanging="360"/>
      </w:pPr>
      <w:rPr>
        <w:rFonts w:ascii="Symbol" w:hAnsi="Symbol" w:hint="default"/>
        <w:sz w:val="22"/>
      </w:rPr>
    </w:lvl>
    <w:lvl w:ilvl="1" w:tplc="0C090003" w:tentative="1">
      <w:start w:val="1"/>
      <w:numFmt w:val="bullet"/>
      <w:lvlText w:val="o"/>
      <w:lvlJc w:val="left"/>
      <w:pPr>
        <w:tabs>
          <w:tab w:val="num" w:pos="723"/>
        </w:tabs>
        <w:ind w:left="723" w:hanging="360"/>
      </w:pPr>
      <w:rPr>
        <w:rFonts w:ascii="Courier New" w:hAnsi="Courier New" w:cs="Courier New" w:hint="default"/>
      </w:rPr>
    </w:lvl>
    <w:lvl w:ilvl="2" w:tplc="0C090005" w:tentative="1">
      <w:start w:val="1"/>
      <w:numFmt w:val="bullet"/>
      <w:lvlText w:val=""/>
      <w:lvlJc w:val="left"/>
      <w:pPr>
        <w:tabs>
          <w:tab w:val="num" w:pos="1443"/>
        </w:tabs>
        <w:ind w:left="1443" w:hanging="360"/>
      </w:pPr>
      <w:rPr>
        <w:rFonts w:ascii="Wingdings" w:hAnsi="Wingdings" w:hint="default"/>
      </w:rPr>
    </w:lvl>
    <w:lvl w:ilvl="3" w:tplc="0C090001" w:tentative="1">
      <w:start w:val="1"/>
      <w:numFmt w:val="bullet"/>
      <w:lvlText w:val=""/>
      <w:lvlJc w:val="left"/>
      <w:pPr>
        <w:tabs>
          <w:tab w:val="num" w:pos="2163"/>
        </w:tabs>
        <w:ind w:left="2163" w:hanging="360"/>
      </w:pPr>
      <w:rPr>
        <w:rFonts w:ascii="Symbol" w:hAnsi="Symbol" w:hint="default"/>
      </w:rPr>
    </w:lvl>
    <w:lvl w:ilvl="4" w:tplc="0C090003" w:tentative="1">
      <w:start w:val="1"/>
      <w:numFmt w:val="bullet"/>
      <w:lvlText w:val="o"/>
      <w:lvlJc w:val="left"/>
      <w:pPr>
        <w:tabs>
          <w:tab w:val="num" w:pos="2883"/>
        </w:tabs>
        <w:ind w:left="2883" w:hanging="360"/>
      </w:pPr>
      <w:rPr>
        <w:rFonts w:ascii="Courier New" w:hAnsi="Courier New" w:cs="Courier New" w:hint="default"/>
      </w:rPr>
    </w:lvl>
    <w:lvl w:ilvl="5" w:tplc="0C090005" w:tentative="1">
      <w:start w:val="1"/>
      <w:numFmt w:val="bullet"/>
      <w:lvlText w:val=""/>
      <w:lvlJc w:val="left"/>
      <w:pPr>
        <w:tabs>
          <w:tab w:val="num" w:pos="3603"/>
        </w:tabs>
        <w:ind w:left="3603" w:hanging="360"/>
      </w:pPr>
      <w:rPr>
        <w:rFonts w:ascii="Wingdings" w:hAnsi="Wingdings" w:hint="default"/>
      </w:rPr>
    </w:lvl>
    <w:lvl w:ilvl="6" w:tplc="0C090001" w:tentative="1">
      <w:start w:val="1"/>
      <w:numFmt w:val="bullet"/>
      <w:lvlText w:val=""/>
      <w:lvlJc w:val="left"/>
      <w:pPr>
        <w:tabs>
          <w:tab w:val="num" w:pos="4323"/>
        </w:tabs>
        <w:ind w:left="4323" w:hanging="360"/>
      </w:pPr>
      <w:rPr>
        <w:rFonts w:ascii="Symbol" w:hAnsi="Symbol" w:hint="default"/>
      </w:rPr>
    </w:lvl>
    <w:lvl w:ilvl="7" w:tplc="0C090003" w:tentative="1">
      <w:start w:val="1"/>
      <w:numFmt w:val="bullet"/>
      <w:lvlText w:val="o"/>
      <w:lvlJc w:val="left"/>
      <w:pPr>
        <w:tabs>
          <w:tab w:val="num" w:pos="5043"/>
        </w:tabs>
        <w:ind w:left="5043" w:hanging="360"/>
      </w:pPr>
      <w:rPr>
        <w:rFonts w:ascii="Courier New" w:hAnsi="Courier New" w:cs="Courier New" w:hint="default"/>
      </w:rPr>
    </w:lvl>
    <w:lvl w:ilvl="8" w:tplc="0C090005" w:tentative="1">
      <w:start w:val="1"/>
      <w:numFmt w:val="bullet"/>
      <w:lvlText w:val=""/>
      <w:lvlJc w:val="left"/>
      <w:pPr>
        <w:tabs>
          <w:tab w:val="num" w:pos="5763"/>
        </w:tabs>
        <w:ind w:left="5763" w:hanging="360"/>
      </w:pPr>
      <w:rPr>
        <w:rFonts w:ascii="Wingdings" w:hAnsi="Wingdings" w:hint="default"/>
      </w:rPr>
    </w:lvl>
  </w:abstractNum>
  <w:abstractNum w:abstractNumId="13">
    <w:nsid w:val="33B618D8"/>
    <w:multiLevelType w:val="hybridMultilevel"/>
    <w:tmpl w:val="AC52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764433"/>
    <w:multiLevelType w:val="hybridMultilevel"/>
    <w:tmpl w:val="2AEE701E"/>
    <w:lvl w:ilvl="0" w:tplc="74F6A0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AA2E58"/>
    <w:multiLevelType w:val="hybridMultilevel"/>
    <w:tmpl w:val="59B4B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4B84586"/>
    <w:multiLevelType w:val="hybridMultilevel"/>
    <w:tmpl w:val="CE8A42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8B5413F"/>
    <w:multiLevelType w:val="multilevel"/>
    <w:tmpl w:val="A2F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0B3EC2"/>
    <w:multiLevelType w:val="hybridMultilevel"/>
    <w:tmpl w:val="27C875BC"/>
    <w:lvl w:ilvl="0" w:tplc="CA7A2F2C">
      <w:start w:val="1"/>
      <w:numFmt w:val="decimal"/>
      <w:lvlText w:val="%1."/>
      <w:lvlJc w:val="left"/>
      <w:pPr>
        <w:ind w:left="1080" w:hanging="360"/>
      </w:pPr>
      <w:rPr>
        <w:rFonts w:eastAsiaTheme="minorEastAsia" w:hint="default"/>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3F4461BB"/>
    <w:multiLevelType w:val="multilevel"/>
    <w:tmpl w:val="1FC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C32920"/>
    <w:multiLevelType w:val="multilevel"/>
    <w:tmpl w:val="5AEEB1E0"/>
    <w:lvl w:ilvl="0">
      <w:start w:val="1"/>
      <w:numFmt w:val="lowerLetter"/>
      <w:pStyle w:val="ListNumber"/>
      <w:lvlText w:val="%1)"/>
      <w:lvlJc w:val="left"/>
      <w:pPr>
        <w:tabs>
          <w:tab w:val="num" w:pos="566"/>
        </w:tabs>
        <w:ind w:left="566" w:hanging="567"/>
      </w:pPr>
      <w:rPr>
        <w:rFonts w:hint="default"/>
      </w:rPr>
    </w:lvl>
    <w:lvl w:ilvl="1">
      <w:start w:val="1"/>
      <w:numFmt w:val="lowerLetter"/>
      <w:pStyle w:val="List2"/>
      <w:lvlText w:val="(%2)"/>
      <w:lvlJc w:val="left"/>
      <w:pPr>
        <w:tabs>
          <w:tab w:val="num" w:pos="1133"/>
        </w:tabs>
        <w:ind w:left="1133" w:hanging="567"/>
      </w:pPr>
      <w:rPr>
        <w:rFonts w:hint="default"/>
      </w:rPr>
    </w:lvl>
    <w:lvl w:ilvl="2">
      <w:start w:val="1"/>
      <w:numFmt w:val="lowerRoman"/>
      <w:pStyle w:val="ListNumber3"/>
      <w:lvlText w:val="(%3)"/>
      <w:lvlJc w:val="left"/>
      <w:pPr>
        <w:tabs>
          <w:tab w:val="num" w:pos="1700"/>
        </w:tabs>
        <w:ind w:left="1701" w:hanging="568"/>
      </w:pPr>
      <w:rPr>
        <w:rFonts w:hint="default"/>
      </w:rPr>
    </w:lvl>
    <w:lvl w:ilvl="3">
      <w:start w:val="1"/>
      <w:numFmt w:val="none"/>
      <w:lvlText w:val="(%4)"/>
      <w:lvlJc w:val="left"/>
      <w:pPr>
        <w:tabs>
          <w:tab w:val="num" w:pos="1439"/>
        </w:tabs>
        <w:ind w:left="1439" w:hanging="360"/>
      </w:pPr>
      <w:rPr>
        <w:rFonts w:hint="default"/>
      </w:rPr>
    </w:lvl>
    <w:lvl w:ilvl="4">
      <w:start w:val="1"/>
      <w:numFmt w:val="none"/>
      <w:lvlText w:val="(%5)"/>
      <w:lvlJc w:val="left"/>
      <w:pPr>
        <w:tabs>
          <w:tab w:val="num" w:pos="1799"/>
        </w:tabs>
        <w:ind w:left="1799" w:hanging="360"/>
      </w:pPr>
      <w:rPr>
        <w:rFonts w:hint="default"/>
      </w:rPr>
    </w:lvl>
    <w:lvl w:ilvl="5">
      <w:start w:val="1"/>
      <w:numFmt w:val="none"/>
      <w:lvlText w:val="(%6)"/>
      <w:lvlJc w:val="left"/>
      <w:pPr>
        <w:tabs>
          <w:tab w:val="num" w:pos="2159"/>
        </w:tabs>
        <w:ind w:left="2159" w:hanging="360"/>
      </w:pPr>
      <w:rPr>
        <w:rFonts w:hint="default"/>
      </w:rPr>
    </w:lvl>
    <w:lvl w:ilvl="6">
      <w:start w:val="1"/>
      <w:numFmt w:val="none"/>
      <w:lvlText w:val="%7."/>
      <w:lvlJc w:val="left"/>
      <w:pPr>
        <w:tabs>
          <w:tab w:val="num" w:pos="2519"/>
        </w:tabs>
        <w:ind w:left="2519" w:hanging="360"/>
      </w:pPr>
      <w:rPr>
        <w:rFonts w:hint="default"/>
      </w:rPr>
    </w:lvl>
    <w:lvl w:ilvl="7">
      <w:start w:val="1"/>
      <w:numFmt w:val="none"/>
      <w:lvlText w:val="%8."/>
      <w:lvlJc w:val="left"/>
      <w:pPr>
        <w:tabs>
          <w:tab w:val="num" w:pos="2879"/>
        </w:tabs>
        <w:ind w:left="2879" w:hanging="360"/>
      </w:pPr>
      <w:rPr>
        <w:rFonts w:hint="default"/>
      </w:rPr>
    </w:lvl>
    <w:lvl w:ilvl="8">
      <w:start w:val="1"/>
      <w:numFmt w:val="none"/>
      <w:lvlText w:val="%9."/>
      <w:lvlJc w:val="left"/>
      <w:pPr>
        <w:tabs>
          <w:tab w:val="num" w:pos="3239"/>
        </w:tabs>
        <w:ind w:left="3239" w:hanging="360"/>
      </w:pPr>
      <w:rPr>
        <w:rFonts w:hint="default"/>
      </w:rPr>
    </w:lvl>
  </w:abstractNum>
  <w:abstractNum w:abstractNumId="21">
    <w:nsid w:val="41F21260"/>
    <w:multiLevelType w:val="hybridMultilevel"/>
    <w:tmpl w:val="D46A95DE"/>
    <w:lvl w:ilvl="0" w:tplc="A976B9F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6061A8"/>
    <w:multiLevelType w:val="hybridMultilevel"/>
    <w:tmpl w:val="5FA21C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9C01B22"/>
    <w:multiLevelType w:val="hybridMultilevel"/>
    <w:tmpl w:val="883CFB06"/>
    <w:lvl w:ilvl="0" w:tplc="D046B55A">
      <w:start w:val="1"/>
      <w:numFmt w:val="bullet"/>
      <w:pStyle w:val="ListBullet2"/>
      <w:lvlText w:val=""/>
      <w:lvlJc w:val="left"/>
      <w:pPr>
        <w:ind w:left="717" w:hanging="360"/>
      </w:pPr>
      <w:rPr>
        <w:rFonts w:ascii="Symbol" w:hAnsi="Symbol" w:hint="default"/>
        <w:sz w:val="22"/>
      </w:rPr>
    </w:lvl>
    <w:lvl w:ilvl="1" w:tplc="BF56E6CC" w:tentative="1">
      <w:start w:val="1"/>
      <w:numFmt w:val="bullet"/>
      <w:lvlText w:val="o"/>
      <w:lvlJc w:val="left"/>
      <w:pPr>
        <w:tabs>
          <w:tab w:val="num" w:pos="1800"/>
        </w:tabs>
        <w:ind w:left="1800" w:hanging="360"/>
      </w:pPr>
      <w:rPr>
        <w:rFonts w:ascii="Courier New" w:hAnsi="Courier New" w:cs="Courier New" w:hint="default"/>
      </w:rPr>
    </w:lvl>
    <w:lvl w:ilvl="2" w:tplc="D83054AA" w:tentative="1">
      <w:start w:val="1"/>
      <w:numFmt w:val="bullet"/>
      <w:lvlText w:val=""/>
      <w:lvlJc w:val="left"/>
      <w:pPr>
        <w:tabs>
          <w:tab w:val="num" w:pos="2520"/>
        </w:tabs>
        <w:ind w:left="2520" w:hanging="360"/>
      </w:pPr>
      <w:rPr>
        <w:rFonts w:ascii="Wingdings" w:hAnsi="Wingdings" w:hint="default"/>
      </w:rPr>
    </w:lvl>
    <w:lvl w:ilvl="3" w:tplc="57D6172A" w:tentative="1">
      <w:start w:val="1"/>
      <w:numFmt w:val="bullet"/>
      <w:lvlText w:val=""/>
      <w:lvlJc w:val="left"/>
      <w:pPr>
        <w:tabs>
          <w:tab w:val="num" w:pos="3240"/>
        </w:tabs>
        <w:ind w:left="3240" w:hanging="360"/>
      </w:pPr>
      <w:rPr>
        <w:rFonts w:ascii="Symbol" w:hAnsi="Symbol" w:hint="default"/>
      </w:rPr>
    </w:lvl>
    <w:lvl w:ilvl="4" w:tplc="142AEB16" w:tentative="1">
      <w:start w:val="1"/>
      <w:numFmt w:val="bullet"/>
      <w:lvlText w:val="o"/>
      <w:lvlJc w:val="left"/>
      <w:pPr>
        <w:tabs>
          <w:tab w:val="num" w:pos="3960"/>
        </w:tabs>
        <w:ind w:left="3960" w:hanging="360"/>
      </w:pPr>
      <w:rPr>
        <w:rFonts w:ascii="Courier New" w:hAnsi="Courier New" w:cs="Courier New" w:hint="default"/>
      </w:rPr>
    </w:lvl>
    <w:lvl w:ilvl="5" w:tplc="3F6C7156" w:tentative="1">
      <w:start w:val="1"/>
      <w:numFmt w:val="bullet"/>
      <w:lvlText w:val=""/>
      <w:lvlJc w:val="left"/>
      <w:pPr>
        <w:tabs>
          <w:tab w:val="num" w:pos="4680"/>
        </w:tabs>
        <w:ind w:left="4680" w:hanging="360"/>
      </w:pPr>
      <w:rPr>
        <w:rFonts w:ascii="Wingdings" w:hAnsi="Wingdings" w:hint="default"/>
      </w:rPr>
    </w:lvl>
    <w:lvl w:ilvl="6" w:tplc="74D81E1A" w:tentative="1">
      <w:start w:val="1"/>
      <w:numFmt w:val="bullet"/>
      <w:lvlText w:val=""/>
      <w:lvlJc w:val="left"/>
      <w:pPr>
        <w:tabs>
          <w:tab w:val="num" w:pos="5400"/>
        </w:tabs>
        <w:ind w:left="5400" w:hanging="360"/>
      </w:pPr>
      <w:rPr>
        <w:rFonts w:ascii="Symbol" w:hAnsi="Symbol" w:hint="default"/>
      </w:rPr>
    </w:lvl>
    <w:lvl w:ilvl="7" w:tplc="33A239BA" w:tentative="1">
      <w:start w:val="1"/>
      <w:numFmt w:val="bullet"/>
      <w:lvlText w:val="o"/>
      <w:lvlJc w:val="left"/>
      <w:pPr>
        <w:tabs>
          <w:tab w:val="num" w:pos="6120"/>
        </w:tabs>
        <w:ind w:left="6120" w:hanging="360"/>
      </w:pPr>
      <w:rPr>
        <w:rFonts w:ascii="Courier New" w:hAnsi="Courier New" w:cs="Courier New" w:hint="default"/>
      </w:rPr>
    </w:lvl>
    <w:lvl w:ilvl="8" w:tplc="116A91FE" w:tentative="1">
      <w:start w:val="1"/>
      <w:numFmt w:val="bullet"/>
      <w:lvlText w:val=""/>
      <w:lvlJc w:val="left"/>
      <w:pPr>
        <w:tabs>
          <w:tab w:val="num" w:pos="6840"/>
        </w:tabs>
        <w:ind w:left="6840" w:hanging="360"/>
      </w:pPr>
      <w:rPr>
        <w:rFonts w:ascii="Wingdings" w:hAnsi="Wingdings" w:hint="default"/>
      </w:rPr>
    </w:lvl>
  </w:abstractNum>
  <w:abstractNum w:abstractNumId="24">
    <w:nsid w:val="4A0A3024"/>
    <w:multiLevelType w:val="hybridMultilevel"/>
    <w:tmpl w:val="0032C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D6309F7"/>
    <w:multiLevelType w:val="multilevel"/>
    <w:tmpl w:val="0498AA74"/>
    <w:lvl w:ilvl="0">
      <w:start w:val="1"/>
      <w:numFmt w:val="decimal"/>
      <w:pStyle w:val="BoxTablenumberedlist-L1-2"/>
      <w:lvlText w:val="%1."/>
      <w:lvlJc w:val="left"/>
      <w:pPr>
        <w:ind w:left="340" w:hanging="340"/>
      </w:pPr>
      <w:rPr>
        <w:rFonts w:ascii="Arial" w:hAnsi="Arial" w:cs="Arial" w:hint="default"/>
        <w:b w:val="0"/>
        <w:i w:val="0"/>
        <w:color w:val="000000"/>
        <w:sz w:val="20"/>
      </w:rPr>
    </w:lvl>
    <w:lvl w:ilvl="1">
      <w:start w:val="1"/>
      <w:numFmt w:val="bullet"/>
      <w:lvlText w:val=""/>
      <w:lvlJc w:val="left"/>
      <w:pPr>
        <w:ind w:left="680" w:hanging="340"/>
      </w:pPr>
      <w:rPr>
        <w:rFonts w:ascii="Symbol" w:hAnsi="Symbol" w:hint="default"/>
      </w:rPr>
    </w:lvl>
    <w:lvl w:ilvl="2">
      <w:start w:val="1"/>
      <w:numFmt w:val="none"/>
      <w:lvlText w:val="%3"/>
      <w:lvlJc w:val="right"/>
      <w:pPr>
        <w:ind w:left="680"/>
      </w:pPr>
      <w:rPr>
        <w:rFonts w:cs="Times New Roman" w:hint="default"/>
      </w:rPr>
    </w:lvl>
    <w:lvl w:ilvl="3">
      <w:start w:val="1"/>
      <w:numFmt w:val="none"/>
      <w:lvlText w:val="%4"/>
      <w:lvlJc w:val="left"/>
      <w:pPr>
        <w:ind w:left="680"/>
      </w:pPr>
      <w:rPr>
        <w:rFonts w:cs="Times New Roman" w:hint="default"/>
      </w:rPr>
    </w:lvl>
    <w:lvl w:ilvl="4">
      <w:start w:val="1"/>
      <w:numFmt w:val="none"/>
      <w:lvlText w:val="%5"/>
      <w:lvlJc w:val="left"/>
      <w:pPr>
        <w:ind w:left="680"/>
      </w:pPr>
      <w:rPr>
        <w:rFonts w:cs="Times New Roman" w:hint="default"/>
      </w:rPr>
    </w:lvl>
    <w:lvl w:ilvl="5">
      <w:start w:val="1"/>
      <w:numFmt w:val="none"/>
      <w:lvlText w:val="%6"/>
      <w:lvlJc w:val="right"/>
      <w:pPr>
        <w:ind w:left="680"/>
      </w:pPr>
      <w:rPr>
        <w:rFonts w:cs="Times New Roman" w:hint="default"/>
      </w:rPr>
    </w:lvl>
    <w:lvl w:ilvl="6">
      <w:start w:val="1"/>
      <w:numFmt w:val="none"/>
      <w:lvlText w:val="%7"/>
      <w:lvlJc w:val="left"/>
      <w:pPr>
        <w:ind w:left="680"/>
      </w:pPr>
      <w:rPr>
        <w:rFonts w:cs="Times New Roman" w:hint="default"/>
      </w:rPr>
    </w:lvl>
    <w:lvl w:ilvl="7">
      <w:start w:val="1"/>
      <w:numFmt w:val="none"/>
      <w:lvlText w:val="%8"/>
      <w:lvlJc w:val="left"/>
      <w:pPr>
        <w:ind w:left="680"/>
      </w:pPr>
      <w:rPr>
        <w:rFonts w:cs="Times New Roman" w:hint="default"/>
      </w:rPr>
    </w:lvl>
    <w:lvl w:ilvl="8">
      <w:start w:val="1"/>
      <w:numFmt w:val="none"/>
      <w:lvlText w:val="%9"/>
      <w:lvlJc w:val="right"/>
      <w:pPr>
        <w:ind w:left="680"/>
      </w:pPr>
      <w:rPr>
        <w:rFonts w:cs="Times New Roman" w:hint="default"/>
      </w:rPr>
    </w:lvl>
  </w:abstractNum>
  <w:abstractNum w:abstractNumId="26">
    <w:nsid w:val="4FD44A31"/>
    <w:multiLevelType w:val="hybridMultilevel"/>
    <w:tmpl w:val="E3607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6E00B55"/>
    <w:multiLevelType w:val="hybridMultilevel"/>
    <w:tmpl w:val="D6480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7495D99"/>
    <w:multiLevelType w:val="hybridMultilevel"/>
    <w:tmpl w:val="3EFE1114"/>
    <w:lvl w:ilvl="0" w:tplc="85DA8596">
      <w:start w:val="1"/>
      <w:numFmt w:val="lowerLetter"/>
      <w:lvlText w:val="%1)"/>
      <w:lvlJc w:val="left"/>
      <w:pPr>
        <w:ind w:left="2292" w:hanging="360"/>
      </w:pPr>
      <w:rPr>
        <w:rFonts w:hint="default"/>
      </w:rPr>
    </w:lvl>
    <w:lvl w:ilvl="1" w:tplc="04100019" w:tentative="1">
      <w:start w:val="1"/>
      <w:numFmt w:val="lowerLetter"/>
      <w:lvlText w:val="%2."/>
      <w:lvlJc w:val="left"/>
      <w:pPr>
        <w:ind w:left="3012" w:hanging="360"/>
      </w:pPr>
    </w:lvl>
    <w:lvl w:ilvl="2" w:tplc="0410001B" w:tentative="1">
      <w:start w:val="1"/>
      <w:numFmt w:val="lowerRoman"/>
      <w:lvlText w:val="%3."/>
      <w:lvlJc w:val="right"/>
      <w:pPr>
        <w:ind w:left="3732" w:hanging="180"/>
      </w:pPr>
    </w:lvl>
    <w:lvl w:ilvl="3" w:tplc="0410000F" w:tentative="1">
      <w:start w:val="1"/>
      <w:numFmt w:val="decimal"/>
      <w:lvlText w:val="%4."/>
      <w:lvlJc w:val="left"/>
      <w:pPr>
        <w:ind w:left="4452" w:hanging="360"/>
      </w:pPr>
    </w:lvl>
    <w:lvl w:ilvl="4" w:tplc="04100019" w:tentative="1">
      <w:start w:val="1"/>
      <w:numFmt w:val="lowerLetter"/>
      <w:lvlText w:val="%5."/>
      <w:lvlJc w:val="left"/>
      <w:pPr>
        <w:ind w:left="5172" w:hanging="360"/>
      </w:pPr>
    </w:lvl>
    <w:lvl w:ilvl="5" w:tplc="0410001B" w:tentative="1">
      <w:start w:val="1"/>
      <w:numFmt w:val="lowerRoman"/>
      <w:lvlText w:val="%6."/>
      <w:lvlJc w:val="right"/>
      <w:pPr>
        <w:ind w:left="5892" w:hanging="180"/>
      </w:pPr>
    </w:lvl>
    <w:lvl w:ilvl="6" w:tplc="0410000F" w:tentative="1">
      <w:start w:val="1"/>
      <w:numFmt w:val="decimal"/>
      <w:lvlText w:val="%7."/>
      <w:lvlJc w:val="left"/>
      <w:pPr>
        <w:ind w:left="6612" w:hanging="360"/>
      </w:pPr>
    </w:lvl>
    <w:lvl w:ilvl="7" w:tplc="04100019" w:tentative="1">
      <w:start w:val="1"/>
      <w:numFmt w:val="lowerLetter"/>
      <w:lvlText w:val="%8."/>
      <w:lvlJc w:val="left"/>
      <w:pPr>
        <w:ind w:left="7332" w:hanging="360"/>
      </w:pPr>
    </w:lvl>
    <w:lvl w:ilvl="8" w:tplc="0410001B" w:tentative="1">
      <w:start w:val="1"/>
      <w:numFmt w:val="lowerRoman"/>
      <w:lvlText w:val="%9."/>
      <w:lvlJc w:val="right"/>
      <w:pPr>
        <w:ind w:left="8052" w:hanging="180"/>
      </w:pPr>
    </w:lvl>
  </w:abstractNum>
  <w:abstractNum w:abstractNumId="29">
    <w:nsid w:val="59944613"/>
    <w:multiLevelType w:val="hybridMultilevel"/>
    <w:tmpl w:val="07325B60"/>
    <w:lvl w:ilvl="0" w:tplc="6D08570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9CC1EC4"/>
    <w:multiLevelType w:val="hybridMultilevel"/>
    <w:tmpl w:val="0ABC0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A3866A7"/>
    <w:multiLevelType w:val="hybridMultilevel"/>
    <w:tmpl w:val="B98A653E"/>
    <w:lvl w:ilvl="0" w:tplc="6B168670">
      <w:start w:val="1"/>
      <w:numFmt w:val="bullet"/>
      <w:lvlText w:val="-"/>
      <w:lvlJc w:val="left"/>
      <w:pPr>
        <w:tabs>
          <w:tab w:val="num" w:pos="720"/>
        </w:tabs>
        <w:ind w:left="720" w:hanging="360"/>
      </w:pPr>
      <w:rPr>
        <w:rFonts w:ascii="Times New Roman" w:hAnsi="Times New Roman" w:hint="default"/>
      </w:rPr>
    </w:lvl>
    <w:lvl w:ilvl="1" w:tplc="D910E2C6">
      <w:start w:val="1043"/>
      <w:numFmt w:val="bullet"/>
      <w:lvlText w:val="-"/>
      <w:lvlJc w:val="left"/>
      <w:pPr>
        <w:tabs>
          <w:tab w:val="num" w:pos="1440"/>
        </w:tabs>
        <w:ind w:left="1440" w:hanging="360"/>
      </w:pPr>
      <w:rPr>
        <w:rFonts w:ascii="Times New Roman" w:hAnsi="Times New Roman" w:hint="default"/>
      </w:rPr>
    </w:lvl>
    <w:lvl w:ilvl="2" w:tplc="4F58628E" w:tentative="1">
      <w:start w:val="1"/>
      <w:numFmt w:val="bullet"/>
      <w:lvlText w:val="-"/>
      <w:lvlJc w:val="left"/>
      <w:pPr>
        <w:tabs>
          <w:tab w:val="num" w:pos="2160"/>
        </w:tabs>
        <w:ind w:left="2160" w:hanging="360"/>
      </w:pPr>
      <w:rPr>
        <w:rFonts w:ascii="Times New Roman" w:hAnsi="Times New Roman" w:hint="default"/>
      </w:rPr>
    </w:lvl>
    <w:lvl w:ilvl="3" w:tplc="60423506" w:tentative="1">
      <w:start w:val="1"/>
      <w:numFmt w:val="bullet"/>
      <w:lvlText w:val="-"/>
      <w:lvlJc w:val="left"/>
      <w:pPr>
        <w:tabs>
          <w:tab w:val="num" w:pos="2880"/>
        </w:tabs>
        <w:ind w:left="2880" w:hanging="360"/>
      </w:pPr>
      <w:rPr>
        <w:rFonts w:ascii="Times New Roman" w:hAnsi="Times New Roman" w:hint="default"/>
      </w:rPr>
    </w:lvl>
    <w:lvl w:ilvl="4" w:tplc="8E7A6A74" w:tentative="1">
      <w:start w:val="1"/>
      <w:numFmt w:val="bullet"/>
      <w:lvlText w:val="-"/>
      <w:lvlJc w:val="left"/>
      <w:pPr>
        <w:tabs>
          <w:tab w:val="num" w:pos="3600"/>
        </w:tabs>
        <w:ind w:left="3600" w:hanging="360"/>
      </w:pPr>
      <w:rPr>
        <w:rFonts w:ascii="Times New Roman" w:hAnsi="Times New Roman" w:hint="default"/>
      </w:rPr>
    </w:lvl>
    <w:lvl w:ilvl="5" w:tplc="63E26E9C" w:tentative="1">
      <w:start w:val="1"/>
      <w:numFmt w:val="bullet"/>
      <w:lvlText w:val="-"/>
      <w:lvlJc w:val="left"/>
      <w:pPr>
        <w:tabs>
          <w:tab w:val="num" w:pos="4320"/>
        </w:tabs>
        <w:ind w:left="4320" w:hanging="360"/>
      </w:pPr>
      <w:rPr>
        <w:rFonts w:ascii="Times New Roman" w:hAnsi="Times New Roman" w:hint="default"/>
      </w:rPr>
    </w:lvl>
    <w:lvl w:ilvl="6" w:tplc="C7D26A2A" w:tentative="1">
      <w:start w:val="1"/>
      <w:numFmt w:val="bullet"/>
      <w:lvlText w:val="-"/>
      <w:lvlJc w:val="left"/>
      <w:pPr>
        <w:tabs>
          <w:tab w:val="num" w:pos="5040"/>
        </w:tabs>
        <w:ind w:left="5040" w:hanging="360"/>
      </w:pPr>
      <w:rPr>
        <w:rFonts w:ascii="Times New Roman" w:hAnsi="Times New Roman" w:hint="default"/>
      </w:rPr>
    </w:lvl>
    <w:lvl w:ilvl="7" w:tplc="6D18B3E8" w:tentative="1">
      <w:start w:val="1"/>
      <w:numFmt w:val="bullet"/>
      <w:lvlText w:val="-"/>
      <w:lvlJc w:val="left"/>
      <w:pPr>
        <w:tabs>
          <w:tab w:val="num" w:pos="5760"/>
        </w:tabs>
        <w:ind w:left="5760" w:hanging="360"/>
      </w:pPr>
      <w:rPr>
        <w:rFonts w:ascii="Times New Roman" w:hAnsi="Times New Roman" w:hint="default"/>
      </w:rPr>
    </w:lvl>
    <w:lvl w:ilvl="8" w:tplc="6D36310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C1C5B7B"/>
    <w:multiLevelType w:val="hybridMultilevel"/>
    <w:tmpl w:val="201E9D78"/>
    <w:lvl w:ilvl="0" w:tplc="5D223BBC">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C475C81"/>
    <w:multiLevelType w:val="multilevel"/>
    <w:tmpl w:val="0070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C303AB"/>
    <w:multiLevelType w:val="multilevel"/>
    <w:tmpl w:val="6B4A6268"/>
    <w:lvl w:ilvl="0">
      <w:start w:val="1"/>
      <w:numFmt w:val="bullet"/>
      <w:pStyle w:val="Bodybullet-L1-2"/>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Courier New" w:hAnsi="Courier New"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5">
    <w:nsid w:val="64CF3859"/>
    <w:multiLevelType w:val="hybridMultilevel"/>
    <w:tmpl w:val="C5BA1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8734736"/>
    <w:multiLevelType w:val="hybridMultilevel"/>
    <w:tmpl w:val="5142B45E"/>
    <w:lvl w:ilvl="0" w:tplc="820EF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C7A4E14"/>
    <w:multiLevelType w:val="hybridMultilevel"/>
    <w:tmpl w:val="135E4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3B24039"/>
    <w:multiLevelType w:val="hybridMultilevel"/>
    <w:tmpl w:val="2578E1FA"/>
    <w:lvl w:ilvl="0" w:tplc="0C090001">
      <w:start w:val="1"/>
      <w:numFmt w:val="bullet"/>
      <w:lvlText w:val=""/>
      <w:lvlJc w:val="left"/>
      <w:pPr>
        <w:tabs>
          <w:tab w:val="num" w:pos="360"/>
        </w:tabs>
        <w:ind w:left="360" w:hanging="360"/>
      </w:pPr>
      <w:rPr>
        <w:rFonts w:ascii="Symbol" w:hAnsi="Symbol" w:hint="default"/>
      </w:rPr>
    </w:lvl>
    <w:lvl w:ilvl="1" w:tplc="D910E2C6">
      <w:start w:val="1043"/>
      <w:numFmt w:val="bullet"/>
      <w:lvlText w:val="-"/>
      <w:lvlJc w:val="left"/>
      <w:pPr>
        <w:tabs>
          <w:tab w:val="num" w:pos="1080"/>
        </w:tabs>
        <w:ind w:left="1080" w:hanging="360"/>
      </w:pPr>
      <w:rPr>
        <w:rFonts w:ascii="Times New Roman" w:hAnsi="Times New Roman" w:hint="default"/>
      </w:rPr>
    </w:lvl>
    <w:lvl w:ilvl="2" w:tplc="4F58628E" w:tentative="1">
      <w:start w:val="1"/>
      <w:numFmt w:val="bullet"/>
      <w:lvlText w:val="-"/>
      <w:lvlJc w:val="left"/>
      <w:pPr>
        <w:tabs>
          <w:tab w:val="num" w:pos="1800"/>
        </w:tabs>
        <w:ind w:left="1800" w:hanging="360"/>
      </w:pPr>
      <w:rPr>
        <w:rFonts w:ascii="Times New Roman" w:hAnsi="Times New Roman" w:hint="default"/>
      </w:rPr>
    </w:lvl>
    <w:lvl w:ilvl="3" w:tplc="60423506" w:tentative="1">
      <w:start w:val="1"/>
      <w:numFmt w:val="bullet"/>
      <w:lvlText w:val="-"/>
      <w:lvlJc w:val="left"/>
      <w:pPr>
        <w:tabs>
          <w:tab w:val="num" w:pos="2520"/>
        </w:tabs>
        <w:ind w:left="2520" w:hanging="360"/>
      </w:pPr>
      <w:rPr>
        <w:rFonts w:ascii="Times New Roman" w:hAnsi="Times New Roman" w:hint="default"/>
      </w:rPr>
    </w:lvl>
    <w:lvl w:ilvl="4" w:tplc="8E7A6A74" w:tentative="1">
      <w:start w:val="1"/>
      <w:numFmt w:val="bullet"/>
      <w:lvlText w:val="-"/>
      <w:lvlJc w:val="left"/>
      <w:pPr>
        <w:tabs>
          <w:tab w:val="num" w:pos="3240"/>
        </w:tabs>
        <w:ind w:left="3240" w:hanging="360"/>
      </w:pPr>
      <w:rPr>
        <w:rFonts w:ascii="Times New Roman" w:hAnsi="Times New Roman" w:hint="default"/>
      </w:rPr>
    </w:lvl>
    <w:lvl w:ilvl="5" w:tplc="63E26E9C" w:tentative="1">
      <w:start w:val="1"/>
      <w:numFmt w:val="bullet"/>
      <w:lvlText w:val="-"/>
      <w:lvlJc w:val="left"/>
      <w:pPr>
        <w:tabs>
          <w:tab w:val="num" w:pos="3960"/>
        </w:tabs>
        <w:ind w:left="3960" w:hanging="360"/>
      </w:pPr>
      <w:rPr>
        <w:rFonts w:ascii="Times New Roman" w:hAnsi="Times New Roman" w:hint="default"/>
      </w:rPr>
    </w:lvl>
    <w:lvl w:ilvl="6" w:tplc="C7D26A2A" w:tentative="1">
      <w:start w:val="1"/>
      <w:numFmt w:val="bullet"/>
      <w:lvlText w:val="-"/>
      <w:lvlJc w:val="left"/>
      <w:pPr>
        <w:tabs>
          <w:tab w:val="num" w:pos="4680"/>
        </w:tabs>
        <w:ind w:left="4680" w:hanging="360"/>
      </w:pPr>
      <w:rPr>
        <w:rFonts w:ascii="Times New Roman" w:hAnsi="Times New Roman" w:hint="default"/>
      </w:rPr>
    </w:lvl>
    <w:lvl w:ilvl="7" w:tplc="6D18B3E8" w:tentative="1">
      <w:start w:val="1"/>
      <w:numFmt w:val="bullet"/>
      <w:lvlText w:val="-"/>
      <w:lvlJc w:val="left"/>
      <w:pPr>
        <w:tabs>
          <w:tab w:val="num" w:pos="5400"/>
        </w:tabs>
        <w:ind w:left="5400" w:hanging="360"/>
      </w:pPr>
      <w:rPr>
        <w:rFonts w:ascii="Times New Roman" w:hAnsi="Times New Roman" w:hint="default"/>
      </w:rPr>
    </w:lvl>
    <w:lvl w:ilvl="8" w:tplc="6D36310A" w:tentative="1">
      <w:start w:val="1"/>
      <w:numFmt w:val="bullet"/>
      <w:lvlText w:val="-"/>
      <w:lvlJc w:val="left"/>
      <w:pPr>
        <w:tabs>
          <w:tab w:val="num" w:pos="6120"/>
        </w:tabs>
        <w:ind w:left="6120" w:hanging="360"/>
      </w:pPr>
      <w:rPr>
        <w:rFonts w:ascii="Times New Roman" w:hAnsi="Times New Roman" w:hint="default"/>
      </w:rPr>
    </w:lvl>
  </w:abstractNum>
  <w:abstractNum w:abstractNumId="39">
    <w:nsid w:val="73D33739"/>
    <w:multiLevelType w:val="hybridMultilevel"/>
    <w:tmpl w:val="6D5CD4BC"/>
    <w:lvl w:ilvl="0" w:tplc="8F32FFEE">
      <w:start w:val="1"/>
      <w:numFmt w:val="bullet"/>
      <w:pStyle w:val="acbullet"/>
      <w:lvlText w:val="o"/>
      <w:lvlJc w:val="left"/>
      <w:pPr>
        <w:tabs>
          <w:tab w:val="num" w:pos="360"/>
        </w:tabs>
        <w:ind w:left="360" w:hanging="360"/>
      </w:pPr>
      <w:rPr>
        <w:rFonts w:ascii="Courier New" w:hAnsi="Courier New" w:hint="default"/>
      </w:rPr>
    </w:lvl>
    <w:lvl w:ilvl="1" w:tplc="04C8DD10" w:tentative="1">
      <w:start w:val="1"/>
      <w:numFmt w:val="bullet"/>
      <w:lvlText w:val="o"/>
      <w:lvlJc w:val="left"/>
      <w:pPr>
        <w:tabs>
          <w:tab w:val="num" w:pos="1440"/>
        </w:tabs>
        <w:ind w:left="1440" w:hanging="360"/>
      </w:pPr>
      <w:rPr>
        <w:rFonts w:ascii="Courier New" w:hAnsi="Courier New" w:cs="Courier New" w:hint="default"/>
      </w:rPr>
    </w:lvl>
    <w:lvl w:ilvl="2" w:tplc="71FC6D2A" w:tentative="1">
      <w:start w:val="1"/>
      <w:numFmt w:val="bullet"/>
      <w:lvlText w:val=""/>
      <w:lvlJc w:val="left"/>
      <w:pPr>
        <w:tabs>
          <w:tab w:val="num" w:pos="2160"/>
        </w:tabs>
        <w:ind w:left="2160" w:hanging="360"/>
      </w:pPr>
      <w:rPr>
        <w:rFonts w:ascii="Wingdings" w:hAnsi="Wingdings" w:hint="default"/>
      </w:rPr>
    </w:lvl>
    <w:lvl w:ilvl="3" w:tplc="51E4E902" w:tentative="1">
      <w:start w:val="1"/>
      <w:numFmt w:val="bullet"/>
      <w:lvlText w:val=""/>
      <w:lvlJc w:val="left"/>
      <w:pPr>
        <w:tabs>
          <w:tab w:val="num" w:pos="2880"/>
        </w:tabs>
        <w:ind w:left="2880" w:hanging="360"/>
      </w:pPr>
      <w:rPr>
        <w:rFonts w:ascii="Symbol" w:hAnsi="Symbol" w:hint="default"/>
      </w:rPr>
    </w:lvl>
    <w:lvl w:ilvl="4" w:tplc="AE6044D6" w:tentative="1">
      <w:start w:val="1"/>
      <w:numFmt w:val="bullet"/>
      <w:lvlText w:val="o"/>
      <w:lvlJc w:val="left"/>
      <w:pPr>
        <w:tabs>
          <w:tab w:val="num" w:pos="3600"/>
        </w:tabs>
        <w:ind w:left="3600" w:hanging="360"/>
      </w:pPr>
      <w:rPr>
        <w:rFonts w:ascii="Courier New" w:hAnsi="Courier New" w:cs="Courier New" w:hint="default"/>
      </w:rPr>
    </w:lvl>
    <w:lvl w:ilvl="5" w:tplc="35020D98" w:tentative="1">
      <w:start w:val="1"/>
      <w:numFmt w:val="bullet"/>
      <w:lvlText w:val=""/>
      <w:lvlJc w:val="left"/>
      <w:pPr>
        <w:tabs>
          <w:tab w:val="num" w:pos="4320"/>
        </w:tabs>
        <w:ind w:left="4320" w:hanging="360"/>
      </w:pPr>
      <w:rPr>
        <w:rFonts w:ascii="Wingdings" w:hAnsi="Wingdings" w:hint="default"/>
      </w:rPr>
    </w:lvl>
    <w:lvl w:ilvl="6" w:tplc="DA6C19FA" w:tentative="1">
      <w:start w:val="1"/>
      <w:numFmt w:val="bullet"/>
      <w:lvlText w:val=""/>
      <w:lvlJc w:val="left"/>
      <w:pPr>
        <w:tabs>
          <w:tab w:val="num" w:pos="5040"/>
        </w:tabs>
        <w:ind w:left="5040" w:hanging="360"/>
      </w:pPr>
      <w:rPr>
        <w:rFonts w:ascii="Symbol" w:hAnsi="Symbol" w:hint="default"/>
      </w:rPr>
    </w:lvl>
    <w:lvl w:ilvl="7" w:tplc="D3260C18" w:tentative="1">
      <w:start w:val="1"/>
      <w:numFmt w:val="bullet"/>
      <w:lvlText w:val="o"/>
      <w:lvlJc w:val="left"/>
      <w:pPr>
        <w:tabs>
          <w:tab w:val="num" w:pos="5760"/>
        </w:tabs>
        <w:ind w:left="5760" w:hanging="360"/>
      </w:pPr>
      <w:rPr>
        <w:rFonts w:ascii="Courier New" w:hAnsi="Courier New" w:cs="Courier New" w:hint="default"/>
      </w:rPr>
    </w:lvl>
    <w:lvl w:ilvl="8" w:tplc="75C47296" w:tentative="1">
      <w:start w:val="1"/>
      <w:numFmt w:val="bullet"/>
      <w:lvlText w:val=""/>
      <w:lvlJc w:val="left"/>
      <w:pPr>
        <w:tabs>
          <w:tab w:val="num" w:pos="6480"/>
        </w:tabs>
        <w:ind w:left="6480" w:hanging="360"/>
      </w:pPr>
      <w:rPr>
        <w:rFonts w:ascii="Wingdings" w:hAnsi="Wingdings" w:hint="default"/>
      </w:rPr>
    </w:lvl>
  </w:abstractNum>
  <w:abstractNum w:abstractNumId="40">
    <w:nsid w:val="76631874"/>
    <w:multiLevelType w:val="hybridMultilevel"/>
    <w:tmpl w:val="9712F530"/>
    <w:lvl w:ilvl="0" w:tplc="4D0057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7455522"/>
    <w:multiLevelType w:val="multilevel"/>
    <w:tmpl w:val="F116A234"/>
    <w:lvl w:ilvl="0">
      <w:start w:val="1"/>
      <w:numFmt w:val="bullet"/>
      <w:pStyle w:val="bullet"/>
      <w:lvlText w:val=""/>
      <w:lvlJc w:val="left"/>
      <w:pPr>
        <w:tabs>
          <w:tab w:val="num" w:pos="1134"/>
        </w:tabs>
        <w:ind w:left="1134" w:hanging="567"/>
      </w:pPr>
      <w:rPr>
        <w:rFonts w:ascii="Symbol" w:hAnsi="Symbol" w:hint="default"/>
      </w:rPr>
    </w:lvl>
    <w:lvl w:ilvl="1">
      <w:start w:val="1"/>
      <w:numFmt w:val="bullet"/>
      <w:pStyle w:val="bullet2"/>
      <w:lvlText w:val=""/>
      <w:lvlJc w:val="left"/>
      <w:pPr>
        <w:tabs>
          <w:tab w:val="num" w:pos="1701"/>
        </w:tabs>
        <w:ind w:left="1701" w:hanging="567"/>
      </w:pPr>
      <w:rPr>
        <w:rFonts w:ascii="Symbol" w:hAnsi="Symbol" w:hint="default"/>
      </w:rPr>
    </w:lvl>
    <w:lvl w:ilvl="2">
      <w:start w:val="1"/>
      <w:numFmt w:val="lowerRoman"/>
      <w:lvlText w:val="(%3)"/>
      <w:lvlJc w:val="left"/>
      <w:pPr>
        <w:tabs>
          <w:tab w:val="num" w:pos="2421"/>
        </w:tabs>
        <w:ind w:left="2268" w:hanging="567"/>
      </w:pPr>
    </w:lvl>
    <w:lvl w:ilvl="3">
      <w:start w:val="1"/>
      <w:numFmt w:val="none"/>
      <w:lvlText w:val="(%4)"/>
      <w:lvlJc w:val="left"/>
      <w:pPr>
        <w:tabs>
          <w:tab w:val="num" w:pos="1440"/>
        </w:tabs>
        <w:ind w:left="1440" w:hanging="360"/>
      </w:pPr>
    </w:lvl>
    <w:lvl w:ilvl="4">
      <w:start w:val="1"/>
      <w:numFmt w:val="none"/>
      <w:lvlText w:val="(%5)"/>
      <w:lvlJc w:val="left"/>
      <w:pPr>
        <w:tabs>
          <w:tab w:val="num" w:pos="1800"/>
        </w:tabs>
        <w:ind w:left="1800" w:hanging="360"/>
      </w:pPr>
    </w:lvl>
    <w:lvl w:ilvl="5">
      <w:start w:val="1"/>
      <w:numFmt w:val="none"/>
      <w:lvlText w:val="(%6)"/>
      <w:lvlJc w:val="left"/>
      <w:pPr>
        <w:tabs>
          <w:tab w:val="num" w:pos="2160"/>
        </w:tabs>
        <w:ind w:left="2160" w:hanging="360"/>
      </w:pPr>
    </w:lvl>
    <w:lvl w:ilvl="6">
      <w:start w:val="1"/>
      <w:numFmt w:val="none"/>
      <w:lvlText w:val="%7."/>
      <w:lvlJc w:val="left"/>
      <w:pPr>
        <w:tabs>
          <w:tab w:val="num" w:pos="2520"/>
        </w:tabs>
        <w:ind w:left="2520" w:hanging="360"/>
      </w:pPr>
    </w:lvl>
    <w:lvl w:ilvl="7">
      <w:start w:val="1"/>
      <w:numFmt w:val="none"/>
      <w:lvlText w:val="%8."/>
      <w:lvlJc w:val="left"/>
      <w:pPr>
        <w:tabs>
          <w:tab w:val="num" w:pos="2880"/>
        </w:tabs>
        <w:ind w:left="2880" w:hanging="360"/>
      </w:pPr>
    </w:lvl>
    <w:lvl w:ilvl="8">
      <w:start w:val="1"/>
      <w:numFmt w:val="none"/>
      <w:lvlText w:val="%9."/>
      <w:lvlJc w:val="left"/>
      <w:pPr>
        <w:tabs>
          <w:tab w:val="num" w:pos="3240"/>
        </w:tabs>
        <w:ind w:left="3240" w:hanging="360"/>
      </w:pPr>
    </w:lvl>
  </w:abstractNum>
  <w:abstractNum w:abstractNumId="42">
    <w:nsid w:val="77C4611B"/>
    <w:multiLevelType w:val="hybridMultilevel"/>
    <w:tmpl w:val="081A34C0"/>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8286725"/>
    <w:multiLevelType w:val="hybridMultilevel"/>
    <w:tmpl w:val="8812A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3"/>
  </w:num>
  <w:num w:numId="3">
    <w:abstractNumId w:val="5"/>
  </w:num>
  <w:num w:numId="4">
    <w:abstractNumId w:val="34"/>
  </w:num>
  <w:num w:numId="5">
    <w:abstractNumId w:val="25"/>
  </w:num>
  <w:num w:numId="6">
    <w:abstractNumId w:val="10"/>
  </w:num>
  <w:num w:numId="7">
    <w:abstractNumId w:val="39"/>
  </w:num>
  <w:num w:numId="8">
    <w:abstractNumId w:val="20"/>
  </w:num>
  <w:num w:numId="9">
    <w:abstractNumId w:val="41"/>
  </w:num>
  <w:num w:numId="10">
    <w:abstractNumId w:val="32"/>
  </w:num>
  <w:num w:numId="11">
    <w:abstractNumId w:val="8"/>
  </w:num>
  <w:num w:numId="12">
    <w:abstractNumId w:val="42"/>
  </w:num>
  <w:num w:numId="13">
    <w:abstractNumId w:val="0"/>
  </w:num>
  <w:num w:numId="14">
    <w:abstractNumId w:val="36"/>
  </w:num>
  <w:num w:numId="15">
    <w:abstractNumId w:val="14"/>
  </w:num>
  <w:num w:numId="16">
    <w:abstractNumId w:val="40"/>
  </w:num>
  <w:num w:numId="17">
    <w:abstractNumId w:val="30"/>
  </w:num>
  <w:num w:numId="18">
    <w:abstractNumId w:val="7"/>
  </w:num>
  <w:num w:numId="19">
    <w:abstractNumId w:val="6"/>
  </w:num>
  <w:num w:numId="20">
    <w:abstractNumId w:val="24"/>
  </w:num>
  <w:num w:numId="21">
    <w:abstractNumId w:val="22"/>
  </w:num>
  <w:num w:numId="22">
    <w:abstractNumId w:val="27"/>
  </w:num>
  <w:num w:numId="23">
    <w:abstractNumId w:val="26"/>
  </w:num>
  <w:num w:numId="24">
    <w:abstractNumId w:val="17"/>
  </w:num>
  <w:num w:numId="25">
    <w:abstractNumId w:val="19"/>
  </w:num>
  <w:num w:numId="26">
    <w:abstractNumId w:val="2"/>
  </w:num>
  <w:num w:numId="27">
    <w:abstractNumId w:val="33"/>
  </w:num>
  <w:num w:numId="28">
    <w:abstractNumId w:val="15"/>
  </w:num>
  <w:num w:numId="29">
    <w:abstractNumId w:val="43"/>
  </w:num>
  <w:num w:numId="30">
    <w:abstractNumId w:val="11"/>
  </w:num>
  <w:num w:numId="31">
    <w:abstractNumId w:val="31"/>
  </w:num>
  <w:num w:numId="32">
    <w:abstractNumId w:val="18"/>
  </w:num>
  <w:num w:numId="33">
    <w:abstractNumId w:val="28"/>
  </w:num>
  <w:num w:numId="34">
    <w:abstractNumId w:val="16"/>
  </w:num>
  <w:num w:numId="35">
    <w:abstractNumId w:val="38"/>
  </w:num>
  <w:num w:numId="36">
    <w:abstractNumId w:val="4"/>
  </w:num>
  <w:num w:numId="37">
    <w:abstractNumId w:val="9"/>
  </w:num>
  <w:num w:numId="38">
    <w:abstractNumId w:val="13"/>
  </w:num>
  <w:num w:numId="39">
    <w:abstractNumId w:val="29"/>
  </w:num>
  <w:num w:numId="40">
    <w:abstractNumId w:val="21"/>
  </w:num>
  <w:num w:numId="41">
    <w:abstractNumId w:val="1"/>
  </w:num>
  <w:num w:numId="42">
    <w:abstractNumId w:val="3"/>
  </w:num>
  <w:num w:numId="43">
    <w:abstractNumId w:val="35"/>
  </w:num>
  <w:num w:numId="44">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9" fillcolor="silver" strokecolor="#969696">
      <v:fill color="silver"/>
      <v:stroke color="#969696"/>
      <o:colormenu v:ext="edit" fillcolor="none [2732]"/>
    </o:shapedefaults>
    <o:shapelayout v:ext="edit">
      <o:idmap v:ext="edit" data="2"/>
    </o:shapelayout>
  </w:hdrShapeDefaults>
  <w:footnotePr>
    <w:pos w:val="beneathText"/>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6944\D16 46548  Network  June 2016.DOCX"/>
  </w:docVars>
  <w:rsids>
    <w:rsidRoot w:val="00C0375F"/>
    <w:rsid w:val="000007E1"/>
    <w:rsid w:val="00000D0C"/>
    <w:rsid w:val="00000EBF"/>
    <w:rsid w:val="00001D8B"/>
    <w:rsid w:val="00003ED1"/>
    <w:rsid w:val="000044D9"/>
    <w:rsid w:val="00005F98"/>
    <w:rsid w:val="000067CD"/>
    <w:rsid w:val="00006DD3"/>
    <w:rsid w:val="00010101"/>
    <w:rsid w:val="000107D0"/>
    <w:rsid w:val="0001144A"/>
    <w:rsid w:val="0001236F"/>
    <w:rsid w:val="00012DF3"/>
    <w:rsid w:val="00013AE4"/>
    <w:rsid w:val="00013C44"/>
    <w:rsid w:val="00013D18"/>
    <w:rsid w:val="00014774"/>
    <w:rsid w:val="00014809"/>
    <w:rsid w:val="00015987"/>
    <w:rsid w:val="00015C77"/>
    <w:rsid w:val="00016C41"/>
    <w:rsid w:val="0001784E"/>
    <w:rsid w:val="00017EC7"/>
    <w:rsid w:val="00020314"/>
    <w:rsid w:val="00020F76"/>
    <w:rsid w:val="00021DCD"/>
    <w:rsid w:val="00026150"/>
    <w:rsid w:val="00026241"/>
    <w:rsid w:val="0002641A"/>
    <w:rsid w:val="0002690A"/>
    <w:rsid w:val="00026CE8"/>
    <w:rsid w:val="00026FC3"/>
    <w:rsid w:val="00027768"/>
    <w:rsid w:val="00027923"/>
    <w:rsid w:val="00030B9E"/>
    <w:rsid w:val="00030D00"/>
    <w:rsid w:val="00031CCA"/>
    <w:rsid w:val="000321A3"/>
    <w:rsid w:val="00034C0D"/>
    <w:rsid w:val="00034FA5"/>
    <w:rsid w:val="00035F6D"/>
    <w:rsid w:val="000370CC"/>
    <w:rsid w:val="00037EAD"/>
    <w:rsid w:val="00040373"/>
    <w:rsid w:val="00040C45"/>
    <w:rsid w:val="00041D3A"/>
    <w:rsid w:val="00041F95"/>
    <w:rsid w:val="0004340B"/>
    <w:rsid w:val="00043B74"/>
    <w:rsid w:val="00043EFD"/>
    <w:rsid w:val="00044308"/>
    <w:rsid w:val="00045EA8"/>
    <w:rsid w:val="000466C3"/>
    <w:rsid w:val="00046758"/>
    <w:rsid w:val="00047874"/>
    <w:rsid w:val="000479A8"/>
    <w:rsid w:val="00051CF0"/>
    <w:rsid w:val="00052161"/>
    <w:rsid w:val="00052813"/>
    <w:rsid w:val="000528DD"/>
    <w:rsid w:val="00053A73"/>
    <w:rsid w:val="00054AE1"/>
    <w:rsid w:val="000554AC"/>
    <w:rsid w:val="00055CD6"/>
    <w:rsid w:val="0005627E"/>
    <w:rsid w:val="00057F31"/>
    <w:rsid w:val="00061CAD"/>
    <w:rsid w:val="00062ADC"/>
    <w:rsid w:val="00062E75"/>
    <w:rsid w:val="00067158"/>
    <w:rsid w:val="00070A0D"/>
    <w:rsid w:val="000715A3"/>
    <w:rsid w:val="00071CFA"/>
    <w:rsid w:val="000732A7"/>
    <w:rsid w:val="000732AD"/>
    <w:rsid w:val="00073A8A"/>
    <w:rsid w:val="00073C0A"/>
    <w:rsid w:val="00073D6D"/>
    <w:rsid w:val="00073E0C"/>
    <w:rsid w:val="00074516"/>
    <w:rsid w:val="00076FE1"/>
    <w:rsid w:val="00077764"/>
    <w:rsid w:val="00081AC2"/>
    <w:rsid w:val="000860CA"/>
    <w:rsid w:val="000861E2"/>
    <w:rsid w:val="00087AB5"/>
    <w:rsid w:val="00087F18"/>
    <w:rsid w:val="00087FFA"/>
    <w:rsid w:val="000900B5"/>
    <w:rsid w:val="000907B5"/>
    <w:rsid w:val="000907CD"/>
    <w:rsid w:val="00090C40"/>
    <w:rsid w:val="00091CDB"/>
    <w:rsid w:val="000920C7"/>
    <w:rsid w:val="00092A17"/>
    <w:rsid w:val="00092AF0"/>
    <w:rsid w:val="00092F81"/>
    <w:rsid w:val="000939E0"/>
    <w:rsid w:val="0009435D"/>
    <w:rsid w:val="000948A0"/>
    <w:rsid w:val="0009592B"/>
    <w:rsid w:val="00097481"/>
    <w:rsid w:val="000A2DBB"/>
    <w:rsid w:val="000A34B5"/>
    <w:rsid w:val="000A3FD1"/>
    <w:rsid w:val="000A4019"/>
    <w:rsid w:val="000A441A"/>
    <w:rsid w:val="000A49DA"/>
    <w:rsid w:val="000A5E95"/>
    <w:rsid w:val="000A6506"/>
    <w:rsid w:val="000A789F"/>
    <w:rsid w:val="000B1AF3"/>
    <w:rsid w:val="000B1C56"/>
    <w:rsid w:val="000B4180"/>
    <w:rsid w:val="000B4E1B"/>
    <w:rsid w:val="000B5AE6"/>
    <w:rsid w:val="000B5CCB"/>
    <w:rsid w:val="000B64FA"/>
    <w:rsid w:val="000C0FEB"/>
    <w:rsid w:val="000C1882"/>
    <w:rsid w:val="000C2363"/>
    <w:rsid w:val="000C3AFF"/>
    <w:rsid w:val="000C5146"/>
    <w:rsid w:val="000C5962"/>
    <w:rsid w:val="000C7C5E"/>
    <w:rsid w:val="000D0978"/>
    <w:rsid w:val="000D0982"/>
    <w:rsid w:val="000D1ED4"/>
    <w:rsid w:val="000D229F"/>
    <w:rsid w:val="000D32FE"/>
    <w:rsid w:val="000D37CB"/>
    <w:rsid w:val="000D4573"/>
    <w:rsid w:val="000D48FE"/>
    <w:rsid w:val="000D4F7A"/>
    <w:rsid w:val="000D5E5E"/>
    <w:rsid w:val="000D75D7"/>
    <w:rsid w:val="000D780C"/>
    <w:rsid w:val="000E0077"/>
    <w:rsid w:val="000E0A2C"/>
    <w:rsid w:val="000E0D36"/>
    <w:rsid w:val="000E0FF5"/>
    <w:rsid w:val="000E1B05"/>
    <w:rsid w:val="000E4B66"/>
    <w:rsid w:val="000E535D"/>
    <w:rsid w:val="000E53F1"/>
    <w:rsid w:val="000E7DB6"/>
    <w:rsid w:val="000F02BB"/>
    <w:rsid w:val="000F0F86"/>
    <w:rsid w:val="000F16BA"/>
    <w:rsid w:val="000F30AE"/>
    <w:rsid w:val="000F3488"/>
    <w:rsid w:val="000F3C14"/>
    <w:rsid w:val="000F4B01"/>
    <w:rsid w:val="000F560D"/>
    <w:rsid w:val="000F57C1"/>
    <w:rsid w:val="000F7EC1"/>
    <w:rsid w:val="00101AE7"/>
    <w:rsid w:val="00101BD3"/>
    <w:rsid w:val="001022FD"/>
    <w:rsid w:val="0010295D"/>
    <w:rsid w:val="00102D2C"/>
    <w:rsid w:val="00104688"/>
    <w:rsid w:val="00104F98"/>
    <w:rsid w:val="00105251"/>
    <w:rsid w:val="0010526A"/>
    <w:rsid w:val="00105FB2"/>
    <w:rsid w:val="00106EAA"/>
    <w:rsid w:val="001110D6"/>
    <w:rsid w:val="001126FC"/>
    <w:rsid w:val="001127F7"/>
    <w:rsid w:val="0011484B"/>
    <w:rsid w:val="001160E1"/>
    <w:rsid w:val="001161EF"/>
    <w:rsid w:val="001177F1"/>
    <w:rsid w:val="001211CB"/>
    <w:rsid w:val="00121C18"/>
    <w:rsid w:val="00122446"/>
    <w:rsid w:val="001227B1"/>
    <w:rsid w:val="00123393"/>
    <w:rsid w:val="00124451"/>
    <w:rsid w:val="00124E74"/>
    <w:rsid w:val="00125236"/>
    <w:rsid w:val="0012614D"/>
    <w:rsid w:val="00126EA2"/>
    <w:rsid w:val="00127D64"/>
    <w:rsid w:val="00130AB8"/>
    <w:rsid w:val="00131260"/>
    <w:rsid w:val="00133672"/>
    <w:rsid w:val="00133C61"/>
    <w:rsid w:val="001343AB"/>
    <w:rsid w:val="00134E46"/>
    <w:rsid w:val="00134F94"/>
    <w:rsid w:val="001355A4"/>
    <w:rsid w:val="00135FAF"/>
    <w:rsid w:val="001364EE"/>
    <w:rsid w:val="00137936"/>
    <w:rsid w:val="001406EF"/>
    <w:rsid w:val="00140712"/>
    <w:rsid w:val="001439E3"/>
    <w:rsid w:val="00143ED6"/>
    <w:rsid w:val="00146AA2"/>
    <w:rsid w:val="001510DF"/>
    <w:rsid w:val="001512B6"/>
    <w:rsid w:val="00151B91"/>
    <w:rsid w:val="00152691"/>
    <w:rsid w:val="0015283D"/>
    <w:rsid w:val="00152B19"/>
    <w:rsid w:val="00153676"/>
    <w:rsid w:val="001538B5"/>
    <w:rsid w:val="00154213"/>
    <w:rsid w:val="001542B9"/>
    <w:rsid w:val="00154AFA"/>
    <w:rsid w:val="00154D54"/>
    <w:rsid w:val="001558F9"/>
    <w:rsid w:val="00155DD9"/>
    <w:rsid w:val="00156522"/>
    <w:rsid w:val="00156CA1"/>
    <w:rsid w:val="001572BB"/>
    <w:rsid w:val="0015784B"/>
    <w:rsid w:val="001579B8"/>
    <w:rsid w:val="00160D1C"/>
    <w:rsid w:val="00162576"/>
    <w:rsid w:val="00163442"/>
    <w:rsid w:val="00163650"/>
    <w:rsid w:val="00163ECC"/>
    <w:rsid w:val="00164148"/>
    <w:rsid w:val="00164D43"/>
    <w:rsid w:val="00165749"/>
    <w:rsid w:val="00170734"/>
    <w:rsid w:val="0017078A"/>
    <w:rsid w:val="0017225F"/>
    <w:rsid w:val="0017235B"/>
    <w:rsid w:val="00174AAE"/>
    <w:rsid w:val="00175F3E"/>
    <w:rsid w:val="001768C8"/>
    <w:rsid w:val="001769B5"/>
    <w:rsid w:val="00177C51"/>
    <w:rsid w:val="001805FA"/>
    <w:rsid w:val="00180618"/>
    <w:rsid w:val="0018269B"/>
    <w:rsid w:val="00182DE2"/>
    <w:rsid w:val="00182F84"/>
    <w:rsid w:val="0018494D"/>
    <w:rsid w:val="00184B34"/>
    <w:rsid w:val="00184F00"/>
    <w:rsid w:val="0018513A"/>
    <w:rsid w:val="00185508"/>
    <w:rsid w:val="001859C6"/>
    <w:rsid w:val="00185B95"/>
    <w:rsid w:val="00190D16"/>
    <w:rsid w:val="00191E29"/>
    <w:rsid w:val="00194686"/>
    <w:rsid w:val="00195AB5"/>
    <w:rsid w:val="00196369"/>
    <w:rsid w:val="00196FA8"/>
    <w:rsid w:val="0019789C"/>
    <w:rsid w:val="001A09FF"/>
    <w:rsid w:val="001A1FC7"/>
    <w:rsid w:val="001A230E"/>
    <w:rsid w:val="001A278D"/>
    <w:rsid w:val="001A2AA3"/>
    <w:rsid w:val="001A544C"/>
    <w:rsid w:val="001A57CD"/>
    <w:rsid w:val="001A6994"/>
    <w:rsid w:val="001A6D0E"/>
    <w:rsid w:val="001A7142"/>
    <w:rsid w:val="001B394B"/>
    <w:rsid w:val="001B3F73"/>
    <w:rsid w:val="001B46C4"/>
    <w:rsid w:val="001B4840"/>
    <w:rsid w:val="001B4B0C"/>
    <w:rsid w:val="001B4E72"/>
    <w:rsid w:val="001B5D6B"/>
    <w:rsid w:val="001B5E5C"/>
    <w:rsid w:val="001B6833"/>
    <w:rsid w:val="001B7498"/>
    <w:rsid w:val="001B78DD"/>
    <w:rsid w:val="001B7FDB"/>
    <w:rsid w:val="001C0797"/>
    <w:rsid w:val="001C1126"/>
    <w:rsid w:val="001C1BAC"/>
    <w:rsid w:val="001C30E6"/>
    <w:rsid w:val="001C316F"/>
    <w:rsid w:val="001C4555"/>
    <w:rsid w:val="001C4829"/>
    <w:rsid w:val="001C4CA7"/>
    <w:rsid w:val="001C4D9D"/>
    <w:rsid w:val="001C6EE8"/>
    <w:rsid w:val="001C6F10"/>
    <w:rsid w:val="001C74BC"/>
    <w:rsid w:val="001C76E6"/>
    <w:rsid w:val="001D03E7"/>
    <w:rsid w:val="001D0983"/>
    <w:rsid w:val="001D1C3E"/>
    <w:rsid w:val="001D2F77"/>
    <w:rsid w:val="001D3F6A"/>
    <w:rsid w:val="001D5BD4"/>
    <w:rsid w:val="001E089F"/>
    <w:rsid w:val="001E0B88"/>
    <w:rsid w:val="001E21D8"/>
    <w:rsid w:val="001E47D8"/>
    <w:rsid w:val="001E552B"/>
    <w:rsid w:val="001E5E77"/>
    <w:rsid w:val="001E69E8"/>
    <w:rsid w:val="001E7A57"/>
    <w:rsid w:val="001E7FFC"/>
    <w:rsid w:val="001F1CB7"/>
    <w:rsid w:val="001F2987"/>
    <w:rsid w:val="001F3BF0"/>
    <w:rsid w:val="001F4F6A"/>
    <w:rsid w:val="001F538E"/>
    <w:rsid w:val="001F667B"/>
    <w:rsid w:val="001F7037"/>
    <w:rsid w:val="001F7E44"/>
    <w:rsid w:val="002002C6"/>
    <w:rsid w:val="002005E3"/>
    <w:rsid w:val="002014D2"/>
    <w:rsid w:val="00202858"/>
    <w:rsid w:val="00202BAD"/>
    <w:rsid w:val="002035CA"/>
    <w:rsid w:val="002037EF"/>
    <w:rsid w:val="002048E9"/>
    <w:rsid w:val="002064D5"/>
    <w:rsid w:val="002111EA"/>
    <w:rsid w:val="002113C7"/>
    <w:rsid w:val="0021194A"/>
    <w:rsid w:val="00211966"/>
    <w:rsid w:val="00211E6A"/>
    <w:rsid w:val="00214B3C"/>
    <w:rsid w:val="00215497"/>
    <w:rsid w:val="00216F31"/>
    <w:rsid w:val="00216F5A"/>
    <w:rsid w:val="00217AC5"/>
    <w:rsid w:val="0022002E"/>
    <w:rsid w:val="00220CAE"/>
    <w:rsid w:val="00220EE3"/>
    <w:rsid w:val="00221430"/>
    <w:rsid w:val="00221B7F"/>
    <w:rsid w:val="00222AE3"/>
    <w:rsid w:val="002270E4"/>
    <w:rsid w:val="00227C86"/>
    <w:rsid w:val="0023022A"/>
    <w:rsid w:val="0023159F"/>
    <w:rsid w:val="002327EC"/>
    <w:rsid w:val="00233FD8"/>
    <w:rsid w:val="0023598D"/>
    <w:rsid w:val="002362C5"/>
    <w:rsid w:val="002362E2"/>
    <w:rsid w:val="002404D0"/>
    <w:rsid w:val="00241BF4"/>
    <w:rsid w:val="00241E21"/>
    <w:rsid w:val="0024274B"/>
    <w:rsid w:val="00242992"/>
    <w:rsid w:val="00243C2E"/>
    <w:rsid w:val="0024410F"/>
    <w:rsid w:val="002441D5"/>
    <w:rsid w:val="00245193"/>
    <w:rsid w:val="00247601"/>
    <w:rsid w:val="00247AD1"/>
    <w:rsid w:val="00247D0D"/>
    <w:rsid w:val="00252440"/>
    <w:rsid w:val="0025245B"/>
    <w:rsid w:val="00252DC7"/>
    <w:rsid w:val="002539EA"/>
    <w:rsid w:val="00253C31"/>
    <w:rsid w:val="0025402B"/>
    <w:rsid w:val="00254229"/>
    <w:rsid w:val="00255815"/>
    <w:rsid w:val="00255963"/>
    <w:rsid w:val="0025606D"/>
    <w:rsid w:val="00256A6B"/>
    <w:rsid w:val="002577A4"/>
    <w:rsid w:val="00257988"/>
    <w:rsid w:val="00261737"/>
    <w:rsid w:val="00263411"/>
    <w:rsid w:val="002636B4"/>
    <w:rsid w:val="00263BC1"/>
    <w:rsid w:val="00265536"/>
    <w:rsid w:val="002662FF"/>
    <w:rsid w:val="00270132"/>
    <w:rsid w:val="0027026B"/>
    <w:rsid w:val="002709AF"/>
    <w:rsid w:val="002711D2"/>
    <w:rsid w:val="002719E9"/>
    <w:rsid w:val="00272513"/>
    <w:rsid w:val="00275451"/>
    <w:rsid w:val="00275516"/>
    <w:rsid w:val="00276DEA"/>
    <w:rsid w:val="002772B3"/>
    <w:rsid w:val="00277C5F"/>
    <w:rsid w:val="00280607"/>
    <w:rsid w:val="00281107"/>
    <w:rsid w:val="00281C50"/>
    <w:rsid w:val="0028250D"/>
    <w:rsid w:val="00282724"/>
    <w:rsid w:val="00283099"/>
    <w:rsid w:val="00283A29"/>
    <w:rsid w:val="00283BAB"/>
    <w:rsid w:val="0028484E"/>
    <w:rsid w:val="00284AA1"/>
    <w:rsid w:val="00285F3B"/>
    <w:rsid w:val="00286755"/>
    <w:rsid w:val="00286F80"/>
    <w:rsid w:val="00287B21"/>
    <w:rsid w:val="002906A6"/>
    <w:rsid w:val="00290EC9"/>
    <w:rsid w:val="0029176F"/>
    <w:rsid w:val="002919D3"/>
    <w:rsid w:val="002923FD"/>
    <w:rsid w:val="002929E5"/>
    <w:rsid w:val="00292F50"/>
    <w:rsid w:val="0029399F"/>
    <w:rsid w:val="002952F3"/>
    <w:rsid w:val="00295400"/>
    <w:rsid w:val="00296020"/>
    <w:rsid w:val="00296863"/>
    <w:rsid w:val="002A26D4"/>
    <w:rsid w:val="002A384A"/>
    <w:rsid w:val="002A3D76"/>
    <w:rsid w:val="002A5767"/>
    <w:rsid w:val="002A5F2F"/>
    <w:rsid w:val="002A6054"/>
    <w:rsid w:val="002A606A"/>
    <w:rsid w:val="002A6945"/>
    <w:rsid w:val="002A7F1D"/>
    <w:rsid w:val="002B0FC3"/>
    <w:rsid w:val="002B1A1F"/>
    <w:rsid w:val="002B375F"/>
    <w:rsid w:val="002B39D1"/>
    <w:rsid w:val="002B3A52"/>
    <w:rsid w:val="002B67E2"/>
    <w:rsid w:val="002B6B79"/>
    <w:rsid w:val="002B6DC2"/>
    <w:rsid w:val="002B701E"/>
    <w:rsid w:val="002C0B30"/>
    <w:rsid w:val="002C166D"/>
    <w:rsid w:val="002C23BD"/>
    <w:rsid w:val="002C3483"/>
    <w:rsid w:val="002C39C2"/>
    <w:rsid w:val="002C42DD"/>
    <w:rsid w:val="002C603C"/>
    <w:rsid w:val="002C6806"/>
    <w:rsid w:val="002C6C03"/>
    <w:rsid w:val="002C78EC"/>
    <w:rsid w:val="002C7F5F"/>
    <w:rsid w:val="002D0ED3"/>
    <w:rsid w:val="002D24C6"/>
    <w:rsid w:val="002D2558"/>
    <w:rsid w:val="002D25D8"/>
    <w:rsid w:val="002D4715"/>
    <w:rsid w:val="002D5266"/>
    <w:rsid w:val="002D59BC"/>
    <w:rsid w:val="002D6EE9"/>
    <w:rsid w:val="002D7D15"/>
    <w:rsid w:val="002E11A5"/>
    <w:rsid w:val="002E138C"/>
    <w:rsid w:val="002E3B71"/>
    <w:rsid w:val="002E44ED"/>
    <w:rsid w:val="002E635D"/>
    <w:rsid w:val="002F1462"/>
    <w:rsid w:val="002F21B3"/>
    <w:rsid w:val="002F29BC"/>
    <w:rsid w:val="002F4658"/>
    <w:rsid w:val="002F51EA"/>
    <w:rsid w:val="002F536B"/>
    <w:rsid w:val="002F5C19"/>
    <w:rsid w:val="002F6097"/>
    <w:rsid w:val="002F65C4"/>
    <w:rsid w:val="002F6617"/>
    <w:rsid w:val="003024F8"/>
    <w:rsid w:val="00302595"/>
    <w:rsid w:val="00302F26"/>
    <w:rsid w:val="00304331"/>
    <w:rsid w:val="00304AE3"/>
    <w:rsid w:val="003072D8"/>
    <w:rsid w:val="00307CD7"/>
    <w:rsid w:val="00310982"/>
    <w:rsid w:val="00310B28"/>
    <w:rsid w:val="0031276E"/>
    <w:rsid w:val="003131DD"/>
    <w:rsid w:val="00313814"/>
    <w:rsid w:val="00313824"/>
    <w:rsid w:val="003142E8"/>
    <w:rsid w:val="00314350"/>
    <w:rsid w:val="00314A3D"/>
    <w:rsid w:val="00317290"/>
    <w:rsid w:val="003175E5"/>
    <w:rsid w:val="00317AEE"/>
    <w:rsid w:val="00320382"/>
    <w:rsid w:val="00320E82"/>
    <w:rsid w:val="00321085"/>
    <w:rsid w:val="003215C8"/>
    <w:rsid w:val="00322256"/>
    <w:rsid w:val="0032498D"/>
    <w:rsid w:val="00324AE8"/>
    <w:rsid w:val="0032505F"/>
    <w:rsid w:val="00327BAA"/>
    <w:rsid w:val="00330B4F"/>
    <w:rsid w:val="00331B8A"/>
    <w:rsid w:val="00332242"/>
    <w:rsid w:val="0033271D"/>
    <w:rsid w:val="00333297"/>
    <w:rsid w:val="0033433B"/>
    <w:rsid w:val="0033733D"/>
    <w:rsid w:val="003401FE"/>
    <w:rsid w:val="00340299"/>
    <w:rsid w:val="003408F7"/>
    <w:rsid w:val="00341183"/>
    <w:rsid w:val="00341BBA"/>
    <w:rsid w:val="00343516"/>
    <w:rsid w:val="0034545F"/>
    <w:rsid w:val="003455B2"/>
    <w:rsid w:val="00345691"/>
    <w:rsid w:val="00345972"/>
    <w:rsid w:val="00347012"/>
    <w:rsid w:val="0034717E"/>
    <w:rsid w:val="00347488"/>
    <w:rsid w:val="00347514"/>
    <w:rsid w:val="00347C19"/>
    <w:rsid w:val="00350084"/>
    <w:rsid w:val="0035109A"/>
    <w:rsid w:val="00351B94"/>
    <w:rsid w:val="00352196"/>
    <w:rsid w:val="0035240A"/>
    <w:rsid w:val="00352D84"/>
    <w:rsid w:val="003531DA"/>
    <w:rsid w:val="00353AD4"/>
    <w:rsid w:val="00355A67"/>
    <w:rsid w:val="003560A4"/>
    <w:rsid w:val="003560EE"/>
    <w:rsid w:val="00356E4B"/>
    <w:rsid w:val="003570E4"/>
    <w:rsid w:val="00357575"/>
    <w:rsid w:val="00357E71"/>
    <w:rsid w:val="00362613"/>
    <w:rsid w:val="00363CEC"/>
    <w:rsid w:val="003666B1"/>
    <w:rsid w:val="00367031"/>
    <w:rsid w:val="003678A4"/>
    <w:rsid w:val="00367CB2"/>
    <w:rsid w:val="00367E43"/>
    <w:rsid w:val="0037043E"/>
    <w:rsid w:val="003716AF"/>
    <w:rsid w:val="00372203"/>
    <w:rsid w:val="00372EA0"/>
    <w:rsid w:val="00372F75"/>
    <w:rsid w:val="00373061"/>
    <w:rsid w:val="003758F9"/>
    <w:rsid w:val="00377A14"/>
    <w:rsid w:val="00377DF6"/>
    <w:rsid w:val="0038084D"/>
    <w:rsid w:val="003808E0"/>
    <w:rsid w:val="00380D17"/>
    <w:rsid w:val="00380EAB"/>
    <w:rsid w:val="00384903"/>
    <w:rsid w:val="00385187"/>
    <w:rsid w:val="003853DE"/>
    <w:rsid w:val="00386151"/>
    <w:rsid w:val="0038681F"/>
    <w:rsid w:val="00387A3F"/>
    <w:rsid w:val="00390364"/>
    <w:rsid w:val="00391401"/>
    <w:rsid w:val="00392528"/>
    <w:rsid w:val="003925A9"/>
    <w:rsid w:val="00393BCE"/>
    <w:rsid w:val="00393C3D"/>
    <w:rsid w:val="00393DB9"/>
    <w:rsid w:val="00394257"/>
    <w:rsid w:val="003946CA"/>
    <w:rsid w:val="003949E0"/>
    <w:rsid w:val="00394A66"/>
    <w:rsid w:val="00394C4D"/>
    <w:rsid w:val="003951ED"/>
    <w:rsid w:val="00395C3F"/>
    <w:rsid w:val="00397246"/>
    <w:rsid w:val="0039781F"/>
    <w:rsid w:val="003A0966"/>
    <w:rsid w:val="003A0F0B"/>
    <w:rsid w:val="003A206A"/>
    <w:rsid w:val="003A28F5"/>
    <w:rsid w:val="003A36EF"/>
    <w:rsid w:val="003A4F25"/>
    <w:rsid w:val="003A5E71"/>
    <w:rsid w:val="003A6A00"/>
    <w:rsid w:val="003A6C64"/>
    <w:rsid w:val="003A6FED"/>
    <w:rsid w:val="003A754E"/>
    <w:rsid w:val="003B0D7C"/>
    <w:rsid w:val="003B1572"/>
    <w:rsid w:val="003B2437"/>
    <w:rsid w:val="003B4775"/>
    <w:rsid w:val="003B47ED"/>
    <w:rsid w:val="003B7375"/>
    <w:rsid w:val="003B75CB"/>
    <w:rsid w:val="003C03A4"/>
    <w:rsid w:val="003C1097"/>
    <w:rsid w:val="003C37FE"/>
    <w:rsid w:val="003C4036"/>
    <w:rsid w:val="003C5037"/>
    <w:rsid w:val="003C521B"/>
    <w:rsid w:val="003C574C"/>
    <w:rsid w:val="003C60E2"/>
    <w:rsid w:val="003C61FC"/>
    <w:rsid w:val="003D0715"/>
    <w:rsid w:val="003D1036"/>
    <w:rsid w:val="003D11C4"/>
    <w:rsid w:val="003D1639"/>
    <w:rsid w:val="003D20AE"/>
    <w:rsid w:val="003D229E"/>
    <w:rsid w:val="003D33C5"/>
    <w:rsid w:val="003D460F"/>
    <w:rsid w:val="003D5115"/>
    <w:rsid w:val="003E043F"/>
    <w:rsid w:val="003E0928"/>
    <w:rsid w:val="003E0DE8"/>
    <w:rsid w:val="003E1376"/>
    <w:rsid w:val="003E1AEF"/>
    <w:rsid w:val="003E297C"/>
    <w:rsid w:val="003E3822"/>
    <w:rsid w:val="003E3EC3"/>
    <w:rsid w:val="003E4284"/>
    <w:rsid w:val="003E43D4"/>
    <w:rsid w:val="003E484B"/>
    <w:rsid w:val="003E4A87"/>
    <w:rsid w:val="003E56DD"/>
    <w:rsid w:val="003E6553"/>
    <w:rsid w:val="003E7B10"/>
    <w:rsid w:val="003E7C17"/>
    <w:rsid w:val="003F04A4"/>
    <w:rsid w:val="003F05F6"/>
    <w:rsid w:val="003F0AA9"/>
    <w:rsid w:val="003F0FFE"/>
    <w:rsid w:val="003F23F6"/>
    <w:rsid w:val="003F2E0B"/>
    <w:rsid w:val="003F4F8C"/>
    <w:rsid w:val="003F65D3"/>
    <w:rsid w:val="00403A63"/>
    <w:rsid w:val="00403FF3"/>
    <w:rsid w:val="004060E1"/>
    <w:rsid w:val="00406AAC"/>
    <w:rsid w:val="00412091"/>
    <w:rsid w:val="004128BA"/>
    <w:rsid w:val="0041316C"/>
    <w:rsid w:val="00413D7E"/>
    <w:rsid w:val="004140CF"/>
    <w:rsid w:val="00415A3C"/>
    <w:rsid w:val="004212F9"/>
    <w:rsid w:val="00422E5B"/>
    <w:rsid w:val="00424BB4"/>
    <w:rsid w:val="00424DF7"/>
    <w:rsid w:val="00424E60"/>
    <w:rsid w:val="004252DB"/>
    <w:rsid w:val="004252E3"/>
    <w:rsid w:val="00426570"/>
    <w:rsid w:val="00426C0E"/>
    <w:rsid w:val="0043018C"/>
    <w:rsid w:val="00430815"/>
    <w:rsid w:val="00430A39"/>
    <w:rsid w:val="004328E1"/>
    <w:rsid w:val="00434DFE"/>
    <w:rsid w:val="00435690"/>
    <w:rsid w:val="00435A46"/>
    <w:rsid w:val="00436C6A"/>
    <w:rsid w:val="0043791D"/>
    <w:rsid w:val="00437DBE"/>
    <w:rsid w:val="004403C5"/>
    <w:rsid w:val="00440C0F"/>
    <w:rsid w:val="004410B5"/>
    <w:rsid w:val="00441674"/>
    <w:rsid w:val="00441D42"/>
    <w:rsid w:val="00442BAC"/>
    <w:rsid w:val="00442D4E"/>
    <w:rsid w:val="00442F23"/>
    <w:rsid w:val="00443969"/>
    <w:rsid w:val="00445F8C"/>
    <w:rsid w:val="0044659F"/>
    <w:rsid w:val="0044740F"/>
    <w:rsid w:val="00447485"/>
    <w:rsid w:val="00447AC5"/>
    <w:rsid w:val="00447FF8"/>
    <w:rsid w:val="00451658"/>
    <w:rsid w:val="00451BCE"/>
    <w:rsid w:val="00451DD4"/>
    <w:rsid w:val="00452F7F"/>
    <w:rsid w:val="004547CD"/>
    <w:rsid w:val="00455615"/>
    <w:rsid w:val="004562C3"/>
    <w:rsid w:val="004577CA"/>
    <w:rsid w:val="00457CC8"/>
    <w:rsid w:val="00457E2B"/>
    <w:rsid w:val="0046096F"/>
    <w:rsid w:val="00463FA1"/>
    <w:rsid w:val="0046436E"/>
    <w:rsid w:val="00464425"/>
    <w:rsid w:val="00465B80"/>
    <w:rsid w:val="00466962"/>
    <w:rsid w:val="00466A2C"/>
    <w:rsid w:val="00467D4E"/>
    <w:rsid w:val="0047062F"/>
    <w:rsid w:val="00470997"/>
    <w:rsid w:val="00470CF8"/>
    <w:rsid w:val="00474853"/>
    <w:rsid w:val="00475472"/>
    <w:rsid w:val="00476C0D"/>
    <w:rsid w:val="004774F7"/>
    <w:rsid w:val="00480629"/>
    <w:rsid w:val="00481E19"/>
    <w:rsid w:val="00483D07"/>
    <w:rsid w:val="00484A55"/>
    <w:rsid w:val="0048677A"/>
    <w:rsid w:val="0048725F"/>
    <w:rsid w:val="00491A03"/>
    <w:rsid w:val="00491B59"/>
    <w:rsid w:val="00492B7F"/>
    <w:rsid w:val="00492CF8"/>
    <w:rsid w:val="00493143"/>
    <w:rsid w:val="0049370A"/>
    <w:rsid w:val="00493855"/>
    <w:rsid w:val="00493D32"/>
    <w:rsid w:val="00494C37"/>
    <w:rsid w:val="00494E9E"/>
    <w:rsid w:val="00495458"/>
    <w:rsid w:val="004964AC"/>
    <w:rsid w:val="004A07B4"/>
    <w:rsid w:val="004A2918"/>
    <w:rsid w:val="004A3BA9"/>
    <w:rsid w:val="004A4983"/>
    <w:rsid w:val="004A7C18"/>
    <w:rsid w:val="004B0005"/>
    <w:rsid w:val="004B0B77"/>
    <w:rsid w:val="004B1A5F"/>
    <w:rsid w:val="004B4247"/>
    <w:rsid w:val="004B4265"/>
    <w:rsid w:val="004B4823"/>
    <w:rsid w:val="004B5239"/>
    <w:rsid w:val="004B5262"/>
    <w:rsid w:val="004B698B"/>
    <w:rsid w:val="004B6DAA"/>
    <w:rsid w:val="004B7453"/>
    <w:rsid w:val="004C0900"/>
    <w:rsid w:val="004C0A27"/>
    <w:rsid w:val="004C12ED"/>
    <w:rsid w:val="004C2013"/>
    <w:rsid w:val="004C20AA"/>
    <w:rsid w:val="004C31A8"/>
    <w:rsid w:val="004C3C1E"/>
    <w:rsid w:val="004C747F"/>
    <w:rsid w:val="004D03AF"/>
    <w:rsid w:val="004D08B3"/>
    <w:rsid w:val="004D1148"/>
    <w:rsid w:val="004D1256"/>
    <w:rsid w:val="004D13A7"/>
    <w:rsid w:val="004D43CE"/>
    <w:rsid w:val="004D4479"/>
    <w:rsid w:val="004D7895"/>
    <w:rsid w:val="004E05FD"/>
    <w:rsid w:val="004E365F"/>
    <w:rsid w:val="004E4C7C"/>
    <w:rsid w:val="004E7310"/>
    <w:rsid w:val="004E76AD"/>
    <w:rsid w:val="004F29CC"/>
    <w:rsid w:val="004F35F9"/>
    <w:rsid w:val="004F3E9D"/>
    <w:rsid w:val="004F40B4"/>
    <w:rsid w:val="004F5E6F"/>
    <w:rsid w:val="004F5FF8"/>
    <w:rsid w:val="004F60CF"/>
    <w:rsid w:val="004F638B"/>
    <w:rsid w:val="004F66E6"/>
    <w:rsid w:val="004F6FA9"/>
    <w:rsid w:val="004F7072"/>
    <w:rsid w:val="004F77B8"/>
    <w:rsid w:val="0050108E"/>
    <w:rsid w:val="00501CD3"/>
    <w:rsid w:val="005022FB"/>
    <w:rsid w:val="00503D25"/>
    <w:rsid w:val="00507658"/>
    <w:rsid w:val="00510B0A"/>
    <w:rsid w:val="00510C0C"/>
    <w:rsid w:val="005132AE"/>
    <w:rsid w:val="005139BB"/>
    <w:rsid w:val="005140E1"/>
    <w:rsid w:val="005153DC"/>
    <w:rsid w:val="00516172"/>
    <w:rsid w:val="005204E0"/>
    <w:rsid w:val="00520ACD"/>
    <w:rsid w:val="00520B76"/>
    <w:rsid w:val="005237E3"/>
    <w:rsid w:val="005256E3"/>
    <w:rsid w:val="00527AFB"/>
    <w:rsid w:val="00530280"/>
    <w:rsid w:val="005303D6"/>
    <w:rsid w:val="005303D9"/>
    <w:rsid w:val="00530C84"/>
    <w:rsid w:val="00530E93"/>
    <w:rsid w:val="005318FF"/>
    <w:rsid w:val="00532C94"/>
    <w:rsid w:val="0053332C"/>
    <w:rsid w:val="00534815"/>
    <w:rsid w:val="00535037"/>
    <w:rsid w:val="005358BE"/>
    <w:rsid w:val="0053592F"/>
    <w:rsid w:val="00535BBF"/>
    <w:rsid w:val="005379BE"/>
    <w:rsid w:val="00537B02"/>
    <w:rsid w:val="00543249"/>
    <w:rsid w:val="00544386"/>
    <w:rsid w:val="00544B41"/>
    <w:rsid w:val="005457B1"/>
    <w:rsid w:val="00546054"/>
    <w:rsid w:val="005478EB"/>
    <w:rsid w:val="00547EDD"/>
    <w:rsid w:val="00550473"/>
    <w:rsid w:val="005537A8"/>
    <w:rsid w:val="00553C8E"/>
    <w:rsid w:val="0055460F"/>
    <w:rsid w:val="00554C40"/>
    <w:rsid w:val="00556789"/>
    <w:rsid w:val="0055690E"/>
    <w:rsid w:val="00556C67"/>
    <w:rsid w:val="00556CB3"/>
    <w:rsid w:val="00557FD7"/>
    <w:rsid w:val="00560E32"/>
    <w:rsid w:val="00561D22"/>
    <w:rsid w:val="00562F4C"/>
    <w:rsid w:val="00563524"/>
    <w:rsid w:val="00564DD4"/>
    <w:rsid w:val="005651C5"/>
    <w:rsid w:val="00565799"/>
    <w:rsid w:val="00571E97"/>
    <w:rsid w:val="00572BFB"/>
    <w:rsid w:val="005744A1"/>
    <w:rsid w:val="00575497"/>
    <w:rsid w:val="00575BD3"/>
    <w:rsid w:val="00576D2A"/>
    <w:rsid w:val="00576FAB"/>
    <w:rsid w:val="00577FDF"/>
    <w:rsid w:val="005809F7"/>
    <w:rsid w:val="0058105A"/>
    <w:rsid w:val="00582760"/>
    <w:rsid w:val="00582CB3"/>
    <w:rsid w:val="00583358"/>
    <w:rsid w:val="005855EF"/>
    <w:rsid w:val="005865F7"/>
    <w:rsid w:val="00590A49"/>
    <w:rsid w:val="005928FD"/>
    <w:rsid w:val="0059684C"/>
    <w:rsid w:val="0059702D"/>
    <w:rsid w:val="005A0280"/>
    <w:rsid w:val="005A10AC"/>
    <w:rsid w:val="005A23BF"/>
    <w:rsid w:val="005A31F7"/>
    <w:rsid w:val="005A3295"/>
    <w:rsid w:val="005A3895"/>
    <w:rsid w:val="005A3B8D"/>
    <w:rsid w:val="005A55FA"/>
    <w:rsid w:val="005A66D1"/>
    <w:rsid w:val="005A7789"/>
    <w:rsid w:val="005B1109"/>
    <w:rsid w:val="005B1DD7"/>
    <w:rsid w:val="005B229B"/>
    <w:rsid w:val="005B27EF"/>
    <w:rsid w:val="005B32AC"/>
    <w:rsid w:val="005B3A6B"/>
    <w:rsid w:val="005B43B4"/>
    <w:rsid w:val="005B4CF7"/>
    <w:rsid w:val="005C0A88"/>
    <w:rsid w:val="005C1500"/>
    <w:rsid w:val="005C2649"/>
    <w:rsid w:val="005C3D50"/>
    <w:rsid w:val="005C50E4"/>
    <w:rsid w:val="005C60F1"/>
    <w:rsid w:val="005C7F96"/>
    <w:rsid w:val="005D0EBE"/>
    <w:rsid w:val="005D29E7"/>
    <w:rsid w:val="005D3E3C"/>
    <w:rsid w:val="005D598A"/>
    <w:rsid w:val="005D5E3E"/>
    <w:rsid w:val="005D5E7F"/>
    <w:rsid w:val="005D7A59"/>
    <w:rsid w:val="005D7F13"/>
    <w:rsid w:val="005E074B"/>
    <w:rsid w:val="005E08EF"/>
    <w:rsid w:val="005E1503"/>
    <w:rsid w:val="005E17C6"/>
    <w:rsid w:val="005E28B3"/>
    <w:rsid w:val="005E428D"/>
    <w:rsid w:val="005E5762"/>
    <w:rsid w:val="005E622D"/>
    <w:rsid w:val="005E63A0"/>
    <w:rsid w:val="005E666B"/>
    <w:rsid w:val="005F01F8"/>
    <w:rsid w:val="005F031D"/>
    <w:rsid w:val="005F0E36"/>
    <w:rsid w:val="005F0E95"/>
    <w:rsid w:val="005F1EBD"/>
    <w:rsid w:val="005F23E5"/>
    <w:rsid w:val="005F3416"/>
    <w:rsid w:val="005F3C8F"/>
    <w:rsid w:val="005F40BD"/>
    <w:rsid w:val="005F499C"/>
    <w:rsid w:val="005F51F3"/>
    <w:rsid w:val="005F58D0"/>
    <w:rsid w:val="005F675D"/>
    <w:rsid w:val="005F6832"/>
    <w:rsid w:val="005F78E6"/>
    <w:rsid w:val="005F7F5C"/>
    <w:rsid w:val="005F7F96"/>
    <w:rsid w:val="00600685"/>
    <w:rsid w:val="00600D35"/>
    <w:rsid w:val="0060129D"/>
    <w:rsid w:val="0060148E"/>
    <w:rsid w:val="006044CE"/>
    <w:rsid w:val="0060643D"/>
    <w:rsid w:val="00606F6E"/>
    <w:rsid w:val="006075B3"/>
    <w:rsid w:val="00610637"/>
    <w:rsid w:val="00610C6C"/>
    <w:rsid w:val="006123F5"/>
    <w:rsid w:val="0061456C"/>
    <w:rsid w:val="00615E15"/>
    <w:rsid w:val="00615FFC"/>
    <w:rsid w:val="006163E5"/>
    <w:rsid w:val="006175A2"/>
    <w:rsid w:val="0062053E"/>
    <w:rsid w:val="00620EBB"/>
    <w:rsid w:val="006225C7"/>
    <w:rsid w:val="0062343B"/>
    <w:rsid w:val="00624815"/>
    <w:rsid w:val="0062517C"/>
    <w:rsid w:val="00625416"/>
    <w:rsid w:val="006258FC"/>
    <w:rsid w:val="00625E23"/>
    <w:rsid w:val="00625F36"/>
    <w:rsid w:val="00626B59"/>
    <w:rsid w:val="00627019"/>
    <w:rsid w:val="006273EE"/>
    <w:rsid w:val="0062783C"/>
    <w:rsid w:val="00627F65"/>
    <w:rsid w:val="00630F70"/>
    <w:rsid w:val="006318EC"/>
    <w:rsid w:val="00634A09"/>
    <w:rsid w:val="00634A87"/>
    <w:rsid w:val="006350CC"/>
    <w:rsid w:val="0063638C"/>
    <w:rsid w:val="006364E9"/>
    <w:rsid w:val="006370D8"/>
    <w:rsid w:val="006401C6"/>
    <w:rsid w:val="00640606"/>
    <w:rsid w:val="006409D3"/>
    <w:rsid w:val="006466CD"/>
    <w:rsid w:val="0064707F"/>
    <w:rsid w:val="00647EC0"/>
    <w:rsid w:val="0065050B"/>
    <w:rsid w:val="0065082A"/>
    <w:rsid w:val="006517B1"/>
    <w:rsid w:val="006521EC"/>
    <w:rsid w:val="00652299"/>
    <w:rsid w:val="00655C99"/>
    <w:rsid w:val="00656DCD"/>
    <w:rsid w:val="00656E1B"/>
    <w:rsid w:val="00657432"/>
    <w:rsid w:val="0065761F"/>
    <w:rsid w:val="006600C0"/>
    <w:rsid w:val="0066083C"/>
    <w:rsid w:val="00662004"/>
    <w:rsid w:val="006635DC"/>
    <w:rsid w:val="00665193"/>
    <w:rsid w:val="00670DA8"/>
    <w:rsid w:val="00671311"/>
    <w:rsid w:val="0067160C"/>
    <w:rsid w:val="00671B38"/>
    <w:rsid w:val="00671C7B"/>
    <w:rsid w:val="00672291"/>
    <w:rsid w:val="006732E1"/>
    <w:rsid w:val="006734B4"/>
    <w:rsid w:val="00673628"/>
    <w:rsid w:val="00674393"/>
    <w:rsid w:val="00675C0D"/>
    <w:rsid w:val="00675F73"/>
    <w:rsid w:val="006760FF"/>
    <w:rsid w:val="00677311"/>
    <w:rsid w:val="00677D68"/>
    <w:rsid w:val="006806C8"/>
    <w:rsid w:val="00680D66"/>
    <w:rsid w:val="006846ED"/>
    <w:rsid w:val="00684838"/>
    <w:rsid w:val="00684D30"/>
    <w:rsid w:val="00684F29"/>
    <w:rsid w:val="0068570F"/>
    <w:rsid w:val="00686D50"/>
    <w:rsid w:val="00687CFA"/>
    <w:rsid w:val="006923E6"/>
    <w:rsid w:val="00692CFF"/>
    <w:rsid w:val="00693012"/>
    <w:rsid w:val="00693722"/>
    <w:rsid w:val="00693B1F"/>
    <w:rsid w:val="00694058"/>
    <w:rsid w:val="006944F4"/>
    <w:rsid w:val="00694A88"/>
    <w:rsid w:val="00694AF9"/>
    <w:rsid w:val="0069517B"/>
    <w:rsid w:val="006953C0"/>
    <w:rsid w:val="00695527"/>
    <w:rsid w:val="0069566D"/>
    <w:rsid w:val="0069583E"/>
    <w:rsid w:val="006973CC"/>
    <w:rsid w:val="00697F6E"/>
    <w:rsid w:val="006A1636"/>
    <w:rsid w:val="006A17D0"/>
    <w:rsid w:val="006A3B4A"/>
    <w:rsid w:val="006A4563"/>
    <w:rsid w:val="006A4C31"/>
    <w:rsid w:val="006A60B8"/>
    <w:rsid w:val="006A79E4"/>
    <w:rsid w:val="006B0A40"/>
    <w:rsid w:val="006B3AC9"/>
    <w:rsid w:val="006B402D"/>
    <w:rsid w:val="006B4BFE"/>
    <w:rsid w:val="006B4E42"/>
    <w:rsid w:val="006B5126"/>
    <w:rsid w:val="006B6FA9"/>
    <w:rsid w:val="006C052F"/>
    <w:rsid w:val="006C0787"/>
    <w:rsid w:val="006C2364"/>
    <w:rsid w:val="006C3312"/>
    <w:rsid w:val="006C48F4"/>
    <w:rsid w:val="006C53F3"/>
    <w:rsid w:val="006C6759"/>
    <w:rsid w:val="006D1216"/>
    <w:rsid w:val="006D17B2"/>
    <w:rsid w:val="006D2202"/>
    <w:rsid w:val="006D2A80"/>
    <w:rsid w:val="006D4B20"/>
    <w:rsid w:val="006D4CD4"/>
    <w:rsid w:val="006D51D3"/>
    <w:rsid w:val="006D57FD"/>
    <w:rsid w:val="006D75B2"/>
    <w:rsid w:val="006D764C"/>
    <w:rsid w:val="006D7690"/>
    <w:rsid w:val="006D7E86"/>
    <w:rsid w:val="006E114B"/>
    <w:rsid w:val="006E1EBF"/>
    <w:rsid w:val="006E72D6"/>
    <w:rsid w:val="006E7AC9"/>
    <w:rsid w:val="006F04F4"/>
    <w:rsid w:val="006F0C8C"/>
    <w:rsid w:val="006F1C1B"/>
    <w:rsid w:val="006F1F30"/>
    <w:rsid w:val="006F200D"/>
    <w:rsid w:val="006F50F1"/>
    <w:rsid w:val="006F582D"/>
    <w:rsid w:val="006F5A8E"/>
    <w:rsid w:val="006F742A"/>
    <w:rsid w:val="00700104"/>
    <w:rsid w:val="00700531"/>
    <w:rsid w:val="00701162"/>
    <w:rsid w:val="00701B09"/>
    <w:rsid w:val="00701C5D"/>
    <w:rsid w:val="00702470"/>
    <w:rsid w:val="00702B84"/>
    <w:rsid w:val="00703437"/>
    <w:rsid w:val="00704477"/>
    <w:rsid w:val="0070506E"/>
    <w:rsid w:val="007059D4"/>
    <w:rsid w:val="00705C89"/>
    <w:rsid w:val="00706060"/>
    <w:rsid w:val="00707FE3"/>
    <w:rsid w:val="00714B5E"/>
    <w:rsid w:val="00714BC0"/>
    <w:rsid w:val="00715414"/>
    <w:rsid w:val="0071579B"/>
    <w:rsid w:val="00716FEE"/>
    <w:rsid w:val="00717062"/>
    <w:rsid w:val="00717296"/>
    <w:rsid w:val="00721524"/>
    <w:rsid w:val="00721744"/>
    <w:rsid w:val="00723355"/>
    <w:rsid w:val="00723DCD"/>
    <w:rsid w:val="0072459D"/>
    <w:rsid w:val="00724BB4"/>
    <w:rsid w:val="007253F7"/>
    <w:rsid w:val="007258A4"/>
    <w:rsid w:val="00725CEC"/>
    <w:rsid w:val="007261F0"/>
    <w:rsid w:val="00727205"/>
    <w:rsid w:val="007300B8"/>
    <w:rsid w:val="00730106"/>
    <w:rsid w:val="0073225F"/>
    <w:rsid w:val="007343FC"/>
    <w:rsid w:val="0073493E"/>
    <w:rsid w:val="00735455"/>
    <w:rsid w:val="00735A8E"/>
    <w:rsid w:val="00735E39"/>
    <w:rsid w:val="007372C7"/>
    <w:rsid w:val="00737DDB"/>
    <w:rsid w:val="00737E97"/>
    <w:rsid w:val="00740157"/>
    <w:rsid w:val="007404E7"/>
    <w:rsid w:val="00741F91"/>
    <w:rsid w:val="007428EC"/>
    <w:rsid w:val="00743172"/>
    <w:rsid w:val="007439A5"/>
    <w:rsid w:val="00743EDF"/>
    <w:rsid w:val="0074440A"/>
    <w:rsid w:val="00745372"/>
    <w:rsid w:val="007459EF"/>
    <w:rsid w:val="00745A5F"/>
    <w:rsid w:val="00746523"/>
    <w:rsid w:val="00752409"/>
    <w:rsid w:val="00753A17"/>
    <w:rsid w:val="00753BF2"/>
    <w:rsid w:val="00753CFC"/>
    <w:rsid w:val="00753F14"/>
    <w:rsid w:val="0075492E"/>
    <w:rsid w:val="00754A51"/>
    <w:rsid w:val="00754D43"/>
    <w:rsid w:val="0075602C"/>
    <w:rsid w:val="00756235"/>
    <w:rsid w:val="00756461"/>
    <w:rsid w:val="007567EB"/>
    <w:rsid w:val="00760729"/>
    <w:rsid w:val="007609F2"/>
    <w:rsid w:val="00760BBE"/>
    <w:rsid w:val="00760BC9"/>
    <w:rsid w:val="00761162"/>
    <w:rsid w:val="00761700"/>
    <w:rsid w:val="0076264D"/>
    <w:rsid w:val="00763108"/>
    <w:rsid w:val="007652D9"/>
    <w:rsid w:val="0076604B"/>
    <w:rsid w:val="00772684"/>
    <w:rsid w:val="00775501"/>
    <w:rsid w:val="0078010C"/>
    <w:rsid w:val="007807DD"/>
    <w:rsid w:val="00781F3E"/>
    <w:rsid w:val="00782FFA"/>
    <w:rsid w:val="007838DA"/>
    <w:rsid w:val="00783A92"/>
    <w:rsid w:val="007853E2"/>
    <w:rsid w:val="0078723D"/>
    <w:rsid w:val="00790B5D"/>
    <w:rsid w:val="0079258F"/>
    <w:rsid w:val="00793445"/>
    <w:rsid w:val="00793644"/>
    <w:rsid w:val="007941CC"/>
    <w:rsid w:val="00795633"/>
    <w:rsid w:val="00796650"/>
    <w:rsid w:val="0079768E"/>
    <w:rsid w:val="007A0186"/>
    <w:rsid w:val="007A1988"/>
    <w:rsid w:val="007A3341"/>
    <w:rsid w:val="007A339D"/>
    <w:rsid w:val="007A44DB"/>
    <w:rsid w:val="007A45E8"/>
    <w:rsid w:val="007A52FC"/>
    <w:rsid w:val="007A5AD2"/>
    <w:rsid w:val="007A5F8F"/>
    <w:rsid w:val="007A70CA"/>
    <w:rsid w:val="007B01B7"/>
    <w:rsid w:val="007B02B9"/>
    <w:rsid w:val="007B05F8"/>
    <w:rsid w:val="007B079C"/>
    <w:rsid w:val="007B0D2A"/>
    <w:rsid w:val="007B1D30"/>
    <w:rsid w:val="007B2869"/>
    <w:rsid w:val="007B3615"/>
    <w:rsid w:val="007B455B"/>
    <w:rsid w:val="007B45E5"/>
    <w:rsid w:val="007B4AED"/>
    <w:rsid w:val="007B5321"/>
    <w:rsid w:val="007B6799"/>
    <w:rsid w:val="007C0555"/>
    <w:rsid w:val="007C09CF"/>
    <w:rsid w:val="007C1102"/>
    <w:rsid w:val="007C11FD"/>
    <w:rsid w:val="007C17A4"/>
    <w:rsid w:val="007C1A4A"/>
    <w:rsid w:val="007C5040"/>
    <w:rsid w:val="007C57D8"/>
    <w:rsid w:val="007C6EBD"/>
    <w:rsid w:val="007C7D25"/>
    <w:rsid w:val="007D16C1"/>
    <w:rsid w:val="007D19E8"/>
    <w:rsid w:val="007D25C7"/>
    <w:rsid w:val="007D2725"/>
    <w:rsid w:val="007D3245"/>
    <w:rsid w:val="007D3527"/>
    <w:rsid w:val="007D3E4D"/>
    <w:rsid w:val="007D5D9B"/>
    <w:rsid w:val="007D6052"/>
    <w:rsid w:val="007D6F26"/>
    <w:rsid w:val="007E1062"/>
    <w:rsid w:val="007E1757"/>
    <w:rsid w:val="007E1BAF"/>
    <w:rsid w:val="007E4013"/>
    <w:rsid w:val="007E4A33"/>
    <w:rsid w:val="007E4F35"/>
    <w:rsid w:val="007E7040"/>
    <w:rsid w:val="007E7C3B"/>
    <w:rsid w:val="007E7D8E"/>
    <w:rsid w:val="007F17C4"/>
    <w:rsid w:val="007F26E9"/>
    <w:rsid w:val="007F2A83"/>
    <w:rsid w:val="007F344E"/>
    <w:rsid w:val="007F45F0"/>
    <w:rsid w:val="00800FDB"/>
    <w:rsid w:val="0080100F"/>
    <w:rsid w:val="00802462"/>
    <w:rsid w:val="00803808"/>
    <w:rsid w:val="00804A37"/>
    <w:rsid w:val="00804D39"/>
    <w:rsid w:val="00805173"/>
    <w:rsid w:val="0080589C"/>
    <w:rsid w:val="008059E2"/>
    <w:rsid w:val="008061C0"/>
    <w:rsid w:val="008071F8"/>
    <w:rsid w:val="00807815"/>
    <w:rsid w:val="00807DA7"/>
    <w:rsid w:val="008121EE"/>
    <w:rsid w:val="008125CD"/>
    <w:rsid w:val="008130EF"/>
    <w:rsid w:val="00814C52"/>
    <w:rsid w:val="00814E0E"/>
    <w:rsid w:val="00815954"/>
    <w:rsid w:val="00815B16"/>
    <w:rsid w:val="00815F6B"/>
    <w:rsid w:val="00816A93"/>
    <w:rsid w:val="00816D23"/>
    <w:rsid w:val="00817A20"/>
    <w:rsid w:val="00817B06"/>
    <w:rsid w:val="00817E8F"/>
    <w:rsid w:val="008215A0"/>
    <w:rsid w:val="008225FC"/>
    <w:rsid w:val="00822A76"/>
    <w:rsid w:val="00822E1E"/>
    <w:rsid w:val="008230BB"/>
    <w:rsid w:val="008234A1"/>
    <w:rsid w:val="00826179"/>
    <w:rsid w:val="00827BE9"/>
    <w:rsid w:val="00827E27"/>
    <w:rsid w:val="00830171"/>
    <w:rsid w:val="008309CE"/>
    <w:rsid w:val="0083259A"/>
    <w:rsid w:val="00832659"/>
    <w:rsid w:val="00832B70"/>
    <w:rsid w:val="00833B15"/>
    <w:rsid w:val="00837DB5"/>
    <w:rsid w:val="00840F62"/>
    <w:rsid w:val="0084192B"/>
    <w:rsid w:val="0084202D"/>
    <w:rsid w:val="00842504"/>
    <w:rsid w:val="008427D1"/>
    <w:rsid w:val="008435E6"/>
    <w:rsid w:val="008436CD"/>
    <w:rsid w:val="00843CE2"/>
    <w:rsid w:val="00843D44"/>
    <w:rsid w:val="00844235"/>
    <w:rsid w:val="0084472E"/>
    <w:rsid w:val="00844766"/>
    <w:rsid w:val="00844909"/>
    <w:rsid w:val="00844F71"/>
    <w:rsid w:val="00846BA4"/>
    <w:rsid w:val="00846C8A"/>
    <w:rsid w:val="00846ED2"/>
    <w:rsid w:val="008471DC"/>
    <w:rsid w:val="0085038E"/>
    <w:rsid w:val="00850B24"/>
    <w:rsid w:val="0085113E"/>
    <w:rsid w:val="008519F6"/>
    <w:rsid w:val="00851A04"/>
    <w:rsid w:val="00851C3F"/>
    <w:rsid w:val="00851D94"/>
    <w:rsid w:val="00852B9D"/>
    <w:rsid w:val="00853734"/>
    <w:rsid w:val="00854A66"/>
    <w:rsid w:val="00855264"/>
    <w:rsid w:val="008554FA"/>
    <w:rsid w:val="00857342"/>
    <w:rsid w:val="0086023A"/>
    <w:rsid w:val="008608DC"/>
    <w:rsid w:val="00860E81"/>
    <w:rsid w:val="00863A46"/>
    <w:rsid w:val="00866035"/>
    <w:rsid w:val="008663CD"/>
    <w:rsid w:val="00866AF5"/>
    <w:rsid w:val="008703E5"/>
    <w:rsid w:val="008708BE"/>
    <w:rsid w:val="00870B63"/>
    <w:rsid w:val="008735FB"/>
    <w:rsid w:val="00873D0F"/>
    <w:rsid w:val="008747A2"/>
    <w:rsid w:val="00874AE1"/>
    <w:rsid w:val="00875864"/>
    <w:rsid w:val="00875A38"/>
    <w:rsid w:val="00875B1F"/>
    <w:rsid w:val="00877873"/>
    <w:rsid w:val="0087791B"/>
    <w:rsid w:val="00877DC6"/>
    <w:rsid w:val="008835AC"/>
    <w:rsid w:val="00883849"/>
    <w:rsid w:val="008842EC"/>
    <w:rsid w:val="00884FEF"/>
    <w:rsid w:val="00885239"/>
    <w:rsid w:val="00885330"/>
    <w:rsid w:val="00885BE0"/>
    <w:rsid w:val="008876D8"/>
    <w:rsid w:val="0088798E"/>
    <w:rsid w:val="0089238B"/>
    <w:rsid w:val="00893590"/>
    <w:rsid w:val="00894440"/>
    <w:rsid w:val="00894D1F"/>
    <w:rsid w:val="008970F5"/>
    <w:rsid w:val="008A0346"/>
    <w:rsid w:val="008A1292"/>
    <w:rsid w:val="008A14DC"/>
    <w:rsid w:val="008A2D03"/>
    <w:rsid w:val="008A3430"/>
    <w:rsid w:val="008A3433"/>
    <w:rsid w:val="008A46CB"/>
    <w:rsid w:val="008B0F90"/>
    <w:rsid w:val="008B0FD1"/>
    <w:rsid w:val="008B3554"/>
    <w:rsid w:val="008B46CA"/>
    <w:rsid w:val="008B4809"/>
    <w:rsid w:val="008B4A87"/>
    <w:rsid w:val="008B6424"/>
    <w:rsid w:val="008B69CD"/>
    <w:rsid w:val="008C037F"/>
    <w:rsid w:val="008C0BDD"/>
    <w:rsid w:val="008C0EAB"/>
    <w:rsid w:val="008C0F89"/>
    <w:rsid w:val="008C1680"/>
    <w:rsid w:val="008C1867"/>
    <w:rsid w:val="008C4C26"/>
    <w:rsid w:val="008C50A3"/>
    <w:rsid w:val="008C6E72"/>
    <w:rsid w:val="008D0071"/>
    <w:rsid w:val="008D0394"/>
    <w:rsid w:val="008D1732"/>
    <w:rsid w:val="008D1808"/>
    <w:rsid w:val="008D26D8"/>
    <w:rsid w:val="008D337E"/>
    <w:rsid w:val="008D44A9"/>
    <w:rsid w:val="008D488A"/>
    <w:rsid w:val="008D5C01"/>
    <w:rsid w:val="008D672A"/>
    <w:rsid w:val="008D7187"/>
    <w:rsid w:val="008D78FB"/>
    <w:rsid w:val="008D7CA7"/>
    <w:rsid w:val="008E0185"/>
    <w:rsid w:val="008E0B76"/>
    <w:rsid w:val="008E1054"/>
    <w:rsid w:val="008E1623"/>
    <w:rsid w:val="008E24CD"/>
    <w:rsid w:val="008E5AC8"/>
    <w:rsid w:val="008E6143"/>
    <w:rsid w:val="008E6615"/>
    <w:rsid w:val="008E68AA"/>
    <w:rsid w:val="008E6A81"/>
    <w:rsid w:val="008E6C13"/>
    <w:rsid w:val="008F1050"/>
    <w:rsid w:val="008F2EDC"/>
    <w:rsid w:val="008F2FD1"/>
    <w:rsid w:val="008F33CF"/>
    <w:rsid w:val="008F352C"/>
    <w:rsid w:val="008F513D"/>
    <w:rsid w:val="008F51BA"/>
    <w:rsid w:val="008F5C61"/>
    <w:rsid w:val="008F5DA9"/>
    <w:rsid w:val="008F5FFB"/>
    <w:rsid w:val="008F6921"/>
    <w:rsid w:val="008F77C3"/>
    <w:rsid w:val="008F789A"/>
    <w:rsid w:val="00901178"/>
    <w:rsid w:val="00901DFD"/>
    <w:rsid w:val="009028FE"/>
    <w:rsid w:val="00903AF9"/>
    <w:rsid w:val="0090713B"/>
    <w:rsid w:val="0091041B"/>
    <w:rsid w:val="00910740"/>
    <w:rsid w:val="0091101D"/>
    <w:rsid w:val="00911F27"/>
    <w:rsid w:val="00912314"/>
    <w:rsid w:val="00913A11"/>
    <w:rsid w:val="00915C0E"/>
    <w:rsid w:val="00917625"/>
    <w:rsid w:val="009215BB"/>
    <w:rsid w:val="00921740"/>
    <w:rsid w:val="0092176C"/>
    <w:rsid w:val="00923234"/>
    <w:rsid w:val="00923F01"/>
    <w:rsid w:val="00926B67"/>
    <w:rsid w:val="00927165"/>
    <w:rsid w:val="00927AF5"/>
    <w:rsid w:val="009309DD"/>
    <w:rsid w:val="00931120"/>
    <w:rsid w:val="00931820"/>
    <w:rsid w:val="00931DDE"/>
    <w:rsid w:val="00932645"/>
    <w:rsid w:val="00933236"/>
    <w:rsid w:val="00933C6E"/>
    <w:rsid w:val="00934994"/>
    <w:rsid w:val="0093526B"/>
    <w:rsid w:val="00935473"/>
    <w:rsid w:val="00941286"/>
    <w:rsid w:val="00942AED"/>
    <w:rsid w:val="0094370E"/>
    <w:rsid w:val="00943782"/>
    <w:rsid w:val="00946D2C"/>
    <w:rsid w:val="009476D8"/>
    <w:rsid w:val="0095029C"/>
    <w:rsid w:val="009538DA"/>
    <w:rsid w:val="0095391F"/>
    <w:rsid w:val="009549DB"/>
    <w:rsid w:val="009555E9"/>
    <w:rsid w:val="009556B3"/>
    <w:rsid w:val="009569EF"/>
    <w:rsid w:val="009576DA"/>
    <w:rsid w:val="00957AF3"/>
    <w:rsid w:val="00962517"/>
    <w:rsid w:val="00962760"/>
    <w:rsid w:val="00965C4C"/>
    <w:rsid w:val="009665A2"/>
    <w:rsid w:val="0096749F"/>
    <w:rsid w:val="00970521"/>
    <w:rsid w:val="009718B2"/>
    <w:rsid w:val="00971930"/>
    <w:rsid w:val="00972DE8"/>
    <w:rsid w:val="0097460C"/>
    <w:rsid w:val="009754A3"/>
    <w:rsid w:val="00975601"/>
    <w:rsid w:val="00975D1A"/>
    <w:rsid w:val="0097697C"/>
    <w:rsid w:val="0098087E"/>
    <w:rsid w:val="0098198B"/>
    <w:rsid w:val="00981CEB"/>
    <w:rsid w:val="00981DE4"/>
    <w:rsid w:val="00984668"/>
    <w:rsid w:val="00984E2E"/>
    <w:rsid w:val="00985C01"/>
    <w:rsid w:val="009862AA"/>
    <w:rsid w:val="009864A8"/>
    <w:rsid w:val="00986871"/>
    <w:rsid w:val="00986F15"/>
    <w:rsid w:val="00987EE4"/>
    <w:rsid w:val="009907AF"/>
    <w:rsid w:val="00990BAA"/>
    <w:rsid w:val="00991078"/>
    <w:rsid w:val="0099117E"/>
    <w:rsid w:val="00992267"/>
    <w:rsid w:val="0099434C"/>
    <w:rsid w:val="009943AC"/>
    <w:rsid w:val="00994705"/>
    <w:rsid w:val="0099475D"/>
    <w:rsid w:val="009A0644"/>
    <w:rsid w:val="009A2058"/>
    <w:rsid w:val="009A22DF"/>
    <w:rsid w:val="009A24C5"/>
    <w:rsid w:val="009A2855"/>
    <w:rsid w:val="009A4232"/>
    <w:rsid w:val="009A425A"/>
    <w:rsid w:val="009A44DA"/>
    <w:rsid w:val="009A5013"/>
    <w:rsid w:val="009A6E01"/>
    <w:rsid w:val="009A70DA"/>
    <w:rsid w:val="009B0F26"/>
    <w:rsid w:val="009B35E7"/>
    <w:rsid w:val="009B3BEE"/>
    <w:rsid w:val="009B3FE2"/>
    <w:rsid w:val="009B5661"/>
    <w:rsid w:val="009B6211"/>
    <w:rsid w:val="009B723B"/>
    <w:rsid w:val="009C0CF1"/>
    <w:rsid w:val="009C358A"/>
    <w:rsid w:val="009C3A6F"/>
    <w:rsid w:val="009C57CD"/>
    <w:rsid w:val="009C5D74"/>
    <w:rsid w:val="009C5D7E"/>
    <w:rsid w:val="009C66F3"/>
    <w:rsid w:val="009C735D"/>
    <w:rsid w:val="009C7965"/>
    <w:rsid w:val="009D1CFB"/>
    <w:rsid w:val="009D2EE2"/>
    <w:rsid w:val="009D375A"/>
    <w:rsid w:val="009D3CA1"/>
    <w:rsid w:val="009D4C5E"/>
    <w:rsid w:val="009D732E"/>
    <w:rsid w:val="009E0466"/>
    <w:rsid w:val="009E0496"/>
    <w:rsid w:val="009E0863"/>
    <w:rsid w:val="009E0C89"/>
    <w:rsid w:val="009E0EDF"/>
    <w:rsid w:val="009E35B2"/>
    <w:rsid w:val="009E3793"/>
    <w:rsid w:val="009E47E8"/>
    <w:rsid w:val="009F03CF"/>
    <w:rsid w:val="009F0AF9"/>
    <w:rsid w:val="009F2FD9"/>
    <w:rsid w:val="009F550C"/>
    <w:rsid w:val="009F697E"/>
    <w:rsid w:val="009F6D1B"/>
    <w:rsid w:val="009F719E"/>
    <w:rsid w:val="00A00E28"/>
    <w:rsid w:val="00A01FF3"/>
    <w:rsid w:val="00A057D8"/>
    <w:rsid w:val="00A05FC4"/>
    <w:rsid w:val="00A06D93"/>
    <w:rsid w:val="00A070B4"/>
    <w:rsid w:val="00A07420"/>
    <w:rsid w:val="00A119E3"/>
    <w:rsid w:val="00A11B03"/>
    <w:rsid w:val="00A12162"/>
    <w:rsid w:val="00A13FC6"/>
    <w:rsid w:val="00A14417"/>
    <w:rsid w:val="00A144B9"/>
    <w:rsid w:val="00A15111"/>
    <w:rsid w:val="00A2105B"/>
    <w:rsid w:val="00A21CED"/>
    <w:rsid w:val="00A224C5"/>
    <w:rsid w:val="00A230C4"/>
    <w:rsid w:val="00A24244"/>
    <w:rsid w:val="00A27141"/>
    <w:rsid w:val="00A276A5"/>
    <w:rsid w:val="00A3107D"/>
    <w:rsid w:val="00A3154A"/>
    <w:rsid w:val="00A316AF"/>
    <w:rsid w:val="00A32614"/>
    <w:rsid w:val="00A32727"/>
    <w:rsid w:val="00A33088"/>
    <w:rsid w:val="00A3490F"/>
    <w:rsid w:val="00A34C2C"/>
    <w:rsid w:val="00A352AE"/>
    <w:rsid w:val="00A36589"/>
    <w:rsid w:val="00A373A7"/>
    <w:rsid w:val="00A4038A"/>
    <w:rsid w:val="00A40760"/>
    <w:rsid w:val="00A40CCE"/>
    <w:rsid w:val="00A40DBB"/>
    <w:rsid w:val="00A412E4"/>
    <w:rsid w:val="00A42D1B"/>
    <w:rsid w:val="00A446E3"/>
    <w:rsid w:val="00A457C8"/>
    <w:rsid w:val="00A47466"/>
    <w:rsid w:val="00A50025"/>
    <w:rsid w:val="00A5020F"/>
    <w:rsid w:val="00A508BB"/>
    <w:rsid w:val="00A50F5C"/>
    <w:rsid w:val="00A5158A"/>
    <w:rsid w:val="00A52D2C"/>
    <w:rsid w:val="00A538A4"/>
    <w:rsid w:val="00A53C22"/>
    <w:rsid w:val="00A541E2"/>
    <w:rsid w:val="00A54BF9"/>
    <w:rsid w:val="00A54C1F"/>
    <w:rsid w:val="00A54EFE"/>
    <w:rsid w:val="00A5575A"/>
    <w:rsid w:val="00A55F33"/>
    <w:rsid w:val="00A55FB1"/>
    <w:rsid w:val="00A56AE1"/>
    <w:rsid w:val="00A570B4"/>
    <w:rsid w:val="00A57552"/>
    <w:rsid w:val="00A57698"/>
    <w:rsid w:val="00A60510"/>
    <w:rsid w:val="00A60843"/>
    <w:rsid w:val="00A614E4"/>
    <w:rsid w:val="00A61C9D"/>
    <w:rsid w:val="00A61E52"/>
    <w:rsid w:val="00A62AB9"/>
    <w:rsid w:val="00A62B45"/>
    <w:rsid w:val="00A63306"/>
    <w:rsid w:val="00A6347D"/>
    <w:rsid w:val="00A63E2D"/>
    <w:rsid w:val="00A64062"/>
    <w:rsid w:val="00A641EA"/>
    <w:rsid w:val="00A64201"/>
    <w:rsid w:val="00A660CD"/>
    <w:rsid w:val="00A668C3"/>
    <w:rsid w:val="00A67229"/>
    <w:rsid w:val="00A6781C"/>
    <w:rsid w:val="00A67E87"/>
    <w:rsid w:val="00A70641"/>
    <w:rsid w:val="00A71118"/>
    <w:rsid w:val="00A713F1"/>
    <w:rsid w:val="00A71CF1"/>
    <w:rsid w:val="00A72238"/>
    <w:rsid w:val="00A7242C"/>
    <w:rsid w:val="00A73D05"/>
    <w:rsid w:val="00A75B25"/>
    <w:rsid w:val="00A767B8"/>
    <w:rsid w:val="00A7787B"/>
    <w:rsid w:val="00A77D76"/>
    <w:rsid w:val="00A80890"/>
    <w:rsid w:val="00A80D02"/>
    <w:rsid w:val="00A813DF"/>
    <w:rsid w:val="00A83197"/>
    <w:rsid w:val="00A85BE8"/>
    <w:rsid w:val="00A862AB"/>
    <w:rsid w:val="00A86D63"/>
    <w:rsid w:val="00A87219"/>
    <w:rsid w:val="00A91AFB"/>
    <w:rsid w:val="00A9402A"/>
    <w:rsid w:val="00A94829"/>
    <w:rsid w:val="00A9550F"/>
    <w:rsid w:val="00A95819"/>
    <w:rsid w:val="00A964C9"/>
    <w:rsid w:val="00A97433"/>
    <w:rsid w:val="00A97526"/>
    <w:rsid w:val="00A97DCB"/>
    <w:rsid w:val="00AA1797"/>
    <w:rsid w:val="00AA1E7D"/>
    <w:rsid w:val="00AA44B5"/>
    <w:rsid w:val="00AA5493"/>
    <w:rsid w:val="00AA54D3"/>
    <w:rsid w:val="00AA5AF0"/>
    <w:rsid w:val="00AA6754"/>
    <w:rsid w:val="00AA6E3F"/>
    <w:rsid w:val="00AB011E"/>
    <w:rsid w:val="00AB1638"/>
    <w:rsid w:val="00AB1ADE"/>
    <w:rsid w:val="00AB299B"/>
    <w:rsid w:val="00AB3333"/>
    <w:rsid w:val="00AB3982"/>
    <w:rsid w:val="00AB42C5"/>
    <w:rsid w:val="00AB4575"/>
    <w:rsid w:val="00AB4E2D"/>
    <w:rsid w:val="00AB62B6"/>
    <w:rsid w:val="00AC02E9"/>
    <w:rsid w:val="00AC0D79"/>
    <w:rsid w:val="00AC1548"/>
    <w:rsid w:val="00AC1C2A"/>
    <w:rsid w:val="00AC1E46"/>
    <w:rsid w:val="00AC273D"/>
    <w:rsid w:val="00AC2E75"/>
    <w:rsid w:val="00AC5DA4"/>
    <w:rsid w:val="00AD0A63"/>
    <w:rsid w:val="00AD0CB8"/>
    <w:rsid w:val="00AD12A4"/>
    <w:rsid w:val="00AD134F"/>
    <w:rsid w:val="00AD155C"/>
    <w:rsid w:val="00AD23B9"/>
    <w:rsid w:val="00AD325A"/>
    <w:rsid w:val="00AD3C5D"/>
    <w:rsid w:val="00AD4E54"/>
    <w:rsid w:val="00AD5446"/>
    <w:rsid w:val="00AD71A5"/>
    <w:rsid w:val="00AD7235"/>
    <w:rsid w:val="00AE0448"/>
    <w:rsid w:val="00AE073E"/>
    <w:rsid w:val="00AE1E2E"/>
    <w:rsid w:val="00AE3A9D"/>
    <w:rsid w:val="00AE4BD2"/>
    <w:rsid w:val="00AE7597"/>
    <w:rsid w:val="00AF1D8D"/>
    <w:rsid w:val="00AF21B2"/>
    <w:rsid w:val="00AF23CF"/>
    <w:rsid w:val="00AF4FB9"/>
    <w:rsid w:val="00AF5165"/>
    <w:rsid w:val="00AF5F8A"/>
    <w:rsid w:val="00AF6349"/>
    <w:rsid w:val="00B00AB8"/>
    <w:rsid w:val="00B019DE"/>
    <w:rsid w:val="00B03169"/>
    <w:rsid w:val="00B0395F"/>
    <w:rsid w:val="00B0413E"/>
    <w:rsid w:val="00B04F28"/>
    <w:rsid w:val="00B06641"/>
    <w:rsid w:val="00B11063"/>
    <w:rsid w:val="00B120DB"/>
    <w:rsid w:val="00B1285B"/>
    <w:rsid w:val="00B13084"/>
    <w:rsid w:val="00B136BE"/>
    <w:rsid w:val="00B14374"/>
    <w:rsid w:val="00B15919"/>
    <w:rsid w:val="00B15CC6"/>
    <w:rsid w:val="00B16B86"/>
    <w:rsid w:val="00B17440"/>
    <w:rsid w:val="00B17F52"/>
    <w:rsid w:val="00B22C3A"/>
    <w:rsid w:val="00B23D7A"/>
    <w:rsid w:val="00B245C7"/>
    <w:rsid w:val="00B25310"/>
    <w:rsid w:val="00B27AB5"/>
    <w:rsid w:val="00B27D9C"/>
    <w:rsid w:val="00B30F2D"/>
    <w:rsid w:val="00B3110B"/>
    <w:rsid w:val="00B316B1"/>
    <w:rsid w:val="00B31739"/>
    <w:rsid w:val="00B32A72"/>
    <w:rsid w:val="00B32C26"/>
    <w:rsid w:val="00B359DA"/>
    <w:rsid w:val="00B35A6B"/>
    <w:rsid w:val="00B365A4"/>
    <w:rsid w:val="00B3752D"/>
    <w:rsid w:val="00B37BA4"/>
    <w:rsid w:val="00B4066D"/>
    <w:rsid w:val="00B41499"/>
    <w:rsid w:val="00B41A68"/>
    <w:rsid w:val="00B41C89"/>
    <w:rsid w:val="00B41FA4"/>
    <w:rsid w:val="00B4206A"/>
    <w:rsid w:val="00B4222F"/>
    <w:rsid w:val="00B42488"/>
    <w:rsid w:val="00B4310E"/>
    <w:rsid w:val="00B45188"/>
    <w:rsid w:val="00B46E60"/>
    <w:rsid w:val="00B47C87"/>
    <w:rsid w:val="00B47D85"/>
    <w:rsid w:val="00B5171F"/>
    <w:rsid w:val="00B517A4"/>
    <w:rsid w:val="00B52930"/>
    <w:rsid w:val="00B53860"/>
    <w:rsid w:val="00B54203"/>
    <w:rsid w:val="00B553E4"/>
    <w:rsid w:val="00B55505"/>
    <w:rsid w:val="00B55B5B"/>
    <w:rsid w:val="00B562A0"/>
    <w:rsid w:val="00B564CD"/>
    <w:rsid w:val="00B5673C"/>
    <w:rsid w:val="00B567B0"/>
    <w:rsid w:val="00B568EF"/>
    <w:rsid w:val="00B60A04"/>
    <w:rsid w:val="00B61B92"/>
    <w:rsid w:val="00B621DA"/>
    <w:rsid w:val="00B6306A"/>
    <w:rsid w:val="00B6376B"/>
    <w:rsid w:val="00B638DA"/>
    <w:rsid w:val="00B63B72"/>
    <w:rsid w:val="00B64027"/>
    <w:rsid w:val="00B64BE4"/>
    <w:rsid w:val="00B65023"/>
    <w:rsid w:val="00B66FE4"/>
    <w:rsid w:val="00B678DA"/>
    <w:rsid w:val="00B7019C"/>
    <w:rsid w:val="00B7028D"/>
    <w:rsid w:val="00B719BA"/>
    <w:rsid w:val="00B722B9"/>
    <w:rsid w:val="00B7244E"/>
    <w:rsid w:val="00B7263C"/>
    <w:rsid w:val="00B72F69"/>
    <w:rsid w:val="00B73BD2"/>
    <w:rsid w:val="00B74D4A"/>
    <w:rsid w:val="00B755B9"/>
    <w:rsid w:val="00B75C6A"/>
    <w:rsid w:val="00B75D54"/>
    <w:rsid w:val="00B761B9"/>
    <w:rsid w:val="00B810BA"/>
    <w:rsid w:val="00B81574"/>
    <w:rsid w:val="00B8236F"/>
    <w:rsid w:val="00B83742"/>
    <w:rsid w:val="00B83AFC"/>
    <w:rsid w:val="00B84555"/>
    <w:rsid w:val="00B86666"/>
    <w:rsid w:val="00B8669A"/>
    <w:rsid w:val="00B8769D"/>
    <w:rsid w:val="00B91ACF"/>
    <w:rsid w:val="00B92026"/>
    <w:rsid w:val="00B962AF"/>
    <w:rsid w:val="00BA010B"/>
    <w:rsid w:val="00BA0A54"/>
    <w:rsid w:val="00BA198C"/>
    <w:rsid w:val="00BA2F10"/>
    <w:rsid w:val="00BA36B1"/>
    <w:rsid w:val="00BA3EAB"/>
    <w:rsid w:val="00BA435A"/>
    <w:rsid w:val="00BA5790"/>
    <w:rsid w:val="00BA59F7"/>
    <w:rsid w:val="00BA6A73"/>
    <w:rsid w:val="00BA6D06"/>
    <w:rsid w:val="00BB09C0"/>
    <w:rsid w:val="00BB26B4"/>
    <w:rsid w:val="00BB386A"/>
    <w:rsid w:val="00BB4AA8"/>
    <w:rsid w:val="00BC1120"/>
    <w:rsid w:val="00BC2867"/>
    <w:rsid w:val="00BC3556"/>
    <w:rsid w:val="00BC4D43"/>
    <w:rsid w:val="00BC5278"/>
    <w:rsid w:val="00BC52B0"/>
    <w:rsid w:val="00BC6546"/>
    <w:rsid w:val="00BD06C0"/>
    <w:rsid w:val="00BD0BDF"/>
    <w:rsid w:val="00BD1C7F"/>
    <w:rsid w:val="00BD2C94"/>
    <w:rsid w:val="00BD3129"/>
    <w:rsid w:val="00BD332E"/>
    <w:rsid w:val="00BD4873"/>
    <w:rsid w:val="00BD4931"/>
    <w:rsid w:val="00BD4B67"/>
    <w:rsid w:val="00BD4DEA"/>
    <w:rsid w:val="00BD4FCD"/>
    <w:rsid w:val="00BD7614"/>
    <w:rsid w:val="00BD76BF"/>
    <w:rsid w:val="00BD79CC"/>
    <w:rsid w:val="00BD7FB4"/>
    <w:rsid w:val="00BE0708"/>
    <w:rsid w:val="00BE0F8B"/>
    <w:rsid w:val="00BE195F"/>
    <w:rsid w:val="00BE1C2E"/>
    <w:rsid w:val="00BE1E23"/>
    <w:rsid w:val="00BE1EE1"/>
    <w:rsid w:val="00BE335C"/>
    <w:rsid w:val="00BE3621"/>
    <w:rsid w:val="00BE3D65"/>
    <w:rsid w:val="00BE4061"/>
    <w:rsid w:val="00BE46A2"/>
    <w:rsid w:val="00BE4818"/>
    <w:rsid w:val="00BE5C26"/>
    <w:rsid w:val="00BE7B2D"/>
    <w:rsid w:val="00BF00AF"/>
    <w:rsid w:val="00BF143D"/>
    <w:rsid w:val="00BF1674"/>
    <w:rsid w:val="00BF2B3B"/>
    <w:rsid w:val="00BF39ED"/>
    <w:rsid w:val="00BF5B8B"/>
    <w:rsid w:val="00BF61B8"/>
    <w:rsid w:val="00C00437"/>
    <w:rsid w:val="00C01583"/>
    <w:rsid w:val="00C0375F"/>
    <w:rsid w:val="00C0456F"/>
    <w:rsid w:val="00C0466C"/>
    <w:rsid w:val="00C04E8A"/>
    <w:rsid w:val="00C109E2"/>
    <w:rsid w:val="00C137A5"/>
    <w:rsid w:val="00C14849"/>
    <w:rsid w:val="00C1574D"/>
    <w:rsid w:val="00C159DB"/>
    <w:rsid w:val="00C15EF3"/>
    <w:rsid w:val="00C166A3"/>
    <w:rsid w:val="00C16911"/>
    <w:rsid w:val="00C16B44"/>
    <w:rsid w:val="00C16E5C"/>
    <w:rsid w:val="00C1734B"/>
    <w:rsid w:val="00C21626"/>
    <w:rsid w:val="00C2170B"/>
    <w:rsid w:val="00C21A86"/>
    <w:rsid w:val="00C232DD"/>
    <w:rsid w:val="00C255D5"/>
    <w:rsid w:val="00C25A57"/>
    <w:rsid w:val="00C2636A"/>
    <w:rsid w:val="00C26911"/>
    <w:rsid w:val="00C27F5D"/>
    <w:rsid w:val="00C306E3"/>
    <w:rsid w:val="00C34383"/>
    <w:rsid w:val="00C34A46"/>
    <w:rsid w:val="00C35BCF"/>
    <w:rsid w:val="00C36342"/>
    <w:rsid w:val="00C36902"/>
    <w:rsid w:val="00C37517"/>
    <w:rsid w:val="00C37CCC"/>
    <w:rsid w:val="00C4030F"/>
    <w:rsid w:val="00C4075E"/>
    <w:rsid w:val="00C412B6"/>
    <w:rsid w:val="00C4189A"/>
    <w:rsid w:val="00C41AFD"/>
    <w:rsid w:val="00C4417A"/>
    <w:rsid w:val="00C44580"/>
    <w:rsid w:val="00C44C24"/>
    <w:rsid w:val="00C452AC"/>
    <w:rsid w:val="00C454A2"/>
    <w:rsid w:val="00C46781"/>
    <w:rsid w:val="00C47BAF"/>
    <w:rsid w:val="00C47BE4"/>
    <w:rsid w:val="00C51056"/>
    <w:rsid w:val="00C51F37"/>
    <w:rsid w:val="00C52175"/>
    <w:rsid w:val="00C5322A"/>
    <w:rsid w:val="00C533AD"/>
    <w:rsid w:val="00C5393B"/>
    <w:rsid w:val="00C54279"/>
    <w:rsid w:val="00C54C30"/>
    <w:rsid w:val="00C56074"/>
    <w:rsid w:val="00C56818"/>
    <w:rsid w:val="00C60565"/>
    <w:rsid w:val="00C60804"/>
    <w:rsid w:val="00C60A31"/>
    <w:rsid w:val="00C60DD4"/>
    <w:rsid w:val="00C61FEA"/>
    <w:rsid w:val="00C6220E"/>
    <w:rsid w:val="00C642D4"/>
    <w:rsid w:val="00C64A2C"/>
    <w:rsid w:val="00C66FC7"/>
    <w:rsid w:val="00C70F3B"/>
    <w:rsid w:val="00C73B2B"/>
    <w:rsid w:val="00C76C9D"/>
    <w:rsid w:val="00C80317"/>
    <w:rsid w:val="00C8324D"/>
    <w:rsid w:val="00C83951"/>
    <w:rsid w:val="00C85768"/>
    <w:rsid w:val="00C9014F"/>
    <w:rsid w:val="00C905E8"/>
    <w:rsid w:val="00C9096C"/>
    <w:rsid w:val="00C91CF7"/>
    <w:rsid w:val="00C9269F"/>
    <w:rsid w:val="00C940A5"/>
    <w:rsid w:val="00C94B01"/>
    <w:rsid w:val="00C950E7"/>
    <w:rsid w:val="00C959F3"/>
    <w:rsid w:val="00C96933"/>
    <w:rsid w:val="00C976FB"/>
    <w:rsid w:val="00CA0D36"/>
    <w:rsid w:val="00CA0F2E"/>
    <w:rsid w:val="00CA2149"/>
    <w:rsid w:val="00CA2963"/>
    <w:rsid w:val="00CA3564"/>
    <w:rsid w:val="00CA3987"/>
    <w:rsid w:val="00CA3DD6"/>
    <w:rsid w:val="00CA3E31"/>
    <w:rsid w:val="00CA3EF1"/>
    <w:rsid w:val="00CA3F8B"/>
    <w:rsid w:val="00CA537F"/>
    <w:rsid w:val="00CA53DF"/>
    <w:rsid w:val="00CA5A18"/>
    <w:rsid w:val="00CA643B"/>
    <w:rsid w:val="00CA6BCD"/>
    <w:rsid w:val="00CA703C"/>
    <w:rsid w:val="00CA74A4"/>
    <w:rsid w:val="00CB0302"/>
    <w:rsid w:val="00CB19C2"/>
    <w:rsid w:val="00CB1C2B"/>
    <w:rsid w:val="00CB2836"/>
    <w:rsid w:val="00CB2A8C"/>
    <w:rsid w:val="00CB30A4"/>
    <w:rsid w:val="00CB4E0A"/>
    <w:rsid w:val="00CB6DBC"/>
    <w:rsid w:val="00CB7825"/>
    <w:rsid w:val="00CC1862"/>
    <w:rsid w:val="00CC21A0"/>
    <w:rsid w:val="00CC24CB"/>
    <w:rsid w:val="00CC3FC0"/>
    <w:rsid w:val="00CC445B"/>
    <w:rsid w:val="00CC52A8"/>
    <w:rsid w:val="00CC67FB"/>
    <w:rsid w:val="00CC691E"/>
    <w:rsid w:val="00CC73F0"/>
    <w:rsid w:val="00CC7C35"/>
    <w:rsid w:val="00CD077F"/>
    <w:rsid w:val="00CD1310"/>
    <w:rsid w:val="00CD23F9"/>
    <w:rsid w:val="00CD254E"/>
    <w:rsid w:val="00CD40BC"/>
    <w:rsid w:val="00CD432B"/>
    <w:rsid w:val="00CD4665"/>
    <w:rsid w:val="00CD4C8A"/>
    <w:rsid w:val="00CD6A7B"/>
    <w:rsid w:val="00CD6F62"/>
    <w:rsid w:val="00CE09F5"/>
    <w:rsid w:val="00CE2DB7"/>
    <w:rsid w:val="00CE3471"/>
    <w:rsid w:val="00CE4980"/>
    <w:rsid w:val="00CE58F2"/>
    <w:rsid w:val="00CE5992"/>
    <w:rsid w:val="00CE5EA1"/>
    <w:rsid w:val="00CE630A"/>
    <w:rsid w:val="00CE63BF"/>
    <w:rsid w:val="00CE6908"/>
    <w:rsid w:val="00CE7ED6"/>
    <w:rsid w:val="00CF0F64"/>
    <w:rsid w:val="00CF1628"/>
    <w:rsid w:val="00CF252F"/>
    <w:rsid w:val="00CF3217"/>
    <w:rsid w:val="00CF3B1E"/>
    <w:rsid w:val="00CF57F3"/>
    <w:rsid w:val="00CF5D5C"/>
    <w:rsid w:val="00CF5EC5"/>
    <w:rsid w:val="00CF600C"/>
    <w:rsid w:val="00D020DA"/>
    <w:rsid w:val="00D02499"/>
    <w:rsid w:val="00D02C82"/>
    <w:rsid w:val="00D034E1"/>
    <w:rsid w:val="00D034FB"/>
    <w:rsid w:val="00D04105"/>
    <w:rsid w:val="00D052D5"/>
    <w:rsid w:val="00D05CA6"/>
    <w:rsid w:val="00D06E20"/>
    <w:rsid w:val="00D07406"/>
    <w:rsid w:val="00D074C3"/>
    <w:rsid w:val="00D07B44"/>
    <w:rsid w:val="00D1090E"/>
    <w:rsid w:val="00D1207E"/>
    <w:rsid w:val="00D129C8"/>
    <w:rsid w:val="00D12E39"/>
    <w:rsid w:val="00D14958"/>
    <w:rsid w:val="00D14B7A"/>
    <w:rsid w:val="00D15DF4"/>
    <w:rsid w:val="00D16038"/>
    <w:rsid w:val="00D16914"/>
    <w:rsid w:val="00D16E08"/>
    <w:rsid w:val="00D17B2B"/>
    <w:rsid w:val="00D2011F"/>
    <w:rsid w:val="00D20B25"/>
    <w:rsid w:val="00D212CB"/>
    <w:rsid w:val="00D21F55"/>
    <w:rsid w:val="00D227FC"/>
    <w:rsid w:val="00D24004"/>
    <w:rsid w:val="00D24D89"/>
    <w:rsid w:val="00D26C0F"/>
    <w:rsid w:val="00D27148"/>
    <w:rsid w:val="00D27FDC"/>
    <w:rsid w:val="00D30519"/>
    <w:rsid w:val="00D30557"/>
    <w:rsid w:val="00D327C7"/>
    <w:rsid w:val="00D3329D"/>
    <w:rsid w:val="00D33636"/>
    <w:rsid w:val="00D33B5B"/>
    <w:rsid w:val="00D3470C"/>
    <w:rsid w:val="00D34F15"/>
    <w:rsid w:val="00D3504D"/>
    <w:rsid w:val="00D36429"/>
    <w:rsid w:val="00D36A6B"/>
    <w:rsid w:val="00D4043A"/>
    <w:rsid w:val="00D41BFE"/>
    <w:rsid w:val="00D425BB"/>
    <w:rsid w:val="00D43950"/>
    <w:rsid w:val="00D43B46"/>
    <w:rsid w:val="00D43DAB"/>
    <w:rsid w:val="00D44170"/>
    <w:rsid w:val="00D44266"/>
    <w:rsid w:val="00D454C8"/>
    <w:rsid w:val="00D4676A"/>
    <w:rsid w:val="00D50B6B"/>
    <w:rsid w:val="00D51EBB"/>
    <w:rsid w:val="00D52974"/>
    <w:rsid w:val="00D53F72"/>
    <w:rsid w:val="00D56950"/>
    <w:rsid w:val="00D5737F"/>
    <w:rsid w:val="00D6063D"/>
    <w:rsid w:val="00D60989"/>
    <w:rsid w:val="00D613EE"/>
    <w:rsid w:val="00D61A5B"/>
    <w:rsid w:val="00D62480"/>
    <w:rsid w:val="00D62F06"/>
    <w:rsid w:val="00D62F95"/>
    <w:rsid w:val="00D630EC"/>
    <w:rsid w:val="00D6466C"/>
    <w:rsid w:val="00D64996"/>
    <w:rsid w:val="00D64BF4"/>
    <w:rsid w:val="00D667FA"/>
    <w:rsid w:val="00D70788"/>
    <w:rsid w:val="00D723E2"/>
    <w:rsid w:val="00D75372"/>
    <w:rsid w:val="00D75B53"/>
    <w:rsid w:val="00D7632E"/>
    <w:rsid w:val="00D76AF6"/>
    <w:rsid w:val="00D76E1F"/>
    <w:rsid w:val="00D77463"/>
    <w:rsid w:val="00D7783B"/>
    <w:rsid w:val="00D8023B"/>
    <w:rsid w:val="00D803BC"/>
    <w:rsid w:val="00D80AD3"/>
    <w:rsid w:val="00D8330F"/>
    <w:rsid w:val="00D83899"/>
    <w:rsid w:val="00D84508"/>
    <w:rsid w:val="00D8451F"/>
    <w:rsid w:val="00D84B68"/>
    <w:rsid w:val="00D856C9"/>
    <w:rsid w:val="00D8683C"/>
    <w:rsid w:val="00D86981"/>
    <w:rsid w:val="00D87927"/>
    <w:rsid w:val="00D90A33"/>
    <w:rsid w:val="00D90B47"/>
    <w:rsid w:val="00D9189D"/>
    <w:rsid w:val="00D92BF8"/>
    <w:rsid w:val="00D93DD6"/>
    <w:rsid w:val="00D94C07"/>
    <w:rsid w:val="00D94C58"/>
    <w:rsid w:val="00D95B94"/>
    <w:rsid w:val="00D9678D"/>
    <w:rsid w:val="00D970A6"/>
    <w:rsid w:val="00DA030D"/>
    <w:rsid w:val="00DA0C1D"/>
    <w:rsid w:val="00DA0DFA"/>
    <w:rsid w:val="00DA1A6A"/>
    <w:rsid w:val="00DA256E"/>
    <w:rsid w:val="00DA272B"/>
    <w:rsid w:val="00DA3267"/>
    <w:rsid w:val="00DA3998"/>
    <w:rsid w:val="00DA661D"/>
    <w:rsid w:val="00DA7139"/>
    <w:rsid w:val="00DA7940"/>
    <w:rsid w:val="00DA7F72"/>
    <w:rsid w:val="00DB0537"/>
    <w:rsid w:val="00DB07FB"/>
    <w:rsid w:val="00DB0903"/>
    <w:rsid w:val="00DB0E5C"/>
    <w:rsid w:val="00DB1697"/>
    <w:rsid w:val="00DB1B53"/>
    <w:rsid w:val="00DB2204"/>
    <w:rsid w:val="00DB3186"/>
    <w:rsid w:val="00DB5196"/>
    <w:rsid w:val="00DB652F"/>
    <w:rsid w:val="00DB670F"/>
    <w:rsid w:val="00DB7BBB"/>
    <w:rsid w:val="00DC3432"/>
    <w:rsid w:val="00DC4175"/>
    <w:rsid w:val="00DC489E"/>
    <w:rsid w:val="00DC74D0"/>
    <w:rsid w:val="00DD1190"/>
    <w:rsid w:val="00DD1CB8"/>
    <w:rsid w:val="00DD2737"/>
    <w:rsid w:val="00DD34AF"/>
    <w:rsid w:val="00DD4B22"/>
    <w:rsid w:val="00DD5566"/>
    <w:rsid w:val="00DD66C8"/>
    <w:rsid w:val="00DD7E5A"/>
    <w:rsid w:val="00DE023C"/>
    <w:rsid w:val="00DE0F43"/>
    <w:rsid w:val="00DE1C94"/>
    <w:rsid w:val="00DE2CC8"/>
    <w:rsid w:val="00DE34C9"/>
    <w:rsid w:val="00DE4433"/>
    <w:rsid w:val="00DE450A"/>
    <w:rsid w:val="00DE47D2"/>
    <w:rsid w:val="00DE4B92"/>
    <w:rsid w:val="00DE4C52"/>
    <w:rsid w:val="00DE4D71"/>
    <w:rsid w:val="00DE628C"/>
    <w:rsid w:val="00DE75F5"/>
    <w:rsid w:val="00DE7E05"/>
    <w:rsid w:val="00DF038D"/>
    <w:rsid w:val="00DF0862"/>
    <w:rsid w:val="00DF1AD2"/>
    <w:rsid w:val="00DF317F"/>
    <w:rsid w:val="00DF3872"/>
    <w:rsid w:val="00DF439D"/>
    <w:rsid w:val="00DF43CE"/>
    <w:rsid w:val="00DF543E"/>
    <w:rsid w:val="00DF6A42"/>
    <w:rsid w:val="00DF76D7"/>
    <w:rsid w:val="00DF7CEF"/>
    <w:rsid w:val="00E00740"/>
    <w:rsid w:val="00E01285"/>
    <w:rsid w:val="00E015B5"/>
    <w:rsid w:val="00E01E17"/>
    <w:rsid w:val="00E04521"/>
    <w:rsid w:val="00E04607"/>
    <w:rsid w:val="00E0471C"/>
    <w:rsid w:val="00E04D60"/>
    <w:rsid w:val="00E05505"/>
    <w:rsid w:val="00E06F1C"/>
    <w:rsid w:val="00E079C3"/>
    <w:rsid w:val="00E109B0"/>
    <w:rsid w:val="00E113AA"/>
    <w:rsid w:val="00E15A37"/>
    <w:rsid w:val="00E16747"/>
    <w:rsid w:val="00E20B2A"/>
    <w:rsid w:val="00E20FDE"/>
    <w:rsid w:val="00E21BE8"/>
    <w:rsid w:val="00E21D3B"/>
    <w:rsid w:val="00E22035"/>
    <w:rsid w:val="00E2343A"/>
    <w:rsid w:val="00E2347A"/>
    <w:rsid w:val="00E2380A"/>
    <w:rsid w:val="00E25EAA"/>
    <w:rsid w:val="00E27305"/>
    <w:rsid w:val="00E31E31"/>
    <w:rsid w:val="00E323F6"/>
    <w:rsid w:val="00E327A6"/>
    <w:rsid w:val="00E34FA8"/>
    <w:rsid w:val="00E35622"/>
    <w:rsid w:val="00E405C0"/>
    <w:rsid w:val="00E42051"/>
    <w:rsid w:val="00E501DF"/>
    <w:rsid w:val="00E501FC"/>
    <w:rsid w:val="00E504AA"/>
    <w:rsid w:val="00E5078B"/>
    <w:rsid w:val="00E50A32"/>
    <w:rsid w:val="00E50A73"/>
    <w:rsid w:val="00E54C63"/>
    <w:rsid w:val="00E56874"/>
    <w:rsid w:val="00E5719B"/>
    <w:rsid w:val="00E57D27"/>
    <w:rsid w:val="00E62182"/>
    <w:rsid w:val="00E62316"/>
    <w:rsid w:val="00E65BA0"/>
    <w:rsid w:val="00E66994"/>
    <w:rsid w:val="00E669AB"/>
    <w:rsid w:val="00E67C1E"/>
    <w:rsid w:val="00E67E83"/>
    <w:rsid w:val="00E7000E"/>
    <w:rsid w:val="00E70D91"/>
    <w:rsid w:val="00E74469"/>
    <w:rsid w:val="00E7504C"/>
    <w:rsid w:val="00E751A5"/>
    <w:rsid w:val="00E752A8"/>
    <w:rsid w:val="00E754E9"/>
    <w:rsid w:val="00E75614"/>
    <w:rsid w:val="00E75758"/>
    <w:rsid w:val="00E75BFB"/>
    <w:rsid w:val="00E75CA9"/>
    <w:rsid w:val="00E76B8D"/>
    <w:rsid w:val="00E76E98"/>
    <w:rsid w:val="00E7722A"/>
    <w:rsid w:val="00E77958"/>
    <w:rsid w:val="00E77FAD"/>
    <w:rsid w:val="00E807D4"/>
    <w:rsid w:val="00E80C2D"/>
    <w:rsid w:val="00E83F5F"/>
    <w:rsid w:val="00E84A63"/>
    <w:rsid w:val="00E86C4B"/>
    <w:rsid w:val="00E870B4"/>
    <w:rsid w:val="00E8798A"/>
    <w:rsid w:val="00E87E04"/>
    <w:rsid w:val="00E90177"/>
    <w:rsid w:val="00E9207E"/>
    <w:rsid w:val="00E941E4"/>
    <w:rsid w:val="00E94623"/>
    <w:rsid w:val="00E95316"/>
    <w:rsid w:val="00E953FB"/>
    <w:rsid w:val="00E95691"/>
    <w:rsid w:val="00E95D41"/>
    <w:rsid w:val="00E97973"/>
    <w:rsid w:val="00E97B89"/>
    <w:rsid w:val="00E97D40"/>
    <w:rsid w:val="00E97D7E"/>
    <w:rsid w:val="00EA0064"/>
    <w:rsid w:val="00EA0B9E"/>
    <w:rsid w:val="00EA1CB5"/>
    <w:rsid w:val="00EA54DF"/>
    <w:rsid w:val="00EA581B"/>
    <w:rsid w:val="00EA60CD"/>
    <w:rsid w:val="00EA723D"/>
    <w:rsid w:val="00EA7526"/>
    <w:rsid w:val="00EA7CC1"/>
    <w:rsid w:val="00EB05D5"/>
    <w:rsid w:val="00EB1410"/>
    <w:rsid w:val="00EB2840"/>
    <w:rsid w:val="00EB2A7B"/>
    <w:rsid w:val="00EB2B02"/>
    <w:rsid w:val="00EB2B23"/>
    <w:rsid w:val="00EB3742"/>
    <w:rsid w:val="00EB37DA"/>
    <w:rsid w:val="00EB5243"/>
    <w:rsid w:val="00EB568E"/>
    <w:rsid w:val="00EB6784"/>
    <w:rsid w:val="00EB72B5"/>
    <w:rsid w:val="00EC02CA"/>
    <w:rsid w:val="00EC08DA"/>
    <w:rsid w:val="00EC1109"/>
    <w:rsid w:val="00EC12D3"/>
    <w:rsid w:val="00EC182D"/>
    <w:rsid w:val="00EC239C"/>
    <w:rsid w:val="00EC257F"/>
    <w:rsid w:val="00EC3C07"/>
    <w:rsid w:val="00EC4FBD"/>
    <w:rsid w:val="00ED0028"/>
    <w:rsid w:val="00ED037A"/>
    <w:rsid w:val="00ED0B99"/>
    <w:rsid w:val="00ED3CC7"/>
    <w:rsid w:val="00ED405E"/>
    <w:rsid w:val="00ED4489"/>
    <w:rsid w:val="00ED58B8"/>
    <w:rsid w:val="00EE0179"/>
    <w:rsid w:val="00EE1AA4"/>
    <w:rsid w:val="00EE3CEB"/>
    <w:rsid w:val="00EE62C5"/>
    <w:rsid w:val="00EE645C"/>
    <w:rsid w:val="00EE6582"/>
    <w:rsid w:val="00EE6BB2"/>
    <w:rsid w:val="00EE6E12"/>
    <w:rsid w:val="00EE79B7"/>
    <w:rsid w:val="00EF0E61"/>
    <w:rsid w:val="00EF1F0B"/>
    <w:rsid w:val="00EF407A"/>
    <w:rsid w:val="00EF4E62"/>
    <w:rsid w:val="00EF5EA3"/>
    <w:rsid w:val="00EF600E"/>
    <w:rsid w:val="00F0101C"/>
    <w:rsid w:val="00F013C2"/>
    <w:rsid w:val="00F01477"/>
    <w:rsid w:val="00F01621"/>
    <w:rsid w:val="00F01A58"/>
    <w:rsid w:val="00F02961"/>
    <w:rsid w:val="00F0371C"/>
    <w:rsid w:val="00F04430"/>
    <w:rsid w:val="00F05570"/>
    <w:rsid w:val="00F05768"/>
    <w:rsid w:val="00F060F2"/>
    <w:rsid w:val="00F065E8"/>
    <w:rsid w:val="00F06FC1"/>
    <w:rsid w:val="00F11D65"/>
    <w:rsid w:val="00F11DE8"/>
    <w:rsid w:val="00F129B3"/>
    <w:rsid w:val="00F13A51"/>
    <w:rsid w:val="00F14285"/>
    <w:rsid w:val="00F14B65"/>
    <w:rsid w:val="00F152D9"/>
    <w:rsid w:val="00F15397"/>
    <w:rsid w:val="00F1550D"/>
    <w:rsid w:val="00F16178"/>
    <w:rsid w:val="00F17F1B"/>
    <w:rsid w:val="00F2006D"/>
    <w:rsid w:val="00F21886"/>
    <w:rsid w:val="00F22796"/>
    <w:rsid w:val="00F22D44"/>
    <w:rsid w:val="00F24381"/>
    <w:rsid w:val="00F2485E"/>
    <w:rsid w:val="00F25BDD"/>
    <w:rsid w:val="00F26853"/>
    <w:rsid w:val="00F2749B"/>
    <w:rsid w:val="00F30529"/>
    <w:rsid w:val="00F305B8"/>
    <w:rsid w:val="00F319FE"/>
    <w:rsid w:val="00F325C3"/>
    <w:rsid w:val="00F33776"/>
    <w:rsid w:val="00F37E13"/>
    <w:rsid w:val="00F40525"/>
    <w:rsid w:val="00F412C2"/>
    <w:rsid w:val="00F4217A"/>
    <w:rsid w:val="00F421ED"/>
    <w:rsid w:val="00F4277A"/>
    <w:rsid w:val="00F449A7"/>
    <w:rsid w:val="00F45D87"/>
    <w:rsid w:val="00F46481"/>
    <w:rsid w:val="00F46BC3"/>
    <w:rsid w:val="00F46E12"/>
    <w:rsid w:val="00F47335"/>
    <w:rsid w:val="00F47366"/>
    <w:rsid w:val="00F47C14"/>
    <w:rsid w:val="00F522F2"/>
    <w:rsid w:val="00F53655"/>
    <w:rsid w:val="00F55176"/>
    <w:rsid w:val="00F554FF"/>
    <w:rsid w:val="00F55622"/>
    <w:rsid w:val="00F570D6"/>
    <w:rsid w:val="00F60C41"/>
    <w:rsid w:val="00F63225"/>
    <w:rsid w:val="00F6347F"/>
    <w:rsid w:val="00F63899"/>
    <w:rsid w:val="00F64676"/>
    <w:rsid w:val="00F64CDA"/>
    <w:rsid w:val="00F64F6D"/>
    <w:rsid w:val="00F65FF8"/>
    <w:rsid w:val="00F66009"/>
    <w:rsid w:val="00F67A97"/>
    <w:rsid w:val="00F70088"/>
    <w:rsid w:val="00F74566"/>
    <w:rsid w:val="00F749F7"/>
    <w:rsid w:val="00F75BCB"/>
    <w:rsid w:val="00F766C9"/>
    <w:rsid w:val="00F76CBB"/>
    <w:rsid w:val="00F77037"/>
    <w:rsid w:val="00F800AD"/>
    <w:rsid w:val="00F8163A"/>
    <w:rsid w:val="00F8348E"/>
    <w:rsid w:val="00F83E18"/>
    <w:rsid w:val="00F83FB8"/>
    <w:rsid w:val="00F843EB"/>
    <w:rsid w:val="00F84443"/>
    <w:rsid w:val="00F8521D"/>
    <w:rsid w:val="00F85750"/>
    <w:rsid w:val="00F87390"/>
    <w:rsid w:val="00F91268"/>
    <w:rsid w:val="00F915D0"/>
    <w:rsid w:val="00F9282A"/>
    <w:rsid w:val="00F92CD9"/>
    <w:rsid w:val="00F931E4"/>
    <w:rsid w:val="00F93A52"/>
    <w:rsid w:val="00F9677D"/>
    <w:rsid w:val="00F978FC"/>
    <w:rsid w:val="00F97959"/>
    <w:rsid w:val="00FA01A5"/>
    <w:rsid w:val="00FA1215"/>
    <w:rsid w:val="00FA1632"/>
    <w:rsid w:val="00FA16A6"/>
    <w:rsid w:val="00FA1B34"/>
    <w:rsid w:val="00FA2009"/>
    <w:rsid w:val="00FA4E93"/>
    <w:rsid w:val="00FA4F8A"/>
    <w:rsid w:val="00FA52BB"/>
    <w:rsid w:val="00FA560A"/>
    <w:rsid w:val="00FA6565"/>
    <w:rsid w:val="00FA6615"/>
    <w:rsid w:val="00FA74F5"/>
    <w:rsid w:val="00FA7D03"/>
    <w:rsid w:val="00FB00C6"/>
    <w:rsid w:val="00FB1DBF"/>
    <w:rsid w:val="00FB2BAE"/>
    <w:rsid w:val="00FB3A74"/>
    <w:rsid w:val="00FB3AC6"/>
    <w:rsid w:val="00FB3D4D"/>
    <w:rsid w:val="00FB4CC7"/>
    <w:rsid w:val="00FB4F6F"/>
    <w:rsid w:val="00FB51F0"/>
    <w:rsid w:val="00FB5264"/>
    <w:rsid w:val="00FB5C0E"/>
    <w:rsid w:val="00FB78A2"/>
    <w:rsid w:val="00FB7B21"/>
    <w:rsid w:val="00FC003D"/>
    <w:rsid w:val="00FC1051"/>
    <w:rsid w:val="00FC58AD"/>
    <w:rsid w:val="00FD0715"/>
    <w:rsid w:val="00FD36A0"/>
    <w:rsid w:val="00FD3D60"/>
    <w:rsid w:val="00FD3F43"/>
    <w:rsid w:val="00FD5A62"/>
    <w:rsid w:val="00FD5BB8"/>
    <w:rsid w:val="00FD6AE0"/>
    <w:rsid w:val="00FD714F"/>
    <w:rsid w:val="00FE0BB1"/>
    <w:rsid w:val="00FE236B"/>
    <w:rsid w:val="00FE23D0"/>
    <w:rsid w:val="00FE2802"/>
    <w:rsid w:val="00FE3079"/>
    <w:rsid w:val="00FE34F6"/>
    <w:rsid w:val="00FE4305"/>
    <w:rsid w:val="00FE44A3"/>
    <w:rsid w:val="00FF2C06"/>
    <w:rsid w:val="00FF2EEC"/>
    <w:rsid w:val="00FF2F5C"/>
    <w:rsid w:val="00FF3315"/>
    <w:rsid w:val="00FF4C51"/>
    <w:rsid w:val="00FF5A4E"/>
    <w:rsid w:val="00FF7692"/>
    <w:rsid w:val="00FF7E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color="silver" strokecolor="#969696">
      <v:fill color="silver"/>
      <v:stroke color="#969696"/>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qFormat="1"/>
    <w:lsdException w:name="annotation text" w:uiPriority="99"/>
    <w:lsdException w:name="caption" w:uiPriority="35" w:qFormat="1"/>
    <w:lsdException w:name="footnote reference" w:uiPriority="99"/>
    <w:lsdException w:name="annotation reference" w:uiPriority="99"/>
    <w:lsdException w:name="endnote text"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5040"/>
    <w:pPr>
      <w:spacing w:before="120" w:after="120" w:line="240" w:lineRule="atLeast"/>
      <w:jc w:val="both"/>
    </w:pPr>
    <w:rPr>
      <w:rFonts w:ascii="Arial" w:hAnsi="Arial"/>
    </w:rPr>
  </w:style>
  <w:style w:type="paragraph" w:styleId="Heading1">
    <w:name w:val="heading 1"/>
    <w:next w:val="Heading2"/>
    <w:link w:val="Heading1Char"/>
    <w:qFormat/>
    <w:rsid w:val="0079768E"/>
    <w:pPr>
      <w:keepNext/>
      <w:tabs>
        <w:tab w:val="left" w:pos="709"/>
      </w:tabs>
      <w:spacing w:before="240" w:after="240" w:line="400" w:lineRule="atLeast"/>
      <w:jc w:val="both"/>
      <w:outlineLvl w:val="0"/>
    </w:pPr>
    <w:rPr>
      <w:rFonts w:ascii="Arial" w:hAnsi="Arial"/>
      <w:b/>
      <w:color w:val="333399"/>
      <w:sz w:val="36"/>
    </w:rPr>
  </w:style>
  <w:style w:type="paragraph" w:styleId="Heading2">
    <w:name w:val="heading 2"/>
    <w:basedOn w:val="Normal"/>
    <w:next w:val="Normal"/>
    <w:link w:val="Heading2Char"/>
    <w:qFormat/>
    <w:rsid w:val="0091101D"/>
    <w:pPr>
      <w:keepNext/>
      <w:keepLines/>
      <w:jc w:val="left"/>
      <w:outlineLvl w:val="1"/>
    </w:pPr>
    <w:rPr>
      <w:b/>
      <w:color w:val="333399"/>
      <w:sz w:val="28"/>
    </w:rPr>
  </w:style>
  <w:style w:type="paragraph" w:styleId="Heading3">
    <w:name w:val="heading 3"/>
    <w:next w:val="Normal"/>
    <w:link w:val="Heading3Char"/>
    <w:qFormat/>
    <w:rsid w:val="001F7037"/>
    <w:pPr>
      <w:keepNext/>
      <w:spacing w:before="120" w:after="120"/>
      <w:jc w:val="both"/>
      <w:outlineLvl w:val="2"/>
    </w:pPr>
    <w:rPr>
      <w:rFonts w:ascii="Arial" w:hAnsi="Arial"/>
      <w:b/>
      <w:color w:val="31849B"/>
      <w:sz w:val="22"/>
    </w:rPr>
  </w:style>
  <w:style w:type="paragraph" w:styleId="Heading4">
    <w:name w:val="heading 4"/>
    <w:basedOn w:val="Normal"/>
    <w:next w:val="Normal"/>
    <w:link w:val="Heading4Char"/>
    <w:qFormat/>
    <w:rsid w:val="00395C3F"/>
    <w:pPr>
      <w:keepNext/>
      <w:spacing w:after="0"/>
      <w:jc w:val="left"/>
      <w:outlineLvl w:val="3"/>
    </w:pPr>
    <w:rPr>
      <w:b/>
      <w:sz w:val="22"/>
    </w:rPr>
  </w:style>
  <w:style w:type="paragraph" w:styleId="Heading5">
    <w:name w:val="heading 5"/>
    <w:basedOn w:val="Normal"/>
    <w:next w:val="Normal"/>
    <w:link w:val="Heading5Char"/>
    <w:qFormat/>
    <w:rsid w:val="0079768E"/>
    <w:pPr>
      <w:spacing w:after="0"/>
      <w:outlineLvl w:val="4"/>
    </w:pPr>
    <w:rPr>
      <w:i/>
      <w:sz w:val="22"/>
    </w:rPr>
  </w:style>
  <w:style w:type="paragraph" w:styleId="Heading6">
    <w:name w:val="heading 6"/>
    <w:basedOn w:val="Normal"/>
    <w:next w:val="Normal"/>
    <w:link w:val="Heading6Char"/>
    <w:qFormat/>
    <w:rsid w:val="00F449A7"/>
    <w:pPr>
      <w:spacing w:before="240" w:after="60" w:line="240" w:lineRule="auto"/>
      <w:jc w:val="left"/>
      <w:outlineLvl w:val="5"/>
    </w:pPr>
    <w:rPr>
      <w:rFonts w:ascii="Times New Roman" w:eastAsia="Calibri" w:hAnsi="Times New Roman"/>
      <w:b/>
      <w:bCs/>
      <w:sz w:val="22"/>
      <w:szCs w:val="22"/>
      <w:lang w:eastAsia="en-US"/>
    </w:rPr>
  </w:style>
  <w:style w:type="paragraph" w:styleId="Heading7">
    <w:name w:val="heading 7"/>
    <w:basedOn w:val="Normal"/>
    <w:next w:val="Normal"/>
    <w:link w:val="Heading7Char"/>
    <w:qFormat/>
    <w:rsid w:val="00F449A7"/>
    <w:pPr>
      <w:spacing w:before="240" w:after="60" w:line="240" w:lineRule="auto"/>
      <w:jc w:val="left"/>
      <w:outlineLvl w:val="6"/>
    </w:pPr>
    <w:rPr>
      <w:rFonts w:ascii="Times New Roman" w:eastAsia="Calibri" w:hAnsi="Times New Roman"/>
      <w:sz w:val="24"/>
      <w:szCs w:val="24"/>
      <w:lang w:eastAsia="en-US"/>
    </w:rPr>
  </w:style>
  <w:style w:type="paragraph" w:styleId="Heading8">
    <w:name w:val="heading 8"/>
    <w:basedOn w:val="Normal"/>
    <w:next w:val="Normal"/>
    <w:link w:val="Heading8Char"/>
    <w:qFormat/>
    <w:rsid w:val="00F449A7"/>
    <w:pPr>
      <w:spacing w:before="240" w:after="60" w:line="240" w:lineRule="auto"/>
      <w:jc w:val="left"/>
      <w:outlineLvl w:val="7"/>
    </w:pPr>
    <w:rPr>
      <w:rFonts w:ascii="Times New Roman" w:eastAsia="Calibri" w:hAnsi="Times New Roman"/>
      <w:i/>
      <w:iCs/>
      <w:sz w:val="24"/>
      <w:szCs w:val="24"/>
      <w:lang w:eastAsia="en-US"/>
    </w:rPr>
  </w:style>
  <w:style w:type="paragraph" w:styleId="Heading9">
    <w:name w:val="heading 9"/>
    <w:basedOn w:val="Normal"/>
    <w:next w:val="Normal"/>
    <w:link w:val="Heading9Char"/>
    <w:qFormat/>
    <w:rsid w:val="00F449A7"/>
    <w:pPr>
      <w:spacing w:before="240" w:after="60" w:line="240" w:lineRule="auto"/>
      <w:jc w:val="left"/>
      <w:outlineLvl w:val="8"/>
    </w:pPr>
    <w:rPr>
      <w:rFonts w:eastAsia="Calibri"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F7037"/>
    <w:rPr>
      <w:rFonts w:ascii="Arial" w:hAnsi="Arial"/>
      <w:b/>
      <w:color w:val="31849B"/>
      <w:sz w:val="22"/>
      <w:lang w:val="en-AU" w:eastAsia="en-AU" w:bidi="ar-SA"/>
    </w:rPr>
  </w:style>
  <w:style w:type="paragraph" w:customStyle="1" w:styleId="CharCharCharChar">
    <w:name w:val="Char Char Char Char"/>
    <w:basedOn w:val="Normal"/>
    <w:rsid w:val="00727205"/>
    <w:pPr>
      <w:spacing w:before="0" w:after="160" w:line="240" w:lineRule="exact"/>
      <w:jc w:val="left"/>
    </w:pPr>
    <w:rPr>
      <w:rFonts w:ascii="Verdana" w:hAnsi="Verdana"/>
      <w:szCs w:val="24"/>
      <w:lang w:val="en-US" w:eastAsia="en-US"/>
    </w:rPr>
  </w:style>
  <w:style w:type="paragraph" w:styleId="ListBullet">
    <w:name w:val="List Bullet"/>
    <w:basedOn w:val="Normal"/>
    <w:rsid w:val="0079768E"/>
    <w:pPr>
      <w:numPr>
        <w:numId w:val="1"/>
      </w:numPr>
      <w:spacing w:after="0"/>
      <w:contextualSpacing/>
    </w:pPr>
  </w:style>
  <w:style w:type="paragraph" w:customStyle="1" w:styleId="Footnote">
    <w:name w:val="Footnote"/>
    <w:basedOn w:val="Normal"/>
    <w:semiHidden/>
    <w:rsid w:val="00A63306"/>
    <w:pPr>
      <w:widowControl w:val="0"/>
      <w:suppressAutoHyphens/>
      <w:autoSpaceDE w:val="0"/>
      <w:autoSpaceDN w:val="0"/>
      <w:adjustRightInd w:val="0"/>
      <w:spacing w:before="170" w:line="200" w:lineRule="atLeast"/>
      <w:ind w:left="170" w:hanging="170"/>
      <w:textAlignment w:val="center"/>
    </w:pPr>
    <w:rPr>
      <w:rFonts w:cs="Arial"/>
      <w:color w:val="000000"/>
      <w:sz w:val="16"/>
      <w:szCs w:val="16"/>
    </w:rPr>
  </w:style>
  <w:style w:type="character" w:customStyle="1" w:styleId="Footnote1">
    <w:name w:val="Footnote1"/>
    <w:semiHidden/>
    <w:rsid w:val="00A63306"/>
    <w:rPr>
      <w:rFonts w:ascii="Arial" w:hAnsi="Arial" w:cs="Arial"/>
      <w:spacing w:val="0"/>
      <w:w w:val="100"/>
      <w:sz w:val="16"/>
      <w:szCs w:val="16"/>
      <w:vertAlign w:val="baseline"/>
    </w:rPr>
  </w:style>
  <w:style w:type="paragraph" w:customStyle="1" w:styleId="ContentsHeading">
    <w:name w:val="Contents Heading"/>
    <w:basedOn w:val="Normal"/>
    <w:rsid w:val="00AA6E3F"/>
    <w:pPr>
      <w:keepNext/>
      <w:keepLines/>
      <w:suppressAutoHyphens/>
      <w:autoSpaceDE w:val="0"/>
      <w:autoSpaceDN w:val="0"/>
      <w:adjustRightInd w:val="0"/>
      <w:spacing w:before="227" w:after="170" w:line="288" w:lineRule="auto"/>
      <w:textAlignment w:val="center"/>
    </w:pPr>
    <w:rPr>
      <w:rFonts w:ascii="Verdana" w:hAnsi="Verdana" w:cs="Verdana"/>
      <w:b/>
      <w:bCs/>
      <w:color w:val="003D7D"/>
    </w:rPr>
  </w:style>
  <w:style w:type="paragraph" w:customStyle="1" w:styleId="ContentsList">
    <w:name w:val="Contents List"/>
    <w:basedOn w:val="Normal"/>
    <w:rsid w:val="00395C3F"/>
    <w:pPr>
      <w:tabs>
        <w:tab w:val="right" w:pos="4253"/>
      </w:tabs>
      <w:suppressAutoHyphens/>
      <w:autoSpaceDE w:val="0"/>
      <w:autoSpaceDN w:val="0"/>
      <w:adjustRightInd w:val="0"/>
      <w:spacing w:before="57" w:line="280" w:lineRule="atLeast"/>
      <w:jc w:val="left"/>
      <w:textAlignment w:val="center"/>
    </w:pPr>
    <w:rPr>
      <w:rFonts w:ascii="Verdana" w:hAnsi="Verdana" w:cs="Verdana"/>
      <w:b/>
      <w:bCs/>
      <w:color w:val="455460"/>
    </w:rPr>
  </w:style>
  <w:style w:type="character" w:styleId="Hyperlink">
    <w:name w:val="Hyperlink"/>
    <w:basedOn w:val="DefaultParagraphFont"/>
    <w:rsid w:val="0079768E"/>
    <w:rPr>
      <w:noProof/>
      <w:color w:val="0000FF"/>
      <w:u w:val="single"/>
    </w:rPr>
  </w:style>
  <w:style w:type="paragraph" w:styleId="FootnoteText">
    <w:name w:val="footnote text"/>
    <w:aliases w:val="ALTS FOOTNOTE,(NECG) Footnote Text,Footnote text,AR Footnote Text,AR Footnote Text Char Char Char Char Char,fn,Footnote Text 2,FOOTNOTE,Footnote Text Char2 Char,Footnote Text Char1 Char2 Char,fn Char Char,f,Footnote Text Char2"/>
    <w:basedOn w:val="Normal"/>
    <w:link w:val="FootnoteTextChar1"/>
    <w:uiPriority w:val="99"/>
    <w:qFormat/>
    <w:rsid w:val="009A44DA"/>
  </w:style>
  <w:style w:type="character" w:customStyle="1" w:styleId="FootnoteTextChar1">
    <w:name w:val="Footnote Text Char1"/>
    <w:aliases w:val="ALTS FOOTNOTE Char,(NECG) Footnote Text Char,Footnote text Char,AR Footnote Text Char,AR Footnote Text Char Char Char Char Char Char,fn Char,Footnote Text 2 Char,FOOTNOTE Char,Footnote Text Char2 Char Char,fn Char Char Char,f Char"/>
    <w:basedOn w:val="DefaultParagraphFont"/>
    <w:link w:val="FootnoteText"/>
    <w:rsid w:val="009A44DA"/>
    <w:rPr>
      <w:lang w:val="en-AU" w:eastAsia="en-AU" w:bidi="ar-SA"/>
    </w:rPr>
  </w:style>
  <w:style w:type="paragraph" w:customStyle="1" w:styleId="Default">
    <w:name w:val="Default"/>
    <w:rsid w:val="009A44DA"/>
    <w:pPr>
      <w:autoSpaceDE w:val="0"/>
      <w:autoSpaceDN w:val="0"/>
      <w:adjustRightInd w:val="0"/>
      <w:spacing w:before="240" w:after="120"/>
      <w:jc w:val="both"/>
    </w:pPr>
    <w:rPr>
      <w:color w:val="000000"/>
      <w:sz w:val="24"/>
      <w:szCs w:val="24"/>
    </w:rPr>
  </w:style>
  <w:style w:type="character" w:styleId="CommentReference">
    <w:name w:val="annotation reference"/>
    <w:basedOn w:val="DefaultParagraphFont"/>
    <w:uiPriority w:val="99"/>
    <w:semiHidden/>
    <w:rsid w:val="009A44DA"/>
    <w:rPr>
      <w:sz w:val="16"/>
      <w:szCs w:val="16"/>
    </w:rPr>
  </w:style>
  <w:style w:type="paragraph" w:styleId="BalloonText">
    <w:name w:val="Balloon Text"/>
    <w:basedOn w:val="Normal"/>
    <w:link w:val="BalloonTextChar"/>
    <w:uiPriority w:val="99"/>
    <w:semiHidden/>
    <w:rsid w:val="0079768E"/>
    <w:rPr>
      <w:rFonts w:ascii="Tahoma" w:hAnsi="Tahoma" w:cs="Tahoma"/>
      <w:sz w:val="16"/>
      <w:szCs w:val="16"/>
    </w:rPr>
  </w:style>
  <w:style w:type="paragraph" w:styleId="ListBullet2">
    <w:name w:val="List Bullet 2"/>
    <w:basedOn w:val="Normal"/>
    <w:rsid w:val="0079768E"/>
    <w:pPr>
      <w:numPr>
        <w:numId w:val="2"/>
      </w:numPr>
      <w:spacing w:after="0"/>
      <w:contextualSpacing/>
    </w:pPr>
  </w:style>
  <w:style w:type="paragraph" w:styleId="ListBullet3">
    <w:name w:val="List Bullet 3"/>
    <w:basedOn w:val="Normal"/>
    <w:rsid w:val="0079768E"/>
    <w:pPr>
      <w:numPr>
        <w:numId w:val="3"/>
      </w:numPr>
      <w:spacing w:after="0"/>
      <w:contextualSpacing/>
    </w:pPr>
  </w:style>
  <w:style w:type="paragraph" w:styleId="TOC1">
    <w:name w:val="toc 1"/>
    <w:basedOn w:val="Normal"/>
    <w:next w:val="Normal"/>
    <w:uiPriority w:val="39"/>
    <w:rsid w:val="0079768E"/>
    <w:pPr>
      <w:tabs>
        <w:tab w:val="right" w:leader="dot" w:pos="8453"/>
      </w:tabs>
      <w:spacing w:before="240" w:after="0"/>
      <w:ind w:left="357" w:hanging="357"/>
    </w:pPr>
    <w:rPr>
      <w:b/>
    </w:rPr>
  </w:style>
  <w:style w:type="paragraph" w:styleId="TOC2">
    <w:name w:val="toc 2"/>
    <w:basedOn w:val="Normal"/>
    <w:next w:val="Normal"/>
    <w:uiPriority w:val="39"/>
    <w:rsid w:val="0079768E"/>
    <w:pPr>
      <w:tabs>
        <w:tab w:val="left" w:pos="851"/>
        <w:tab w:val="right" w:leader="dot" w:pos="8453"/>
      </w:tabs>
      <w:spacing w:after="0"/>
      <w:ind w:left="284"/>
    </w:pPr>
  </w:style>
  <w:style w:type="paragraph" w:styleId="TOC3">
    <w:name w:val="toc 3"/>
    <w:basedOn w:val="Normal"/>
    <w:next w:val="Normal"/>
    <w:semiHidden/>
    <w:rsid w:val="0079768E"/>
    <w:pPr>
      <w:tabs>
        <w:tab w:val="left" w:pos="1276"/>
        <w:tab w:val="right" w:leader="dot" w:pos="8454"/>
      </w:tabs>
      <w:ind w:left="567"/>
    </w:pPr>
    <w:rPr>
      <w:sz w:val="22"/>
      <w:szCs w:val="22"/>
    </w:rPr>
  </w:style>
  <w:style w:type="paragraph" w:styleId="TOC4">
    <w:name w:val="toc 4"/>
    <w:basedOn w:val="Normal"/>
    <w:next w:val="Normal"/>
    <w:semiHidden/>
    <w:rsid w:val="0079768E"/>
    <w:pPr>
      <w:tabs>
        <w:tab w:val="right" w:leader="dot" w:pos="8453"/>
      </w:tabs>
      <w:spacing w:after="0"/>
      <w:ind w:left="720"/>
    </w:pPr>
  </w:style>
  <w:style w:type="paragraph" w:styleId="ListParagraph">
    <w:name w:val="List Paragraph"/>
    <w:basedOn w:val="Normal"/>
    <w:uiPriority w:val="34"/>
    <w:qFormat/>
    <w:rsid w:val="000D4F7A"/>
    <w:pPr>
      <w:spacing w:before="0" w:after="200" w:line="276" w:lineRule="auto"/>
      <w:ind w:left="720"/>
      <w:contextualSpacing/>
      <w:jc w:val="left"/>
    </w:pPr>
    <w:rPr>
      <w:rFonts w:ascii="Calibri" w:eastAsia="Calibri" w:hAnsi="Calibri"/>
      <w:sz w:val="22"/>
      <w:szCs w:val="22"/>
      <w:lang w:val="en-GB" w:eastAsia="en-US"/>
    </w:rPr>
  </w:style>
  <w:style w:type="paragraph" w:styleId="Footer">
    <w:name w:val="footer"/>
    <w:basedOn w:val="Networkfooter"/>
    <w:link w:val="FooterChar"/>
    <w:rsid w:val="000D4F7A"/>
    <w:pPr>
      <w:tabs>
        <w:tab w:val="center" w:pos="4153"/>
        <w:tab w:val="right" w:pos="8306"/>
      </w:tabs>
      <w:spacing w:before="0" w:after="0" w:line="240" w:lineRule="auto"/>
      <w:jc w:val="left"/>
    </w:pPr>
    <w:rPr>
      <w:rFonts w:ascii="Times New Roman" w:hAnsi="Times New Roman"/>
      <w:sz w:val="24"/>
      <w:szCs w:val="24"/>
    </w:rPr>
  </w:style>
  <w:style w:type="character" w:customStyle="1" w:styleId="FooterChar">
    <w:name w:val="Footer Char"/>
    <w:basedOn w:val="DefaultParagraphFont"/>
    <w:link w:val="Footer"/>
    <w:rsid w:val="00E80C2D"/>
    <w:rPr>
      <w:rFonts w:cs="Arial"/>
      <w:color w:val="595959"/>
      <w:sz w:val="24"/>
      <w:szCs w:val="24"/>
      <w:lang w:val="en-US" w:eastAsia="en-US"/>
    </w:rPr>
  </w:style>
  <w:style w:type="character" w:styleId="PageNumber">
    <w:name w:val="page number"/>
    <w:basedOn w:val="DefaultParagraphFont"/>
    <w:rsid w:val="000D4F7A"/>
  </w:style>
  <w:style w:type="paragraph" w:styleId="Header">
    <w:name w:val="header"/>
    <w:basedOn w:val="Normal"/>
    <w:link w:val="HeaderChar"/>
    <w:rsid w:val="000D4F7A"/>
    <w:pPr>
      <w:tabs>
        <w:tab w:val="center" w:pos="4513"/>
        <w:tab w:val="right" w:pos="9026"/>
      </w:tabs>
      <w:spacing w:before="0" w:after="0" w:line="240" w:lineRule="auto"/>
      <w:jc w:val="left"/>
    </w:pPr>
    <w:rPr>
      <w:rFonts w:ascii="Times New Roman" w:hAnsi="Times New Roman"/>
      <w:sz w:val="24"/>
      <w:szCs w:val="24"/>
    </w:rPr>
  </w:style>
  <w:style w:type="character" w:customStyle="1" w:styleId="HeaderChar">
    <w:name w:val="Header Char"/>
    <w:basedOn w:val="DefaultParagraphFont"/>
    <w:link w:val="Header"/>
    <w:rsid w:val="000D4F7A"/>
    <w:rPr>
      <w:sz w:val="24"/>
      <w:szCs w:val="24"/>
      <w:lang w:val="en-AU" w:eastAsia="en-AU" w:bidi="ar-SA"/>
    </w:rPr>
  </w:style>
  <w:style w:type="paragraph" w:customStyle="1" w:styleId="BodyText1">
    <w:name w:val="Body Text1"/>
    <w:basedOn w:val="Default"/>
    <w:next w:val="Default"/>
    <w:link w:val="bodytextChar"/>
    <w:rsid w:val="00AB62B6"/>
    <w:rPr>
      <w:rFonts w:ascii="Arial" w:hAnsi="Arial"/>
      <w:color w:val="auto"/>
    </w:rPr>
  </w:style>
  <w:style w:type="paragraph" w:styleId="NormalWeb">
    <w:name w:val="Normal (Web)"/>
    <w:basedOn w:val="Normal"/>
    <w:uiPriority w:val="99"/>
    <w:rsid w:val="00AB62B6"/>
    <w:pPr>
      <w:spacing w:before="100" w:beforeAutospacing="1" w:after="100" w:afterAutospacing="1" w:line="240" w:lineRule="auto"/>
      <w:jc w:val="left"/>
    </w:pPr>
    <w:rPr>
      <w:rFonts w:ascii="Verdana" w:hAnsi="Verdana"/>
      <w:color w:val="000000"/>
      <w:sz w:val="18"/>
      <w:szCs w:val="18"/>
    </w:rPr>
  </w:style>
  <w:style w:type="character" w:styleId="Strong">
    <w:name w:val="Strong"/>
    <w:basedOn w:val="DefaultParagraphFont"/>
    <w:uiPriority w:val="22"/>
    <w:qFormat/>
    <w:rsid w:val="00AB62B6"/>
    <w:rPr>
      <w:b/>
      <w:bCs/>
    </w:rPr>
  </w:style>
  <w:style w:type="character" w:styleId="FollowedHyperlink">
    <w:name w:val="FollowedHyperlink"/>
    <w:basedOn w:val="DefaultParagraphFont"/>
    <w:rsid w:val="00843D44"/>
    <w:rPr>
      <w:color w:val="800080"/>
      <w:u w:val="single"/>
    </w:rPr>
  </w:style>
  <w:style w:type="character" w:customStyle="1" w:styleId="journal-journaltitle1">
    <w:name w:val="journal-journaltitle1"/>
    <w:basedOn w:val="DefaultParagraphFont"/>
    <w:rsid w:val="009943AC"/>
    <w:rPr>
      <w:rFonts w:ascii="Courier New" w:hAnsi="Courier New" w:cs="Courier New" w:hint="default"/>
      <w:b/>
      <w:bCs/>
      <w:sz w:val="30"/>
      <w:szCs w:val="30"/>
    </w:rPr>
  </w:style>
  <w:style w:type="paragraph" w:customStyle="1" w:styleId="default0">
    <w:name w:val="default"/>
    <w:basedOn w:val="Normal"/>
    <w:uiPriority w:val="99"/>
    <w:rsid w:val="007A3341"/>
    <w:pPr>
      <w:autoSpaceDE w:val="0"/>
      <w:autoSpaceDN w:val="0"/>
      <w:spacing w:before="0" w:after="0" w:line="240" w:lineRule="auto"/>
      <w:jc w:val="left"/>
    </w:pPr>
    <w:rPr>
      <w:rFonts w:ascii="Times New Roman" w:hAnsi="Times New Roman"/>
      <w:color w:val="000000"/>
      <w:sz w:val="24"/>
      <w:szCs w:val="24"/>
    </w:rPr>
  </w:style>
  <w:style w:type="paragraph" w:customStyle="1" w:styleId="default00">
    <w:name w:val="default0"/>
    <w:basedOn w:val="Normal"/>
    <w:rsid w:val="007A3341"/>
    <w:pPr>
      <w:autoSpaceDE w:val="0"/>
      <w:autoSpaceDN w:val="0"/>
      <w:spacing w:before="0" w:after="0" w:line="240" w:lineRule="auto"/>
      <w:jc w:val="left"/>
    </w:pPr>
    <w:rPr>
      <w:rFonts w:ascii="Times New Roman" w:hAnsi="Times New Roman"/>
      <w:color w:val="000000"/>
      <w:sz w:val="24"/>
      <w:szCs w:val="24"/>
    </w:rPr>
  </w:style>
  <w:style w:type="character" w:styleId="FootnoteReference">
    <w:name w:val="footnote reference"/>
    <w:aliases w:val="(NECG) Footnote Reference,(NECG) Footnote Reference1,(NECG) Footnote Reference2,o,Style 3,Style 12,fr,Appel note de bas de p,Style 124,(NECG) Footnote,-E Fußnotenzeichen,(Diplomarbeit FZ),(Diplomarbeit FZ)1,(Diplomarbeit FZ)2"/>
    <w:basedOn w:val="DefaultParagraphFont"/>
    <w:uiPriority w:val="99"/>
    <w:rsid w:val="009556B3"/>
    <w:rPr>
      <w:vertAlign w:val="superscript"/>
    </w:rPr>
  </w:style>
  <w:style w:type="character" w:customStyle="1" w:styleId="CharChar4">
    <w:name w:val="Char Char4"/>
    <w:basedOn w:val="DefaultParagraphFont"/>
    <w:locked/>
    <w:rsid w:val="009556B3"/>
    <w:rPr>
      <w:sz w:val="18"/>
      <w:szCs w:val="24"/>
      <w:lang w:val="en-AU" w:eastAsia="en-AU" w:bidi="ar-SA"/>
    </w:rPr>
  </w:style>
  <w:style w:type="character" w:styleId="Emphasis">
    <w:name w:val="Emphasis"/>
    <w:basedOn w:val="DefaultParagraphFont"/>
    <w:uiPriority w:val="20"/>
    <w:qFormat/>
    <w:rsid w:val="001126FC"/>
    <w:rPr>
      <w:i/>
      <w:iCs/>
    </w:rPr>
  </w:style>
  <w:style w:type="paragraph" w:styleId="BodyText">
    <w:name w:val="Body Text"/>
    <w:basedOn w:val="Normal"/>
    <w:link w:val="BodyTextChar0"/>
    <w:rsid w:val="001126FC"/>
    <w:pPr>
      <w:spacing w:before="240" w:after="0" w:line="280" w:lineRule="atLeast"/>
    </w:pPr>
    <w:rPr>
      <w:rFonts w:ascii="Book Antiqua" w:hAnsi="Book Antiqua"/>
      <w:sz w:val="21"/>
      <w:szCs w:val="21"/>
    </w:rPr>
  </w:style>
  <w:style w:type="character" w:customStyle="1" w:styleId="BodyTextChar0">
    <w:name w:val="Body Text Char"/>
    <w:basedOn w:val="DefaultParagraphFont"/>
    <w:link w:val="BodyText"/>
    <w:locked/>
    <w:rsid w:val="001126FC"/>
    <w:rPr>
      <w:rFonts w:ascii="Book Antiqua" w:hAnsi="Book Antiqua"/>
      <w:sz w:val="21"/>
      <w:szCs w:val="21"/>
      <w:lang w:val="en-AU" w:eastAsia="en-AU" w:bidi="ar-SA"/>
    </w:rPr>
  </w:style>
  <w:style w:type="paragraph" w:customStyle="1" w:styleId="introduction1">
    <w:name w:val="introduction1"/>
    <w:basedOn w:val="Normal"/>
    <w:rsid w:val="0059702D"/>
    <w:pPr>
      <w:spacing w:before="195" w:after="100" w:afterAutospacing="1" w:line="240" w:lineRule="auto"/>
      <w:jc w:val="left"/>
    </w:pPr>
    <w:rPr>
      <w:rFonts w:ascii="Times New Roman" w:hAnsi="Times New Roman"/>
      <w:color w:val="000000"/>
      <w:sz w:val="24"/>
      <w:szCs w:val="24"/>
    </w:rPr>
  </w:style>
  <w:style w:type="character" w:customStyle="1" w:styleId="bodytextChar">
    <w:name w:val="body text Char"/>
    <w:basedOn w:val="DefaultParagraphFont"/>
    <w:link w:val="BodyText1"/>
    <w:rsid w:val="00772684"/>
    <w:rPr>
      <w:rFonts w:ascii="Arial" w:hAnsi="Arial"/>
      <w:sz w:val="24"/>
      <w:szCs w:val="24"/>
      <w:lang w:val="en-AU" w:eastAsia="en-AU" w:bidi="ar-SA"/>
    </w:rPr>
  </w:style>
  <w:style w:type="paragraph" w:customStyle="1" w:styleId="Boxcaption">
    <w:name w:val="Box caption"/>
    <w:basedOn w:val="Caption"/>
    <w:next w:val="BodyText"/>
    <w:rsid w:val="00F449A7"/>
    <w:pPr>
      <w:keepNext/>
      <w:tabs>
        <w:tab w:val="left" w:pos="1361"/>
      </w:tabs>
      <w:spacing w:before="300" w:after="60" w:line="280" w:lineRule="atLeast"/>
      <w:ind w:left="1361" w:hanging="1361"/>
      <w:jc w:val="left"/>
    </w:pPr>
    <w:rPr>
      <w:rFonts w:eastAsia="Calibri"/>
      <w:color w:val="213F7D"/>
      <w:szCs w:val="18"/>
      <w:lang w:eastAsia="en-US"/>
    </w:rPr>
  </w:style>
  <w:style w:type="paragraph" w:styleId="Caption">
    <w:name w:val="caption"/>
    <w:basedOn w:val="Normal"/>
    <w:next w:val="Normal"/>
    <w:uiPriority w:val="35"/>
    <w:qFormat/>
    <w:rsid w:val="00F449A7"/>
    <w:rPr>
      <w:b/>
      <w:bCs/>
    </w:rPr>
  </w:style>
  <w:style w:type="paragraph" w:customStyle="1" w:styleId="Blockquotation">
    <w:name w:val="Block quotation"/>
    <w:basedOn w:val="BodyText"/>
    <w:next w:val="BodyText"/>
    <w:rsid w:val="00F449A7"/>
    <w:pPr>
      <w:spacing w:before="180" w:after="180"/>
      <w:ind w:left="340"/>
      <w:jc w:val="left"/>
    </w:pPr>
    <w:rPr>
      <w:rFonts w:ascii="Times New Roman" w:eastAsia="Calibri" w:hAnsi="Times New Roman"/>
      <w:sz w:val="20"/>
      <w:szCs w:val="22"/>
      <w:lang w:eastAsia="en-US"/>
    </w:rPr>
  </w:style>
  <w:style w:type="paragraph" w:customStyle="1" w:styleId="Bodybullet-L1-2">
    <w:name w:val="Body bullet - L1-2"/>
    <w:basedOn w:val="BodyText"/>
    <w:rsid w:val="00F449A7"/>
    <w:pPr>
      <w:numPr>
        <w:numId w:val="4"/>
      </w:numPr>
      <w:tabs>
        <w:tab w:val="clear" w:pos="340"/>
        <w:tab w:val="num" w:pos="284"/>
      </w:tabs>
      <w:spacing w:before="120" w:after="120"/>
      <w:ind w:left="284" w:hanging="284"/>
      <w:jc w:val="left"/>
    </w:pPr>
    <w:rPr>
      <w:rFonts w:ascii="Times New Roman" w:eastAsia="Calibri" w:hAnsi="Times New Roman"/>
      <w:sz w:val="22"/>
      <w:szCs w:val="24"/>
      <w:lang w:eastAsia="en-US"/>
    </w:rPr>
  </w:style>
  <w:style w:type="paragraph" w:customStyle="1" w:styleId="Boxtext">
    <w:name w:val="Box text"/>
    <w:basedOn w:val="BodyText"/>
    <w:rsid w:val="00F449A7"/>
    <w:pPr>
      <w:spacing w:before="180" w:after="120"/>
      <w:jc w:val="left"/>
    </w:pPr>
    <w:rPr>
      <w:rFonts w:ascii="Arial" w:eastAsia="Calibri" w:hAnsi="Arial"/>
      <w:sz w:val="20"/>
      <w:szCs w:val="24"/>
      <w:lang w:eastAsia="en-US"/>
    </w:rPr>
  </w:style>
  <w:style w:type="character" w:customStyle="1" w:styleId="FootnoteTextChar">
    <w:name w:val="Footnote Text Char"/>
    <w:aliases w:val="ALTS FOOTNOTE Char1 Char,Footnote Text Char1 Char Char,Footnote Text Char Char Char Char,Footnote Text Char Char1 Char,Footnote Text Char1 Char Char Char,Footnote Text Char Char Char Char Char"/>
    <w:basedOn w:val="DefaultParagraphFont"/>
    <w:uiPriority w:val="99"/>
    <w:locked/>
    <w:rsid w:val="00F449A7"/>
    <w:rPr>
      <w:rFonts w:ascii="Arial" w:hAnsi="Arial" w:cs="Times New Roman"/>
      <w:sz w:val="16"/>
    </w:rPr>
  </w:style>
  <w:style w:type="paragraph" w:customStyle="1" w:styleId="BoxTablenumberedlist-L1-2">
    <w:name w:val="Box/Table numbered list - L1-2"/>
    <w:basedOn w:val="Boxtext"/>
    <w:rsid w:val="00F449A7"/>
    <w:pPr>
      <w:numPr>
        <w:numId w:val="5"/>
      </w:numPr>
      <w:spacing w:before="60"/>
    </w:pPr>
  </w:style>
  <w:style w:type="paragraph" w:customStyle="1" w:styleId="Titleofbrief">
    <w:name w:val="Title of brief"/>
    <w:basedOn w:val="Heading1"/>
    <w:next w:val="Normal"/>
    <w:rsid w:val="00F449A7"/>
    <w:pPr>
      <w:pageBreakBefore/>
      <w:tabs>
        <w:tab w:val="clear" w:pos="709"/>
      </w:tabs>
      <w:spacing w:after="180" w:line="320" w:lineRule="atLeast"/>
      <w:jc w:val="center"/>
    </w:pPr>
    <w:rPr>
      <w:rFonts w:ascii="Times New Roman" w:eastAsia="Calibri" w:hAnsi="Times New Roman" w:cs="Arial"/>
      <w:b w:val="0"/>
      <w:bCs/>
      <w:color w:val="213F7D"/>
      <w:kern w:val="32"/>
      <w:sz w:val="32"/>
      <w:szCs w:val="32"/>
      <w:lang w:eastAsia="en-US"/>
    </w:rPr>
  </w:style>
  <w:style w:type="character" w:customStyle="1" w:styleId="listingitemdate">
    <w:name w:val="listingitemdate"/>
    <w:basedOn w:val="DefaultParagraphFont"/>
    <w:rsid w:val="00E9207E"/>
  </w:style>
  <w:style w:type="character" w:customStyle="1" w:styleId="listingitemdesc">
    <w:name w:val="listingitemdesc"/>
    <w:basedOn w:val="DefaultParagraphFont"/>
    <w:rsid w:val="00E9207E"/>
  </w:style>
  <w:style w:type="character" w:customStyle="1" w:styleId="detail">
    <w:name w:val="detail"/>
    <w:basedOn w:val="DefaultParagraphFont"/>
    <w:rsid w:val="00E9207E"/>
  </w:style>
  <w:style w:type="paragraph" w:customStyle="1" w:styleId="BoxListBullet">
    <w:name w:val="Box List Bullet"/>
    <w:basedOn w:val="BodyText"/>
    <w:rsid w:val="00D7632E"/>
    <w:pPr>
      <w:keepNext/>
      <w:numPr>
        <w:numId w:val="6"/>
      </w:numPr>
      <w:spacing w:before="120"/>
    </w:pPr>
    <w:rPr>
      <w:rFonts w:ascii="Arial" w:hAnsi="Arial"/>
      <w:sz w:val="22"/>
      <w:szCs w:val="20"/>
    </w:rPr>
  </w:style>
  <w:style w:type="paragraph" w:customStyle="1" w:styleId="Date1">
    <w:name w:val="Date1"/>
    <w:basedOn w:val="Normal"/>
    <w:rsid w:val="00047874"/>
    <w:pPr>
      <w:spacing w:before="100" w:beforeAutospacing="1" w:after="100" w:afterAutospacing="1" w:line="240" w:lineRule="auto"/>
      <w:jc w:val="left"/>
    </w:pPr>
    <w:rPr>
      <w:rFonts w:ascii="Times New Roman" w:hAnsi="Times New Roman"/>
      <w:sz w:val="24"/>
      <w:szCs w:val="24"/>
    </w:rPr>
  </w:style>
  <w:style w:type="character" w:customStyle="1" w:styleId="newsdate">
    <w:name w:val="newsdate"/>
    <w:basedOn w:val="DefaultParagraphFont"/>
    <w:rsid w:val="007E4A33"/>
  </w:style>
  <w:style w:type="paragraph" w:customStyle="1" w:styleId="section-links">
    <w:name w:val="section-links"/>
    <w:basedOn w:val="Normal"/>
    <w:rsid w:val="009A70DA"/>
    <w:pPr>
      <w:spacing w:before="100" w:beforeAutospacing="1" w:after="100" w:afterAutospacing="1" w:line="240" w:lineRule="auto"/>
      <w:jc w:val="left"/>
    </w:pPr>
    <w:rPr>
      <w:rFonts w:ascii="Times New Roman" w:hAnsi="Times New Roman"/>
      <w:sz w:val="24"/>
      <w:szCs w:val="24"/>
    </w:rPr>
  </w:style>
  <w:style w:type="character" w:customStyle="1" w:styleId="detaillabel">
    <w:name w:val="detaillabel"/>
    <w:basedOn w:val="DefaultParagraphFont"/>
    <w:rsid w:val="003D229E"/>
  </w:style>
  <w:style w:type="paragraph" w:styleId="Bibliography">
    <w:name w:val="Bibliography"/>
    <w:basedOn w:val="Normal"/>
    <w:rsid w:val="007E7C3B"/>
    <w:pPr>
      <w:spacing w:before="0" w:after="0"/>
      <w:ind w:left="720" w:hanging="720"/>
      <w:jc w:val="left"/>
    </w:pPr>
    <w:rPr>
      <w:rFonts w:ascii="Times New Roman" w:hAnsi="Times New Roman"/>
      <w:szCs w:val="24"/>
    </w:rPr>
  </w:style>
  <w:style w:type="paragraph" w:customStyle="1" w:styleId="Text">
    <w:name w:val="Text"/>
    <w:basedOn w:val="Normal"/>
    <w:rsid w:val="00A00E28"/>
    <w:pPr>
      <w:spacing w:after="0" w:line="300" w:lineRule="exact"/>
    </w:pPr>
    <w:rPr>
      <w:rFonts w:cs="Arial"/>
      <w:sz w:val="22"/>
      <w:szCs w:val="22"/>
    </w:rPr>
  </w:style>
  <w:style w:type="paragraph" w:customStyle="1" w:styleId="Subheading">
    <w:name w:val="Subheading"/>
    <w:basedOn w:val="Normal"/>
    <w:rsid w:val="00A00E28"/>
    <w:pPr>
      <w:spacing w:before="240" w:after="0" w:line="280" w:lineRule="exact"/>
    </w:pPr>
    <w:rPr>
      <w:rFonts w:cs="Arial"/>
      <w:b/>
      <w:color w:val="31849B"/>
      <w:sz w:val="23"/>
      <w:szCs w:val="23"/>
    </w:rPr>
  </w:style>
  <w:style w:type="paragraph" w:customStyle="1" w:styleId="acbullet">
    <w:name w:val="acbullet"/>
    <w:basedOn w:val="Normal"/>
    <w:rsid w:val="006044CE"/>
    <w:pPr>
      <w:numPr>
        <w:numId w:val="7"/>
      </w:numPr>
      <w:spacing w:before="0" w:after="0" w:line="240" w:lineRule="auto"/>
      <w:jc w:val="left"/>
    </w:pPr>
    <w:rPr>
      <w:rFonts w:ascii="Calibri" w:eastAsia="Calibri" w:hAnsi="Calibri"/>
      <w:sz w:val="22"/>
      <w:szCs w:val="22"/>
      <w:lang w:val="en-US" w:eastAsia="en-US"/>
    </w:rPr>
  </w:style>
  <w:style w:type="paragraph" w:customStyle="1" w:styleId="AERbodytext">
    <w:name w:val="AER body text"/>
    <w:link w:val="AERbodytextChar"/>
    <w:rsid w:val="008121EE"/>
    <w:pPr>
      <w:spacing w:before="240" w:after="240"/>
      <w:jc w:val="both"/>
    </w:pPr>
    <w:rPr>
      <w:sz w:val="24"/>
      <w:szCs w:val="24"/>
      <w:lang w:eastAsia="en-US"/>
    </w:rPr>
  </w:style>
  <w:style w:type="character" w:customStyle="1" w:styleId="AERbodytextChar">
    <w:name w:val="AER body text Char"/>
    <w:basedOn w:val="DefaultParagraphFont"/>
    <w:link w:val="AERbodytext"/>
    <w:rsid w:val="008121EE"/>
    <w:rPr>
      <w:sz w:val="24"/>
      <w:szCs w:val="24"/>
      <w:lang w:val="en-AU" w:eastAsia="en-US" w:bidi="ar-SA"/>
    </w:rPr>
  </w:style>
  <w:style w:type="paragraph" w:styleId="EndnoteText">
    <w:name w:val="endnote text"/>
    <w:basedOn w:val="Normal"/>
    <w:link w:val="EndnoteTextChar"/>
    <w:uiPriority w:val="99"/>
    <w:rsid w:val="0069566D"/>
  </w:style>
  <w:style w:type="character" w:styleId="EndnoteReference">
    <w:name w:val="endnote reference"/>
    <w:basedOn w:val="DefaultParagraphFont"/>
    <w:semiHidden/>
    <w:rsid w:val="0069566D"/>
    <w:rPr>
      <w:vertAlign w:val="superscript"/>
    </w:rPr>
  </w:style>
  <w:style w:type="paragraph" w:customStyle="1" w:styleId="Tabberschrift">
    <w:name w:val="Tab_Überschrift"/>
    <w:basedOn w:val="Normal"/>
    <w:next w:val="Normal"/>
    <w:rsid w:val="000A49DA"/>
    <w:pPr>
      <w:keepNext/>
      <w:spacing w:after="0" w:line="240" w:lineRule="auto"/>
      <w:ind w:left="1843" w:hanging="1843"/>
      <w:jc w:val="left"/>
    </w:pPr>
    <w:rPr>
      <w:rFonts w:ascii="Times New Roman" w:hAnsi="Times New Roman"/>
      <w:sz w:val="24"/>
      <w:szCs w:val="24"/>
    </w:rPr>
  </w:style>
  <w:style w:type="character" w:customStyle="1" w:styleId="doc">
    <w:name w:val="doc"/>
    <w:basedOn w:val="DefaultParagraphFont"/>
    <w:rsid w:val="006C48F4"/>
  </w:style>
  <w:style w:type="character" w:customStyle="1" w:styleId="GenevievePound">
    <w:name w:val="Genevieve Pound"/>
    <w:basedOn w:val="DefaultParagraphFont"/>
    <w:semiHidden/>
    <w:rsid w:val="006C48F4"/>
    <w:rPr>
      <w:rFonts w:ascii="Arial" w:hAnsi="Arial" w:cs="Arial"/>
      <w:color w:val="auto"/>
      <w:sz w:val="20"/>
      <w:szCs w:val="20"/>
    </w:rPr>
  </w:style>
  <w:style w:type="paragraph" w:styleId="PlainText">
    <w:name w:val="Plain Text"/>
    <w:basedOn w:val="Normal"/>
    <w:link w:val="PlainTextChar"/>
    <w:uiPriority w:val="99"/>
    <w:unhideWhenUsed/>
    <w:rsid w:val="00CA6BCD"/>
    <w:pPr>
      <w:spacing w:before="0" w:after="0" w:line="240" w:lineRule="auto"/>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CA6BCD"/>
    <w:rPr>
      <w:rFonts w:ascii="Consolas" w:eastAsia="Calibri" w:hAnsi="Consolas" w:cs="Times New Roman"/>
      <w:sz w:val="21"/>
      <w:szCs w:val="21"/>
      <w:lang w:eastAsia="en-US"/>
    </w:rPr>
  </w:style>
  <w:style w:type="paragraph" w:styleId="List2">
    <w:name w:val="List 2"/>
    <w:basedOn w:val="Normal"/>
    <w:rsid w:val="009A4232"/>
    <w:pPr>
      <w:numPr>
        <w:ilvl w:val="1"/>
        <w:numId w:val="8"/>
      </w:numPr>
      <w:tabs>
        <w:tab w:val="clear" w:pos="1133"/>
        <w:tab w:val="num" w:pos="1492"/>
      </w:tabs>
      <w:spacing w:before="0" w:after="240" w:line="240" w:lineRule="auto"/>
      <w:ind w:left="1492" w:hanging="360"/>
    </w:pPr>
    <w:rPr>
      <w:rFonts w:ascii="Times New Roman" w:hAnsi="Times New Roman"/>
      <w:sz w:val="22"/>
      <w:lang w:eastAsia="en-US"/>
    </w:rPr>
  </w:style>
  <w:style w:type="paragraph" w:styleId="ListNumber">
    <w:name w:val="List Number"/>
    <w:basedOn w:val="Normal"/>
    <w:rsid w:val="009A4232"/>
    <w:pPr>
      <w:numPr>
        <w:numId w:val="8"/>
      </w:numPr>
      <w:spacing w:before="0" w:after="240" w:line="240" w:lineRule="auto"/>
    </w:pPr>
    <w:rPr>
      <w:rFonts w:ascii="Times New Roman" w:hAnsi="Times New Roman"/>
      <w:sz w:val="22"/>
      <w:lang w:eastAsia="en-US"/>
    </w:rPr>
  </w:style>
  <w:style w:type="paragraph" w:styleId="ListNumber3">
    <w:name w:val="List Number 3"/>
    <w:basedOn w:val="Normal"/>
    <w:rsid w:val="009A4232"/>
    <w:pPr>
      <w:numPr>
        <w:ilvl w:val="2"/>
        <w:numId w:val="8"/>
      </w:numPr>
      <w:spacing w:before="0" w:after="240" w:line="240" w:lineRule="auto"/>
      <w:ind w:hanging="567"/>
    </w:pPr>
    <w:rPr>
      <w:rFonts w:ascii="Times New Roman" w:hAnsi="Times New Roman"/>
      <w:sz w:val="22"/>
      <w:lang w:eastAsia="en-US"/>
    </w:rPr>
  </w:style>
  <w:style w:type="paragraph" w:customStyle="1" w:styleId="bullet">
    <w:name w:val="bullet"/>
    <w:basedOn w:val="BodyTextIndent"/>
    <w:semiHidden/>
    <w:rsid w:val="00DB07FB"/>
    <w:pPr>
      <w:numPr>
        <w:numId w:val="9"/>
      </w:numPr>
      <w:spacing w:before="0" w:after="240" w:line="240" w:lineRule="auto"/>
    </w:pPr>
    <w:rPr>
      <w:rFonts w:ascii="Times New Roman" w:hAnsi="Times New Roman"/>
      <w:sz w:val="22"/>
      <w:lang w:eastAsia="en-US"/>
    </w:rPr>
  </w:style>
  <w:style w:type="paragraph" w:customStyle="1" w:styleId="bullet2">
    <w:name w:val="bullet 2"/>
    <w:basedOn w:val="Normal"/>
    <w:semiHidden/>
    <w:rsid w:val="00DB07FB"/>
    <w:pPr>
      <w:numPr>
        <w:ilvl w:val="1"/>
        <w:numId w:val="9"/>
      </w:numPr>
      <w:spacing w:before="0" w:after="240" w:line="240" w:lineRule="auto"/>
    </w:pPr>
    <w:rPr>
      <w:rFonts w:ascii="Times New Roman" w:hAnsi="Times New Roman"/>
      <w:sz w:val="22"/>
      <w:lang w:eastAsia="en-US"/>
    </w:rPr>
  </w:style>
  <w:style w:type="paragraph" w:styleId="BodyTextIndent">
    <w:name w:val="Body Text Indent"/>
    <w:basedOn w:val="Normal"/>
    <w:link w:val="BodyTextIndentChar"/>
    <w:rsid w:val="00DB07FB"/>
    <w:pPr>
      <w:ind w:left="283"/>
    </w:pPr>
  </w:style>
  <w:style w:type="character" w:customStyle="1" w:styleId="BodyTextIndentChar">
    <w:name w:val="Body Text Indent Char"/>
    <w:basedOn w:val="DefaultParagraphFont"/>
    <w:link w:val="BodyTextIndent"/>
    <w:rsid w:val="00DB07FB"/>
    <w:rPr>
      <w:rFonts w:ascii="Arial" w:hAnsi="Arial"/>
    </w:rPr>
  </w:style>
  <w:style w:type="paragraph" w:customStyle="1" w:styleId="Quotation">
    <w:name w:val="Quotation"/>
    <w:basedOn w:val="BodyTextIndent"/>
    <w:next w:val="BodyTextIndent"/>
    <w:rsid w:val="00D84508"/>
    <w:pPr>
      <w:spacing w:before="0" w:after="240" w:line="240" w:lineRule="auto"/>
      <w:ind w:left="1134" w:right="567"/>
    </w:pPr>
    <w:rPr>
      <w:rFonts w:ascii="Times New Roman" w:hAnsi="Times New Roman"/>
      <w:i/>
      <w:sz w:val="18"/>
      <w:lang w:eastAsia="en-US"/>
    </w:rPr>
  </w:style>
  <w:style w:type="paragraph" w:customStyle="1" w:styleId="ungerKopfzeile">
    <w:name w:val="unger. Kopfzeile"/>
    <w:basedOn w:val="Normal"/>
    <w:rsid w:val="00302595"/>
    <w:pPr>
      <w:tabs>
        <w:tab w:val="center" w:pos="4253"/>
        <w:tab w:val="right" w:pos="8505"/>
      </w:tabs>
      <w:spacing w:before="0" w:after="480" w:line="240" w:lineRule="auto"/>
      <w:jc w:val="left"/>
    </w:pPr>
    <w:rPr>
      <w:rFonts w:ascii="Times New Roman" w:hAnsi="Times New Roman"/>
      <w:sz w:val="24"/>
      <w:szCs w:val="24"/>
    </w:rPr>
  </w:style>
  <w:style w:type="character" w:customStyle="1" w:styleId="category-electricity1">
    <w:name w:val="category-electricity1"/>
    <w:basedOn w:val="DefaultParagraphFont"/>
    <w:rsid w:val="007F45F0"/>
    <w:rPr>
      <w:b w:val="0"/>
      <w:bCs w:val="0"/>
      <w:vanish w:val="0"/>
      <w:webHidden w:val="0"/>
      <w:color w:val="E9B100"/>
      <w:specVanish w:val="0"/>
    </w:rPr>
  </w:style>
  <w:style w:type="paragraph" w:customStyle="1" w:styleId="004a153a">
    <w:name w:val="004a153a"/>
    <w:basedOn w:val="Normal"/>
    <w:rsid w:val="00070A0D"/>
    <w:pPr>
      <w:spacing w:before="0" w:after="300" w:line="240" w:lineRule="auto"/>
      <w:jc w:val="left"/>
    </w:pPr>
    <w:rPr>
      <w:rFonts w:cs="Arial"/>
      <w:sz w:val="24"/>
      <w:szCs w:val="24"/>
    </w:rPr>
  </w:style>
  <w:style w:type="paragraph" w:customStyle="1" w:styleId="StyleGray-65LinespacingsinglePatternClearWhite">
    <w:name w:val="Style Gray-65% Line spacing:  single Pattern: Clear (White)"/>
    <w:basedOn w:val="Normal"/>
    <w:qFormat/>
    <w:rsid w:val="001F7037"/>
    <w:pPr>
      <w:shd w:val="clear" w:color="auto" w:fill="FFFFFF"/>
      <w:spacing w:line="240" w:lineRule="auto"/>
    </w:pPr>
    <w:rPr>
      <w:color w:val="595959"/>
    </w:rPr>
  </w:style>
  <w:style w:type="character" w:customStyle="1" w:styleId="Network-bodytext">
    <w:name w:val="Network - body text"/>
    <w:basedOn w:val="DefaultParagraphFont"/>
    <w:qFormat/>
    <w:rsid w:val="00E90177"/>
    <w:rPr>
      <w:rFonts w:ascii="Arial" w:hAnsi="Arial"/>
      <w:color w:val="595959"/>
      <w:spacing w:val="0"/>
      <w:kern w:val="36"/>
      <w:sz w:val="20"/>
    </w:rPr>
  </w:style>
  <w:style w:type="paragraph" w:customStyle="1" w:styleId="Networknewsheading">
    <w:name w:val="Network news heading"/>
    <w:basedOn w:val="Heading2"/>
    <w:qFormat/>
    <w:rsid w:val="002F65C4"/>
    <w:pPr>
      <w:keepNext w:val="0"/>
      <w:keepLines w:val="0"/>
      <w:spacing w:beforeAutospacing="1" w:afterAutospacing="1" w:line="240" w:lineRule="auto"/>
      <w:jc w:val="both"/>
    </w:pPr>
    <w:rPr>
      <w:bCs/>
      <w:color w:val="31849B"/>
      <w:sz w:val="22"/>
    </w:rPr>
  </w:style>
  <w:style w:type="character" w:customStyle="1" w:styleId="StyleLatinArialGray-65">
    <w:name w:val="Style (Latin) Arial Gray-65%"/>
    <w:qFormat/>
    <w:rsid w:val="00C8324D"/>
    <w:rPr>
      <w:rFonts w:ascii="Arial" w:hAnsi="Arial"/>
      <w:color w:val="595959"/>
      <w:sz w:val="20"/>
    </w:rPr>
  </w:style>
  <w:style w:type="paragraph" w:styleId="BodyText2">
    <w:name w:val="Body Text 2"/>
    <w:basedOn w:val="Normal"/>
    <w:link w:val="BodyText2Char"/>
    <w:unhideWhenUsed/>
    <w:rsid w:val="008519F6"/>
    <w:pPr>
      <w:spacing w:line="480" w:lineRule="auto"/>
    </w:pPr>
    <w:rPr>
      <w:rFonts w:ascii="Times New Roman" w:eastAsia="MS Mincho" w:hAnsi="Times New Roman"/>
    </w:rPr>
  </w:style>
  <w:style w:type="character" w:customStyle="1" w:styleId="BodyText2Char">
    <w:name w:val="Body Text 2 Char"/>
    <w:basedOn w:val="DefaultParagraphFont"/>
    <w:link w:val="BodyText2"/>
    <w:rsid w:val="008519F6"/>
    <w:rPr>
      <w:rFonts w:eastAsia="MS Mincho"/>
    </w:rPr>
  </w:style>
  <w:style w:type="paragraph" w:styleId="CommentText">
    <w:name w:val="annotation text"/>
    <w:basedOn w:val="Normal"/>
    <w:link w:val="CommentTextChar"/>
    <w:uiPriority w:val="99"/>
    <w:unhideWhenUsed/>
    <w:rsid w:val="008519F6"/>
    <w:rPr>
      <w:lang w:val="en-US" w:eastAsia="en-US"/>
    </w:rPr>
  </w:style>
  <w:style w:type="character" w:customStyle="1" w:styleId="CommentTextChar">
    <w:name w:val="Comment Text Char"/>
    <w:basedOn w:val="DefaultParagraphFont"/>
    <w:link w:val="CommentText"/>
    <w:uiPriority w:val="99"/>
    <w:rsid w:val="008519F6"/>
    <w:rPr>
      <w:rFonts w:ascii="Arial" w:hAnsi="Arial"/>
      <w:lang w:val="en-US" w:eastAsia="en-US"/>
    </w:rPr>
  </w:style>
  <w:style w:type="paragraph" w:styleId="CommentSubject">
    <w:name w:val="annotation subject"/>
    <w:basedOn w:val="CommentText"/>
    <w:next w:val="CommentText"/>
    <w:link w:val="CommentSubjectChar"/>
    <w:uiPriority w:val="99"/>
    <w:unhideWhenUsed/>
    <w:rsid w:val="008519F6"/>
    <w:rPr>
      <w:b/>
      <w:bCs/>
    </w:rPr>
  </w:style>
  <w:style w:type="character" w:customStyle="1" w:styleId="CommentSubjectChar">
    <w:name w:val="Comment Subject Char"/>
    <w:basedOn w:val="CommentTextChar"/>
    <w:link w:val="CommentSubject"/>
    <w:uiPriority w:val="99"/>
    <w:rsid w:val="008519F6"/>
    <w:rPr>
      <w:rFonts w:ascii="Arial" w:hAnsi="Arial"/>
      <w:b/>
      <w:bCs/>
      <w:lang w:val="en-US" w:eastAsia="en-US"/>
    </w:rPr>
  </w:style>
  <w:style w:type="paragraph" w:styleId="Revision">
    <w:name w:val="Revision"/>
    <w:hidden/>
    <w:uiPriority w:val="99"/>
    <w:semiHidden/>
    <w:rsid w:val="008519F6"/>
    <w:rPr>
      <w:lang w:val="en-US" w:eastAsia="en-US"/>
    </w:rPr>
  </w:style>
  <w:style w:type="character" w:customStyle="1" w:styleId="BalloonTextChar">
    <w:name w:val="Balloon Text Char"/>
    <w:link w:val="BalloonText"/>
    <w:uiPriority w:val="99"/>
    <w:semiHidden/>
    <w:rsid w:val="008519F6"/>
    <w:rPr>
      <w:rFonts w:ascii="Tahoma" w:hAnsi="Tahoma" w:cs="Tahoma"/>
      <w:sz w:val="16"/>
      <w:szCs w:val="16"/>
    </w:rPr>
  </w:style>
  <w:style w:type="character" w:customStyle="1" w:styleId="EndnoteTextChar">
    <w:name w:val="Endnote Text Char"/>
    <w:link w:val="EndnoteText"/>
    <w:uiPriority w:val="99"/>
    <w:rsid w:val="008519F6"/>
    <w:rPr>
      <w:rFonts w:ascii="Arial" w:hAnsi="Arial"/>
    </w:rPr>
  </w:style>
  <w:style w:type="character" w:customStyle="1" w:styleId="Heading2Char">
    <w:name w:val="Heading 2 Char"/>
    <w:link w:val="Heading2"/>
    <w:rsid w:val="008519F6"/>
    <w:rPr>
      <w:rFonts w:ascii="Arial" w:hAnsi="Arial"/>
      <w:b/>
      <w:color w:val="333399"/>
      <w:sz w:val="28"/>
    </w:rPr>
  </w:style>
  <w:style w:type="character" w:customStyle="1" w:styleId="Heading1Char">
    <w:name w:val="Heading 1 Char"/>
    <w:link w:val="Heading1"/>
    <w:rsid w:val="008519F6"/>
    <w:rPr>
      <w:rFonts w:ascii="Arial" w:hAnsi="Arial"/>
      <w:b/>
      <w:color w:val="333399"/>
      <w:sz w:val="36"/>
    </w:rPr>
  </w:style>
  <w:style w:type="character" w:customStyle="1" w:styleId="Heading4Char">
    <w:name w:val="Heading 4 Char"/>
    <w:link w:val="Heading4"/>
    <w:rsid w:val="008519F6"/>
    <w:rPr>
      <w:rFonts w:ascii="Arial" w:hAnsi="Arial"/>
      <w:b/>
      <w:sz w:val="22"/>
    </w:rPr>
  </w:style>
  <w:style w:type="character" w:customStyle="1" w:styleId="Heading5Char">
    <w:name w:val="Heading 5 Char"/>
    <w:link w:val="Heading5"/>
    <w:rsid w:val="008519F6"/>
    <w:rPr>
      <w:rFonts w:ascii="Arial" w:hAnsi="Arial"/>
      <w:i/>
      <w:sz w:val="22"/>
    </w:rPr>
  </w:style>
  <w:style w:type="character" w:customStyle="1" w:styleId="Heading6Char">
    <w:name w:val="Heading 6 Char"/>
    <w:link w:val="Heading6"/>
    <w:rsid w:val="008519F6"/>
    <w:rPr>
      <w:rFonts w:eastAsia="Calibri"/>
      <w:b/>
      <w:bCs/>
      <w:sz w:val="22"/>
      <w:szCs w:val="22"/>
      <w:lang w:eastAsia="en-US"/>
    </w:rPr>
  </w:style>
  <w:style w:type="character" w:customStyle="1" w:styleId="Heading7Char">
    <w:name w:val="Heading 7 Char"/>
    <w:link w:val="Heading7"/>
    <w:rsid w:val="008519F6"/>
    <w:rPr>
      <w:rFonts w:eastAsia="Calibri"/>
      <w:sz w:val="24"/>
      <w:szCs w:val="24"/>
      <w:lang w:eastAsia="en-US"/>
    </w:rPr>
  </w:style>
  <w:style w:type="character" w:customStyle="1" w:styleId="Heading8Char">
    <w:name w:val="Heading 8 Char"/>
    <w:link w:val="Heading8"/>
    <w:rsid w:val="008519F6"/>
    <w:rPr>
      <w:rFonts w:eastAsia="Calibri"/>
      <w:i/>
      <w:iCs/>
      <w:sz w:val="24"/>
      <w:szCs w:val="24"/>
      <w:lang w:eastAsia="en-US"/>
    </w:rPr>
  </w:style>
  <w:style w:type="character" w:customStyle="1" w:styleId="Heading9Char">
    <w:name w:val="Heading 9 Char"/>
    <w:link w:val="Heading9"/>
    <w:rsid w:val="008519F6"/>
    <w:rPr>
      <w:rFonts w:ascii="Arial" w:eastAsia="Calibri" w:hAnsi="Arial" w:cs="Arial"/>
      <w:sz w:val="22"/>
      <w:szCs w:val="22"/>
      <w:lang w:eastAsia="en-US"/>
    </w:rPr>
  </w:style>
  <w:style w:type="paragraph" w:customStyle="1" w:styleId="NetworkFooter0">
    <w:name w:val="Network Footer"/>
    <w:basedOn w:val="FootnoteText"/>
    <w:link w:val="NetworkFooterChar"/>
    <w:qFormat/>
    <w:rsid w:val="008519F6"/>
    <w:rPr>
      <w:rFonts w:cs="Arial"/>
      <w:sz w:val="16"/>
      <w:szCs w:val="16"/>
      <w:lang w:val="en-US" w:eastAsia="en-US"/>
    </w:rPr>
  </w:style>
  <w:style w:type="paragraph" w:customStyle="1" w:styleId="Networkfooter">
    <w:name w:val="Network footer"/>
    <w:basedOn w:val="NetworkFooter0"/>
    <w:link w:val="NetworkfooterChar0"/>
    <w:qFormat/>
    <w:rsid w:val="008519F6"/>
    <w:rPr>
      <w:color w:val="595959"/>
    </w:rPr>
  </w:style>
  <w:style w:type="character" w:customStyle="1" w:styleId="NetworkFooterChar">
    <w:name w:val="Network Footer Char"/>
    <w:link w:val="NetworkFooter0"/>
    <w:rsid w:val="008519F6"/>
    <w:rPr>
      <w:rFonts w:ascii="Arial" w:hAnsi="Arial" w:cs="Arial"/>
      <w:sz w:val="16"/>
      <w:szCs w:val="16"/>
      <w:lang w:val="en-US" w:eastAsia="en-US"/>
    </w:rPr>
  </w:style>
  <w:style w:type="character" w:customStyle="1" w:styleId="NetworkfooterChar0">
    <w:name w:val="Network footer Char"/>
    <w:link w:val="Networkfooter"/>
    <w:rsid w:val="008519F6"/>
    <w:rPr>
      <w:rFonts w:ascii="Arial" w:hAnsi="Arial" w:cs="Arial"/>
      <w:color w:val="595959"/>
      <w:sz w:val="16"/>
      <w:szCs w:val="16"/>
      <w:lang w:val="en-US" w:eastAsia="en-US"/>
    </w:rPr>
  </w:style>
  <w:style w:type="paragraph" w:customStyle="1" w:styleId="Date2">
    <w:name w:val="Date2"/>
    <w:basedOn w:val="Normal"/>
    <w:rsid w:val="00662004"/>
    <w:pPr>
      <w:spacing w:before="100" w:beforeAutospacing="1" w:after="100" w:afterAutospacing="1" w:line="240" w:lineRule="auto"/>
      <w:jc w:val="left"/>
    </w:pPr>
    <w:rPr>
      <w:rFonts w:ascii="Times New Roman" w:eastAsia="Calibri" w:hAnsi="Times New Roman"/>
      <w:sz w:val="24"/>
      <w:szCs w:val="24"/>
    </w:rPr>
  </w:style>
  <w:style w:type="paragraph" w:customStyle="1" w:styleId="ms-rteelement-p1">
    <w:name w:val="ms-rteelement-p1"/>
    <w:basedOn w:val="Normal"/>
    <w:rsid w:val="00DA0C1D"/>
    <w:pPr>
      <w:spacing w:before="0" w:after="270" w:line="336" w:lineRule="atLeast"/>
      <w:jc w:val="left"/>
    </w:pPr>
    <w:rPr>
      <w:rFonts w:ascii="Times New Roman" w:hAnsi="Times New Roman"/>
      <w:color w:val="576170"/>
      <w:sz w:val="29"/>
      <w:szCs w:val="29"/>
    </w:rPr>
  </w:style>
  <w:style w:type="character" w:customStyle="1" w:styleId="category-electricity2">
    <w:name w:val="category-electricity2"/>
    <w:rsid w:val="00372EA0"/>
    <w:rPr>
      <w:b w:val="0"/>
      <w:bCs w:val="0"/>
      <w:vanish w:val="0"/>
      <w:webHidden w:val="0"/>
      <w:color w:val="E9B100"/>
      <w:specVanish w:val="0"/>
    </w:rPr>
  </w:style>
  <w:style w:type="paragraph" w:customStyle="1" w:styleId="Date3">
    <w:name w:val="Date3"/>
    <w:basedOn w:val="Normal"/>
    <w:rsid w:val="004D08B3"/>
    <w:pPr>
      <w:spacing w:before="100" w:beforeAutospacing="1" w:after="100" w:afterAutospacing="1" w:line="240" w:lineRule="auto"/>
      <w:jc w:val="left"/>
    </w:pPr>
    <w:rPr>
      <w:rFonts w:ascii="Times New Roman" w:eastAsia="Calibri" w:hAnsi="Times New Roman" w:cs="Calibri"/>
      <w:sz w:val="24"/>
      <w:szCs w:val="24"/>
    </w:rPr>
  </w:style>
  <w:style w:type="character" w:customStyle="1" w:styleId="Italic">
    <w:name w:val="Italic"/>
    <w:uiPriority w:val="8"/>
    <w:qFormat/>
    <w:rsid w:val="00FC1051"/>
    <w:rPr>
      <w:i/>
    </w:rPr>
  </w:style>
  <w:style w:type="paragraph" w:customStyle="1" w:styleId="IntroductionIndent">
    <w:name w:val="Introduction Indent"/>
    <w:basedOn w:val="Normal"/>
    <w:uiPriority w:val="4"/>
    <w:qFormat/>
    <w:rsid w:val="00FC1051"/>
    <w:pPr>
      <w:spacing w:line="264" w:lineRule="auto"/>
      <w:ind w:left="851"/>
    </w:pPr>
    <w:rPr>
      <w:rFonts w:ascii="Calibri" w:hAnsi="Calibri"/>
      <w:i/>
      <w:sz w:val="21"/>
      <w:lang w:eastAsia="en-US"/>
    </w:rPr>
  </w:style>
  <w:style w:type="paragraph" w:customStyle="1" w:styleId="Boxedtext">
    <w:name w:val="Boxed text"/>
    <w:basedOn w:val="Normal"/>
    <w:link w:val="BoxedtextChar"/>
    <w:qFormat/>
    <w:rsid w:val="00283099"/>
    <w:pPr>
      <w:pBdr>
        <w:top w:val="single" w:sz="4" w:space="4" w:color="auto"/>
        <w:left w:val="single" w:sz="4" w:space="4" w:color="auto"/>
        <w:bottom w:val="single" w:sz="4" w:space="4" w:color="auto"/>
        <w:right w:val="single" w:sz="4" w:space="4" w:color="auto"/>
      </w:pBdr>
      <w:spacing w:after="0" w:line="240" w:lineRule="auto"/>
      <w:contextualSpacing/>
      <w:jc w:val="left"/>
    </w:pPr>
    <w:rPr>
      <w:rFonts w:eastAsia="Calibri"/>
      <w:lang w:eastAsia="en-US"/>
    </w:rPr>
  </w:style>
  <w:style w:type="character" w:customStyle="1" w:styleId="BoxedtextChar">
    <w:name w:val="Boxed text Char"/>
    <w:link w:val="Boxedtext"/>
    <w:rsid w:val="00283099"/>
    <w:rPr>
      <w:rFonts w:ascii="Arial" w:eastAsia="Calibri" w:hAnsi="Arial"/>
      <w:lang w:eastAsia="en-US"/>
    </w:rPr>
  </w:style>
  <w:style w:type="character" w:customStyle="1" w:styleId="apple-converted-space">
    <w:name w:val="apple-converted-space"/>
    <w:rsid w:val="001769B5"/>
  </w:style>
  <w:style w:type="paragraph" w:customStyle="1" w:styleId="gmaildefault">
    <w:name w:val="gmail_default"/>
    <w:basedOn w:val="Normal"/>
    <w:rsid w:val="009665A2"/>
    <w:pPr>
      <w:spacing w:before="100" w:beforeAutospacing="1" w:after="100" w:afterAutospacing="1" w:line="240" w:lineRule="auto"/>
      <w:jc w:val="left"/>
    </w:pPr>
    <w:rPr>
      <w:rFonts w:ascii="Times New Roman" w:hAnsi="Times New Roman"/>
      <w:sz w:val="24"/>
      <w:szCs w:val="24"/>
      <w:lang w:val="it-IT" w:eastAsia="it-IT"/>
    </w:rPr>
  </w:style>
  <w:style w:type="paragraph" w:customStyle="1" w:styleId="Corpo">
    <w:name w:val="Corpo"/>
    <w:rsid w:val="009665A2"/>
    <w:pPr>
      <w:pBdr>
        <w:top w:val="nil"/>
        <w:left w:val="nil"/>
        <w:bottom w:val="nil"/>
        <w:right w:val="nil"/>
        <w:between w:val="nil"/>
        <w:bar w:val="nil"/>
      </w:pBdr>
    </w:pPr>
    <w:rPr>
      <w:rFonts w:ascii="Helvetica" w:eastAsia="Arial Unicode MS" w:hAnsi="Arial Unicode MS" w:cs="Arial Unicode MS"/>
      <w:color w:val="000000"/>
      <w:sz w:val="22"/>
      <w:szCs w:val="22"/>
      <w:bdr w:val="nil"/>
      <w:lang w:val="it-IT" w:eastAsia="it-IT"/>
    </w:rPr>
  </w:style>
  <w:style w:type="table" w:customStyle="1" w:styleId="StileLaura">
    <w:name w:val="Stile Laura"/>
    <w:basedOn w:val="TableNormal"/>
    <w:uiPriority w:val="99"/>
    <w:rsid w:val="000E1B05"/>
    <w:rPr>
      <w:rFonts w:ascii="Times" w:hAnsi="Times"/>
      <w:sz w:val="22"/>
      <w:szCs w:val="24"/>
      <w:lang w:val="it-IT" w:eastAsia="it-IT"/>
    </w:rPr>
    <w:tblPr>
      <w:tblStyleRowBandSize w:val="1"/>
    </w:tblPr>
    <w:tblStylePr w:type="firstRow">
      <w:rPr>
        <w:rFonts w:ascii="Times" w:hAnsi="Times"/>
        <w:b/>
        <w:color w:val="FFFFFF"/>
        <w:sz w:val="22"/>
      </w:rPr>
      <w:tblPr/>
      <w:tcPr>
        <w:shd w:val="clear" w:color="auto" w:fill="7B9DC6"/>
      </w:tcPr>
    </w:tblStylePr>
    <w:tblStylePr w:type="firstCol">
      <w:rPr>
        <w:b/>
      </w:rPr>
      <w:tblPr/>
      <w:tcPr>
        <w:shd w:val="clear" w:color="auto" w:fill="DADFE4"/>
      </w:tcPr>
    </w:tblStylePr>
    <w:tblStylePr w:type="band2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129">
      <w:bodyDiv w:val="1"/>
      <w:marLeft w:val="0"/>
      <w:marRight w:val="0"/>
      <w:marTop w:val="0"/>
      <w:marBottom w:val="0"/>
      <w:divBdr>
        <w:top w:val="none" w:sz="0" w:space="0" w:color="auto"/>
        <w:left w:val="none" w:sz="0" w:space="0" w:color="auto"/>
        <w:bottom w:val="none" w:sz="0" w:space="0" w:color="auto"/>
        <w:right w:val="none" w:sz="0" w:space="0" w:color="auto"/>
      </w:divBdr>
    </w:div>
    <w:div w:id="36123018">
      <w:bodyDiv w:val="1"/>
      <w:marLeft w:val="0"/>
      <w:marRight w:val="0"/>
      <w:marTop w:val="0"/>
      <w:marBottom w:val="0"/>
      <w:divBdr>
        <w:top w:val="none" w:sz="0" w:space="0" w:color="auto"/>
        <w:left w:val="none" w:sz="0" w:space="0" w:color="auto"/>
        <w:bottom w:val="none" w:sz="0" w:space="0" w:color="auto"/>
        <w:right w:val="none" w:sz="0" w:space="0" w:color="auto"/>
      </w:divBdr>
    </w:div>
    <w:div w:id="46731353">
      <w:bodyDiv w:val="1"/>
      <w:marLeft w:val="0"/>
      <w:marRight w:val="0"/>
      <w:marTop w:val="0"/>
      <w:marBottom w:val="0"/>
      <w:divBdr>
        <w:top w:val="none" w:sz="0" w:space="0" w:color="auto"/>
        <w:left w:val="none" w:sz="0" w:space="0" w:color="auto"/>
        <w:bottom w:val="none" w:sz="0" w:space="0" w:color="auto"/>
        <w:right w:val="none" w:sz="0" w:space="0" w:color="auto"/>
      </w:divBdr>
      <w:divsChild>
        <w:div w:id="1007170086">
          <w:marLeft w:val="0"/>
          <w:marRight w:val="0"/>
          <w:marTop w:val="0"/>
          <w:marBottom w:val="0"/>
          <w:divBdr>
            <w:top w:val="none" w:sz="0" w:space="0" w:color="auto"/>
            <w:left w:val="none" w:sz="0" w:space="0" w:color="auto"/>
            <w:bottom w:val="none" w:sz="0" w:space="0" w:color="auto"/>
            <w:right w:val="none" w:sz="0" w:space="0" w:color="auto"/>
          </w:divBdr>
          <w:divsChild>
            <w:div w:id="767392158">
              <w:marLeft w:val="0"/>
              <w:marRight w:val="0"/>
              <w:marTop w:val="0"/>
              <w:marBottom w:val="0"/>
              <w:divBdr>
                <w:top w:val="none" w:sz="0" w:space="0" w:color="auto"/>
                <w:left w:val="none" w:sz="0" w:space="0" w:color="auto"/>
                <w:bottom w:val="none" w:sz="0" w:space="0" w:color="auto"/>
                <w:right w:val="none" w:sz="0" w:space="0" w:color="auto"/>
              </w:divBdr>
              <w:divsChild>
                <w:div w:id="663362079">
                  <w:marLeft w:val="0"/>
                  <w:marRight w:val="0"/>
                  <w:marTop w:val="0"/>
                  <w:marBottom w:val="0"/>
                  <w:divBdr>
                    <w:top w:val="none" w:sz="0" w:space="0" w:color="auto"/>
                    <w:left w:val="none" w:sz="0" w:space="0" w:color="auto"/>
                    <w:bottom w:val="none" w:sz="0" w:space="0" w:color="auto"/>
                    <w:right w:val="none" w:sz="0" w:space="0" w:color="auto"/>
                  </w:divBdr>
                  <w:divsChild>
                    <w:div w:id="1361513610">
                      <w:marLeft w:val="0"/>
                      <w:marRight w:val="0"/>
                      <w:marTop w:val="0"/>
                      <w:marBottom w:val="0"/>
                      <w:divBdr>
                        <w:top w:val="none" w:sz="0" w:space="0" w:color="auto"/>
                        <w:left w:val="none" w:sz="0" w:space="0" w:color="auto"/>
                        <w:bottom w:val="none" w:sz="0" w:space="0" w:color="auto"/>
                        <w:right w:val="none" w:sz="0" w:space="0" w:color="auto"/>
                      </w:divBdr>
                      <w:divsChild>
                        <w:div w:id="1799299136">
                          <w:marLeft w:val="0"/>
                          <w:marRight w:val="0"/>
                          <w:marTop w:val="0"/>
                          <w:marBottom w:val="0"/>
                          <w:divBdr>
                            <w:top w:val="none" w:sz="0" w:space="0" w:color="auto"/>
                            <w:left w:val="none" w:sz="0" w:space="0" w:color="auto"/>
                            <w:bottom w:val="none" w:sz="0" w:space="0" w:color="auto"/>
                            <w:right w:val="none" w:sz="0" w:space="0" w:color="auto"/>
                          </w:divBdr>
                          <w:divsChild>
                            <w:div w:id="345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0226">
      <w:bodyDiv w:val="1"/>
      <w:marLeft w:val="0"/>
      <w:marRight w:val="0"/>
      <w:marTop w:val="0"/>
      <w:marBottom w:val="0"/>
      <w:divBdr>
        <w:top w:val="none" w:sz="0" w:space="0" w:color="auto"/>
        <w:left w:val="none" w:sz="0" w:space="0" w:color="auto"/>
        <w:bottom w:val="none" w:sz="0" w:space="0" w:color="auto"/>
        <w:right w:val="none" w:sz="0" w:space="0" w:color="auto"/>
      </w:divBdr>
      <w:divsChild>
        <w:div w:id="1487355595">
          <w:marLeft w:val="0"/>
          <w:marRight w:val="0"/>
          <w:marTop w:val="0"/>
          <w:marBottom w:val="0"/>
          <w:divBdr>
            <w:top w:val="none" w:sz="0" w:space="0" w:color="auto"/>
            <w:left w:val="none" w:sz="0" w:space="0" w:color="auto"/>
            <w:bottom w:val="none" w:sz="0" w:space="0" w:color="auto"/>
            <w:right w:val="none" w:sz="0" w:space="0" w:color="auto"/>
          </w:divBdr>
          <w:divsChild>
            <w:div w:id="1939831849">
              <w:marLeft w:val="0"/>
              <w:marRight w:val="0"/>
              <w:marTop w:val="0"/>
              <w:marBottom w:val="0"/>
              <w:divBdr>
                <w:top w:val="none" w:sz="0" w:space="0" w:color="auto"/>
                <w:left w:val="none" w:sz="0" w:space="0" w:color="auto"/>
                <w:bottom w:val="none" w:sz="0" w:space="0" w:color="auto"/>
                <w:right w:val="none" w:sz="0" w:space="0" w:color="auto"/>
              </w:divBdr>
              <w:divsChild>
                <w:div w:id="1497842666">
                  <w:marLeft w:val="0"/>
                  <w:marRight w:val="0"/>
                  <w:marTop w:val="0"/>
                  <w:marBottom w:val="0"/>
                  <w:divBdr>
                    <w:top w:val="none" w:sz="0" w:space="0" w:color="auto"/>
                    <w:left w:val="none" w:sz="0" w:space="0" w:color="auto"/>
                    <w:bottom w:val="none" w:sz="0" w:space="0" w:color="auto"/>
                    <w:right w:val="none" w:sz="0" w:space="0" w:color="auto"/>
                  </w:divBdr>
                  <w:divsChild>
                    <w:div w:id="1057047506">
                      <w:marLeft w:val="0"/>
                      <w:marRight w:val="0"/>
                      <w:marTop w:val="0"/>
                      <w:marBottom w:val="0"/>
                      <w:divBdr>
                        <w:top w:val="none" w:sz="0" w:space="0" w:color="auto"/>
                        <w:left w:val="none" w:sz="0" w:space="0" w:color="auto"/>
                        <w:bottom w:val="none" w:sz="0" w:space="0" w:color="auto"/>
                        <w:right w:val="none" w:sz="0" w:space="0" w:color="auto"/>
                      </w:divBdr>
                      <w:divsChild>
                        <w:div w:id="1622154067">
                          <w:marLeft w:val="0"/>
                          <w:marRight w:val="0"/>
                          <w:marTop w:val="0"/>
                          <w:marBottom w:val="0"/>
                          <w:divBdr>
                            <w:top w:val="none" w:sz="0" w:space="0" w:color="auto"/>
                            <w:left w:val="none" w:sz="0" w:space="0" w:color="auto"/>
                            <w:bottom w:val="none" w:sz="0" w:space="0" w:color="auto"/>
                            <w:right w:val="none" w:sz="0" w:space="0" w:color="auto"/>
                          </w:divBdr>
                          <w:divsChild>
                            <w:div w:id="9046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12881">
      <w:bodyDiv w:val="1"/>
      <w:marLeft w:val="0"/>
      <w:marRight w:val="0"/>
      <w:marTop w:val="0"/>
      <w:marBottom w:val="0"/>
      <w:divBdr>
        <w:top w:val="none" w:sz="0" w:space="0" w:color="auto"/>
        <w:left w:val="none" w:sz="0" w:space="0" w:color="auto"/>
        <w:bottom w:val="none" w:sz="0" w:space="0" w:color="auto"/>
        <w:right w:val="none" w:sz="0" w:space="0" w:color="auto"/>
      </w:divBdr>
    </w:div>
    <w:div w:id="95443736">
      <w:bodyDiv w:val="1"/>
      <w:marLeft w:val="0"/>
      <w:marRight w:val="0"/>
      <w:marTop w:val="0"/>
      <w:marBottom w:val="0"/>
      <w:divBdr>
        <w:top w:val="none" w:sz="0" w:space="0" w:color="auto"/>
        <w:left w:val="none" w:sz="0" w:space="0" w:color="auto"/>
        <w:bottom w:val="none" w:sz="0" w:space="0" w:color="auto"/>
        <w:right w:val="none" w:sz="0" w:space="0" w:color="auto"/>
      </w:divBdr>
    </w:div>
    <w:div w:id="96142412">
      <w:bodyDiv w:val="1"/>
      <w:marLeft w:val="0"/>
      <w:marRight w:val="0"/>
      <w:marTop w:val="0"/>
      <w:marBottom w:val="0"/>
      <w:divBdr>
        <w:top w:val="none" w:sz="0" w:space="0" w:color="auto"/>
        <w:left w:val="none" w:sz="0" w:space="0" w:color="auto"/>
        <w:bottom w:val="none" w:sz="0" w:space="0" w:color="auto"/>
        <w:right w:val="none" w:sz="0" w:space="0" w:color="auto"/>
      </w:divBdr>
      <w:divsChild>
        <w:div w:id="93062548">
          <w:marLeft w:val="0"/>
          <w:marRight w:val="0"/>
          <w:marTop w:val="0"/>
          <w:marBottom w:val="0"/>
          <w:divBdr>
            <w:top w:val="none" w:sz="0" w:space="0" w:color="auto"/>
            <w:left w:val="none" w:sz="0" w:space="0" w:color="auto"/>
            <w:bottom w:val="none" w:sz="0" w:space="0" w:color="auto"/>
            <w:right w:val="none" w:sz="0" w:space="0" w:color="auto"/>
          </w:divBdr>
          <w:divsChild>
            <w:div w:id="1659923287">
              <w:marLeft w:val="0"/>
              <w:marRight w:val="0"/>
              <w:marTop w:val="0"/>
              <w:marBottom w:val="0"/>
              <w:divBdr>
                <w:top w:val="none" w:sz="0" w:space="0" w:color="auto"/>
                <w:left w:val="none" w:sz="0" w:space="0" w:color="auto"/>
                <w:bottom w:val="none" w:sz="0" w:space="0" w:color="auto"/>
                <w:right w:val="none" w:sz="0" w:space="0" w:color="auto"/>
              </w:divBdr>
              <w:divsChild>
                <w:div w:id="1139878751">
                  <w:marLeft w:val="0"/>
                  <w:marRight w:val="0"/>
                  <w:marTop w:val="0"/>
                  <w:marBottom w:val="0"/>
                  <w:divBdr>
                    <w:top w:val="none" w:sz="0" w:space="0" w:color="auto"/>
                    <w:left w:val="none" w:sz="0" w:space="0" w:color="auto"/>
                    <w:bottom w:val="none" w:sz="0" w:space="0" w:color="auto"/>
                    <w:right w:val="none" w:sz="0" w:space="0" w:color="auto"/>
                  </w:divBdr>
                  <w:divsChild>
                    <w:div w:id="859047655">
                      <w:marLeft w:val="0"/>
                      <w:marRight w:val="0"/>
                      <w:marTop w:val="0"/>
                      <w:marBottom w:val="0"/>
                      <w:divBdr>
                        <w:top w:val="single" w:sz="6" w:space="10" w:color="DAE2EA"/>
                        <w:left w:val="none" w:sz="0" w:space="0" w:color="auto"/>
                        <w:bottom w:val="none" w:sz="0" w:space="0" w:color="auto"/>
                        <w:right w:val="none" w:sz="0" w:space="0" w:color="auto"/>
                      </w:divBdr>
                    </w:div>
                  </w:divsChild>
                </w:div>
              </w:divsChild>
            </w:div>
          </w:divsChild>
        </w:div>
      </w:divsChild>
    </w:div>
    <w:div w:id="112479099">
      <w:bodyDiv w:val="1"/>
      <w:marLeft w:val="0"/>
      <w:marRight w:val="0"/>
      <w:marTop w:val="0"/>
      <w:marBottom w:val="0"/>
      <w:divBdr>
        <w:top w:val="none" w:sz="0" w:space="0" w:color="auto"/>
        <w:left w:val="none" w:sz="0" w:space="0" w:color="auto"/>
        <w:bottom w:val="none" w:sz="0" w:space="0" w:color="auto"/>
        <w:right w:val="none" w:sz="0" w:space="0" w:color="auto"/>
      </w:divBdr>
    </w:div>
    <w:div w:id="122773321">
      <w:bodyDiv w:val="1"/>
      <w:marLeft w:val="0"/>
      <w:marRight w:val="0"/>
      <w:marTop w:val="0"/>
      <w:marBottom w:val="0"/>
      <w:divBdr>
        <w:top w:val="none" w:sz="0" w:space="0" w:color="auto"/>
        <w:left w:val="none" w:sz="0" w:space="0" w:color="auto"/>
        <w:bottom w:val="none" w:sz="0" w:space="0" w:color="auto"/>
        <w:right w:val="none" w:sz="0" w:space="0" w:color="auto"/>
      </w:divBdr>
      <w:divsChild>
        <w:div w:id="1026756289">
          <w:marLeft w:val="0"/>
          <w:marRight w:val="0"/>
          <w:marTop w:val="0"/>
          <w:marBottom w:val="0"/>
          <w:divBdr>
            <w:top w:val="none" w:sz="0" w:space="0" w:color="auto"/>
            <w:left w:val="none" w:sz="0" w:space="0" w:color="auto"/>
            <w:bottom w:val="none" w:sz="0" w:space="0" w:color="auto"/>
            <w:right w:val="none" w:sz="0" w:space="0" w:color="auto"/>
          </w:divBdr>
          <w:divsChild>
            <w:div w:id="178396924">
              <w:marLeft w:val="0"/>
              <w:marRight w:val="0"/>
              <w:marTop w:val="0"/>
              <w:marBottom w:val="0"/>
              <w:divBdr>
                <w:top w:val="none" w:sz="0" w:space="0" w:color="auto"/>
                <w:left w:val="none" w:sz="0" w:space="0" w:color="auto"/>
                <w:bottom w:val="none" w:sz="0" w:space="0" w:color="auto"/>
                <w:right w:val="none" w:sz="0" w:space="0" w:color="auto"/>
              </w:divBdr>
              <w:divsChild>
                <w:div w:id="6691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679">
      <w:bodyDiv w:val="1"/>
      <w:marLeft w:val="0"/>
      <w:marRight w:val="0"/>
      <w:marTop w:val="0"/>
      <w:marBottom w:val="0"/>
      <w:divBdr>
        <w:top w:val="none" w:sz="0" w:space="0" w:color="auto"/>
        <w:left w:val="none" w:sz="0" w:space="0" w:color="auto"/>
        <w:bottom w:val="none" w:sz="0" w:space="0" w:color="auto"/>
        <w:right w:val="none" w:sz="0" w:space="0" w:color="auto"/>
      </w:divBdr>
      <w:divsChild>
        <w:div w:id="1960800554">
          <w:marLeft w:val="0"/>
          <w:marRight w:val="0"/>
          <w:marTop w:val="0"/>
          <w:marBottom w:val="0"/>
          <w:divBdr>
            <w:top w:val="none" w:sz="0" w:space="0" w:color="auto"/>
            <w:left w:val="none" w:sz="0" w:space="0" w:color="auto"/>
            <w:bottom w:val="none" w:sz="0" w:space="0" w:color="auto"/>
            <w:right w:val="none" w:sz="0" w:space="0" w:color="auto"/>
          </w:divBdr>
          <w:divsChild>
            <w:div w:id="34275768">
              <w:marLeft w:val="0"/>
              <w:marRight w:val="0"/>
              <w:marTop w:val="0"/>
              <w:marBottom w:val="0"/>
              <w:divBdr>
                <w:top w:val="none" w:sz="0" w:space="0" w:color="auto"/>
                <w:left w:val="none" w:sz="0" w:space="0" w:color="auto"/>
                <w:bottom w:val="none" w:sz="0" w:space="0" w:color="auto"/>
                <w:right w:val="none" w:sz="0" w:space="0" w:color="auto"/>
              </w:divBdr>
              <w:divsChild>
                <w:div w:id="1260720176">
                  <w:marLeft w:val="0"/>
                  <w:marRight w:val="0"/>
                  <w:marTop w:val="0"/>
                  <w:marBottom w:val="0"/>
                  <w:divBdr>
                    <w:top w:val="none" w:sz="0" w:space="0" w:color="auto"/>
                    <w:left w:val="none" w:sz="0" w:space="0" w:color="auto"/>
                    <w:bottom w:val="none" w:sz="0" w:space="0" w:color="auto"/>
                    <w:right w:val="none" w:sz="0" w:space="0" w:color="auto"/>
                  </w:divBdr>
                  <w:divsChild>
                    <w:div w:id="1698041048">
                      <w:marLeft w:val="0"/>
                      <w:marRight w:val="0"/>
                      <w:marTop w:val="0"/>
                      <w:marBottom w:val="0"/>
                      <w:divBdr>
                        <w:top w:val="none" w:sz="0" w:space="0" w:color="auto"/>
                        <w:left w:val="none" w:sz="0" w:space="0" w:color="auto"/>
                        <w:bottom w:val="none" w:sz="0" w:space="0" w:color="auto"/>
                        <w:right w:val="none" w:sz="0" w:space="0" w:color="auto"/>
                      </w:divBdr>
                      <w:divsChild>
                        <w:div w:id="933636528">
                          <w:marLeft w:val="0"/>
                          <w:marRight w:val="0"/>
                          <w:marTop w:val="0"/>
                          <w:marBottom w:val="0"/>
                          <w:divBdr>
                            <w:top w:val="none" w:sz="0" w:space="0" w:color="auto"/>
                            <w:left w:val="none" w:sz="0" w:space="0" w:color="auto"/>
                            <w:bottom w:val="none" w:sz="0" w:space="0" w:color="auto"/>
                            <w:right w:val="none" w:sz="0" w:space="0" w:color="auto"/>
                          </w:divBdr>
                          <w:divsChild>
                            <w:div w:id="3738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93077">
      <w:bodyDiv w:val="1"/>
      <w:marLeft w:val="0"/>
      <w:marRight w:val="0"/>
      <w:marTop w:val="0"/>
      <w:marBottom w:val="0"/>
      <w:divBdr>
        <w:top w:val="none" w:sz="0" w:space="0" w:color="auto"/>
        <w:left w:val="none" w:sz="0" w:space="0" w:color="auto"/>
        <w:bottom w:val="none" w:sz="0" w:space="0" w:color="auto"/>
        <w:right w:val="none" w:sz="0" w:space="0" w:color="auto"/>
      </w:divBdr>
    </w:div>
    <w:div w:id="219445465">
      <w:bodyDiv w:val="1"/>
      <w:marLeft w:val="0"/>
      <w:marRight w:val="0"/>
      <w:marTop w:val="0"/>
      <w:marBottom w:val="0"/>
      <w:divBdr>
        <w:top w:val="none" w:sz="0" w:space="0" w:color="auto"/>
        <w:left w:val="none" w:sz="0" w:space="0" w:color="auto"/>
        <w:bottom w:val="none" w:sz="0" w:space="0" w:color="auto"/>
        <w:right w:val="none" w:sz="0" w:space="0" w:color="auto"/>
      </w:divBdr>
    </w:div>
    <w:div w:id="266081236">
      <w:bodyDiv w:val="1"/>
      <w:marLeft w:val="0"/>
      <w:marRight w:val="0"/>
      <w:marTop w:val="0"/>
      <w:marBottom w:val="0"/>
      <w:divBdr>
        <w:top w:val="none" w:sz="0" w:space="0" w:color="auto"/>
        <w:left w:val="none" w:sz="0" w:space="0" w:color="auto"/>
        <w:bottom w:val="none" w:sz="0" w:space="0" w:color="auto"/>
        <w:right w:val="none" w:sz="0" w:space="0" w:color="auto"/>
      </w:divBdr>
    </w:div>
    <w:div w:id="268122104">
      <w:bodyDiv w:val="1"/>
      <w:marLeft w:val="0"/>
      <w:marRight w:val="0"/>
      <w:marTop w:val="0"/>
      <w:marBottom w:val="0"/>
      <w:divBdr>
        <w:top w:val="none" w:sz="0" w:space="0" w:color="auto"/>
        <w:left w:val="none" w:sz="0" w:space="0" w:color="auto"/>
        <w:bottom w:val="none" w:sz="0" w:space="0" w:color="auto"/>
        <w:right w:val="none" w:sz="0" w:space="0" w:color="auto"/>
      </w:divBdr>
    </w:div>
    <w:div w:id="331296874">
      <w:bodyDiv w:val="1"/>
      <w:marLeft w:val="0"/>
      <w:marRight w:val="0"/>
      <w:marTop w:val="0"/>
      <w:marBottom w:val="0"/>
      <w:divBdr>
        <w:top w:val="none" w:sz="0" w:space="0" w:color="auto"/>
        <w:left w:val="none" w:sz="0" w:space="0" w:color="auto"/>
        <w:bottom w:val="none" w:sz="0" w:space="0" w:color="auto"/>
        <w:right w:val="none" w:sz="0" w:space="0" w:color="auto"/>
      </w:divBdr>
      <w:divsChild>
        <w:div w:id="2020235401">
          <w:marLeft w:val="0"/>
          <w:marRight w:val="0"/>
          <w:marTop w:val="0"/>
          <w:marBottom w:val="0"/>
          <w:divBdr>
            <w:top w:val="none" w:sz="0" w:space="0" w:color="auto"/>
            <w:left w:val="none" w:sz="0" w:space="0" w:color="auto"/>
            <w:bottom w:val="none" w:sz="0" w:space="0" w:color="auto"/>
            <w:right w:val="none" w:sz="0" w:space="0" w:color="auto"/>
          </w:divBdr>
          <w:divsChild>
            <w:div w:id="2048020435">
              <w:marLeft w:val="0"/>
              <w:marRight w:val="0"/>
              <w:marTop w:val="0"/>
              <w:marBottom w:val="0"/>
              <w:divBdr>
                <w:top w:val="none" w:sz="0" w:space="0" w:color="auto"/>
                <w:left w:val="none" w:sz="0" w:space="0" w:color="auto"/>
                <w:bottom w:val="none" w:sz="0" w:space="0" w:color="auto"/>
                <w:right w:val="none" w:sz="0" w:space="0" w:color="auto"/>
              </w:divBdr>
              <w:divsChild>
                <w:div w:id="301733819">
                  <w:marLeft w:val="0"/>
                  <w:marRight w:val="0"/>
                  <w:marTop w:val="0"/>
                  <w:marBottom w:val="0"/>
                  <w:divBdr>
                    <w:top w:val="none" w:sz="0" w:space="0" w:color="auto"/>
                    <w:left w:val="none" w:sz="0" w:space="0" w:color="auto"/>
                    <w:bottom w:val="none" w:sz="0" w:space="0" w:color="auto"/>
                    <w:right w:val="none" w:sz="0" w:space="0" w:color="auto"/>
                  </w:divBdr>
                  <w:divsChild>
                    <w:div w:id="1689913715">
                      <w:marLeft w:val="0"/>
                      <w:marRight w:val="0"/>
                      <w:marTop w:val="0"/>
                      <w:marBottom w:val="0"/>
                      <w:divBdr>
                        <w:top w:val="none" w:sz="0" w:space="0" w:color="auto"/>
                        <w:left w:val="none" w:sz="0" w:space="0" w:color="auto"/>
                        <w:bottom w:val="none" w:sz="0" w:space="0" w:color="auto"/>
                        <w:right w:val="none" w:sz="0" w:space="0" w:color="auto"/>
                      </w:divBdr>
                      <w:divsChild>
                        <w:div w:id="1403987806">
                          <w:marLeft w:val="0"/>
                          <w:marRight w:val="0"/>
                          <w:marTop w:val="0"/>
                          <w:marBottom w:val="0"/>
                          <w:divBdr>
                            <w:top w:val="none" w:sz="0" w:space="0" w:color="auto"/>
                            <w:left w:val="none" w:sz="0" w:space="0" w:color="auto"/>
                            <w:bottom w:val="none" w:sz="0" w:space="0" w:color="auto"/>
                            <w:right w:val="none" w:sz="0" w:space="0" w:color="auto"/>
                          </w:divBdr>
                          <w:divsChild>
                            <w:div w:id="1417705279">
                              <w:marLeft w:val="0"/>
                              <w:marRight w:val="0"/>
                              <w:marTop w:val="0"/>
                              <w:marBottom w:val="0"/>
                              <w:divBdr>
                                <w:top w:val="none" w:sz="0" w:space="0" w:color="auto"/>
                                <w:left w:val="none" w:sz="0" w:space="0" w:color="auto"/>
                                <w:bottom w:val="none" w:sz="0" w:space="0" w:color="auto"/>
                                <w:right w:val="none" w:sz="0" w:space="0" w:color="auto"/>
                              </w:divBdr>
                              <w:divsChild>
                                <w:div w:id="927352495">
                                  <w:marLeft w:val="4155"/>
                                  <w:marRight w:val="225"/>
                                  <w:marTop w:val="450"/>
                                  <w:marBottom w:val="750"/>
                                  <w:divBdr>
                                    <w:top w:val="none" w:sz="0" w:space="0" w:color="auto"/>
                                    <w:left w:val="none" w:sz="0" w:space="0" w:color="auto"/>
                                    <w:bottom w:val="none" w:sz="0" w:space="0" w:color="auto"/>
                                    <w:right w:val="none" w:sz="0" w:space="0" w:color="auto"/>
                                  </w:divBdr>
                                  <w:divsChild>
                                    <w:div w:id="1644777933">
                                      <w:marLeft w:val="0"/>
                                      <w:marRight w:val="0"/>
                                      <w:marTop w:val="0"/>
                                      <w:marBottom w:val="0"/>
                                      <w:divBdr>
                                        <w:top w:val="none" w:sz="0" w:space="0" w:color="auto"/>
                                        <w:left w:val="none" w:sz="0" w:space="0" w:color="auto"/>
                                        <w:bottom w:val="none" w:sz="0" w:space="0" w:color="auto"/>
                                        <w:right w:val="none" w:sz="0" w:space="0" w:color="auto"/>
                                      </w:divBdr>
                                      <w:divsChild>
                                        <w:div w:id="1258101195">
                                          <w:marLeft w:val="0"/>
                                          <w:marRight w:val="0"/>
                                          <w:marTop w:val="0"/>
                                          <w:marBottom w:val="0"/>
                                          <w:divBdr>
                                            <w:top w:val="none" w:sz="0" w:space="0" w:color="auto"/>
                                            <w:left w:val="none" w:sz="0" w:space="0" w:color="auto"/>
                                            <w:bottom w:val="none" w:sz="0" w:space="0" w:color="auto"/>
                                            <w:right w:val="none" w:sz="0" w:space="0" w:color="auto"/>
                                          </w:divBdr>
                                          <w:divsChild>
                                            <w:div w:id="1375616849">
                                              <w:marLeft w:val="0"/>
                                              <w:marRight w:val="0"/>
                                              <w:marTop w:val="0"/>
                                              <w:marBottom w:val="0"/>
                                              <w:divBdr>
                                                <w:top w:val="none" w:sz="0" w:space="0" w:color="auto"/>
                                                <w:left w:val="none" w:sz="0" w:space="0" w:color="auto"/>
                                                <w:bottom w:val="none" w:sz="0" w:space="0" w:color="auto"/>
                                                <w:right w:val="none" w:sz="0" w:space="0" w:color="auto"/>
                                              </w:divBdr>
                                              <w:divsChild>
                                                <w:div w:id="441460981">
                                                  <w:marLeft w:val="0"/>
                                                  <w:marRight w:val="0"/>
                                                  <w:marTop w:val="0"/>
                                                  <w:marBottom w:val="0"/>
                                                  <w:divBdr>
                                                    <w:top w:val="none" w:sz="0" w:space="0" w:color="auto"/>
                                                    <w:left w:val="none" w:sz="0" w:space="0" w:color="auto"/>
                                                    <w:bottom w:val="none" w:sz="0" w:space="0" w:color="auto"/>
                                                    <w:right w:val="none" w:sz="0" w:space="0" w:color="auto"/>
                                                  </w:divBdr>
                                                  <w:divsChild>
                                                    <w:div w:id="1086921000">
                                                      <w:marLeft w:val="0"/>
                                                      <w:marRight w:val="0"/>
                                                      <w:marTop w:val="0"/>
                                                      <w:marBottom w:val="0"/>
                                                      <w:divBdr>
                                                        <w:top w:val="none" w:sz="0" w:space="0" w:color="auto"/>
                                                        <w:left w:val="none" w:sz="0" w:space="0" w:color="auto"/>
                                                        <w:bottom w:val="none" w:sz="0" w:space="0" w:color="auto"/>
                                                        <w:right w:val="none" w:sz="0" w:space="0" w:color="auto"/>
                                                      </w:divBdr>
                                                      <w:divsChild>
                                                        <w:div w:id="341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664018">
      <w:bodyDiv w:val="1"/>
      <w:marLeft w:val="0"/>
      <w:marRight w:val="0"/>
      <w:marTop w:val="0"/>
      <w:marBottom w:val="0"/>
      <w:divBdr>
        <w:top w:val="none" w:sz="0" w:space="0" w:color="auto"/>
        <w:left w:val="none" w:sz="0" w:space="0" w:color="auto"/>
        <w:bottom w:val="none" w:sz="0" w:space="0" w:color="auto"/>
        <w:right w:val="none" w:sz="0" w:space="0" w:color="auto"/>
      </w:divBdr>
    </w:div>
    <w:div w:id="382293946">
      <w:bodyDiv w:val="1"/>
      <w:marLeft w:val="0"/>
      <w:marRight w:val="0"/>
      <w:marTop w:val="0"/>
      <w:marBottom w:val="0"/>
      <w:divBdr>
        <w:top w:val="none" w:sz="0" w:space="0" w:color="auto"/>
        <w:left w:val="none" w:sz="0" w:space="0" w:color="auto"/>
        <w:bottom w:val="none" w:sz="0" w:space="0" w:color="auto"/>
        <w:right w:val="none" w:sz="0" w:space="0" w:color="auto"/>
      </w:divBdr>
      <w:divsChild>
        <w:div w:id="1857303309">
          <w:marLeft w:val="0"/>
          <w:marRight w:val="0"/>
          <w:marTop w:val="0"/>
          <w:marBottom w:val="0"/>
          <w:divBdr>
            <w:top w:val="none" w:sz="0" w:space="0" w:color="auto"/>
            <w:left w:val="none" w:sz="0" w:space="0" w:color="auto"/>
            <w:bottom w:val="none" w:sz="0" w:space="0" w:color="auto"/>
            <w:right w:val="none" w:sz="0" w:space="0" w:color="auto"/>
          </w:divBdr>
          <w:divsChild>
            <w:div w:id="1681353471">
              <w:marLeft w:val="0"/>
              <w:marRight w:val="0"/>
              <w:marTop w:val="0"/>
              <w:marBottom w:val="0"/>
              <w:divBdr>
                <w:top w:val="none" w:sz="0" w:space="0" w:color="auto"/>
                <w:left w:val="none" w:sz="0" w:space="0" w:color="auto"/>
                <w:bottom w:val="none" w:sz="0" w:space="0" w:color="auto"/>
                <w:right w:val="none" w:sz="0" w:space="0" w:color="auto"/>
              </w:divBdr>
              <w:divsChild>
                <w:div w:id="1942637446">
                  <w:marLeft w:val="0"/>
                  <w:marRight w:val="0"/>
                  <w:marTop w:val="0"/>
                  <w:marBottom w:val="0"/>
                  <w:divBdr>
                    <w:top w:val="none" w:sz="0" w:space="0" w:color="auto"/>
                    <w:left w:val="none" w:sz="0" w:space="0" w:color="auto"/>
                    <w:bottom w:val="none" w:sz="0" w:space="0" w:color="auto"/>
                    <w:right w:val="none" w:sz="0" w:space="0" w:color="auto"/>
                  </w:divBdr>
                  <w:divsChild>
                    <w:div w:id="935675421">
                      <w:marLeft w:val="0"/>
                      <w:marRight w:val="0"/>
                      <w:marTop w:val="0"/>
                      <w:marBottom w:val="0"/>
                      <w:divBdr>
                        <w:top w:val="single" w:sz="6" w:space="0" w:color="DCD9D9"/>
                        <w:left w:val="single" w:sz="6" w:space="0" w:color="DCD9D9"/>
                        <w:bottom w:val="single" w:sz="2" w:space="0" w:color="DCD9D9"/>
                        <w:right w:val="single" w:sz="6" w:space="0" w:color="DCD9D9"/>
                      </w:divBdr>
                      <w:divsChild>
                        <w:div w:id="1186140209">
                          <w:marLeft w:val="0"/>
                          <w:marRight w:val="-100"/>
                          <w:marTop w:val="450"/>
                          <w:marBottom w:val="0"/>
                          <w:divBdr>
                            <w:top w:val="none" w:sz="0" w:space="0" w:color="auto"/>
                            <w:left w:val="none" w:sz="0" w:space="0" w:color="auto"/>
                            <w:bottom w:val="none" w:sz="0" w:space="0" w:color="auto"/>
                            <w:right w:val="none" w:sz="0" w:space="0" w:color="auto"/>
                          </w:divBdr>
                          <w:divsChild>
                            <w:div w:id="443043964">
                              <w:marLeft w:val="0"/>
                              <w:marRight w:val="0"/>
                              <w:marTop w:val="0"/>
                              <w:marBottom w:val="0"/>
                              <w:divBdr>
                                <w:top w:val="none" w:sz="0" w:space="0" w:color="auto"/>
                                <w:left w:val="none" w:sz="0" w:space="0" w:color="auto"/>
                                <w:bottom w:val="none" w:sz="0" w:space="0" w:color="auto"/>
                                <w:right w:val="none" w:sz="0" w:space="0" w:color="auto"/>
                              </w:divBdr>
                              <w:divsChild>
                                <w:div w:id="592931635">
                                  <w:marLeft w:val="0"/>
                                  <w:marRight w:val="0"/>
                                  <w:marTop w:val="0"/>
                                  <w:marBottom w:val="0"/>
                                  <w:divBdr>
                                    <w:top w:val="none" w:sz="0" w:space="0" w:color="auto"/>
                                    <w:left w:val="none" w:sz="0" w:space="0" w:color="auto"/>
                                    <w:bottom w:val="none" w:sz="0" w:space="0" w:color="auto"/>
                                    <w:right w:val="none" w:sz="0" w:space="0" w:color="auto"/>
                                  </w:divBdr>
                                  <w:divsChild>
                                    <w:div w:id="1888836302">
                                      <w:marLeft w:val="0"/>
                                      <w:marRight w:val="0"/>
                                      <w:marTop w:val="0"/>
                                      <w:marBottom w:val="0"/>
                                      <w:divBdr>
                                        <w:top w:val="none" w:sz="0" w:space="0" w:color="auto"/>
                                        <w:left w:val="none" w:sz="0" w:space="0" w:color="auto"/>
                                        <w:bottom w:val="none" w:sz="0" w:space="0" w:color="auto"/>
                                        <w:right w:val="none" w:sz="0" w:space="0" w:color="auto"/>
                                      </w:divBdr>
                                      <w:divsChild>
                                        <w:div w:id="2029090260">
                                          <w:marLeft w:val="0"/>
                                          <w:marRight w:val="0"/>
                                          <w:marTop w:val="0"/>
                                          <w:marBottom w:val="360"/>
                                          <w:divBdr>
                                            <w:top w:val="none" w:sz="0" w:space="0" w:color="auto"/>
                                            <w:left w:val="none" w:sz="0" w:space="0" w:color="auto"/>
                                            <w:bottom w:val="none" w:sz="0" w:space="0" w:color="auto"/>
                                            <w:right w:val="none" w:sz="0" w:space="0" w:color="auto"/>
                                          </w:divBdr>
                                          <w:divsChild>
                                            <w:div w:id="1652101544">
                                              <w:marLeft w:val="0"/>
                                              <w:marRight w:val="0"/>
                                              <w:marTop w:val="0"/>
                                              <w:marBottom w:val="0"/>
                                              <w:divBdr>
                                                <w:top w:val="none" w:sz="0" w:space="0" w:color="auto"/>
                                                <w:left w:val="none" w:sz="0" w:space="0" w:color="auto"/>
                                                <w:bottom w:val="none" w:sz="0" w:space="0" w:color="auto"/>
                                                <w:right w:val="none" w:sz="0" w:space="0" w:color="auto"/>
                                              </w:divBdr>
                                              <w:divsChild>
                                                <w:div w:id="1279606941">
                                                  <w:marLeft w:val="0"/>
                                                  <w:marRight w:val="0"/>
                                                  <w:marTop w:val="0"/>
                                                  <w:marBottom w:val="0"/>
                                                  <w:divBdr>
                                                    <w:top w:val="none" w:sz="0" w:space="0" w:color="auto"/>
                                                    <w:left w:val="none" w:sz="0" w:space="0" w:color="auto"/>
                                                    <w:bottom w:val="none" w:sz="0" w:space="0" w:color="auto"/>
                                                    <w:right w:val="none" w:sz="0" w:space="0" w:color="auto"/>
                                                  </w:divBdr>
                                                  <w:divsChild>
                                                    <w:div w:id="829250778">
                                                      <w:marLeft w:val="0"/>
                                                      <w:marRight w:val="0"/>
                                                      <w:marTop w:val="0"/>
                                                      <w:marBottom w:val="0"/>
                                                      <w:divBdr>
                                                        <w:top w:val="none" w:sz="0" w:space="0" w:color="auto"/>
                                                        <w:left w:val="none" w:sz="0" w:space="0" w:color="auto"/>
                                                        <w:bottom w:val="none" w:sz="0" w:space="0" w:color="auto"/>
                                                        <w:right w:val="none" w:sz="0" w:space="0" w:color="auto"/>
                                                      </w:divBdr>
                                                      <w:divsChild>
                                                        <w:div w:id="1220629584">
                                                          <w:marLeft w:val="0"/>
                                                          <w:marRight w:val="0"/>
                                                          <w:marTop w:val="0"/>
                                                          <w:marBottom w:val="0"/>
                                                          <w:divBdr>
                                                            <w:top w:val="none" w:sz="0" w:space="0" w:color="auto"/>
                                                            <w:left w:val="none" w:sz="0" w:space="0" w:color="auto"/>
                                                            <w:bottom w:val="none" w:sz="0" w:space="0" w:color="auto"/>
                                                            <w:right w:val="none" w:sz="0" w:space="0" w:color="auto"/>
                                                          </w:divBdr>
                                                          <w:divsChild>
                                                            <w:div w:id="1954899263">
                                                              <w:marLeft w:val="0"/>
                                                              <w:marRight w:val="0"/>
                                                              <w:marTop w:val="0"/>
                                                              <w:marBottom w:val="0"/>
                                                              <w:divBdr>
                                                                <w:top w:val="none" w:sz="0" w:space="0" w:color="auto"/>
                                                                <w:left w:val="none" w:sz="0" w:space="0" w:color="auto"/>
                                                                <w:bottom w:val="none" w:sz="0" w:space="0" w:color="auto"/>
                                                                <w:right w:val="none" w:sz="0" w:space="0" w:color="auto"/>
                                                              </w:divBdr>
                                                              <w:divsChild>
                                                                <w:div w:id="1842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530017">
      <w:bodyDiv w:val="1"/>
      <w:marLeft w:val="0"/>
      <w:marRight w:val="0"/>
      <w:marTop w:val="0"/>
      <w:marBottom w:val="0"/>
      <w:divBdr>
        <w:top w:val="none" w:sz="0" w:space="0" w:color="auto"/>
        <w:left w:val="none" w:sz="0" w:space="0" w:color="auto"/>
        <w:bottom w:val="none" w:sz="0" w:space="0" w:color="auto"/>
        <w:right w:val="none" w:sz="0" w:space="0" w:color="auto"/>
      </w:divBdr>
    </w:div>
    <w:div w:id="440733398">
      <w:bodyDiv w:val="1"/>
      <w:marLeft w:val="0"/>
      <w:marRight w:val="0"/>
      <w:marTop w:val="0"/>
      <w:marBottom w:val="0"/>
      <w:divBdr>
        <w:top w:val="none" w:sz="0" w:space="0" w:color="auto"/>
        <w:left w:val="none" w:sz="0" w:space="0" w:color="auto"/>
        <w:bottom w:val="none" w:sz="0" w:space="0" w:color="auto"/>
        <w:right w:val="none" w:sz="0" w:space="0" w:color="auto"/>
      </w:divBdr>
    </w:div>
    <w:div w:id="447967557">
      <w:bodyDiv w:val="1"/>
      <w:marLeft w:val="0"/>
      <w:marRight w:val="0"/>
      <w:marTop w:val="0"/>
      <w:marBottom w:val="0"/>
      <w:divBdr>
        <w:top w:val="none" w:sz="0" w:space="0" w:color="auto"/>
        <w:left w:val="none" w:sz="0" w:space="0" w:color="auto"/>
        <w:bottom w:val="none" w:sz="0" w:space="0" w:color="auto"/>
        <w:right w:val="none" w:sz="0" w:space="0" w:color="auto"/>
      </w:divBdr>
    </w:div>
    <w:div w:id="471800313">
      <w:bodyDiv w:val="1"/>
      <w:marLeft w:val="0"/>
      <w:marRight w:val="0"/>
      <w:marTop w:val="0"/>
      <w:marBottom w:val="0"/>
      <w:divBdr>
        <w:top w:val="none" w:sz="0" w:space="0" w:color="auto"/>
        <w:left w:val="none" w:sz="0" w:space="0" w:color="auto"/>
        <w:bottom w:val="none" w:sz="0" w:space="0" w:color="auto"/>
        <w:right w:val="none" w:sz="0" w:space="0" w:color="auto"/>
      </w:divBdr>
      <w:divsChild>
        <w:div w:id="81881209">
          <w:marLeft w:val="0"/>
          <w:marRight w:val="0"/>
          <w:marTop w:val="0"/>
          <w:marBottom w:val="0"/>
          <w:divBdr>
            <w:top w:val="none" w:sz="0" w:space="0" w:color="auto"/>
            <w:left w:val="none" w:sz="0" w:space="0" w:color="auto"/>
            <w:bottom w:val="none" w:sz="0" w:space="0" w:color="auto"/>
            <w:right w:val="none" w:sz="0" w:space="0" w:color="auto"/>
          </w:divBdr>
          <w:divsChild>
            <w:div w:id="2011833203">
              <w:marLeft w:val="0"/>
              <w:marRight w:val="0"/>
              <w:marTop w:val="0"/>
              <w:marBottom w:val="0"/>
              <w:divBdr>
                <w:top w:val="none" w:sz="0" w:space="0" w:color="auto"/>
                <w:left w:val="none" w:sz="0" w:space="0" w:color="auto"/>
                <w:bottom w:val="none" w:sz="0" w:space="0" w:color="auto"/>
                <w:right w:val="none" w:sz="0" w:space="0" w:color="auto"/>
              </w:divBdr>
              <w:divsChild>
                <w:div w:id="730427183">
                  <w:marLeft w:val="0"/>
                  <w:marRight w:val="0"/>
                  <w:marTop w:val="0"/>
                  <w:marBottom w:val="0"/>
                  <w:divBdr>
                    <w:top w:val="none" w:sz="0" w:space="0" w:color="auto"/>
                    <w:left w:val="none" w:sz="0" w:space="0" w:color="auto"/>
                    <w:bottom w:val="none" w:sz="0" w:space="0" w:color="auto"/>
                    <w:right w:val="none" w:sz="0" w:space="0" w:color="auto"/>
                  </w:divBdr>
                  <w:divsChild>
                    <w:div w:id="53938471">
                      <w:marLeft w:val="0"/>
                      <w:marRight w:val="0"/>
                      <w:marTop w:val="0"/>
                      <w:marBottom w:val="0"/>
                      <w:divBdr>
                        <w:top w:val="single" w:sz="6" w:space="0" w:color="DCD9D9"/>
                        <w:left w:val="single" w:sz="6" w:space="0" w:color="DCD9D9"/>
                        <w:bottom w:val="single" w:sz="2" w:space="0" w:color="DCD9D9"/>
                        <w:right w:val="single" w:sz="6" w:space="0" w:color="DCD9D9"/>
                      </w:divBdr>
                      <w:divsChild>
                        <w:div w:id="182524489">
                          <w:marLeft w:val="0"/>
                          <w:marRight w:val="-100"/>
                          <w:marTop w:val="450"/>
                          <w:marBottom w:val="0"/>
                          <w:divBdr>
                            <w:top w:val="none" w:sz="0" w:space="0" w:color="auto"/>
                            <w:left w:val="none" w:sz="0" w:space="0" w:color="auto"/>
                            <w:bottom w:val="none" w:sz="0" w:space="0" w:color="auto"/>
                            <w:right w:val="none" w:sz="0" w:space="0" w:color="auto"/>
                          </w:divBdr>
                          <w:divsChild>
                            <w:div w:id="1875726605">
                              <w:marLeft w:val="0"/>
                              <w:marRight w:val="0"/>
                              <w:marTop w:val="0"/>
                              <w:marBottom w:val="0"/>
                              <w:divBdr>
                                <w:top w:val="none" w:sz="0" w:space="0" w:color="auto"/>
                                <w:left w:val="none" w:sz="0" w:space="0" w:color="auto"/>
                                <w:bottom w:val="none" w:sz="0" w:space="0" w:color="auto"/>
                                <w:right w:val="none" w:sz="0" w:space="0" w:color="auto"/>
                              </w:divBdr>
                              <w:divsChild>
                                <w:div w:id="1324504383">
                                  <w:marLeft w:val="0"/>
                                  <w:marRight w:val="0"/>
                                  <w:marTop w:val="0"/>
                                  <w:marBottom w:val="0"/>
                                  <w:divBdr>
                                    <w:top w:val="none" w:sz="0" w:space="0" w:color="auto"/>
                                    <w:left w:val="none" w:sz="0" w:space="0" w:color="auto"/>
                                    <w:bottom w:val="none" w:sz="0" w:space="0" w:color="auto"/>
                                    <w:right w:val="none" w:sz="0" w:space="0" w:color="auto"/>
                                  </w:divBdr>
                                  <w:divsChild>
                                    <w:div w:id="1319457743">
                                      <w:marLeft w:val="0"/>
                                      <w:marRight w:val="0"/>
                                      <w:marTop w:val="0"/>
                                      <w:marBottom w:val="0"/>
                                      <w:divBdr>
                                        <w:top w:val="none" w:sz="0" w:space="0" w:color="auto"/>
                                        <w:left w:val="none" w:sz="0" w:space="0" w:color="auto"/>
                                        <w:bottom w:val="none" w:sz="0" w:space="0" w:color="auto"/>
                                        <w:right w:val="none" w:sz="0" w:space="0" w:color="auto"/>
                                      </w:divBdr>
                                      <w:divsChild>
                                        <w:div w:id="137386115">
                                          <w:marLeft w:val="0"/>
                                          <w:marRight w:val="0"/>
                                          <w:marTop w:val="0"/>
                                          <w:marBottom w:val="360"/>
                                          <w:divBdr>
                                            <w:top w:val="none" w:sz="0" w:space="0" w:color="auto"/>
                                            <w:left w:val="none" w:sz="0" w:space="0" w:color="auto"/>
                                            <w:bottom w:val="none" w:sz="0" w:space="0" w:color="auto"/>
                                            <w:right w:val="none" w:sz="0" w:space="0" w:color="auto"/>
                                          </w:divBdr>
                                          <w:divsChild>
                                            <w:div w:id="1238857930">
                                              <w:marLeft w:val="0"/>
                                              <w:marRight w:val="0"/>
                                              <w:marTop w:val="0"/>
                                              <w:marBottom w:val="0"/>
                                              <w:divBdr>
                                                <w:top w:val="none" w:sz="0" w:space="0" w:color="auto"/>
                                                <w:left w:val="none" w:sz="0" w:space="0" w:color="auto"/>
                                                <w:bottom w:val="none" w:sz="0" w:space="0" w:color="auto"/>
                                                <w:right w:val="none" w:sz="0" w:space="0" w:color="auto"/>
                                              </w:divBdr>
                                              <w:divsChild>
                                                <w:div w:id="146820503">
                                                  <w:marLeft w:val="0"/>
                                                  <w:marRight w:val="0"/>
                                                  <w:marTop w:val="0"/>
                                                  <w:marBottom w:val="0"/>
                                                  <w:divBdr>
                                                    <w:top w:val="none" w:sz="0" w:space="0" w:color="auto"/>
                                                    <w:left w:val="none" w:sz="0" w:space="0" w:color="auto"/>
                                                    <w:bottom w:val="none" w:sz="0" w:space="0" w:color="auto"/>
                                                    <w:right w:val="none" w:sz="0" w:space="0" w:color="auto"/>
                                                  </w:divBdr>
                                                  <w:divsChild>
                                                    <w:div w:id="245770079">
                                                      <w:marLeft w:val="0"/>
                                                      <w:marRight w:val="0"/>
                                                      <w:marTop w:val="0"/>
                                                      <w:marBottom w:val="0"/>
                                                      <w:divBdr>
                                                        <w:top w:val="none" w:sz="0" w:space="0" w:color="auto"/>
                                                        <w:left w:val="none" w:sz="0" w:space="0" w:color="auto"/>
                                                        <w:bottom w:val="none" w:sz="0" w:space="0" w:color="auto"/>
                                                        <w:right w:val="none" w:sz="0" w:space="0" w:color="auto"/>
                                                      </w:divBdr>
                                                      <w:divsChild>
                                                        <w:div w:id="1347832097">
                                                          <w:marLeft w:val="0"/>
                                                          <w:marRight w:val="0"/>
                                                          <w:marTop w:val="0"/>
                                                          <w:marBottom w:val="0"/>
                                                          <w:divBdr>
                                                            <w:top w:val="none" w:sz="0" w:space="0" w:color="auto"/>
                                                            <w:left w:val="none" w:sz="0" w:space="0" w:color="auto"/>
                                                            <w:bottom w:val="none" w:sz="0" w:space="0" w:color="auto"/>
                                                            <w:right w:val="none" w:sz="0" w:space="0" w:color="auto"/>
                                                          </w:divBdr>
                                                          <w:divsChild>
                                                            <w:div w:id="1094278486">
                                                              <w:marLeft w:val="0"/>
                                                              <w:marRight w:val="0"/>
                                                              <w:marTop w:val="0"/>
                                                              <w:marBottom w:val="0"/>
                                                              <w:divBdr>
                                                                <w:top w:val="none" w:sz="0" w:space="0" w:color="auto"/>
                                                                <w:left w:val="none" w:sz="0" w:space="0" w:color="auto"/>
                                                                <w:bottom w:val="none" w:sz="0" w:space="0" w:color="auto"/>
                                                                <w:right w:val="none" w:sz="0" w:space="0" w:color="auto"/>
                                                              </w:divBdr>
                                                              <w:divsChild>
                                                                <w:div w:id="6779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5072533">
      <w:bodyDiv w:val="1"/>
      <w:marLeft w:val="0"/>
      <w:marRight w:val="0"/>
      <w:marTop w:val="0"/>
      <w:marBottom w:val="0"/>
      <w:divBdr>
        <w:top w:val="none" w:sz="0" w:space="0" w:color="auto"/>
        <w:left w:val="none" w:sz="0" w:space="0" w:color="auto"/>
        <w:bottom w:val="none" w:sz="0" w:space="0" w:color="auto"/>
        <w:right w:val="none" w:sz="0" w:space="0" w:color="auto"/>
      </w:divBdr>
      <w:divsChild>
        <w:div w:id="801580759">
          <w:marLeft w:val="0"/>
          <w:marRight w:val="0"/>
          <w:marTop w:val="0"/>
          <w:marBottom w:val="0"/>
          <w:divBdr>
            <w:top w:val="none" w:sz="0" w:space="0" w:color="auto"/>
            <w:left w:val="none" w:sz="0" w:space="0" w:color="auto"/>
            <w:bottom w:val="none" w:sz="0" w:space="0" w:color="auto"/>
            <w:right w:val="none" w:sz="0" w:space="0" w:color="auto"/>
          </w:divBdr>
          <w:divsChild>
            <w:div w:id="603730518">
              <w:marLeft w:val="0"/>
              <w:marRight w:val="0"/>
              <w:marTop w:val="0"/>
              <w:marBottom w:val="0"/>
              <w:divBdr>
                <w:top w:val="none" w:sz="0" w:space="0" w:color="auto"/>
                <w:left w:val="none" w:sz="0" w:space="0" w:color="auto"/>
                <w:bottom w:val="none" w:sz="0" w:space="0" w:color="auto"/>
                <w:right w:val="none" w:sz="0" w:space="0" w:color="auto"/>
              </w:divBdr>
              <w:divsChild>
                <w:div w:id="1300064017">
                  <w:marLeft w:val="0"/>
                  <w:marRight w:val="0"/>
                  <w:marTop w:val="0"/>
                  <w:marBottom w:val="0"/>
                  <w:divBdr>
                    <w:top w:val="none" w:sz="0" w:space="0" w:color="auto"/>
                    <w:left w:val="none" w:sz="0" w:space="0" w:color="auto"/>
                    <w:bottom w:val="none" w:sz="0" w:space="0" w:color="auto"/>
                    <w:right w:val="none" w:sz="0" w:space="0" w:color="auto"/>
                  </w:divBdr>
                  <w:divsChild>
                    <w:div w:id="1686709302">
                      <w:marLeft w:val="0"/>
                      <w:marRight w:val="0"/>
                      <w:marTop w:val="0"/>
                      <w:marBottom w:val="0"/>
                      <w:divBdr>
                        <w:top w:val="none" w:sz="0" w:space="0" w:color="auto"/>
                        <w:left w:val="none" w:sz="0" w:space="0" w:color="auto"/>
                        <w:bottom w:val="none" w:sz="0" w:space="0" w:color="auto"/>
                        <w:right w:val="none" w:sz="0" w:space="0" w:color="auto"/>
                      </w:divBdr>
                      <w:divsChild>
                        <w:div w:id="1174997455">
                          <w:marLeft w:val="0"/>
                          <w:marRight w:val="0"/>
                          <w:marTop w:val="0"/>
                          <w:marBottom w:val="0"/>
                          <w:divBdr>
                            <w:top w:val="none" w:sz="0" w:space="0" w:color="auto"/>
                            <w:left w:val="none" w:sz="0" w:space="0" w:color="auto"/>
                            <w:bottom w:val="none" w:sz="0" w:space="0" w:color="auto"/>
                            <w:right w:val="none" w:sz="0" w:space="0" w:color="auto"/>
                          </w:divBdr>
                          <w:divsChild>
                            <w:div w:id="1863130713">
                              <w:marLeft w:val="0"/>
                              <w:marRight w:val="0"/>
                              <w:marTop w:val="0"/>
                              <w:marBottom w:val="0"/>
                              <w:divBdr>
                                <w:top w:val="none" w:sz="0" w:space="0" w:color="auto"/>
                                <w:left w:val="none" w:sz="0" w:space="0" w:color="auto"/>
                                <w:bottom w:val="none" w:sz="0" w:space="0" w:color="auto"/>
                                <w:right w:val="none" w:sz="0" w:space="0" w:color="auto"/>
                              </w:divBdr>
                              <w:divsChild>
                                <w:div w:id="11585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461600">
      <w:bodyDiv w:val="1"/>
      <w:marLeft w:val="0"/>
      <w:marRight w:val="0"/>
      <w:marTop w:val="0"/>
      <w:marBottom w:val="0"/>
      <w:divBdr>
        <w:top w:val="none" w:sz="0" w:space="0" w:color="auto"/>
        <w:left w:val="none" w:sz="0" w:space="0" w:color="auto"/>
        <w:bottom w:val="none" w:sz="0" w:space="0" w:color="auto"/>
        <w:right w:val="none" w:sz="0" w:space="0" w:color="auto"/>
      </w:divBdr>
      <w:divsChild>
        <w:div w:id="1988388838">
          <w:marLeft w:val="0"/>
          <w:marRight w:val="0"/>
          <w:marTop w:val="0"/>
          <w:marBottom w:val="0"/>
          <w:divBdr>
            <w:top w:val="none" w:sz="0" w:space="0" w:color="auto"/>
            <w:left w:val="none" w:sz="0" w:space="0" w:color="auto"/>
            <w:bottom w:val="none" w:sz="0" w:space="0" w:color="auto"/>
            <w:right w:val="none" w:sz="0" w:space="0" w:color="auto"/>
          </w:divBdr>
          <w:divsChild>
            <w:div w:id="2169017">
              <w:marLeft w:val="0"/>
              <w:marRight w:val="0"/>
              <w:marTop w:val="0"/>
              <w:marBottom w:val="0"/>
              <w:divBdr>
                <w:top w:val="none" w:sz="0" w:space="0" w:color="auto"/>
                <w:left w:val="none" w:sz="0" w:space="0" w:color="auto"/>
                <w:bottom w:val="none" w:sz="0" w:space="0" w:color="auto"/>
                <w:right w:val="none" w:sz="0" w:space="0" w:color="auto"/>
              </w:divBdr>
              <w:divsChild>
                <w:div w:id="1075009082">
                  <w:marLeft w:val="0"/>
                  <w:marRight w:val="0"/>
                  <w:marTop w:val="0"/>
                  <w:marBottom w:val="0"/>
                  <w:divBdr>
                    <w:top w:val="none" w:sz="0" w:space="0" w:color="auto"/>
                    <w:left w:val="none" w:sz="0" w:space="0" w:color="auto"/>
                    <w:bottom w:val="none" w:sz="0" w:space="0" w:color="auto"/>
                    <w:right w:val="none" w:sz="0" w:space="0" w:color="auto"/>
                  </w:divBdr>
                  <w:divsChild>
                    <w:div w:id="862860683">
                      <w:marLeft w:val="0"/>
                      <w:marRight w:val="0"/>
                      <w:marTop w:val="0"/>
                      <w:marBottom w:val="0"/>
                      <w:divBdr>
                        <w:top w:val="none" w:sz="0" w:space="0" w:color="auto"/>
                        <w:left w:val="none" w:sz="0" w:space="0" w:color="auto"/>
                        <w:bottom w:val="none" w:sz="0" w:space="0" w:color="auto"/>
                        <w:right w:val="none" w:sz="0" w:space="0" w:color="auto"/>
                      </w:divBdr>
                      <w:divsChild>
                        <w:div w:id="1712801551">
                          <w:marLeft w:val="0"/>
                          <w:marRight w:val="0"/>
                          <w:marTop w:val="0"/>
                          <w:marBottom w:val="0"/>
                          <w:divBdr>
                            <w:top w:val="none" w:sz="0" w:space="0" w:color="auto"/>
                            <w:left w:val="none" w:sz="0" w:space="0" w:color="auto"/>
                            <w:bottom w:val="none" w:sz="0" w:space="0" w:color="auto"/>
                            <w:right w:val="none" w:sz="0" w:space="0" w:color="auto"/>
                          </w:divBdr>
                          <w:divsChild>
                            <w:div w:id="1683432820">
                              <w:marLeft w:val="0"/>
                              <w:marRight w:val="0"/>
                              <w:marTop w:val="0"/>
                              <w:marBottom w:val="0"/>
                              <w:divBdr>
                                <w:top w:val="none" w:sz="0" w:space="0" w:color="auto"/>
                                <w:left w:val="none" w:sz="0" w:space="0" w:color="auto"/>
                                <w:bottom w:val="none" w:sz="0" w:space="0" w:color="auto"/>
                                <w:right w:val="none" w:sz="0" w:space="0" w:color="auto"/>
                              </w:divBdr>
                              <w:divsChild>
                                <w:div w:id="1700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216955">
      <w:bodyDiv w:val="1"/>
      <w:marLeft w:val="0"/>
      <w:marRight w:val="0"/>
      <w:marTop w:val="0"/>
      <w:marBottom w:val="0"/>
      <w:divBdr>
        <w:top w:val="none" w:sz="0" w:space="0" w:color="auto"/>
        <w:left w:val="none" w:sz="0" w:space="0" w:color="auto"/>
        <w:bottom w:val="none" w:sz="0" w:space="0" w:color="auto"/>
        <w:right w:val="none" w:sz="0" w:space="0" w:color="auto"/>
      </w:divBdr>
    </w:div>
    <w:div w:id="495849116">
      <w:bodyDiv w:val="1"/>
      <w:marLeft w:val="0"/>
      <w:marRight w:val="0"/>
      <w:marTop w:val="0"/>
      <w:marBottom w:val="0"/>
      <w:divBdr>
        <w:top w:val="none" w:sz="0" w:space="0" w:color="auto"/>
        <w:left w:val="none" w:sz="0" w:space="0" w:color="auto"/>
        <w:bottom w:val="none" w:sz="0" w:space="0" w:color="auto"/>
        <w:right w:val="none" w:sz="0" w:space="0" w:color="auto"/>
      </w:divBdr>
      <w:divsChild>
        <w:div w:id="1506631941">
          <w:marLeft w:val="0"/>
          <w:marRight w:val="0"/>
          <w:marTop w:val="0"/>
          <w:marBottom w:val="0"/>
          <w:divBdr>
            <w:top w:val="none" w:sz="0" w:space="0" w:color="auto"/>
            <w:left w:val="none" w:sz="0" w:space="0" w:color="auto"/>
            <w:bottom w:val="none" w:sz="0" w:space="0" w:color="auto"/>
            <w:right w:val="none" w:sz="0" w:space="0" w:color="auto"/>
          </w:divBdr>
          <w:divsChild>
            <w:div w:id="8488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4901">
      <w:bodyDiv w:val="1"/>
      <w:marLeft w:val="0"/>
      <w:marRight w:val="0"/>
      <w:marTop w:val="0"/>
      <w:marBottom w:val="0"/>
      <w:divBdr>
        <w:top w:val="none" w:sz="0" w:space="0" w:color="auto"/>
        <w:left w:val="none" w:sz="0" w:space="0" w:color="auto"/>
        <w:bottom w:val="none" w:sz="0" w:space="0" w:color="auto"/>
        <w:right w:val="none" w:sz="0" w:space="0" w:color="auto"/>
      </w:divBdr>
    </w:div>
    <w:div w:id="510799545">
      <w:bodyDiv w:val="1"/>
      <w:marLeft w:val="0"/>
      <w:marRight w:val="0"/>
      <w:marTop w:val="0"/>
      <w:marBottom w:val="0"/>
      <w:divBdr>
        <w:top w:val="none" w:sz="0" w:space="0" w:color="auto"/>
        <w:left w:val="none" w:sz="0" w:space="0" w:color="auto"/>
        <w:bottom w:val="none" w:sz="0" w:space="0" w:color="auto"/>
        <w:right w:val="none" w:sz="0" w:space="0" w:color="auto"/>
      </w:divBdr>
    </w:div>
    <w:div w:id="526602772">
      <w:bodyDiv w:val="1"/>
      <w:marLeft w:val="0"/>
      <w:marRight w:val="0"/>
      <w:marTop w:val="0"/>
      <w:marBottom w:val="0"/>
      <w:divBdr>
        <w:top w:val="none" w:sz="0" w:space="0" w:color="auto"/>
        <w:left w:val="none" w:sz="0" w:space="0" w:color="auto"/>
        <w:bottom w:val="none" w:sz="0" w:space="0" w:color="auto"/>
        <w:right w:val="none" w:sz="0" w:space="0" w:color="auto"/>
      </w:divBdr>
    </w:div>
    <w:div w:id="534465608">
      <w:bodyDiv w:val="1"/>
      <w:marLeft w:val="0"/>
      <w:marRight w:val="0"/>
      <w:marTop w:val="0"/>
      <w:marBottom w:val="0"/>
      <w:divBdr>
        <w:top w:val="none" w:sz="0" w:space="0" w:color="auto"/>
        <w:left w:val="none" w:sz="0" w:space="0" w:color="auto"/>
        <w:bottom w:val="none" w:sz="0" w:space="0" w:color="auto"/>
        <w:right w:val="none" w:sz="0" w:space="0" w:color="auto"/>
      </w:divBdr>
    </w:div>
    <w:div w:id="544679344">
      <w:bodyDiv w:val="1"/>
      <w:marLeft w:val="0"/>
      <w:marRight w:val="0"/>
      <w:marTop w:val="0"/>
      <w:marBottom w:val="0"/>
      <w:divBdr>
        <w:top w:val="none" w:sz="0" w:space="0" w:color="auto"/>
        <w:left w:val="none" w:sz="0" w:space="0" w:color="auto"/>
        <w:bottom w:val="none" w:sz="0" w:space="0" w:color="auto"/>
        <w:right w:val="none" w:sz="0" w:space="0" w:color="auto"/>
      </w:divBdr>
    </w:div>
    <w:div w:id="557977558">
      <w:bodyDiv w:val="1"/>
      <w:marLeft w:val="0"/>
      <w:marRight w:val="0"/>
      <w:marTop w:val="0"/>
      <w:marBottom w:val="0"/>
      <w:divBdr>
        <w:top w:val="none" w:sz="0" w:space="0" w:color="auto"/>
        <w:left w:val="none" w:sz="0" w:space="0" w:color="auto"/>
        <w:bottom w:val="none" w:sz="0" w:space="0" w:color="auto"/>
        <w:right w:val="none" w:sz="0" w:space="0" w:color="auto"/>
      </w:divBdr>
      <w:divsChild>
        <w:div w:id="1175221027">
          <w:marLeft w:val="0"/>
          <w:marRight w:val="0"/>
          <w:marTop w:val="0"/>
          <w:marBottom w:val="0"/>
          <w:divBdr>
            <w:top w:val="none" w:sz="0" w:space="0" w:color="auto"/>
            <w:left w:val="none" w:sz="0" w:space="0" w:color="auto"/>
            <w:bottom w:val="none" w:sz="0" w:space="0" w:color="auto"/>
            <w:right w:val="none" w:sz="0" w:space="0" w:color="auto"/>
          </w:divBdr>
          <w:divsChild>
            <w:div w:id="1582177847">
              <w:marLeft w:val="0"/>
              <w:marRight w:val="0"/>
              <w:marTop w:val="0"/>
              <w:marBottom w:val="0"/>
              <w:divBdr>
                <w:top w:val="none" w:sz="0" w:space="0" w:color="auto"/>
                <w:left w:val="none" w:sz="0" w:space="0" w:color="auto"/>
                <w:bottom w:val="none" w:sz="0" w:space="0" w:color="auto"/>
                <w:right w:val="none" w:sz="0" w:space="0" w:color="auto"/>
              </w:divBdr>
              <w:divsChild>
                <w:div w:id="587619360">
                  <w:marLeft w:val="0"/>
                  <w:marRight w:val="0"/>
                  <w:marTop w:val="0"/>
                  <w:marBottom w:val="0"/>
                  <w:divBdr>
                    <w:top w:val="none" w:sz="0" w:space="0" w:color="auto"/>
                    <w:left w:val="none" w:sz="0" w:space="0" w:color="auto"/>
                    <w:bottom w:val="none" w:sz="0" w:space="0" w:color="auto"/>
                    <w:right w:val="none" w:sz="0" w:space="0" w:color="auto"/>
                  </w:divBdr>
                  <w:divsChild>
                    <w:div w:id="1779836952">
                      <w:marLeft w:val="0"/>
                      <w:marRight w:val="0"/>
                      <w:marTop w:val="0"/>
                      <w:marBottom w:val="0"/>
                      <w:divBdr>
                        <w:top w:val="single" w:sz="6" w:space="0" w:color="DCD9D9"/>
                        <w:left w:val="single" w:sz="6" w:space="0" w:color="DCD9D9"/>
                        <w:bottom w:val="single" w:sz="2" w:space="0" w:color="DCD9D9"/>
                        <w:right w:val="single" w:sz="6" w:space="0" w:color="DCD9D9"/>
                      </w:divBdr>
                      <w:divsChild>
                        <w:div w:id="565801004">
                          <w:marLeft w:val="0"/>
                          <w:marRight w:val="-100"/>
                          <w:marTop w:val="450"/>
                          <w:marBottom w:val="0"/>
                          <w:divBdr>
                            <w:top w:val="none" w:sz="0" w:space="0" w:color="auto"/>
                            <w:left w:val="none" w:sz="0" w:space="0" w:color="auto"/>
                            <w:bottom w:val="none" w:sz="0" w:space="0" w:color="auto"/>
                            <w:right w:val="none" w:sz="0" w:space="0" w:color="auto"/>
                          </w:divBdr>
                          <w:divsChild>
                            <w:div w:id="1013458100">
                              <w:marLeft w:val="0"/>
                              <w:marRight w:val="0"/>
                              <w:marTop w:val="0"/>
                              <w:marBottom w:val="0"/>
                              <w:divBdr>
                                <w:top w:val="none" w:sz="0" w:space="0" w:color="auto"/>
                                <w:left w:val="none" w:sz="0" w:space="0" w:color="auto"/>
                                <w:bottom w:val="none" w:sz="0" w:space="0" w:color="auto"/>
                                <w:right w:val="none" w:sz="0" w:space="0" w:color="auto"/>
                              </w:divBdr>
                              <w:divsChild>
                                <w:div w:id="1202673201">
                                  <w:marLeft w:val="0"/>
                                  <w:marRight w:val="0"/>
                                  <w:marTop w:val="0"/>
                                  <w:marBottom w:val="0"/>
                                  <w:divBdr>
                                    <w:top w:val="none" w:sz="0" w:space="0" w:color="auto"/>
                                    <w:left w:val="none" w:sz="0" w:space="0" w:color="auto"/>
                                    <w:bottom w:val="none" w:sz="0" w:space="0" w:color="auto"/>
                                    <w:right w:val="none" w:sz="0" w:space="0" w:color="auto"/>
                                  </w:divBdr>
                                  <w:divsChild>
                                    <w:div w:id="441648710">
                                      <w:marLeft w:val="0"/>
                                      <w:marRight w:val="0"/>
                                      <w:marTop w:val="0"/>
                                      <w:marBottom w:val="0"/>
                                      <w:divBdr>
                                        <w:top w:val="none" w:sz="0" w:space="0" w:color="auto"/>
                                        <w:left w:val="none" w:sz="0" w:space="0" w:color="auto"/>
                                        <w:bottom w:val="none" w:sz="0" w:space="0" w:color="auto"/>
                                        <w:right w:val="none" w:sz="0" w:space="0" w:color="auto"/>
                                      </w:divBdr>
                                      <w:divsChild>
                                        <w:div w:id="1768697289">
                                          <w:marLeft w:val="0"/>
                                          <w:marRight w:val="0"/>
                                          <w:marTop w:val="0"/>
                                          <w:marBottom w:val="360"/>
                                          <w:divBdr>
                                            <w:top w:val="none" w:sz="0" w:space="0" w:color="auto"/>
                                            <w:left w:val="none" w:sz="0" w:space="0" w:color="auto"/>
                                            <w:bottom w:val="none" w:sz="0" w:space="0" w:color="auto"/>
                                            <w:right w:val="none" w:sz="0" w:space="0" w:color="auto"/>
                                          </w:divBdr>
                                          <w:divsChild>
                                            <w:div w:id="871191470">
                                              <w:marLeft w:val="0"/>
                                              <w:marRight w:val="0"/>
                                              <w:marTop w:val="0"/>
                                              <w:marBottom w:val="0"/>
                                              <w:divBdr>
                                                <w:top w:val="none" w:sz="0" w:space="0" w:color="auto"/>
                                                <w:left w:val="none" w:sz="0" w:space="0" w:color="auto"/>
                                                <w:bottom w:val="none" w:sz="0" w:space="0" w:color="auto"/>
                                                <w:right w:val="none" w:sz="0" w:space="0" w:color="auto"/>
                                              </w:divBdr>
                                              <w:divsChild>
                                                <w:div w:id="292249658">
                                                  <w:marLeft w:val="0"/>
                                                  <w:marRight w:val="0"/>
                                                  <w:marTop w:val="0"/>
                                                  <w:marBottom w:val="0"/>
                                                  <w:divBdr>
                                                    <w:top w:val="none" w:sz="0" w:space="0" w:color="auto"/>
                                                    <w:left w:val="none" w:sz="0" w:space="0" w:color="auto"/>
                                                    <w:bottom w:val="none" w:sz="0" w:space="0" w:color="auto"/>
                                                    <w:right w:val="none" w:sz="0" w:space="0" w:color="auto"/>
                                                  </w:divBdr>
                                                  <w:divsChild>
                                                    <w:div w:id="1661808617">
                                                      <w:marLeft w:val="0"/>
                                                      <w:marRight w:val="0"/>
                                                      <w:marTop w:val="0"/>
                                                      <w:marBottom w:val="0"/>
                                                      <w:divBdr>
                                                        <w:top w:val="none" w:sz="0" w:space="0" w:color="auto"/>
                                                        <w:left w:val="none" w:sz="0" w:space="0" w:color="auto"/>
                                                        <w:bottom w:val="none" w:sz="0" w:space="0" w:color="auto"/>
                                                        <w:right w:val="none" w:sz="0" w:space="0" w:color="auto"/>
                                                      </w:divBdr>
                                                      <w:divsChild>
                                                        <w:div w:id="1239291488">
                                                          <w:marLeft w:val="0"/>
                                                          <w:marRight w:val="0"/>
                                                          <w:marTop w:val="0"/>
                                                          <w:marBottom w:val="0"/>
                                                          <w:divBdr>
                                                            <w:top w:val="none" w:sz="0" w:space="0" w:color="auto"/>
                                                            <w:left w:val="none" w:sz="0" w:space="0" w:color="auto"/>
                                                            <w:bottom w:val="none" w:sz="0" w:space="0" w:color="auto"/>
                                                            <w:right w:val="none" w:sz="0" w:space="0" w:color="auto"/>
                                                          </w:divBdr>
                                                          <w:divsChild>
                                                            <w:div w:id="163782927">
                                                              <w:marLeft w:val="0"/>
                                                              <w:marRight w:val="0"/>
                                                              <w:marTop w:val="0"/>
                                                              <w:marBottom w:val="0"/>
                                                              <w:divBdr>
                                                                <w:top w:val="none" w:sz="0" w:space="0" w:color="auto"/>
                                                                <w:left w:val="none" w:sz="0" w:space="0" w:color="auto"/>
                                                                <w:bottom w:val="none" w:sz="0" w:space="0" w:color="auto"/>
                                                                <w:right w:val="none" w:sz="0" w:space="0" w:color="auto"/>
                                                              </w:divBdr>
                                                              <w:divsChild>
                                                                <w:div w:id="13437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6499274">
      <w:bodyDiv w:val="1"/>
      <w:marLeft w:val="0"/>
      <w:marRight w:val="0"/>
      <w:marTop w:val="0"/>
      <w:marBottom w:val="0"/>
      <w:divBdr>
        <w:top w:val="none" w:sz="0" w:space="0" w:color="auto"/>
        <w:left w:val="none" w:sz="0" w:space="0" w:color="auto"/>
        <w:bottom w:val="none" w:sz="0" w:space="0" w:color="auto"/>
        <w:right w:val="none" w:sz="0" w:space="0" w:color="auto"/>
      </w:divBdr>
    </w:div>
    <w:div w:id="610358932">
      <w:bodyDiv w:val="1"/>
      <w:marLeft w:val="0"/>
      <w:marRight w:val="0"/>
      <w:marTop w:val="0"/>
      <w:marBottom w:val="0"/>
      <w:divBdr>
        <w:top w:val="none" w:sz="0" w:space="0" w:color="auto"/>
        <w:left w:val="none" w:sz="0" w:space="0" w:color="auto"/>
        <w:bottom w:val="none" w:sz="0" w:space="0" w:color="auto"/>
        <w:right w:val="none" w:sz="0" w:space="0" w:color="auto"/>
      </w:divBdr>
      <w:divsChild>
        <w:div w:id="1416635722">
          <w:marLeft w:val="0"/>
          <w:marRight w:val="0"/>
          <w:marTop w:val="0"/>
          <w:marBottom w:val="0"/>
          <w:divBdr>
            <w:top w:val="none" w:sz="0" w:space="0" w:color="auto"/>
            <w:left w:val="none" w:sz="0" w:space="0" w:color="auto"/>
            <w:bottom w:val="none" w:sz="0" w:space="0" w:color="auto"/>
            <w:right w:val="none" w:sz="0" w:space="0" w:color="auto"/>
          </w:divBdr>
          <w:divsChild>
            <w:div w:id="4802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867">
      <w:bodyDiv w:val="1"/>
      <w:marLeft w:val="0"/>
      <w:marRight w:val="0"/>
      <w:marTop w:val="0"/>
      <w:marBottom w:val="0"/>
      <w:divBdr>
        <w:top w:val="none" w:sz="0" w:space="0" w:color="auto"/>
        <w:left w:val="none" w:sz="0" w:space="0" w:color="auto"/>
        <w:bottom w:val="none" w:sz="0" w:space="0" w:color="auto"/>
        <w:right w:val="none" w:sz="0" w:space="0" w:color="auto"/>
      </w:divBdr>
      <w:divsChild>
        <w:div w:id="1237133162">
          <w:marLeft w:val="0"/>
          <w:marRight w:val="0"/>
          <w:marTop w:val="0"/>
          <w:marBottom w:val="0"/>
          <w:divBdr>
            <w:top w:val="none" w:sz="0" w:space="0" w:color="auto"/>
            <w:left w:val="none" w:sz="0" w:space="0" w:color="auto"/>
            <w:bottom w:val="none" w:sz="0" w:space="0" w:color="auto"/>
            <w:right w:val="none" w:sz="0" w:space="0" w:color="auto"/>
          </w:divBdr>
          <w:divsChild>
            <w:div w:id="87570049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35255492">
      <w:bodyDiv w:val="1"/>
      <w:marLeft w:val="0"/>
      <w:marRight w:val="0"/>
      <w:marTop w:val="0"/>
      <w:marBottom w:val="0"/>
      <w:divBdr>
        <w:top w:val="none" w:sz="0" w:space="0" w:color="auto"/>
        <w:left w:val="none" w:sz="0" w:space="0" w:color="auto"/>
        <w:bottom w:val="none" w:sz="0" w:space="0" w:color="auto"/>
        <w:right w:val="none" w:sz="0" w:space="0" w:color="auto"/>
      </w:divBdr>
    </w:div>
    <w:div w:id="638848432">
      <w:bodyDiv w:val="1"/>
      <w:marLeft w:val="0"/>
      <w:marRight w:val="0"/>
      <w:marTop w:val="0"/>
      <w:marBottom w:val="0"/>
      <w:divBdr>
        <w:top w:val="none" w:sz="0" w:space="0" w:color="auto"/>
        <w:left w:val="none" w:sz="0" w:space="0" w:color="auto"/>
        <w:bottom w:val="none" w:sz="0" w:space="0" w:color="auto"/>
        <w:right w:val="none" w:sz="0" w:space="0" w:color="auto"/>
      </w:divBdr>
    </w:div>
    <w:div w:id="644703925">
      <w:bodyDiv w:val="1"/>
      <w:marLeft w:val="0"/>
      <w:marRight w:val="0"/>
      <w:marTop w:val="0"/>
      <w:marBottom w:val="0"/>
      <w:divBdr>
        <w:top w:val="none" w:sz="0" w:space="0" w:color="auto"/>
        <w:left w:val="none" w:sz="0" w:space="0" w:color="auto"/>
        <w:bottom w:val="none" w:sz="0" w:space="0" w:color="auto"/>
        <w:right w:val="none" w:sz="0" w:space="0" w:color="auto"/>
      </w:divBdr>
      <w:divsChild>
        <w:div w:id="1489639453">
          <w:marLeft w:val="0"/>
          <w:marRight w:val="0"/>
          <w:marTop w:val="0"/>
          <w:marBottom w:val="0"/>
          <w:divBdr>
            <w:top w:val="none" w:sz="0" w:space="0" w:color="auto"/>
            <w:left w:val="none" w:sz="0" w:space="0" w:color="auto"/>
            <w:bottom w:val="none" w:sz="0" w:space="0" w:color="auto"/>
            <w:right w:val="none" w:sz="0" w:space="0" w:color="auto"/>
          </w:divBdr>
          <w:divsChild>
            <w:div w:id="306858552">
              <w:marLeft w:val="0"/>
              <w:marRight w:val="0"/>
              <w:marTop w:val="0"/>
              <w:marBottom w:val="0"/>
              <w:divBdr>
                <w:top w:val="none" w:sz="0" w:space="0" w:color="auto"/>
                <w:left w:val="none" w:sz="0" w:space="0" w:color="auto"/>
                <w:bottom w:val="none" w:sz="0" w:space="0" w:color="auto"/>
                <w:right w:val="none" w:sz="0" w:space="0" w:color="auto"/>
              </w:divBdr>
              <w:divsChild>
                <w:div w:id="563612680">
                  <w:marLeft w:val="0"/>
                  <w:marRight w:val="0"/>
                  <w:marTop w:val="0"/>
                  <w:marBottom w:val="0"/>
                  <w:divBdr>
                    <w:top w:val="none" w:sz="0" w:space="0" w:color="auto"/>
                    <w:left w:val="none" w:sz="0" w:space="0" w:color="auto"/>
                    <w:bottom w:val="none" w:sz="0" w:space="0" w:color="auto"/>
                    <w:right w:val="none" w:sz="0" w:space="0" w:color="auto"/>
                  </w:divBdr>
                  <w:divsChild>
                    <w:div w:id="1600990072">
                      <w:marLeft w:val="0"/>
                      <w:marRight w:val="0"/>
                      <w:marTop w:val="0"/>
                      <w:marBottom w:val="0"/>
                      <w:divBdr>
                        <w:top w:val="single" w:sz="6" w:space="10" w:color="DAE2EA"/>
                        <w:left w:val="none" w:sz="0" w:space="0" w:color="auto"/>
                        <w:bottom w:val="none" w:sz="0" w:space="0" w:color="auto"/>
                        <w:right w:val="none" w:sz="0" w:space="0" w:color="auto"/>
                      </w:divBdr>
                    </w:div>
                  </w:divsChild>
                </w:div>
              </w:divsChild>
            </w:div>
          </w:divsChild>
        </w:div>
      </w:divsChild>
    </w:div>
    <w:div w:id="714164401">
      <w:bodyDiv w:val="1"/>
      <w:marLeft w:val="0"/>
      <w:marRight w:val="0"/>
      <w:marTop w:val="0"/>
      <w:marBottom w:val="0"/>
      <w:divBdr>
        <w:top w:val="none" w:sz="0" w:space="0" w:color="auto"/>
        <w:left w:val="none" w:sz="0" w:space="0" w:color="auto"/>
        <w:bottom w:val="none" w:sz="0" w:space="0" w:color="auto"/>
        <w:right w:val="none" w:sz="0" w:space="0" w:color="auto"/>
      </w:divBdr>
    </w:div>
    <w:div w:id="725646342">
      <w:bodyDiv w:val="1"/>
      <w:marLeft w:val="0"/>
      <w:marRight w:val="0"/>
      <w:marTop w:val="0"/>
      <w:marBottom w:val="0"/>
      <w:divBdr>
        <w:top w:val="none" w:sz="0" w:space="0" w:color="auto"/>
        <w:left w:val="none" w:sz="0" w:space="0" w:color="auto"/>
        <w:bottom w:val="none" w:sz="0" w:space="0" w:color="auto"/>
        <w:right w:val="none" w:sz="0" w:space="0" w:color="auto"/>
      </w:divBdr>
      <w:divsChild>
        <w:div w:id="1817406309">
          <w:marLeft w:val="0"/>
          <w:marRight w:val="0"/>
          <w:marTop w:val="0"/>
          <w:marBottom w:val="0"/>
          <w:divBdr>
            <w:top w:val="none" w:sz="0" w:space="0" w:color="auto"/>
            <w:left w:val="none" w:sz="0" w:space="0" w:color="auto"/>
            <w:bottom w:val="none" w:sz="0" w:space="0" w:color="auto"/>
            <w:right w:val="none" w:sz="0" w:space="0" w:color="auto"/>
          </w:divBdr>
          <w:divsChild>
            <w:div w:id="800147667">
              <w:marLeft w:val="0"/>
              <w:marRight w:val="0"/>
              <w:marTop w:val="0"/>
              <w:marBottom w:val="0"/>
              <w:divBdr>
                <w:top w:val="none" w:sz="0" w:space="0" w:color="auto"/>
                <w:left w:val="none" w:sz="0" w:space="0" w:color="auto"/>
                <w:bottom w:val="none" w:sz="0" w:space="0" w:color="auto"/>
                <w:right w:val="none" w:sz="0" w:space="0" w:color="auto"/>
              </w:divBdr>
              <w:divsChild>
                <w:div w:id="806632687">
                  <w:marLeft w:val="0"/>
                  <w:marRight w:val="0"/>
                  <w:marTop w:val="0"/>
                  <w:marBottom w:val="0"/>
                  <w:divBdr>
                    <w:top w:val="none" w:sz="0" w:space="0" w:color="auto"/>
                    <w:left w:val="none" w:sz="0" w:space="0" w:color="auto"/>
                    <w:bottom w:val="none" w:sz="0" w:space="0" w:color="auto"/>
                    <w:right w:val="none" w:sz="0" w:space="0" w:color="auto"/>
                  </w:divBdr>
                  <w:divsChild>
                    <w:div w:id="1427799327">
                      <w:marLeft w:val="0"/>
                      <w:marRight w:val="0"/>
                      <w:marTop w:val="0"/>
                      <w:marBottom w:val="0"/>
                      <w:divBdr>
                        <w:top w:val="none" w:sz="0" w:space="0" w:color="auto"/>
                        <w:left w:val="none" w:sz="0" w:space="0" w:color="auto"/>
                        <w:bottom w:val="none" w:sz="0" w:space="0" w:color="auto"/>
                        <w:right w:val="none" w:sz="0" w:space="0" w:color="auto"/>
                      </w:divBdr>
                      <w:divsChild>
                        <w:div w:id="636031593">
                          <w:marLeft w:val="0"/>
                          <w:marRight w:val="0"/>
                          <w:marTop w:val="0"/>
                          <w:marBottom w:val="0"/>
                          <w:divBdr>
                            <w:top w:val="none" w:sz="0" w:space="0" w:color="auto"/>
                            <w:left w:val="none" w:sz="0" w:space="0" w:color="auto"/>
                            <w:bottom w:val="none" w:sz="0" w:space="0" w:color="auto"/>
                            <w:right w:val="none" w:sz="0" w:space="0" w:color="auto"/>
                          </w:divBdr>
                          <w:divsChild>
                            <w:div w:id="221332626">
                              <w:marLeft w:val="0"/>
                              <w:marRight w:val="0"/>
                              <w:marTop w:val="0"/>
                              <w:marBottom w:val="0"/>
                              <w:divBdr>
                                <w:top w:val="none" w:sz="0" w:space="0" w:color="auto"/>
                                <w:left w:val="none" w:sz="0" w:space="0" w:color="auto"/>
                                <w:bottom w:val="none" w:sz="0" w:space="0" w:color="auto"/>
                                <w:right w:val="none" w:sz="0" w:space="0" w:color="auto"/>
                              </w:divBdr>
                              <w:divsChild>
                                <w:div w:id="14589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927756">
      <w:bodyDiv w:val="1"/>
      <w:marLeft w:val="0"/>
      <w:marRight w:val="0"/>
      <w:marTop w:val="0"/>
      <w:marBottom w:val="0"/>
      <w:divBdr>
        <w:top w:val="none" w:sz="0" w:space="0" w:color="auto"/>
        <w:left w:val="none" w:sz="0" w:space="0" w:color="auto"/>
        <w:bottom w:val="none" w:sz="0" w:space="0" w:color="auto"/>
        <w:right w:val="none" w:sz="0" w:space="0" w:color="auto"/>
      </w:divBdr>
    </w:div>
    <w:div w:id="777263538">
      <w:bodyDiv w:val="1"/>
      <w:marLeft w:val="0"/>
      <w:marRight w:val="0"/>
      <w:marTop w:val="0"/>
      <w:marBottom w:val="0"/>
      <w:divBdr>
        <w:top w:val="none" w:sz="0" w:space="0" w:color="auto"/>
        <w:left w:val="none" w:sz="0" w:space="0" w:color="auto"/>
        <w:bottom w:val="none" w:sz="0" w:space="0" w:color="auto"/>
        <w:right w:val="none" w:sz="0" w:space="0" w:color="auto"/>
      </w:divBdr>
    </w:div>
    <w:div w:id="778109156">
      <w:bodyDiv w:val="1"/>
      <w:marLeft w:val="0"/>
      <w:marRight w:val="0"/>
      <w:marTop w:val="0"/>
      <w:marBottom w:val="0"/>
      <w:divBdr>
        <w:top w:val="none" w:sz="0" w:space="0" w:color="auto"/>
        <w:left w:val="none" w:sz="0" w:space="0" w:color="auto"/>
        <w:bottom w:val="none" w:sz="0" w:space="0" w:color="auto"/>
        <w:right w:val="none" w:sz="0" w:space="0" w:color="auto"/>
      </w:divBdr>
      <w:divsChild>
        <w:div w:id="1329863326">
          <w:marLeft w:val="0"/>
          <w:marRight w:val="0"/>
          <w:marTop w:val="0"/>
          <w:marBottom w:val="0"/>
          <w:divBdr>
            <w:top w:val="none" w:sz="0" w:space="0" w:color="auto"/>
            <w:left w:val="none" w:sz="0" w:space="0" w:color="auto"/>
            <w:bottom w:val="none" w:sz="0" w:space="0" w:color="auto"/>
            <w:right w:val="none" w:sz="0" w:space="0" w:color="auto"/>
          </w:divBdr>
          <w:divsChild>
            <w:div w:id="166108199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5660269">
      <w:bodyDiv w:val="1"/>
      <w:marLeft w:val="0"/>
      <w:marRight w:val="0"/>
      <w:marTop w:val="0"/>
      <w:marBottom w:val="0"/>
      <w:divBdr>
        <w:top w:val="none" w:sz="0" w:space="0" w:color="auto"/>
        <w:left w:val="none" w:sz="0" w:space="0" w:color="auto"/>
        <w:bottom w:val="none" w:sz="0" w:space="0" w:color="auto"/>
        <w:right w:val="none" w:sz="0" w:space="0" w:color="auto"/>
      </w:divBdr>
      <w:divsChild>
        <w:div w:id="1091968520">
          <w:marLeft w:val="0"/>
          <w:marRight w:val="0"/>
          <w:marTop w:val="0"/>
          <w:marBottom w:val="0"/>
          <w:divBdr>
            <w:top w:val="none" w:sz="0" w:space="0" w:color="auto"/>
            <w:left w:val="none" w:sz="0" w:space="0" w:color="auto"/>
            <w:bottom w:val="none" w:sz="0" w:space="0" w:color="auto"/>
            <w:right w:val="none" w:sz="0" w:space="0" w:color="auto"/>
          </w:divBdr>
          <w:divsChild>
            <w:div w:id="2104183945">
              <w:marLeft w:val="0"/>
              <w:marRight w:val="0"/>
              <w:marTop w:val="0"/>
              <w:marBottom w:val="0"/>
              <w:divBdr>
                <w:top w:val="none" w:sz="0" w:space="0" w:color="auto"/>
                <w:left w:val="none" w:sz="0" w:space="0" w:color="auto"/>
                <w:bottom w:val="none" w:sz="0" w:space="0" w:color="auto"/>
                <w:right w:val="none" w:sz="0" w:space="0" w:color="auto"/>
              </w:divBdr>
              <w:divsChild>
                <w:div w:id="1145465780">
                  <w:marLeft w:val="0"/>
                  <w:marRight w:val="0"/>
                  <w:marTop w:val="0"/>
                  <w:marBottom w:val="0"/>
                  <w:divBdr>
                    <w:top w:val="none" w:sz="0" w:space="0" w:color="auto"/>
                    <w:left w:val="none" w:sz="0" w:space="0" w:color="auto"/>
                    <w:bottom w:val="none" w:sz="0" w:space="0" w:color="auto"/>
                    <w:right w:val="none" w:sz="0" w:space="0" w:color="auto"/>
                  </w:divBdr>
                  <w:divsChild>
                    <w:div w:id="1906600352">
                      <w:marLeft w:val="0"/>
                      <w:marRight w:val="0"/>
                      <w:marTop w:val="0"/>
                      <w:marBottom w:val="0"/>
                      <w:divBdr>
                        <w:top w:val="none" w:sz="0" w:space="0" w:color="auto"/>
                        <w:left w:val="none" w:sz="0" w:space="0" w:color="auto"/>
                        <w:bottom w:val="none" w:sz="0" w:space="0" w:color="auto"/>
                        <w:right w:val="none" w:sz="0" w:space="0" w:color="auto"/>
                      </w:divBdr>
                      <w:divsChild>
                        <w:div w:id="407074767">
                          <w:marLeft w:val="0"/>
                          <w:marRight w:val="0"/>
                          <w:marTop w:val="0"/>
                          <w:marBottom w:val="0"/>
                          <w:divBdr>
                            <w:top w:val="none" w:sz="0" w:space="0" w:color="auto"/>
                            <w:left w:val="none" w:sz="0" w:space="0" w:color="auto"/>
                            <w:bottom w:val="none" w:sz="0" w:space="0" w:color="auto"/>
                            <w:right w:val="none" w:sz="0" w:space="0" w:color="auto"/>
                          </w:divBdr>
                          <w:divsChild>
                            <w:div w:id="1747990709">
                              <w:marLeft w:val="0"/>
                              <w:marRight w:val="0"/>
                              <w:marTop w:val="0"/>
                              <w:marBottom w:val="0"/>
                              <w:divBdr>
                                <w:top w:val="none" w:sz="0" w:space="0" w:color="auto"/>
                                <w:left w:val="none" w:sz="0" w:space="0" w:color="auto"/>
                                <w:bottom w:val="none" w:sz="0" w:space="0" w:color="auto"/>
                                <w:right w:val="none" w:sz="0" w:space="0" w:color="auto"/>
                              </w:divBdr>
                              <w:divsChild>
                                <w:div w:id="5721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219092">
      <w:bodyDiv w:val="1"/>
      <w:marLeft w:val="0"/>
      <w:marRight w:val="0"/>
      <w:marTop w:val="0"/>
      <w:marBottom w:val="0"/>
      <w:divBdr>
        <w:top w:val="none" w:sz="0" w:space="0" w:color="auto"/>
        <w:left w:val="none" w:sz="0" w:space="0" w:color="auto"/>
        <w:bottom w:val="none" w:sz="0" w:space="0" w:color="auto"/>
        <w:right w:val="none" w:sz="0" w:space="0" w:color="auto"/>
      </w:divBdr>
    </w:div>
    <w:div w:id="851067194">
      <w:bodyDiv w:val="1"/>
      <w:marLeft w:val="0"/>
      <w:marRight w:val="0"/>
      <w:marTop w:val="0"/>
      <w:marBottom w:val="0"/>
      <w:divBdr>
        <w:top w:val="none" w:sz="0" w:space="0" w:color="auto"/>
        <w:left w:val="none" w:sz="0" w:space="0" w:color="auto"/>
        <w:bottom w:val="none" w:sz="0" w:space="0" w:color="auto"/>
        <w:right w:val="none" w:sz="0" w:space="0" w:color="auto"/>
      </w:divBdr>
      <w:divsChild>
        <w:div w:id="1186600352">
          <w:marLeft w:val="0"/>
          <w:marRight w:val="0"/>
          <w:marTop w:val="0"/>
          <w:marBottom w:val="0"/>
          <w:divBdr>
            <w:top w:val="none" w:sz="0" w:space="0" w:color="auto"/>
            <w:left w:val="none" w:sz="0" w:space="0" w:color="auto"/>
            <w:bottom w:val="none" w:sz="0" w:space="0" w:color="auto"/>
            <w:right w:val="none" w:sz="0" w:space="0" w:color="auto"/>
          </w:divBdr>
          <w:divsChild>
            <w:div w:id="1966080145">
              <w:marLeft w:val="0"/>
              <w:marRight w:val="0"/>
              <w:marTop w:val="0"/>
              <w:marBottom w:val="0"/>
              <w:divBdr>
                <w:top w:val="none" w:sz="0" w:space="0" w:color="auto"/>
                <w:left w:val="none" w:sz="0" w:space="0" w:color="auto"/>
                <w:bottom w:val="none" w:sz="0" w:space="0" w:color="auto"/>
                <w:right w:val="none" w:sz="0" w:space="0" w:color="auto"/>
              </w:divBdr>
              <w:divsChild>
                <w:div w:id="246043663">
                  <w:marLeft w:val="0"/>
                  <w:marRight w:val="0"/>
                  <w:marTop w:val="0"/>
                  <w:marBottom w:val="0"/>
                  <w:divBdr>
                    <w:top w:val="none" w:sz="0" w:space="0" w:color="auto"/>
                    <w:left w:val="none" w:sz="0" w:space="0" w:color="auto"/>
                    <w:bottom w:val="none" w:sz="0" w:space="0" w:color="auto"/>
                    <w:right w:val="none" w:sz="0" w:space="0" w:color="auto"/>
                  </w:divBdr>
                  <w:divsChild>
                    <w:div w:id="884024163">
                      <w:marLeft w:val="0"/>
                      <w:marRight w:val="0"/>
                      <w:marTop w:val="0"/>
                      <w:marBottom w:val="0"/>
                      <w:divBdr>
                        <w:top w:val="none" w:sz="0" w:space="0" w:color="auto"/>
                        <w:left w:val="none" w:sz="0" w:space="0" w:color="auto"/>
                        <w:bottom w:val="none" w:sz="0" w:space="0" w:color="auto"/>
                        <w:right w:val="none" w:sz="0" w:space="0" w:color="auto"/>
                      </w:divBdr>
                      <w:divsChild>
                        <w:div w:id="281156661">
                          <w:marLeft w:val="0"/>
                          <w:marRight w:val="0"/>
                          <w:marTop w:val="0"/>
                          <w:marBottom w:val="0"/>
                          <w:divBdr>
                            <w:top w:val="none" w:sz="0" w:space="0" w:color="auto"/>
                            <w:left w:val="none" w:sz="0" w:space="0" w:color="auto"/>
                            <w:bottom w:val="none" w:sz="0" w:space="0" w:color="auto"/>
                            <w:right w:val="none" w:sz="0" w:space="0" w:color="auto"/>
                          </w:divBdr>
                        </w:div>
                        <w:div w:id="9688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16440">
      <w:bodyDiv w:val="1"/>
      <w:marLeft w:val="0"/>
      <w:marRight w:val="0"/>
      <w:marTop w:val="0"/>
      <w:marBottom w:val="0"/>
      <w:divBdr>
        <w:top w:val="none" w:sz="0" w:space="0" w:color="auto"/>
        <w:left w:val="none" w:sz="0" w:space="0" w:color="auto"/>
        <w:bottom w:val="none" w:sz="0" w:space="0" w:color="auto"/>
        <w:right w:val="none" w:sz="0" w:space="0" w:color="auto"/>
      </w:divBdr>
    </w:div>
    <w:div w:id="872112580">
      <w:bodyDiv w:val="1"/>
      <w:marLeft w:val="0"/>
      <w:marRight w:val="0"/>
      <w:marTop w:val="0"/>
      <w:marBottom w:val="0"/>
      <w:divBdr>
        <w:top w:val="none" w:sz="0" w:space="0" w:color="auto"/>
        <w:left w:val="none" w:sz="0" w:space="0" w:color="auto"/>
        <w:bottom w:val="none" w:sz="0" w:space="0" w:color="auto"/>
        <w:right w:val="none" w:sz="0" w:space="0" w:color="auto"/>
      </w:divBdr>
    </w:div>
    <w:div w:id="883449309">
      <w:bodyDiv w:val="1"/>
      <w:marLeft w:val="0"/>
      <w:marRight w:val="0"/>
      <w:marTop w:val="0"/>
      <w:marBottom w:val="0"/>
      <w:divBdr>
        <w:top w:val="none" w:sz="0" w:space="0" w:color="auto"/>
        <w:left w:val="none" w:sz="0" w:space="0" w:color="auto"/>
        <w:bottom w:val="none" w:sz="0" w:space="0" w:color="auto"/>
        <w:right w:val="none" w:sz="0" w:space="0" w:color="auto"/>
      </w:divBdr>
    </w:div>
    <w:div w:id="901453514">
      <w:bodyDiv w:val="1"/>
      <w:marLeft w:val="0"/>
      <w:marRight w:val="0"/>
      <w:marTop w:val="0"/>
      <w:marBottom w:val="0"/>
      <w:divBdr>
        <w:top w:val="none" w:sz="0" w:space="0" w:color="auto"/>
        <w:left w:val="none" w:sz="0" w:space="0" w:color="auto"/>
        <w:bottom w:val="none" w:sz="0" w:space="0" w:color="auto"/>
        <w:right w:val="none" w:sz="0" w:space="0" w:color="auto"/>
      </w:divBdr>
    </w:div>
    <w:div w:id="971133224">
      <w:bodyDiv w:val="1"/>
      <w:marLeft w:val="0"/>
      <w:marRight w:val="0"/>
      <w:marTop w:val="0"/>
      <w:marBottom w:val="0"/>
      <w:divBdr>
        <w:top w:val="none" w:sz="0" w:space="0" w:color="auto"/>
        <w:left w:val="none" w:sz="0" w:space="0" w:color="auto"/>
        <w:bottom w:val="none" w:sz="0" w:space="0" w:color="auto"/>
        <w:right w:val="none" w:sz="0" w:space="0" w:color="auto"/>
      </w:divBdr>
      <w:divsChild>
        <w:div w:id="1974485705">
          <w:marLeft w:val="0"/>
          <w:marRight w:val="0"/>
          <w:marTop w:val="0"/>
          <w:marBottom w:val="0"/>
          <w:divBdr>
            <w:top w:val="none" w:sz="0" w:space="0" w:color="auto"/>
            <w:left w:val="none" w:sz="0" w:space="0" w:color="auto"/>
            <w:bottom w:val="none" w:sz="0" w:space="0" w:color="auto"/>
            <w:right w:val="none" w:sz="0" w:space="0" w:color="auto"/>
          </w:divBdr>
          <w:divsChild>
            <w:div w:id="2039114682">
              <w:marLeft w:val="0"/>
              <w:marRight w:val="0"/>
              <w:marTop w:val="0"/>
              <w:marBottom w:val="0"/>
              <w:divBdr>
                <w:top w:val="none" w:sz="0" w:space="0" w:color="auto"/>
                <w:left w:val="none" w:sz="0" w:space="0" w:color="auto"/>
                <w:bottom w:val="none" w:sz="0" w:space="0" w:color="auto"/>
                <w:right w:val="none" w:sz="0" w:space="0" w:color="auto"/>
              </w:divBdr>
              <w:divsChild>
                <w:div w:id="1214392603">
                  <w:marLeft w:val="0"/>
                  <w:marRight w:val="0"/>
                  <w:marTop w:val="0"/>
                  <w:marBottom w:val="0"/>
                  <w:divBdr>
                    <w:top w:val="none" w:sz="0" w:space="0" w:color="auto"/>
                    <w:left w:val="none" w:sz="0" w:space="0" w:color="auto"/>
                    <w:bottom w:val="none" w:sz="0" w:space="0" w:color="auto"/>
                    <w:right w:val="none" w:sz="0" w:space="0" w:color="auto"/>
                  </w:divBdr>
                  <w:divsChild>
                    <w:div w:id="1922830829">
                      <w:marLeft w:val="0"/>
                      <w:marRight w:val="0"/>
                      <w:marTop w:val="0"/>
                      <w:marBottom w:val="0"/>
                      <w:divBdr>
                        <w:top w:val="single" w:sz="6" w:space="0" w:color="DCD9D9"/>
                        <w:left w:val="single" w:sz="6" w:space="0" w:color="DCD9D9"/>
                        <w:bottom w:val="single" w:sz="2" w:space="0" w:color="DCD9D9"/>
                        <w:right w:val="single" w:sz="6" w:space="0" w:color="DCD9D9"/>
                      </w:divBdr>
                      <w:divsChild>
                        <w:div w:id="1215777643">
                          <w:marLeft w:val="0"/>
                          <w:marRight w:val="-100"/>
                          <w:marTop w:val="450"/>
                          <w:marBottom w:val="0"/>
                          <w:divBdr>
                            <w:top w:val="none" w:sz="0" w:space="0" w:color="auto"/>
                            <w:left w:val="none" w:sz="0" w:space="0" w:color="auto"/>
                            <w:bottom w:val="none" w:sz="0" w:space="0" w:color="auto"/>
                            <w:right w:val="none" w:sz="0" w:space="0" w:color="auto"/>
                          </w:divBdr>
                          <w:divsChild>
                            <w:div w:id="798570502">
                              <w:marLeft w:val="0"/>
                              <w:marRight w:val="0"/>
                              <w:marTop w:val="0"/>
                              <w:marBottom w:val="0"/>
                              <w:divBdr>
                                <w:top w:val="none" w:sz="0" w:space="0" w:color="auto"/>
                                <w:left w:val="none" w:sz="0" w:space="0" w:color="auto"/>
                                <w:bottom w:val="none" w:sz="0" w:space="0" w:color="auto"/>
                                <w:right w:val="none" w:sz="0" w:space="0" w:color="auto"/>
                              </w:divBdr>
                              <w:divsChild>
                                <w:div w:id="504707768">
                                  <w:marLeft w:val="0"/>
                                  <w:marRight w:val="0"/>
                                  <w:marTop w:val="0"/>
                                  <w:marBottom w:val="0"/>
                                  <w:divBdr>
                                    <w:top w:val="none" w:sz="0" w:space="0" w:color="auto"/>
                                    <w:left w:val="none" w:sz="0" w:space="0" w:color="auto"/>
                                    <w:bottom w:val="none" w:sz="0" w:space="0" w:color="auto"/>
                                    <w:right w:val="none" w:sz="0" w:space="0" w:color="auto"/>
                                  </w:divBdr>
                                  <w:divsChild>
                                    <w:div w:id="2043969125">
                                      <w:marLeft w:val="0"/>
                                      <w:marRight w:val="0"/>
                                      <w:marTop w:val="0"/>
                                      <w:marBottom w:val="0"/>
                                      <w:divBdr>
                                        <w:top w:val="none" w:sz="0" w:space="0" w:color="auto"/>
                                        <w:left w:val="none" w:sz="0" w:space="0" w:color="auto"/>
                                        <w:bottom w:val="none" w:sz="0" w:space="0" w:color="auto"/>
                                        <w:right w:val="none" w:sz="0" w:space="0" w:color="auto"/>
                                      </w:divBdr>
                                      <w:divsChild>
                                        <w:div w:id="1991251926">
                                          <w:marLeft w:val="0"/>
                                          <w:marRight w:val="0"/>
                                          <w:marTop w:val="0"/>
                                          <w:marBottom w:val="360"/>
                                          <w:divBdr>
                                            <w:top w:val="none" w:sz="0" w:space="0" w:color="auto"/>
                                            <w:left w:val="none" w:sz="0" w:space="0" w:color="auto"/>
                                            <w:bottom w:val="none" w:sz="0" w:space="0" w:color="auto"/>
                                            <w:right w:val="none" w:sz="0" w:space="0" w:color="auto"/>
                                          </w:divBdr>
                                          <w:divsChild>
                                            <w:div w:id="1394500097">
                                              <w:marLeft w:val="0"/>
                                              <w:marRight w:val="0"/>
                                              <w:marTop w:val="0"/>
                                              <w:marBottom w:val="0"/>
                                              <w:divBdr>
                                                <w:top w:val="none" w:sz="0" w:space="0" w:color="auto"/>
                                                <w:left w:val="none" w:sz="0" w:space="0" w:color="auto"/>
                                                <w:bottom w:val="none" w:sz="0" w:space="0" w:color="auto"/>
                                                <w:right w:val="none" w:sz="0" w:space="0" w:color="auto"/>
                                              </w:divBdr>
                                              <w:divsChild>
                                                <w:div w:id="994725816">
                                                  <w:marLeft w:val="0"/>
                                                  <w:marRight w:val="0"/>
                                                  <w:marTop w:val="0"/>
                                                  <w:marBottom w:val="0"/>
                                                  <w:divBdr>
                                                    <w:top w:val="none" w:sz="0" w:space="0" w:color="auto"/>
                                                    <w:left w:val="none" w:sz="0" w:space="0" w:color="auto"/>
                                                    <w:bottom w:val="none" w:sz="0" w:space="0" w:color="auto"/>
                                                    <w:right w:val="none" w:sz="0" w:space="0" w:color="auto"/>
                                                  </w:divBdr>
                                                  <w:divsChild>
                                                    <w:div w:id="2057389039">
                                                      <w:marLeft w:val="0"/>
                                                      <w:marRight w:val="0"/>
                                                      <w:marTop w:val="0"/>
                                                      <w:marBottom w:val="0"/>
                                                      <w:divBdr>
                                                        <w:top w:val="none" w:sz="0" w:space="0" w:color="auto"/>
                                                        <w:left w:val="none" w:sz="0" w:space="0" w:color="auto"/>
                                                        <w:bottom w:val="none" w:sz="0" w:space="0" w:color="auto"/>
                                                        <w:right w:val="none" w:sz="0" w:space="0" w:color="auto"/>
                                                      </w:divBdr>
                                                      <w:divsChild>
                                                        <w:div w:id="197090454">
                                                          <w:marLeft w:val="0"/>
                                                          <w:marRight w:val="0"/>
                                                          <w:marTop w:val="0"/>
                                                          <w:marBottom w:val="0"/>
                                                          <w:divBdr>
                                                            <w:top w:val="none" w:sz="0" w:space="0" w:color="auto"/>
                                                            <w:left w:val="none" w:sz="0" w:space="0" w:color="auto"/>
                                                            <w:bottom w:val="none" w:sz="0" w:space="0" w:color="auto"/>
                                                            <w:right w:val="none" w:sz="0" w:space="0" w:color="auto"/>
                                                          </w:divBdr>
                                                          <w:divsChild>
                                                            <w:div w:id="1500806463">
                                                              <w:marLeft w:val="0"/>
                                                              <w:marRight w:val="0"/>
                                                              <w:marTop w:val="0"/>
                                                              <w:marBottom w:val="0"/>
                                                              <w:divBdr>
                                                                <w:top w:val="none" w:sz="0" w:space="0" w:color="auto"/>
                                                                <w:left w:val="none" w:sz="0" w:space="0" w:color="auto"/>
                                                                <w:bottom w:val="none" w:sz="0" w:space="0" w:color="auto"/>
                                                                <w:right w:val="none" w:sz="0" w:space="0" w:color="auto"/>
                                                              </w:divBdr>
                                                              <w:divsChild>
                                                                <w:div w:id="20266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7302800">
      <w:bodyDiv w:val="1"/>
      <w:marLeft w:val="0"/>
      <w:marRight w:val="0"/>
      <w:marTop w:val="0"/>
      <w:marBottom w:val="0"/>
      <w:divBdr>
        <w:top w:val="none" w:sz="0" w:space="0" w:color="auto"/>
        <w:left w:val="none" w:sz="0" w:space="0" w:color="auto"/>
        <w:bottom w:val="none" w:sz="0" w:space="0" w:color="auto"/>
        <w:right w:val="none" w:sz="0" w:space="0" w:color="auto"/>
      </w:divBdr>
      <w:divsChild>
        <w:div w:id="993987840">
          <w:marLeft w:val="0"/>
          <w:marRight w:val="0"/>
          <w:marTop w:val="0"/>
          <w:marBottom w:val="0"/>
          <w:divBdr>
            <w:top w:val="none" w:sz="0" w:space="0" w:color="auto"/>
            <w:left w:val="none" w:sz="0" w:space="0" w:color="auto"/>
            <w:bottom w:val="none" w:sz="0" w:space="0" w:color="auto"/>
            <w:right w:val="none" w:sz="0" w:space="0" w:color="auto"/>
          </w:divBdr>
          <w:divsChild>
            <w:div w:id="1460033113">
              <w:marLeft w:val="0"/>
              <w:marRight w:val="0"/>
              <w:marTop w:val="0"/>
              <w:marBottom w:val="0"/>
              <w:divBdr>
                <w:top w:val="none" w:sz="0" w:space="0" w:color="auto"/>
                <w:left w:val="none" w:sz="0" w:space="0" w:color="auto"/>
                <w:bottom w:val="none" w:sz="0" w:space="0" w:color="auto"/>
                <w:right w:val="none" w:sz="0" w:space="0" w:color="auto"/>
              </w:divBdr>
              <w:divsChild>
                <w:div w:id="1161699389">
                  <w:marLeft w:val="0"/>
                  <w:marRight w:val="0"/>
                  <w:marTop w:val="0"/>
                  <w:marBottom w:val="0"/>
                  <w:divBdr>
                    <w:top w:val="none" w:sz="0" w:space="0" w:color="auto"/>
                    <w:left w:val="none" w:sz="0" w:space="0" w:color="auto"/>
                    <w:bottom w:val="none" w:sz="0" w:space="0" w:color="auto"/>
                    <w:right w:val="none" w:sz="0" w:space="0" w:color="auto"/>
                  </w:divBdr>
                  <w:divsChild>
                    <w:div w:id="386415642">
                      <w:marLeft w:val="0"/>
                      <w:marRight w:val="0"/>
                      <w:marTop w:val="0"/>
                      <w:marBottom w:val="0"/>
                      <w:divBdr>
                        <w:top w:val="none" w:sz="0" w:space="0" w:color="auto"/>
                        <w:left w:val="none" w:sz="0" w:space="0" w:color="auto"/>
                        <w:bottom w:val="none" w:sz="0" w:space="0" w:color="auto"/>
                        <w:right w:val="none" w:sz="0" w:space="0" w:color="auto"/>
                      </w:divBdr>
                      <w:divsChild>
                        <w:div w:id="1900707596">
                          <w:marLeft w:val="0"/>
                          <w:marRight w:val="0"/>
                          <w:marTop w:val="0"/>
                          <w:marBottom w:val="0"/>
                          <w:divBdr>
                            <w:top w:val="none" w:sz="0" w:space="0" w:color="auto"/>
                            <w:left w:val="none" w:sz="0" w:space="0" w:color="auto"/>
                            <w:bottom w:val="none" w:sz="0" w:space="0" w:color="auto"/>
                            <w:right w:val="none" w:sz="0" w:space="0" w:color="auto"/>
                          </w:divBdr>
                          <w:divsChild>
                            <w:div w:id="358548079">
                              <w:marLeft w:val="0"/>
                              <w:marRight w:val="0"/>
                              <w:marTop w:val="0"/>
                              <w:marBottom w:val="0"/>
                              <w:divBdr>
                                <w:top w:val="none" w:sz="0" w:space="0" w:color="auto"/>
                                <w:left w:val="none" w:sz="0" w:space="0" w:color="auto"/>
                                <w:bottom w:val="none" w:sz="0" w:space="0" w:color="auto"/>
                                <w:right w:val="none" w:sz="0" w:space="0" w:color="auto"/>
                              </w:divBdr>
                              <w:divsChild>
                                <w:div w:id="143203531">
                                  <w:marLeft w:val="0"/>
                                  <w:marRight w:val="0"/>
                                  <w:marTop w:val="0"/>
                                  <w:marBottom w:val="0"/>
                                  <w:divBdr>
                                    <w:top w:val="none" w:sz="0" w:space="0" w:color="auto"/>
                                    <w:left w:val="none" w:sz="0" w:space="0" w:color="auto"/>
                                    <w:bottom w:val="none" w:sz="0" w:space="0" w:color="auto"/>
                                    <w:right w:val="none" w:sz="0" w:space="0" w:color="auto"/>
                                  </w:divBdr>
                                  <w:divsChild>
                                    <w:div w:id="3765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921225">
      <w:bodyDiv w:val="1"/>
      <w:marLeft w:val="0"/>
      <w:marRight w:val="0"/>
      <w:marTop w:val="0"/>
      <w:marBottom w:val="0"/>
      <w:divBdr>
        <w:top w:val="none" w:sz="0" w:space="0" w:color="auto"/>
        <w:left w:val="none" w:sz="0" w:space="0" w:color="auto"/>
        <w:bottom w:val="none" w:sz="0" w:space="0" w:color="auto"/>
        <w:right w:val="none" w:sz="0" w:space="0" w:color="auto"/>
      </w:divBdr>
    </w:div>
    <w:div w:id="998652564">
      <w:bodyDiv w:val="1"/>
      <w:marLeft w:val="0"/>
      <w:marRight w:val="0"/>
      <w:marTop w:val="0"/>
      <w:marBottom w:val="0"/>
      <w:divBdr>
        <w:top w:val="none" w:sz="0" w:space="0" w:color="auto"/>
        <w:left w:val="none" w:sz="0" w:space="0" w:color="auto"/>
        <w:bottom w:val="none" w:sz="0" w:space="0" w:color="auto"/>
        <w:right w:val="none" w:sz="0" w:space="0" w:color="auto"/>
      </w:divBdr>
    </w:div>
    <w:div w:id="1007250802">
      <w:bodyDiv w:val="1"/>
      <w:marLeft w:val="0"/>
      <w:marRight w:val="0"/>
      <w:marTop w:val="0"/>
      <w:marBottom w:val="0"/>
      <w:divBdr>
        <w:top w:val="none" w:sz="0" w:space="0" w:color="auto"/>
        <w:left w:val="none" w:sz="0" w:space="0" w:color="auto"/>
        <w:bottom w:val="none" w:sz="0" w:space="0" w:color="auto"/>
        <w:right w:val="none" w:sz="0" w:space="0" w:color="auto"/>
      </w:divBdr>
    </w:div>
    <w:div w:id="1030956833">
      <w:bodyDiv w:val="1"/>
      <w:marLeft w:val="0"/>
      <w:marRight w:val="0"/>
      <w:marTop w:val="0"/>
      <w:marBottom w:val="0"/>
      <w:divBdr>
        <w:top w:val="none" w:sz="0" w:space="0" w:color="auto"/>
        <w:left w:val="none" w:sz="0" w:space="0" w:color="auto"/>
        <w:bottom w:val="none" w:sz="0" w:space="0" w:color="auto"/>
        <w:right w:val="none" w:sz="0" w:space="0" w:color="auto"/>
      </w:divBdr>
      <w:divsChild>
        <w:div w:id="809905110">
          <w:marLeft w:val="0"/>
          <w:marRight w:val="0"/>
          <w:marTop w:val="0"/>
          <w:marBottom w:val="0"/>
          <w:divBdr>
            <w:top w:val="none" w:sz="0" w:space="0" w:color="auto"/>
            <w:left w:val="none" w:sz="0" w:space="0" w:color="auto"/>
            <w:bottom w:val="none" w:sz="0" w:space="0" w:color="auto"/>
            <w:right w:val="none" w:sz="0" w:space="0" w:color="auto"/>
          </w:divBdr>
          <w:divsChild>
            <w:div w:id="1371109836">
              <w:marLeft w:val="0"/>
              <w:marRight w:val="0"/>
              <w:marTop w:val="0"/>
              <w:marBottom w:val="0"/>
              <w:divBdr>
                <w:top w:val="none" w:sz="0" w:space="0" w:color="auto"/>
                <w:left w:val="none" w:sz="0" w:space="0" w:color="auto"/>
                <w:bottom w:val="none" w:sz="0" w:space="0" w:color="auto"/>
                <w:right w:val="none" w:sz="0" w:space="0" w:color="auto"/>
              </w:divBdr>
              <w:divsChild>
                <w:div w:id="1677229103">
                  <w:marLeft w:val="0"/>
                  <w:marRight w:val="0"/>
                  <w:marTop w:val="0"/>
                  <w:marBottom w:val="0"/>
                  <w:divBdr>
                    <w:top w:val="none" w:sz="0" w:space="0" w:color="auto"/>
                    <w:left w:val="none" w:sz="0" w:space="0" w:color="auto"/>
                    <w:bottom w:val="none" w:sz="0" w:space="0" w:color="auto"/>
                    <w:right w:val="none" w:sz="0" w:space="0" w:color="auto"/>
                  </w:divBdr>
                  <w:divsChild>
                    <w:div w:id="1322809251">
                      <w:marLeft w:val="0"/>
                      <w:marRight w:val="0"/>
                      <w:marTop w:val="0"/>
                      <w:marBottom w:val="0"/>
                      <w:divBdr>
                        <w:top w:val="none" w:sz="0" w:space="0" w:color="auto"/>
                        <w:left w:val="none" w:sz="0" w:space="0" w:color="auto"/>
                        <w:bottom w:val="none" w:sz="0" w:space="0" w:color="auto"/>
                        <w:right w:val="none" w:sz="0" w:space="0" w:color="auto"/>
                      </w:divBdr>
                      <w:divsChild>
                        <w:div w:id="71391720">
                          <w:marLeft w:val="0"/>
                          <w:marRight w:val="0"/>
                          <w:marTop w:val="0"/>
                          <w:marBottom w:val="0"/>
                          <w:divBdr>
                            <w:top w:val="none" w:sz="0" w:space="0" w:color="auto"/>
                            <w:left w:val="none" w:sz="0" w:space="0" w:color="auto"/>
                            <w:bottom w:val="none" w:sz="0" w:space="0" w:color="auto"/>
                            <w:right w:val="none" w:sz="0" w:space="0" w:color="auto"/>
                          </w:divBdr>
                          <w:divsChild>
                            <w:div w:id="554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27106">
      <w:bodyDiv w:val="1"/>
      <w:marLeft w:val="0"/>
      <w:marRight w:val="0"/>
      <w:marTop w:val="0"/>
      <w:marBottom w:val="0"/>
      <w:divBdr>
        <w:top w:val="none" w:sz="0" w:space="0" w:color="auto"/>
        <w:left w:val="none" w:sz="0" w:space="0" w:color="auto"/>
        <w:bottom w:val="none" w:sz="0" w:space="0" w:color="auto"/>
        <w:right w:val="none" w:sz="0" w:space="0" w:color="auto"/>
      </w:divBdr>
      <w:divsChild>
        <w:div w:id="309795223">
          <w:marLeft w:val="0"/>
          <w:marRight w:val="0"/>
          <w:marTop w:val="0"/>
          <w:marBottom w:val="0"/>
          <w:divBdr>
            <w:top w:val="none" w:sz="0" w:space="0" w:color="auto"/>
            <w:left w:val="none" w:sz="0" w:space="0" w:color="auto"/>
            <w:bottom w:val="none" w:sz="0" w:space="0" w:color="auto"/>
            <w:right w:val="none" w:sz="0" w:space="0" w:color="auto"/>
          </w:divBdr>
          <w:divsChild>
            <w:div w:id="1564213759">
              <w:marLeft w:val="0"/>
              <w:marRight w:val="0"/>
              <w:marTop w:val="0"/>
              <w:marBottom w:val="0"/>
              <w:divBdr>
                <w:top w:val="none" w:sz="0" w:space="0" w:color="auto"/>
                <w:left w:val="none" w:sz="0" w:space="0" w:color="auto"/>
                <w:bottom w:val="none" w:sz="0" w:space="0" w:color="auto"/>
                <w:right w:val="none" w:sz="0" w:space="0" w:color="auto"/>
              </w:divBdr>
              <w:divsChild>
                <w:div w:id="625501831">
                  <w:marLeft w:val="0"/>
                  <w:marRight w:val="0"/>
                  <w:marTop w:val="0"/>
                  <w:marBottom w:val="0"/>
                  <w:divBdr>
                    <w:top w:val="none" w:sz="0" w:space="0" w:color="auto"/>
                    <w:left w:val="none" w:sz="0" w:space="0" w:color="auto"/>
                    <w:bottom w:val="none" w:sz="0" w:space="0" w:color="auto"/>
                    <w:right w:val="none" w:sz="0" w:space="0" w:color="auto"/>
                  </w:divBdr>
                  <w:divsChild>
                    <w:div w:id="2036533907">
                      <w:marLeft w:val="0"/>
                      <w:marRight w:val="0"/>
                      <w:marTop w:val="0"/>
                      <w:marBottom w:val="0"/>
                      <w:divBdr>
                        <w:top w:val="none" w:sz="0" w:space="0" w:color="auto"/>
                        <w:left w:val="none" w:sz="0" w:space="0" w:color="auto"/>
                        <w:bottom w:val="none" w:sz="0" w:space="0" w:color="auto"/>
                        <w:right w:val="none" w:sz="0" w:space="0" w:color="auto"/>
                      </w:divBdr>
                      <w:divsChild>
                        <w:div w:id="706835237">
                          <w:marLeft w:val="0"/>
                          <w:marRight w:val="0"/>
                          <w:marTop w:val="0"/>
                          <w:marBottom w:val="0"/>
                          <w:divBdr>
                            <w:top w:val="none" w:sz="0" w:space="0" w:color="auto"/>
                            <w:left w:val="none" w:sz="0" w:space="0" w:color="auto"/>
                            <w:bottom w:val="none" w:sz="0" w:space="0" w:color="auto"/>
                            <w:right w:val="none" w:sz="0" w:space="0" w:color="auto"/>
                          </w:divBdr>
                          <w:divsChild>
                            <w:div w:id="8973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90815">
      <w:bodyDiv w:val="1"/>
      <w:marLeft w:val="75"/>
      <w:marRight w:val="0"/>
      <w:marTop w:val="0"/>
      <w:marBottom w:val="0"/>
      <w:divBdr>
        <w:top w:val="none" w:sz="0" w:space="0" w:color="auto"/>
        <w:left w:val="none" w:sz="0" w:space="0" w:color="auto"/>
        <w:bottom w:val="none" w:sz="0" w:space="0" w:color="auto"/>
        <w:right w:val="none" w:sz="0" w:space="0" w:color="auto"/>
      </w:divBdr>
      <w:divsChild>
        <w:div w:id="1886598920">
          <w:marLeft w:val="0"/>
          <w:marRight w:val="0"/>
          <w:marTop w:val="0"/>
          <w:marBottom w:val="0"/>
          <w:divBdr>
            <w:top w:val="none" w:sz="0" w:space="0" w:color="auto"/>
            <w:left w:val="none" w:sz="0" w:space="0" w:color="auto"/>
            <w:bottom w:val="none" w:sz="0" w:space="0" w:color="auto"/>
            <w:right w:val="none" w:sz="0" w:space="0" w:color="auto"/>
          </w:divBdr>
          <w:divsChild>
            <w:div w:id="6662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6842">
      <w:bodyDiv w:val="1"/>
      <w:marLeft w:val="0"/>
      <w:marRight w:val="0"/>
      <w:marTop w:val="0"/>
      <w:marBottom w:val="0"/>
      <w:divBdr>
        <w:top w:val="none" w:sz="0" w:space="0" w:color="auto"/>
        <w:left w:val="none" w:sz="0" w:space="0" w:color="auto"/>
        <w:bottom w:val="none" w:sz="0" w:space="0" w:color="auto"/>
        <w:right w:val="none" w:sz="0" w:space="0" w:color="auto"/>
      </w:divBdr>
      <w:divsChild>
        <w:div w:id="1008213890">
          <w:marLeft w:val="0"/>
          <w:marRight w:val="0"/>
          <w:marTop w:val="0"/>
          <w:marBottom w:val="0"/>
          <w:divBdr>
            <w:top w:val="none" w:sz="0" w:space="0" w:color="auto"/>
            <w:left w:val="none" w:sz="0" w:space="0" w:color="auto"/>
            <w:bottom w:val="none" w:sz="0" w:space="0" w:color="auto"/>
            <w:right w:val="none" w:sz="0" w:space="0" w:color="auto"/>
          </w:divBdr>
          <w:divsChild>
            <w:div w:id="222450358">
              <w:marLeft w:val="0"/>
              <w:marRight w:val="0"/>
              <w:marTop w:val="0"/>
              <w:marBottom w:val="0"/>
              <w:divBdr>
                <w:top w:val="none" w:sz="0" w:space="0" w:color="auto"/>
                <w:left w:val="none" w:sz="0" w:space="0" w:color="auto"/>
                <w:bottom w:val="none" w:sz="0" w:space="0" w:color="auto"/>
                <w:right w:val="none" w:sz="0" w:space="0" w:color="auto"/>
              </w:divBdr>
              <w:divsChild>
                <w:div w:id="651057415">
                  <w:marLeft w:val="0"/>
                  <w:marRight w:val="0"/>
                  <w:marTop w:val="0"/>
                  <w:marBottom w:val="0"/>
                  <w:divBdr>
                    <w:top w:val="none" w:sz="0" w:space="0" w:color="auto"/>
                    <w:left w:val="none" w:sz="0" w:space="0" w:color="auto"/>
                    <w:bottom w:val="none" w:sz="0" w:space="0" w:color="auto"/>
                    <w:right w:val="none" w:sz="0" w:space="0" w:color="auto"/>
                  </w:divBdr>
                  <w:divsChild>
                    <w:div w:id="697853860">
                      <w:marLeft w:val="0"/>
                      <w:marRight w:val="0"/>
                      <w:marTop w:val="0"/>
                      <w:marBottom w:val="0"/>
                      <w:divBdr>
                        <w:top w:val="none" w:sz="0" w:space="0" w:color="auto"/>
                        <w:left w:val="none" w:sz="0" w:space="0" w:color="auto"/>
                        <w:bottom w:val="none" w:sz="0" w:space="0" w:color="auto"/>
                        <w:right w:val="none" w:sz="0" w:space="0" w:color="auto"/>
                      </w:divBdr>
                      <w:divsChild>
                        <w:div w:id="1737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999201">
      <w:bodyDiv w:val="1"/>
      <w:marLeft w:val="0"/>
      <w:marRight w:val="0"/>
      <w:marTop w:val="0"/>
      <w:marBottom w:val="0"/>
      <w:divBdr>
        <w:top w:val="none" w:sz="0" w:space="0" w:color="auto"/>
        <w:left w:val="none" w:sz="0" w:space="0" w:color="auto"/>
        <w:bottom w:val="none" w:sz="0" w:space="0" w:color="auto"/>
        <w:right w:val="none" w:sz="0" w:space="0" w:color="auto"/>
      </w:divBdr>
      <w:divsChild>
        <w:div w:id="1313026206">
          <w:marLeft w:val="0"/>
          <w:marRight w:val="0"/>
          <w:marTop w:val="0"/>
          <w:marBottom w:val="0"/>
          <w:divBdr>
            <w:top w:val="none" w:sz="0" w:space="0" w:color="auto"/>
            <w:left w:val="none" w:sz="0" w:space="0" w:color="auto"/>
            <w:bottom w:val="none" w:sz="0" w:space="0" w:color="auto"/>
            <w:right w:val="none" w:sz="0" w:space="0" w:color="auto"/>
          </w:divBdr>
          <w:divsChild>
            <w:div w:id="215093521">
              <w:marLeft w:val="0"/>
              <w:marRight w:val="0"/>
              <w:marTop w:val="0"/>
              <w:marBottom w:val="0"/>
              <w:divBdr>
                <w:top w:val="none" w:sz="0" w:space="0" w:color="auto"/>
                <w:left w:val="none" w:sz="0" w:space="0" w:color="auto"/>
                <w:bottom w:val="none" w:sz="0" w:space="0" w:color="auto"/>
                <w:right w:val="none" w:sz="0" w:space="0" w:color="auto"/>
              </w:divBdr>
              <w:divsChild>
                <w:div w:id="1207525910">
                  <w:marLeft w:val="0"/>
                  <w:marRight w:val="0"/>
                  <w:marTop w:val="0"/>
                  <w:marBottom w:val="0"/>
                  <w:divBdr>
                    <w:top w:val="none" w:sz="0" w:space="0" w:color="auto"/>
                    <w:left w:val="none" w:sz="0" w:space="0" w:color="auto"/>
                    <w:bottom w:val="none" w:sz="0" w:space="0" w:color="auto"/>
                    <w:right w:val="none" w:sz="0" w:space="0" w:color="auto"/>
                  </w:divBdr>
                  <w:divsChild>
                    <w:div w:id="1367828759">
                      <w:marLeft w:val="0"/>
                      <w:marRight w:val="0"/>
                      <w:marTop w:val="0"/>
                      <w:marBottom w:val="0"/>
                      <w:divBdr>
                        <w:top w:val="none" w:sz="0" w:space="0" w:color="auto"/>
                        <w:left w:val="none" w:sz="0" w:space="0" w:color="auto"/>
                        <w:bottom w:val="none" w:sz="0" w:space="0" w:color="auto"/>
                        <w:right w:val="none" w:sz="0" w:space="0" w:color="auto"/>
                      </w:divBdr>
                      <w:divsChild>
                        <w:div w:id="547187028">
                          <w:marLeft w:val="0"/>
                          <w:marRight w:val="0"/>
                          <w:marTop w:val="0"/>
                          <w:marBottom w:val="0"/>
                          <w:divBdr>
                            <w:top w:val="none" w:sz="0" w:space="0" w:color="auto"/>
                            <w:left w:val="none" w:sz="0" w:space="0" w:color="auto"/>
                            <w:bottom w:val="none" w:sz="0" w:space="0" w:color="auto"/>
                            <w:right w:val="none" w:sz="0" w:space="0" w:color="auto"/>
                          </w:divBdr>
                          <w:divsChild>
                            <w:div w:id="1546405273">
                              <w:marLeft w:val="0"/>
                              <w:marRight w:val="0"/>
                              <w:marTop w:val="0"/>
                              <w:marBottom w:val="0"/>
                              <w:divBdr>
                                <w:top w:val="none" w:sz="0" w:space="0" w:color="auto"/>
                                <w:left w:val="none" w:sz="0" w:space="0" w:color="auto"/>
                                <w:bottom w:val="none" w:sz="0" w:space="0" w:color="auto"/>
                                <w:right w:val="none" w:sz="0" w:space="0" w:color="auto"/>
                              </w:divBdr>
                              <w:divsChild>
                                <w:div w:id="16037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631912">
      <w:bodyDiv w:val="1"/>
      <w:marLeft w:val="0"/>
      <w:marRight w:val="0"/>
      <w:marTop w:val="0"/>
      <w:marBottom w:val="0"/>
      <w:divBdr>
        <w:top w:val="none" w:sz="0" w:space="0" w:color="auto"/>
        <w:left w:val="none" w:sz="0" w:space="0" w:color="auto"/>
        <w:bottom w:val="none" w:sz="0" w:space="0" w:color="auto"/>
        <w:right w:val="none" w:sz="0" w:space="0" w:color="auto"/>
      </w:divBdr>
      <w:divsChild>
        <w:div w:id="671762265">
          <w:marLeft w:val="0"/>
          <w:marRight w:val="0"/>
          <w:marTop w:val="0"/>
          <w:marBottom w:val="0"/>
          <w:divBdr>
            <w:top w:val="none" w:sz="0" w:space="0" w:color="auto"/>
            <w:left w:val="none" w:sz="0" w:space="0" w:color="auto"/>
            <w:bottom w:val="none" w:sz="0" w:space="0" w:color="auto"/>
            <w:right w:val="none" w:sz="0" w:space="0" w:color="auto"/>
          </w:divBdr>
          <w:divsChild>
            <w:div w:id="925765984">
              <w:marLeft w:val="0"/>
              <w:marRight w:val="0"/>
              <w:marTop w:val="0"/>
              <w:marBottom w:val="0"/>
              <w:divBdr>
                <w:top w:val="none" w:sz="0" w:space="0" w:color="auto"/>
                <w:left w:val="none" w:sz="0" w:space="0" w:color="auto"/>
                <w:bottom w:val="none" w:sz="0" w:space="0" w:color="auto"/>
                <w:right w:val="none" w:sz="0" w:space="0" w:color="auto"/>
              </w:divBdr>
              <w:divsChild>
                <w:div w:id="1344169155">
                  <w:marLeft w:val="0"/>
                  <w:marRight w:val="0"/>
                  <w:marTop w:val="0"/>
                  <w:marBottom w:val="0"/>
                  <w:divBdr>
                    <w:top w:val="none" w:sz="0" w:space="0" w:color="auto"/>
                    <w:left w:val="none" w:sz="0" w:space="0" w:color="auto"/>
                    <w:bottom w:val="none" w:sz="0" w:space="0" w:color="auto"/>
                    <w:right w:val="none" w:sz="0" w:space="0" w:color="auto"/>
                  </w:divBdr>
                  <w:divsChild>
                    <w:div w:id="165479883">
                      <w:marLeft w:val="0"/>
                      <w:marRight w:val="0"/>
                      <w:marTop w:val="0"/>
                      <w:marBottom w:val="0"/>
                      <w:divBdr>
                        <w:top w:val="none" w:sz="0" w:space="0" w:color="auto"/>
                        <w:left w:val="none" w:sz="0" w:space="0" w:color="auto"/>
                        <w:bottom w:val="none" w:sz="0" w:space="0" w:color="auto"/>
                        <w:right w:val="none" w:sz="0" w:space="0" w:color="auto"/>
                      </w:divBdr>
                      <w:divsChild>
                        <w:div w:id="1846045727">
                          <w:marLeft w:val="0"/>
                          <w:marRight w:val="0"/>
                          <w:marTop w:val="0"/>
                          <w:marBottom w:val="0"/>
                          <w:divBdr>
                            <w:top w:val="none" w:sz="0" w:space="0" w:color="auto"/>
                            <w:left w:val="none" w:sz="0" w:space="0" w:color="auto"/>
                            <w:bottom w:val="none" w:sz="0" w:space="0" w:color="auto"/>
                            <w:right w:val="none" w:sz="0" w:space="0" w:color="auto"/>
                          </w:divBdr>
                          <w:divsChild>
                            <w:div w:id="1779982162">
                              <w:marLeft w:val="0"/>
                              <w:marRight w:val="0"/>
                              <w:marTop w:val="0"/>
                              <w:marBottom w:val="0"/>
                              <w:divBdr>
                                <w:top w:val="none" w:sz="0" w:space="0" w:color="auto"/>
                                <w:left w:val="none" w:sz="0" w:space="0" w:color="auto"/>
                                <w:bottom w:val="none" w:sz="0" w:space="0" w:color="auto"/>
                                <w:right w:val="none" w:sz="0" w:space="0" w:color="auto"/>
                              </w:divBdr>
                              <w:divsChild>
                                <w:div w:id="2932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042764">
      <w:bodyDiv w:val="1"/>
      <w:marLeft w:val="0"/>
      <w:marRight w:val="0"/>
      <w:marTop w:val="0"/>
      <w:marBottom w:val="0"/>
      <w:divBdr>
        <w:top w:val="none" w:sz="0" w:space="0" w:color="auto"/>
        <w:left w:val="none" w:sz="0" w:space="0" w:color="auto"/>
        <w:bottom w:val="none" w:sz="0" w:space="0" w:color="auto"/>
        <w:right w:val="none" w:sz="0" w:space="0" w:color="auto"/>
      </w:divBdr>
    </w:div>
    <w:div w:id="1091271652">
      <w:bodyDiv w:val="1"/>
      <w:marLeft w:val="0"/>
      <w:marRight w:val="0"/>
      <w:marTop w:val="0"/>
      <w:marBottom w:val="0"/>
      <w:divBdr>
        <w:top w:val="none" w:sz="0" w:space="0" w:color="auto"/>
        <w:left w:val="none" w:sz="0" w:space="0" w:color="auto"/>
        <w:bottom w:val="none" w:sz="0" w:space="0" w:color="auto"/>
        <w:right w:val="none" w:sz="0" w:space="0" w:color="auto"/>
      </w:divBdr>
    </w:div>
    <w:div w:id="1094865143">
      <w:bodyDiv w:val="1"/>
      <w:marLeft w:val="0"/>
      <w:marRight w:val="0"/>
      <w:marTop w:val="0"/>
      <w:marBottom w:val="0"/>
      <w:divBdr>
        <w:top w:val="none" w:sz="0" w:space="0" w:color="auto"/>
        <w:left w:val="none" w:sz="0" w:space="0" w:color="auto"/>
        <w:bottom w:val="none" w:sz="0" w:space="0" w:color="auto"/>
        <w:right w:val="none" w:sz="0" w:space="0" w:color="auto"/>
      </w:divBdr>
      <w:divsChild>
        <w:div w:id="501626061">
          <w:marLeft w:val="30"/>
          <w:marRight w:val="75"/>
          <w:marTop w:val="0"/>
          <w:marBottom w:val="0"/>
          <w:divBdr>
            <w:top w:val="none" w:sz="0" w:space="0" w:color="auto"/>
            <w:left w:val="none" w:sz="0" w:space="0" w:color="auto"/>
            <w:bottom w:val="none" w:sz="0" w:space="0" w:color="auto"/>
            <w:right w:val="none" w:sz="0" w:space="0" w:color="auto"/>
          </w:divBdr>
        </w:div>
      </w:divsChild>
    </w:div>
    <w:div w:id="1122185519">
      <w:bodyDiv w:val="1"/>
      <w:marLeft w:val="0"/>
      <w:marRight w:val="0"/>
      <w:marTop w:val="0"/>
      <w:marBottom w:val="0"/>
      <w:divBdr>
        <w:top w:val="none" w:sz="0" w:space="0" w:color="auto"/>
        <w:left w:val="none" w:sz="0" w:space="0" w:color="auto"/>
        <w:bottom w:val="none" w:sz="0" w:space="0" w:color="auto"/>
        <w:right w:val="none" w:sz="0" w:space="0" w:color="auto"/>
      </w:divBdr>
    </w:div>
    <w:div w:id="1145512236">
      <w:bodyDiv w:val="1"/>
      <w:marLeft w:val="0"/>
      <w:marRight w:val="0"/>
      <w:marTop w:val="0"/>
      <w:marBottom w:val="0"/>
      <w:divBdr>
        <w:top w:val="none" w:sz="0" w:space="0" w:color="auto"/>
        <w:left w:val="none" w:sz="0" w:space="0" w:color="auto"/>
        <w:bottom w:val="none" w:sz="0" w:space="0" w:color="auto"/>
        <w:right w:val="none" w:sz="0" w:space="0" w:color="auto"/>
      </w:divBdr>
      <w:divsChild>
        <w:div w:id="27218678">
          <w:marLeft w:val="0"/>
          <w:marRight w:val="0"/>
          <w:marTop w:val="0"/>
          <w:marBottom w:val="0"/>
          <w:divBdr>
            <w:top w:val="none" w:sz="0" w:space="0" w:color="auto"/>
            <w:left w:val="none" w:sz="0" w:space="0" w:color="auto"/>
            <w:bottom w:val="none" w:sz="0" w:space="0" w:color="auto"/>
            <w:right w:val="none" w:sz="0" w:space="0" w:color="auto"/>
          </w:divBdr>
          <w:divsChild>
            <w:div w:id="4132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0912">
      <w:bodyDiv w:val="1"/>
      <w:marLeft w:val="0"/>
      <w:marRight w:val="0"/>
      <w:marTop w:val="0"/>
      <w:marBottom w:val="0"/>
      <w:divBdr>
        <w:top w:val="none" w:sz="0" w:space="0" w:color="auto"/>
        <w:left w:val="none" w:sz="0" w:space="0" w:color="auto"/>
        <w:bottom w:val="none" w:sz="0" w:space="0" w:color="auto"/>
        <w:right w:val="none" w:sz="0" w:space="0" w:color="auto"/>
      </w:divBdr>
    </w:div>
    <w:div w:id="1218325239">
      <w:bodyDiv w:val="1"/>
      <w:marLeft w:val="0"/>
      <w:marRight w:val="0"/>
      <w:marTop w:val="0"/>
      <w:marBottom w:val="0"/>
      <w:divBdr>
        <w:top w:val="none" w:sz="0" w:space="0" w:color="auto"/>
        <w:left w:val="none" w:sz="0" w:space="0" w:color="auto"/>
        <w:bottom w:val="none" w:sz="0" w:space="0" w:color="auto"/>
        <w:right w:val="none" w:sz="0" w:space="0" w:color="auto"/>
      </w:divBdr>
    </w:div>
    <w:div w:id="1221091540">
      <w:bodyDiv w:val="1"/>
      <w:marLeft w:val="0"/>
      <w:marRight w:val="0"/>
      <w:marTop w:val="0"/>
      <w:marBottom w:val="0"/>
      <w:divBdr>
        <w:top w:val="none" w:sz="0" w:space="0" w:color="auto"/>
        <w:left w:val="none" w:sz="0" w:space="0" w:color="auto"/>
        <w:bottom w:val="none" w:sz="0" w:space="0" w:color="auto"/>
        <w:right w:val="none" w:sz="0" w:space="0" w:color="auto"/>
      </w:divBdr>
    </w:div>
    <w:div w:id="1224635793">
      <w:bodyDiv w:val="1"/>
      <w:marLeft w:val="0"/>
      <w:marRight w:val="0"/>
      <w:marTop w:val="0"/>
      <w:marBottom w:val="0"/>
      <w:divBdr>
        <w:top w:val="none" w:sz="0" w:space="0" w:color="auto"/>
        <w:left w:val="none" w:sz="0" w:space="0" w:color="auto"/>
        <w:bottom w:val="none" w:sz="0" w:space="0" w:color="auto"/>
        <w:right w:val="none" w:sz="0" w:space="0" w:color="auto"/>
      </w:divBdr>
      <w:divsChild>
        <w:div w:id="1839809626">
          <w:marLeft w:val="0"/>
          <w:marRight w:val="0"/>
          <w:marTop w:val="0"/>
          <w:marBottom w:val="0"/>
          <w:divBdr>
            <w:top w:val="none" w:sz="0" w:space="0" w:color="auto"/>
            <w:left w:val="none" w:sz="0" w:space="0" w:color="auto"/>
            <w:bottom w:val="none" w:sz="0" w:space="0" w:color="auto"/>
            <w:right w:val="none" w:sz="0" w:space="0" w:color="auto"/>
          </w:divBdr>
          <w:divsChild>
            <w:div w:id="299192028">
              <w:marLeft w:val="0"/>
              <w:marRight w:val="0"/>
              <w:marTop w:val="0"/>
              <w:marBottom w:val="0"/>
              <w:divBdr>
                <w:top w:val="none" w:sz="0" w:space="0" w:color="auto"/>
                <w:left w:val="none" w:sz="0" w:space="0" w:color="auto"/>
                <w:bottom w:val="none" w:sz="0" w:space="0" w:color="auto"/>
                <w:right w:val="none" w:sz="0" w:space="0" w:color="auto"/>
              </w:divBdr>
              <w:divsChild>
                <w:div w:id="1316108683">
                  <w:marLeft w:val="0"/>
                  <w:marRight w:val="0"/>
                  <w:marTop w:val="0"/>
                  <w:marBottom w:val="0"/>
                  <w:divBdr>
                    <w:top w:val="none" w:sz="0" w:space="0" w:color="auto"/>
                    <w:left w:val="none" w:sz="0" w:space="0" w:color="auto"/>
                    <w:bottom w:val="none" w:sz="0" w:space="0" w:color="auto"/>
                    <w:right w:val="none" w:sz="0" w:space="0" w:color="auto"/>
                  </w:divBdr>
                  <w:divsChild>
                    <w:div w:id="237323007">
                      <w:marLeft w:val="0"/>
                      <w:marRight w:val="0"/>
                      <w:marTop w:val="0"/>
                      <w:marBottom w:val="0"/>
                      <w:divBdr>
                        <w:top w:val="none" w:sz="0" w:space="0" w:color="auto"/>
                        <w:left w:val="none" w:sz="0" w:space="0" w:color="auto"/>
                        <w:bottom w:val="none" w:sz="0" w:space="0" w:color="auto"/>
                        <w:right w:val="none" w:sz="0" w:space="0" w:color="auto"/>
                      </w:divBdr>
                      <w:divsChild>
                        <w:div w:id="1647006296">
                          <w:marLeft w:val="0"/>
                          <w:marRight w:val="0"/>
                          <w:marTop w:val="0"/>
                          <w:marBottom w:val="0"/>
                          <w:divBdr>
                            <w:top w:val="none" w:sz="0" w:space="0" w:color="auto"/>
                            <w:left w:val="none" w:sz="0" w:space="0" w:color="auto"/>
                            <w:bottom w:val="none" w:sz="0" w:space="0" w:color="auto"/>
                            <w:right w:val="none" w:sz="0" w:space="0" w:color="auto"/>
                          </w:divBdr>
                          <w:divsChild>
                            <w:div w:id="18185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44890">
      <w:bodyDiv w:val="1"/>
      <w:marLeft w:val="0"/>
      <w:marRight w:val="0"/>
      <w:marTop w:val="0"/>
      <w:marBottom w:val="0"/>
      <w:divBdr>
        <w:top w:val="none" w:sz="0" w:space="0" w:color="auto"/>
        <w:left w:val="none" w:sz="0" w:space="0" w:color="auto"/>
        <w:bottom w:val="none" w:sz="0" w:space="0" w:color="auto"/>
        <w:right w:val="none" w:sz="0" w:space="0" w:color="auto"/>
      </w:divBdr>
      <w:divsChild>
        <w:div w:id="1910144234">
          <w:marLeft w:val="0"/>
          <w:marRight w:val="0"/>
          <w:marTop w:val="0"/>
          <w:marBottom w:val="0"/>
          <w:divBdr>
            <w:top w:val="none" w:sz="0" w:space="0" w:color="auto"/>
            <w:left w:val="none" w:sz="0" w:space="0" w:color="auto"/>
            <w:bottom w:val="none" w:sz="0" w:space="0" w:color="auto"/>
            <w:right w:val="none" w:sz="0" w:space="0" w:color="auto"/>
          </w:divBdr>
          <w:divsChild>
            <w:div w:id="233512968">
              <w:marLeft w:val="0"/>
              <w:marRight w:val="0"/>
              <w:marTop w:val="0"/>
              <w:marBottom w:val="0"/>
              <w:divBdr>
                <w:top w:val="none" w:sz="0" w:space="0" w:color="auto"/>
                <w:left w:val="none" w:sz="0" w:space="0" w:color="auto"/>
                <w:bottom w:val="none" w:sz="0" w:space="0" w:color="auto"/>
                <w:right w:val="none" w:sz="0" w:space="0" w:color="auto"/>
              </w:divBdr>
              <w:divsChild>
                <w:div w:id="1310551358">
                  <w:marLeft w:val="0"/>
                  <w:marRight w:val="0"/>
                  <w:marTop w:val="0"/>
                  <w:marBottom w:val="0"/>
                  <w:divBdr>
                    <w:top w:val="none" w:sz="0" w:space="0" w:color="auto"/>
                    <w:left w:val="none" w:sz="0" w:space="0" w:color="auto"/>
                    <w:bottom w:val="none" w:sz="0" w:space="0" w:color="auto"/>
                    <w:right w:val="none" w:sz="0" w:space="0" w:color="auto"/>
                  </w:divBdr>
                  <w:divsChild>
                    <w:div w:id="899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40865">
      <w:bodyDiv w:val="1"/>
      <w:marLeft w:val="75"/>
      <w:marRight w:val="0"/>
      <w:marTop w:val="0"/>
      <w:marBottom w:val="0"/>
      <w:divBdr>
        <w:top w:val="none" w:sz="0" w:space="0" w:color="auto"/>
        <w:left w:val="none" w:sz="0" w:space="0" w:color="auto"/>
        <w:bottom w:val="none" w:sz="0" w:space="0" w:color="auto"/>
        <w:right w:val="none" w:sz="0" w:space="0" w:color="auto"/>
      </w:divBdr>
      <w:divsChild>
        <w:div w:id="765080098">
          <w:marLeft w:val="0"/>
          <w:marRight w:val="0"/>
          <w:marTop w:val="0"/>
          <w:marBottom w:val="0"/>
          <w:divBdr>
            <w:top w:val="none" w:sz="0" w:space="0" w:color="auto"/>
            <w:left w:val="none" w:sz="0" w:space="0" w:color="auto"/>
            <w:bottom w:val="none" w:sz="0" w:space="0" w:color="auto"/>
            <w:right w:val="none" w:sz="0" w:space="0" w:color="auto"/>
          </w:divBdr>
          <w:divsChild>
            <w:div w:id="7317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2572">
      <w:bodyDiv w:val="1"/>
      <w:marLeft w:val="0"/>
      <w:marRight w:val="0"/>
      <w:marTop w:val="0"/>
      <w:marBottom w:val="0"/>
      <w:divBdr>
        <w:top w:val="none" w:sz="0" w:space="0" w:color="auto"/>
        <w:left w:val="none" w:sz="0" w:space="0" w:color="auto"/>
        <w:bottom w:val="none" w:sz="0" w:space="0" w:color="auto"/>
        <w:right w:val="none" w:sz="0" w:space="0" w:color="auto"/>
      </w:divBdr>
      <w:divsChild>
        <w:div w:id="1840273923">
          <w:marLeft w:val="0"/>
          <w:marRight w:val="0"/>
          <w:marTop w:val="0"/>
          <w:marBottom w:val="0"/>
          <w:divBdr>
            <w:top w:val="none" w:sz="0" w:space="0" w:color="auto"/>
            <w:left w:val="none" w:sz="0" w:space="0" w:color="auto"/>
            <w:bottom w:val="none" w:sz="0" w:space="0" w:color="auto"/>
            <w:right w:val="none" w:sz="0" w:space="0" w:color="auto"/>
          </w:divBdr>
          <w:divsChild>
            <w:div w:id="1233732372">
              <w:marLeft w:val="0"/>
              <w:marRight w:val="0"/>
              <w:marTop w:val="0"/>
              <w:marBottom w:val="0"/>
              <w:divBdr>
                <w:top w:val="none" w:sz="0" w:space="0" w:color="auto"/>
                <w:left w:val="none" w:sz="0" w:space="0" w:color="auto"/>
                <w:bottom w:val="none" w:sz="0" w:space="0" w:color="auto"/>
                <w:right w:val="none" w:sz="0" w:space="0" w:color="auto"/>
              </w:divBdr>
              <w:divsChild>
                <w:div w:id="7792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07392">
      <w:bodyDiv w:val="1"/>
      <w:marLeft w:val="0"/>
      <w:marRight w:val="0"/>
      <w:marTop w:val="0"/>
      <w:marBottom w:val="0"/>
      <w:divBdr>
        <w:top w:val="none" w:sz="0" w:space="0" w:color="auto"/>
        <w:left w:val="none" w:sz="0" w:space="0" w:color="auto"/>
        <w:bottom w:val="none" w:sz="0" w:space="0" w:color="auto"/>
        <w:right w:val="none" w:sz="0" w:space="0" w:color="auto"/>
      </w:divBdr>
    </w:div>
    <w:div w:id="1377856673">
      <w:bodyDiv w:val="1"/>
      <w:marLeft w:val="0"/>
      <w:marRight w:val="0"/>
      <w:marTop w:val="0"/>
      <w:marBottom w:val="0"/>
      <w:divBdr>
        <w:top w:val="none" w:sz="0" w:space="0" w:color="auto"/>
        <w:left w:val="none" w:sz="0" w:space="0" w:color="auto"/>
        <w:bottom w:val="none" w:sz="0" w:space="0" w:color="auto"/>
        <w:right w:val="none" w:sz="0" w:space="0" w:color="auto"/>
      </w:divBdr>
    </w:div>
    <w:div w:id="1408571997">
      <w:bodyDiv w:val="1"/>
      <w:marLeft w:val="0"/>
      <w:marRight w:val="0"/>
      <w:marTop w:val="0"/>
      <w:marBottom w:val="0"/>
      <w:divBdr>
        <w:top w:val="none" w:sz="0" w:space="0" w:color="auto"/>
        <w:left w:val="none" w:sz="0" w:space="0" w:color="auto"/>
        <w:bottom w:val="none" w:sz="0" w:space="0" w:color="auto"/>
        <w:right w:val="none" w:sz="0" w:space="0" w:color="auto"/>
      </w:divBdr>
      <w:divsChild>
        <w:div w:id="535702893">
          <w:marLeft w:val="0"/>
          <w:marRight w:val="0"/>
          <w:marTop w:val="0"/>
          <w:marBottom w:val="0"/>
          <w:divBdr>
            <w:top w:val="none" w:sz="0" w:space="0" w:color="auto"/>
            <w:left w:val="none" w:sz="0" w:space="0" w:color="auto"/>
            <w:bottom w:val="none" w:sz="0" w:space="0" w:color="auto"/>
            <w:right w:val="none" w:sz="0" w:space="0" w:color="auto"/>
          </w:divBdr>
          <w:divsChild>
            <w:div w:id="616567483">
              <w:marLeft w:val="0"/>
              <w:marRight w:val="0"/>
              <w:marTop w:val="0"/>
              <w:marBottom w:val="0"/>
              <w:divBdr>
                <w:top w:val="none" w:sz="0" w:space="0" w:color="auto"/>
                <w:left w:val="none" w:sz="0" w:space="0" w:color="auto"/>
                <w:bottom w:val="none" w:sz="0" w:space="0" w:color="auto"/>
                <w:right w:val="none" w:sz="0" w:space="0" w:color="auto"/>
              </w:divBdr>
              <w:divsChild>
                <w:div w:id="1790509070">
                  <w:marLeft w:val="0"/>
                  <w:marRight w:val="0"/>
                  <w:marTop w:val="0"/>
                  <w:marBottom w:val="0"/>
                  <w:divBdr>
                    <w:top w:val="none" w:sz="0" w:space="0" w:color="auto"/>
                    <w:left w:val="none" w:sz="0" w:space="0" w:color="auto"/>
                    <w:bottom w:val="none" w:sz="0" w:space="0" w:color="auto"/>
                    <w:right w:val="none" w:sz="0" w:space="0" w:color="auto"/>
                  </w:divBdr>
                  <w:divsChild>
                    <w:div w:id="19870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89646">
      <w:bodyDiv w:val="1"/>
      <w:marLeft w:val="0"/>
      <w:marRight w:val="0"/>
      <w:marTop w:val="0"/>
      <w:marBottom w:val="0"/>
      <w:divBdr>
        <w:top w:val="none" w:sz="0" w:space="0" w:color="auto"/>
        <w:left w:val="none" w:sz="0" w:space="0" w:color="auto"/>
        <w:bottom w:val="none" w:sz="0" w:space="0" w:color="auto"/>
        <w:right w:val="none" w:sz="0" w:space="0" w:color="auto"/>
      </w:divBdr>
      <w:divsChild>
        <w:div w:id="328291209">
          <w:marLeft w:val="0"/>
          <w:marRight w:val="0"/>
          <w:marTop w:val="0"/>
          <w:marBottom w:val="0"/>
          <w:divBdr>
            <w:top w:val="none" w:sz="0" w:space="0" w:color="auto"/>
            <w:left w:val="none" w:sz="0" w:space="0" w:color="auto"/>
            <w:bottom w:val="none" w:sz="0" w:space="0" w:color="auto"/>
            <w:right w:val="none" w:sz="0" w:space="0" w:color="auto"/>
          </w:divBdr>
          <w:divsChild>
            <w:div w:id="629284366">
              <w:marLeft w:val="0"/>
              <w:marRight w:val="0"/>
              <w:marTop w:val="0"/>
              <w:marBottom w:val="0"/>
              <w:divBdr>
                <w:top w:val="none" w:sz="0" w:space="0" w:color="auto"/>
                <w:left w:val="none" w:sz="0" w:space="0" w:color="auto"/>
                <w:bottom w:val="none" w:sz="0" w:space="0" w:color="auto"/>
                <w:right w:val="none" w:sz="0" w:space="0" w:color="auto"/>
              </w:divBdr>
              <w:divsChild>
                <w:div w:id="2029912552">
                  <w:marLeft w:val="0"/>
                  <w:marRight w:val="0"/>
                  <w:marTop w:val="0"/>
                  <w:marBottom w:val="0"/>
                  <w:divBdr>
                    <w:top w:val="none" w:sz="0" w:space="0" w:color="auto"/>
                    <w:left w:val="none" w:sz="0" w:space="0" w:color="auto"/>
                    <w:bottom w:val="none" w:sz="0" w:space="0" w:color="auto"/>
                    <w:right w:val="none" w:sz="0" w:space="0" w:color="auto"/>
                  </w:divBdr>
                  <w:divsChild>
                    <w:div w:id="1672487508">
                      <w:marLeft w:val="0"/>
                      <w:marRight w:val="0"/>
                      <w:marTop w:val="0"/>
                      <w:marBottom w:val="0"/>
                      <w:divBdr>
                        <w:top w:val="none" w:sz="0" w:space="0" w:color="auto"/>
                        <w:left w:val="none" w:sz="0" w:space="0" w:color="auto"/>
                        <w:bottom w:val="none" w:sz="0" w:space="0" w:color="auto"/>
                        <w:right w:val="none" w:sz="0" w:space="0" w:color="auto"/>
                      </w:divBdr>
                      <w:divsChild>
                        <w:div w:id="369307217">
                          <w:marLeft w:val="0"/>
                          <w:marRight w:val="0"/>
                          <w:marTop w:val="0"/>
                          <w:marBottom w:val="0"/>
                          <w:divBdr>
                            <w:top w:val="none" w:sz="0" w:space="0" w:color="auto"/>
                            <w:left w:val="none" w:sz="0" w:space="0" w:color="auto"/>
                            <w:bottom w:val="none" w:sz="0" w:space="0" w:color="auto"/>
                            <w:right w:val="none" w:sz="0" w:space="0" w:color="auto"/>
                          </w:divBdr>
                          <w:divsChild>
                            <w:div w:id="1114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276856">
      <w:bodyDiv w:val="1"/>
      <w:marLeft w:val="0"/>
      <w:marRight w:val="0"/>
      <w:marTop w:val="0"/>
      <w:marBottom w:val="0"/>
      <w:divBdr>
        <w:top w:val="none" w:sz="0" w:space="0" w:color="auto"/>
        <w:left w:val="none" w:sz="0" w:space="0" w:color="auto"/>
        <w:bottom w:val="none" w:sz="0" w:space="0" w:color="auto"/>
        <w:right w:val="none" w:sz="0" w:space="0" w:color="auto"/>
      </w:divBdr>
      <w:divsChild>
        <w:div w:id="1324696516">
          <w:marLeft w:val="0"/>
          <w:marRight w:val="0"/>
          <w:marTop w:val="0"/>
          <w:marBottom w:val="0"/>
          <w:divBdr>
            <w:top w:val="none" w:sz="0" w:space="0" w:color="auto"/>
            <w:left w:val="none" w:sz="0" w:space="0" w:color="auto"/>
            <w:bottom w:val="none" w:sz="0" w:space="0" w:color="auto"/>
            <w:right w:val="none" w:sz="0" w:space="0" w:color="auto"/>
          </w:divBdr>
        </w:div>
      </w:divsChild>
    </w:div>
    <w:div w:id="1493913100">
      <w:bodyDiv w:val="1"/>
      <w:marLeft w:val="0"/>
      <w:marRight w:val="0"/>
      <w:marTop w:val="0"/>
      <w:marBottom w:val="0"/>
      <w:divBdr>
        <w:top w:val="none" w:sz="0" w:space="0" w:color="auto"/>
        <w:left w:val="none" w:sz="0" w:space="0" w:color="auto"/>
        <w:bottom w:val="none" w:sz="0" w:space="0" w:color="auto"/>
        <w:right w:val="none" w:sz="0" w:space="0" w:color="auto"/>
      </w:divBdr>
    </w:div>
    <w:div w:id="1518882042">
      <w:bodyDiv w:val="1"/>
      <w:marLeft w:val="0"/>
      <w:marRight w:val="0"/>
      <w:marTop w:val="0"/>
      <w:marBottom w:val="0"/>
      <w:divBdr>
        <w:top w:val="none" w:sz="0" w:space="0" w:color="auto"/>
        <w:left w:val="none" w:sz="0" w:space="0" w:color="auto"/>
        <w:bottom w:val="none" w:sz="0" w:space="0" w:color="auto"/>
        <w:right w:val="none" w:sz="0" w:space="0" w:color="auto"/>
      </w:divBdr>
    </w:div>
    <w:div w:id="1565339487">
      <w:bodyDiv w:val="1"/>
      <w:marLeft w:val="0"/>
      <w:marRight w:val="0"/>
      <w:marTop w:val="0"/>
      <w:marBottom w:val="0"/>
      <w:divBdr>
        <w:top w:val="none" w:sz="0" w:space="0" w:color="auto"/>
        <w:left w:val="none" w:sz="0" w:space="0" w:color="auto"/>
        <w:bottom w:val="none" w:sz="0" w:space="0" w:color="auto"/>
        <w:right w:val="none" w:sz="0" w:space="0" w:color="auto"/>
      </w:divBdr>
      <w:divsChild>
        <w:div w:id="431631369">
          <w:marLeft w:val="0"/>
          <w:marRight w:val="0"/>
          <w:marTop w:val="0"/>
          <w:marBottom w:val="0"/>
          <w:divBdr>
            <w:top w:val="none" w:sz="0" w:space="0" w:color="auto"/>
            <w:left w:val="none" w:sz="0" w:space="0" w:color="auto"/>
            <w:bottom w:val="none" w:sz="0" w:space="0" w:color="auto"/>
            <w:right w:val="none" w:sz="0" w:space="0" w:color="auto"/>
          </w:divBdr>
          <w:divsChild>
            <w:div w:id="1851066352">
              <w:marLeft w:val="0"/>
              <w:marRight w:val="0"/>
              <w:marTop w:val="0"/>
              <w:marBottom w:val="0"/>
              <w:divBdr>
                <w:top w:val="none" w:sz="0" w:space="0" w:color="auto"/>
                <w:left w:val="none" w:sz="0" w:space="0" w:color="auto"/>
                <w:bottom w:val="none" w:sz="0" w:space="0" w:color="auto"/>
                <w:right w:val="none" w:sz="0" w:space="0" w:color="auto"/>
              </w:divBdr>
              <w:divsChild>
                <w:div w:id="1195584131">
                  <w:marLeft w:val="0"/>
                  <w:marRight w:val="0"/>
                  <w:marTop w:val="0"/>
                  <w:marBottom w:val="0"/>
                  <w:divBdr>
                    <w:top w:val="none" w:sz="0" w:space="0" w:color="auto"/>
                    <w:left w:val="none" w:sz="0" w:space="0" w:color="auto"/>
                    <w:bottom w:val="none" w:sz="0" w:space="0" w:color="auto"/>
                    <w:right w:val="none" w:sz="0" w:space="0" w:color="auto"/>
                  </w:divBdr>
                  <w:divsChild>
                    <w:div w:id="254635104">
                      <w:marLeft w:val="0"/>
                      <w:marRight w:val="0"/>
                      <w:marTop w:val="0"/>
                      <w:marBottom w:val="0"/>
                      <w:divBdr>
                        <w:top w:val="none" w:sz="0" w:space="0" w:color="auto"/>
                        <w:left w:val="none" w:sz="0" w:space="0" w:color="auto"/>
                        <w:bottom w:val="none" w:sz="0" w:space="0" w:color="auto"/>
                        <w:right w:val="none" w:sz="0" w:space="0" w:color="auto"/>
                      </w:divBdr>
                      <w:divsChild>
                        <w:div w:id="931166607">
                          <w:marLeft w:val="0"/>
                          <w:marRight w:val="0"/>
                          <w:marTop w:val="0"/>
                          <w:marBottom w:val="0"/>
                          <w:divBdr>
                            <w:top w:val="none" w:sz="0" w:space="0" w:color="auto"/>
                            <w:left w:val="none" w:sz="0" w:space="0" w:color="auto"/>
                            <w:bottom w:val="none" w:sz="0" w:space="0" w:color="auto"/>
                            <w:right w:val="none" w:sz="0" w:space="0" w:color="auto"/>
                          </w:divBdr>
                          <w:divsChild>
                            <w:div w:id="12764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881730">
      <w:bodyDiv w:val="1"/>
      <w:marLeft w:val="0"/>
      <w:marRight w:val="0"/>
      <w:marTop w:val="0"/>
      <w:marBottom w:val="0"/>
      <w:divBdr>
        <w:top w:val="none" w:sz="0" w:space="0" w:color="auto"/>
        <w:left w:val="none" w:sz="0" w:space="0" w:color="auto"/>
        <w:bottom w:val="none" w:sz="0" w:space="0" w:color="auto"/>
        <w:right w:val="none" w:sz="0" w:space="0" w:color="auto"/>
      </w:divBdr>
    </w:div>
    <w:div w:id="1589727600">
      <w:bodyDiv w:val="1"/>
      <w:marLeft w:val="0"/>
      <w:marRight w:val="0"/>
      <w:marTop w:val="0"/>
      <w:marBottom w:val="0"/>
      <w:divBdr>
        <w:top w:val="none" w:sz="0" w:space="0" w:color="auto"/>
        <w:left w:val="none" w:sz="0" w:space="0" w:color="auto"/>
        <w:bottom w:val="none" w:sz="0" w:space="0" w:color="auto"/>
        <w:right w:val="none" w:sz="0" w:space="0" w:color="auto"/>
      </w:divBdr>
      <w:divsChild>
        <w:div w:id="900947854">
          <w:marLeft w:val="0"/>
          <w:marRight w:val="0"/>
          <w:marTop w:val="0"/>
          <w:marBottom w:val="0"/>
          <w:divBdr>
            <w:top w:val="none" w:sz="0" w:space="0" w:color="auto"/>
            <w:left w:val="none" w:sz="0" w:space="0" w:color="auto"/>
            <w:bottom w:val="none" w:sz="0" w:space="0" w:color="auto"/>
            <w:right w:val="none" w:sz="0" w:space="0" w:color="auto"/>
          </w:divBdr>
          <w:divsChild>
            <w:div w:id="680934913">
              <w:marLeft w:val="0"/>
              <w:marRight w:val="0"/>
              <w:marTop w:val="0"/>
              <w:marBottom w:val="0"/>
              <w:divBdr>
                <w:top w:val="none" w:sz="0" w:space="0" w:color="auto"/>
                <w:left w:val="none" w:sz="0" w:space="0" w:color="auto"/>
                <w:bottom w:val="none" w:sz="0" w:space="0" w:color="auto"/>
                <w:right w:val="none" w:sz="0" w:space="0" w:color="auto"/>
              </w:divBdr>
              <w:divsChild>
                <w:div w:id="433865483">
                  <w:marLeft w:val="0"/>
                  <w:marRight w:val="0"/>
                  <w:marTop w:val="0"/>
                  <w:marBottom w:val="0"/>
                  <w:divBdr>
                    <w:top w:val="none" w:sz="0" w:space="0" w:color="auto"/>
                    <w:left w:val="none" w:sz="0" w:space="0" w:color="auto"/>
                    <w:bottom w:val="none" w:sz="0" w:space="0" w:color="auto"/>
                    <w:right w:val="none" w:sz="0" w:space="0" w:color="auto"/>
                  </w:divBdr>
                  <w:divsChild>
                    <w:div w:id="18352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88352">
      <w:bodyDiv w:val="1"/>
      <w:marLeft w:val="0"/>
      <w:marRight w:val="0"/>
      <w:marTop w:val="0"/>
      <w:marBottom w:val="0"/>
      <w:divBdr>
        <w:top w:val="none" w:sz="0" w:space="0" w:color="auto"/>
        <w:left w:val="none" w:sz="0" w:space="0" w:color="auto"/>
        <w:bottom w:val="none" w:sz="0" w:space="0" w:color="auto"/>
        <w:right w:val="none" w:sz="0" w:space="0" w:color="auto"/>
      </w:divBdr>
      <w:divsChild>
        <w:div w:id="996155840">
          <w:marLeft w:val="0"/>
          <w:marRight w:val="0"/>
          <w:marTop w:val="0"/>
          <w:marBottom w:val="0"/>
          <w:divBdr>
            <w:top w:val="none" w:sz="0" w:space="0" w:color="auto"/>
            <w:left w:val="none" w:sz="0" w:space="0" w:color="auto"/>
            <w:bottom w:val="none" w:sz="0" w:space="0" w:color="auto"/>
            <w:right w:val="none" w:sz="0" w:space="0" w:color="auto"/>
          </w:divBdr>
          <w:divsChild>
            <w:div w:id="16181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3974">
      <w:bodyDiv w:val="1"/>
      <w:marLeft w:val="0"/>
      <w:marRight w:val="0"/>
      <w:marTop w:val="0"/>
      <w:marBottom w:val="0"/>
      <w:divBdr>
        <w:top w:val="none" w:sz="0" w:space="0" w:color="auto"/>
        <w:left w:val="none" w:sz="0" w:space="0" w:color="auto"/>
        <w:bottom w:val="none" w:sz="0" w:space="0" w:color="auto"/>
        <w:right w:val="none" w:sz="0" w:space="0" w:color="auto"/>
      </w:divBdr>
    </w:div>
    <w:div w:id="1614364109">
      <w:bodyDiv w:val="1"/>
      <w:marLeft w:val="0"/>
      <w:marRight w:val="0"/>
      <w:marTop w:val="0"/>
      <w:marBottom w:val="0"/>
      <w:divBdr>
        <w:top w:val="none" w:sz="0" w:space="0" w:color="auto"/>
        <w:left w:val="none" w:sz="0" w:space="0" w:color="auto"/>
        <w:bottom w:val="none" w:sz="0" w:space="0" w:color="auto"/>
        <w:right w:val="none" w:sz="0" w:space="0" w:color="auto"/>
      </w:divBdr>
    </w:div>
    <w:div w:id="1629816727">
      <w:bodyDiv w:val="1"/>
      <w:marLeft w:val="0"/>
      <w:marRight w:val="0"/>
      <w:marTop w:val="0"/>
      <w:marBottom w:val="0"/>
      <w:divBdr>
        <w:top w:val="none" w:sz="0" w:space="0" w:color="auto"/>
        <w:left w:val="none" w:sz="0" w:space="0" w:color="auto"/>
        <w:bottom w:val="none" w:sz="0" w:space="0" w:color="auto"/>
        <w:right w:val="none" w:sz="0" w:space="0" w:color="auto"/>
      </w:divBdr>
    </w:div>
    <w:div w:id="1661957187">
      <w:bodyDiv w:val="1"/>
      <w:marLeft w:val="0"/>
      <w:marRight w:val="0"/>
      <w:marTop w:val="0"/>
      <w:marBottom w:val="0"/>
      <w:divBdr>
        <w:top w:val="none" w:sz="0" w:space="0" w:color="auto"/>
        <w:left w:val="none" w:sz="0" w:space="0" w:color="auto"/>
        <w:bottom w:val="none" w:sz="0" w:space="0" w:color="auto"/>
        <w:right w:val="none" w:sz="0" w:space="0" w:color="auto"/>
      </w:divBdr>
    </w:div>
    <w:div w:id="1679576739">
      <w:bodyDiv w:val="1"/>
      <w:marLeft w:val="75"/>
      <w:marRight w:val="0"/>
      <w:marTop w:val="0"/>
      <w:marBottom w:val="0"/>
      <w:divBdr>
        <w:top w:val="none" w:sz="0" w:space="0" w:color="auto"/>
        <w:left w:val="none" w:sz="0" w:space="0" w:color="auto"/>
        <w:bottom w:val="none" w:sz="0" w:space="0" w:color="auto"/>
        <w:right w:val="none" w:sz="0" w:space="0" w:color="auto"/>
      </w:divBdr>
      <w:divsChild>
        <w:div w:id="1331059784">
          <w:marLeft w:val="0"/>
          <w:marRight w:val="0"/>
          <w:marTop w:val="0"/>
          <w:marBottom w:val="0"/>
          <w:divBdr>
            <w:top w:val="none" w:sz="0" w:space="0" w:color="auto"/>
            <w:left w:val="none" w:sz="0" w:space="0" w:color="auto"/>
            <w:bottom w:val="none" w:sz="0" w:space="0" w:color="auto"/>
            <w:right w:val="none" w:sz="0" w:space="0" w:color="auto"/>
          </w:divBdr>
          <w:divsChild>
            <w:div w:id="2501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500">
      <w:bodyDiv w:val="1"/>
      <w:marLeft w:val="0"/>
      <w:marRight w:val="0"/>
      <w:marTop w:val="0"/>
      <w:marBottom w:val="0"/>
      <w:divBdr>
        <w:top w:val="none" w:sz="0" w:space="0" w:color="auto"/>
        <w:left w:val="none" w:sz="0" w:space="0" w:color="auto"/>
        <w:bottom w:val="none" w:sz="0" w:space="0" w:color="auto"/>
        <w:right w:val="none" w:sz="0" w:space="0" w:color="auto"/>
      </w:divBdr>
      <w:divsChild>
        <w:div w:id="305938262">
          <w:marLeft w:val="0"/>
          <w:marRight w:val="0"/>
          <w:marTop w:val="0"/>
          <w:marBottom w:val="0"/>
          <w:divBdr>
            <w:top w:val="none" w:sz="0" w:space="0" w:color="auto"/>
            <w:left w:val="none" w:sz="0" w:space="0" w:color="auto"/>
            <w:bottom w:val="none" w:sz="0" w:space="0" w:color="auto"/>
            <w:right w:val="none" w:sz="0" w:space="0" w:color="auto"/>
          </w:divBdr>
          <w:divsChild>
            <w:div w:id="891042624">
              <w:marLeft w:val="0"/>
              <w:marRight w:val="0"/>
              <w:marTop w:val="0"/>
              <w:marBottom w:val="0"/>
              <w:divBdr>
                <w:top w:val="none" w:sz="0" w:space="0" w:color="auto"/>
                <w:left w:val="none" w:sz="0" w:space="0" w:color="auto"/>
                <w:bottom w:val="none" w:sz="0" w:space="0" w:color="auto"/>
                <w:right w:val="none" w:sz="0" w:space="0" w:color="auto"/>
              </w:divBdr>
              <w:divsChild>
                <w:div w:id="103575131">
                  <w:marLeft w:val="0"/>
                  <w:marRight w:val="0"/>
                  <w:marTop w:val="0"/>
                  <w:marBottom w:val="0"/>
                  <w:divBdr>
                    <w:top w:val="none" w:sz="0" w:space="0" w:color="auto"/>
                    <w:left w:val="none" w:sz="0" w:space="0" w:color="auto"/>
                    <w:bottom w:val="none" w:sz="0" w:space="0" w:color="auto"/>
                    <w:right w:val="none" w:sz="0" w:space="0" w:color="auto"/>
                  </w:divBdr>
                  <w:divsChild>
                    <w:div w:id="643659791">
                      <w:marLeft w:val="0"/>
                      <w:marRight w:val="0"/>
                      <w:marTop w:val="0"/>
                      <w:marBottom w:val="0"/>
                      <w:divBdr>
                        <w:top w:val="none" w:sz="0" w:space="0" w:color="auto"/>
                        <w:left w:val="none" w:sz="0" w:space="0" w:color="auto"/>
                        <w:bottom w:val="none" w:sz="0" w:space="0" w:color="auto"/>
                        <w:right w:val="none" w:sz="0" w:space="0" w:color="auto"/>
                      </w:divBdr>
                      <w:divsChild>
                        <w:div w:id="1564946183">
                          <w:marLeft w:val="0"/>
                          <w:marRight w:val="0"/>
                          <w:marTop w:val="0"/>
                          <w:marBottom w:val="0"/>
                          <w:divBdr>
                            <w:top w:val="none" w:sz="0" w:space="0" w:color="auto"/>
                            <w:left w:val="none" w:sz="0" w:space="0" w:color="auto"/>
                            <w:bottom w:val="none" w:sz="0" w:space="0" w:color="auto"/>
                            <w:right w:val="none" w:sz="0" w:space="0" w:color="auto"/>
                          </w:divBdr>
                          <w:divsChild>
                            <w:div w:id="1758281311">
                              <w:marLeft w:val="0"/>
                              <w:marRight w:val="0"/>
                              <w:marTop w:val="0"/>
                              <w:marBottom w:val="0"/>
                              <w:divBdr>
                                <w:top w:val="none" w:sz="0" w:space="0" w:color="auto"/>
                                <w:left w:val="none" w:sz="0" w:space="0" w:color="auto"/>
                                <w:bottom w:val="none" w:sz="0" w:space="0" w:color="auto"/>
                                <w:right w:val="none" w:sz="0" w:space="0" w:color="auto"/>
                              </w:divBdr>
                              <w:divsChild>
                                <w:div w:id="10980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283122">
      <w:bodyDiv w:val="1"/>
      <w:marLeft w:val="0"/>
      <w:marRight w:val="0"/>
      <w:marTop w:val="0"/>
      <w:marBottom w:val="0"/>
      <w:divBdr>
        <w:top w:val="none" w:sz="0" w:space="0" w:color="auto"/>
        <w:left w:val="none" w:sz="0" w:space="0" w:color="auto"/>
        <w:bottom w:val="none" w:sz="0" w:space="0" w:color="auto"/>
        <w:right w:val="none" w:sz="0" w:space="0" w:color="auto"/>
      </w:divBdr>
      <w:divsChild>
        <w:div w:id="1582986568">
          <w:marLeft w:val="0"/>
          <w:marRight w:val="0"/>
          <w:marTop w:val="0"/>
          <w:marBottom w:val="0"/>
          <w:divBdr>
            <w:top w:val="none" w:sz="0" w:space="0" w:color="auto"/>
            <w:left w:val="none" w:sz="0" w:space="0" w:color="auto"/>
            <w:bottom w:val="none" w:sz="0" w:space="0" w:color="auto"/>
            <w:right w:val="none" w:sz="0" w:space="0" w:color="auto"/>
          </w:divBdr>
          <w:divsChild>
            <w:div w:id="1288900318">
              <w:marLeft w:val="0"/>
              <w:marRight w:val="0"/>
              <w:marTop w:val="0"/>
              <w:marBottom w:val="0"/>
              <w:divBdr>
                <w:top w:val="none" w:sz="0" w:space="0" w:color="auto"/>
                <w:left w:val="none" w:sz="0" w:space="0" w:color="auto"/>
                <w:bottom w:val="none" w:sz="0" w:space="0" w:color="auto"/>
                <w:right w:val="none" w:sz="0" w:space="0" w:color="auto"/>
              </w:divBdr>
              <w:divsChild>
                <w:div w:id="538082201">
                  <w:marLeft w:val="0"/>
                  <w:marRight w:val="0"/>
                  <w:marTop w:val="0"/>
                  <w:marBottom w:val="0"/>
                  <w:divBdr>
                    <w:top w:val="none" w:sz="0" w:space="0" w:color="auto"/>
                    <w:left w:val="none" w:sz="0" w:space="0" w:color="auto"/>
                    <w:bottom w:val="none" w:sz="0" w:space="0" w:color="auto"/>
                    <w:right w:val="none" w:sz="0" w:space="0" w:color="auto"/>
                  </w:divBdr>
                  <w:divsChild>
                    <w:div w:id="2136635067">
                      <w:marLeft w:val="0"/>
                      <w:marRight w:val="0"/>
                      <w:marTop w:val="0"/>
                      <w:marBottom w:val="0"/>
                      <w:divBdr>
                        <w:top w:val="none" w:sz="0" w:space="0" w:color="auto"/>
                        <w:left w:val="none" w:sz="0" w:space="0" w:color="auto"/>
                        <w:bottom w:val="none" w:sz="0" w:space="0" w:color="auto"/>
                        <w:right w:val="none" w:sz="0" w:space="0" w:color="auto"/>
                      </w:divBdr>
                      <w:divsChild>
                        <w:div w:id="20711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620486">
      <w:bodyDiv w:val="1"/>
      <w:marLeft w:val="0"/>
      <w:marRight w:val="0"/>
      <w:marTop w:val="0"/>
      <w:marBottom w:val="0"/>
      <w:divBdr>
        <w:top w:val="none" w:sz="0" w:space="0" w:color="auto"/>
        <w:left w:val="none" w:sz="0" w:space="0" w:color="auto"/>
        <w:bottom w:val="none" w:sz="0" w:space="0" w:color="auto"/>
        <w:right w:val="none" w:sz="0" w:space="0" w:color="auto"/>
      </w:divBdr>
      <w:divsChild>
        <w:div w:id="1282759165">
          <w:marLeft w:val="0"/>
          <w:marRight w:val="0"/>
          <w:marTop w:val="0"/>
          <w:marBottom w:val="0"/>
          <w:divBdr>
            <w:top w:val="none" w:sz="0" w:space="0" w:color="auto"/>
            <w:left w:val="none" w:sz="0" w:space="0" w:color="auto"/>
            <w:bottom w:val="none" w:sz="0" w:space="0" w:color="auto"/>
            <w:right w:val="none" w:sz="0" w:space="0" w:color="auto"/>
          </w:divBdr>
          <w:divsChild>
            <w:div w:id="14475088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68621769">
      <w:bodyDiv w:val="1"/>
      <w:marLeft w:val="0"/>
      <w:marRight w:val="0"/>
      <w:marTop w:val="0"/>
      <w:marBottom w:val="0"/>
      <w:divBdr>
        <w:top w:val="none" w:sz="0" w:space="0" w:color="auto"/>
        <w:left w:val="none" w:sz="0" w:space="0" w:color="auto"/>
        <w:bottom w:val="none" w:sz="0" w:space="0" w:color="auto"/>
        <w:right w:val="none" w:sz="0" w:space="0" w:color="auto"/>
      </w:divBdr>
    </w:div>
    <w:div w:id="1814905877">
      <w:bodyDiv w:val="1"/>
      <w:marLeft w:val="75"/>
      <w:marRight w:val="0"/>
      <w:marTop w:val="0"/>
      <w:marBottom w:val="0"/>
      <w:divBdr>
        <w:top w:val="none" w:sz="0" w:space="0" w:color="auto"/>
        <w:left w:val="none" w:sz="0" w:space="0" w:color="auto"/>
        <w:bottom w:val="none" w:sz="0" w:space="0" w:color="auto"/>
        <w:right w:val="none" w:sz="0" w:space="0" w:color="auto"/>
      </w:divBdr>
      <w:divsChild>
        <w:div w:id="886450355">
          <w:marLeft w:val="0"/>
          <w:marRight w:val="0"/>
          <w:marTop w:val="0"/>
          <w:marBottom w:val="0"/>
          <w:divBdr>
            <w:top w:val="none" w:sz="0" w:space="0" w:color="auto"/>
            <w:left w:val="none" w:sz="0" w:space="0" w:color="auto"/>
            <w:bottom w:val="none" w:sz="0" w:space="0" w:color="auto"/>
            <w:right w:val="none" w:sz="0" w:space="0" w:color="auto"/>
          </w:divBdr>
          <w:divsChild>
            <w:div w:id="10145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9920">
      <w:bodyDiv w:val="1"/>
      <w:marLeft w:val="0"/>
      <w:marRight w:val="0"/>
      <w:marTop w:val="0"/>
      <w:marBottom w:val="0"/>
      <w:divBdr>
        <w:top w:val="none" w:sz="0" w:space="0" w:color="auto"/>
        <w:left w:val="none" w:sz="0" w:space="0" w:color="auto"/>
        <w:bottom w:val="none" w:sz="0" w:space="0" w:color="auto"/>
        <w:right w:val="none" w:sz="0" w:space="0" w:color="auto"/>
      </w:divBdr>
    </w:div>
    <w:div w:id="1872372803">
      <w:bodyDiv w:val="1"/>
      <w:marLeft w:val="0"/>
      <w:marRight w:val="0"/>
      <w:marTop w:val="0"/>
      <w:marBottom w:val="0"/>
      <w:divBdr>
        <w:top w:val="none" w:sz="0" w:space="0" w:color="auto"/>
        <w:left w:val="none" w:sz="0" w:space="0" w:color="auto"/>
        <w:bottom w:val="none" w:sz="0" w:space="0" w:color="auto"/>
        <w:right w:val="none" w:sz="0" w:space="0" w:color="auto"/>
      </w:divBdr>
    </w:div>
    <w:div w:id="1891380302">
      <w:bodyDiv w:val="1"/>
      <w:marLeft w:val="0"/>
      <w:marRight w:val="0"/>
      <w:marTop w:val="0"/>
      <w:marBottom w:val="0"/>
      <w:divBdr>
        <w:top w:val="none" w:sz="0" w:space="0" w:color="auto"/>
        <w:left w:val="none" w:sz="0" w:space="0" w:color="auto"/>
        <w:bottom w:val="none" w:sz="0" w:space="0" w:color="auto"/>
        <w:right w:val="none" w:sz="0" w:space="0" w:color="auto"/>
      </w:divBdr>
    </w:div>
    <w:div w:id="1922710404">
      <w:bodyDiv w:val="1"/>
      <w:marLeft w:val="0"/>
      <w:marRight w:val="0"/>
      <w:marTop w:val="0"/>
      <w:marBottom w:val="0"/>
      <w:divBdr>
        <w:top w:val="none" w:sz="0" w:space="0" w:color="auto"/>
        <w:left w:val="none" w:sz="0" w:space="0" w:color="auto"/>
        <w:bottom w:val="none" w:sz="0" w:space="0" w:color="auto"/>
        <w:right w:val="none" w:sz="0" w:space="0" w:color="auto"/>
      </w:divBdr>
    </w:div>
    <w:div w:id="1955819305">
      <w:bodyDiv w:val="1"/>
      <w:marLeft w:val="0"/>
      <w:marRight w:val="0"/>
      <w:marTop w:val="0"/>
      <w:marBottom w:val="0"/>
      <w:divBdr>
        <w:top w:val="none" w:sz="0" w:space="0" w:color="auto"/>
        <w:left w:val="none" w:sz="0" w:space="0" w:color="auto"/>
        <w:bottom w:val="none" w:sz="0" w:space="0" w:color="auto"/>
        <w:right w:val="none" w:sz="0" w:space="0" w:color="auto"/>
      </w:divBdr>
      <w:divsChild>
        <w:div w:id="63377882">
          <w:marLeft w:val="0"/>
          <w:marRight w:val="0"/>
          <w:marTop w:val="0"/>
          <w:marBottom w:val="0"/>
          <w:divBdr>
            <w:top w:val="none" w:sz="0" w:space="0" w:color="auto"/>
            <w:left w:val="none" w:sz="0" w:space="0" w:color="auto"/>
            <w:bottom w:val="none" w:sz="0" w:space="0" w:color="auto"/>
            <w:right w:val="none" w:sz="0" w:space="0" w:color="auto"/>
          </w:divBdr>
        </w:div>
      </w:divsChild>
    </w:div>
    <w:div w:id="1971009802">
      <w:bodyDiv w:val="1"/>
      <w:marLeft w:val="0"/>
      <w:marRight w:val="0"/>
      <w:marTop w:val="0"/>
      <w:marBottom w:val="0"/>
      <w:divBdr>
        <w:top w:val="none" w:sz="0" w:space="0" w:color="auto"/>
        <w:left w:val="none" w:sz="0" w:space="0" w:color="auto"/>
        <w:bottom w:val="none" w:sz="0" w:space="0" w:color="auto"/>
        <w:right w:val="none" w:sz="0" w:space="0" w:color="auto"/>
      </w:divBdr>
      <w:divsChild>
        <w:div w:id="222719120">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1780563610">
                  <w:marLeft w:val="0"/>
                  <w:marRight w:val="0"/>
                  <w:marTop w:val="0"/>
                  <w:marBottom w:val="0"/>
                  <w:divBdr>
                    <w:top w:val="none" w:sz="0" w:space="0" w:color="auto"/>
                    <w:left w:val="none" w:sz="0" w:space="0" w:color="auto"/>
                    <w:bottom w:val="none" w:sz="0" w:space="0" w:color="auto"/>
                    <w:right w:val="none" w:sz="0" w:space="0" w:color="auto"/>
                  </w:divBdr>
                  <w:divsChild>
                    <w:div w:id="99959141">
                      <w:marLeft w:val="0"/>
                      <w:marRight w:val="0"/>
                      <w:marTop w:val="0"/>
                      <w:marBottom w:val="0"/>
                      <w:divBdr>
                        <w:top w:val="none" w:sz="0" w:space="0" w:color="auto"/>
                        <w:left w:val="none" w:sz="0" w:space="0" w:color="auto"/>
                        <w:bottom w:val="none" w:sz="0" w:space="0" w:color="auto"/>
                        <w:right w:val="none" w:sz="0" w:space="0" w:color="auto"/>
                      </w:divBdr>
                      <w:divsChild>
                        <w:div w:id="798375527">
                          <w:marLeft w:val="0"/>
                          <w:marRight w:val="0"/>
                          <w:marTop w:val="0"/>
                          <w:marBottom w:val="0"/>
                          <w:divBdr>
                            <w:top w:val="none" w:sz="0" w:space="0" w:color="auto"/>
                            <w:left w:val="none" w:sz="0" w:space="0" w:color="auto"/>
                            <w:bottom w:val="none" w:sz="0" w:space="0" w:color="auto"/>
                            <w:right w:val="none" w:sz="0" w:space="0" w:color="auto"/>
                          </w:divBdr>
                          <w:divsChild>
                            <w:div w:id="20193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829047">
      <w:bodyDiv w:val="1"/>
      <w:marLeft w:val="0"/>
      <w:marRight w:val="0"/>
      <w:marTop w:val="0"/>
      <w:marBottom w:val="0"/>
      <w:divBdr>
        <w:top w:val="none" w:sz="0" w:space="0" w:color="auto"/>
        <w:left w:val="none" w:sz="0" w:space="0" w:color="auto"/>
        <w:bottom w:val="none" w:sz="0" w:space="0" w:color="auto"/>
        <w:right w:val="none" w:sz="0" w:space="0" w:color="auto"/>
      </w:divBdr>
    </w:div>
    <w:div w:id="1978799237">
      <w:bodyDiv w:val="1"/>
      <w:marLeft w:val="0"/>
      <w:marRight w:val="0"/>
      <w:marTop w:val="0"/>
      <w:marBottom w:val="0"/>
      <w:divBdr>
        <w:top w:val="none" w:sz="0" w:space="0" w:color="auto"/>
        <w:left w:val="none" w:sz="0" w:space="0" w:color="auto"/>
        <w:bottom w:val="none" w:sz="0" w:space="0" w:color="auto"/>
        <w:right w:val="none" w:sz="0" w:space="0" w:color="auto"/>
      </w:divBdr>
    </w:div>
    <w:div w:id="1987858041">
      <w:bodyDiv w:val="1"/>
      <w:marLeft w:val="0"/>
      <w:marRight w:val="0"/>
      <w:marTop w:val="0"/>
      <w:marBottom w:val="0"/>
      <w:divBdr>
        <w:top w:val="none" w:sz="0" w:space="0" w:color="auto"/>
        <w:left w:val="none" w:sz="0" w:space="0" w:color="auto"/>
        <w:bottom w:val="none" w:sz="0" w:space="0" w:color="auto"/>
        <w:right w:val="none" w:sz="0" w:space="0" w:color="auto"/>
      </w:divBdr>
      <w:divsChild>
        <w:div w:id="218516445">
          <w:marLeft w:val="0"/>
          <w:marRight w:val="0"/>
          <w:marTop w:val="0"/>
          <w:marBottom w:val="0"/>
          <w:divBdr>
            <w:top w:val="none" w:sz="0" w:space="0" w:color="auto"/>
            <w:left w:val="none" w:sz="0" w:space="0" w:color="auto"/>
            <w:bottom w:val="none" w:sz="0" w:space="0" w:color="auto"/>
            <w:right w:val="none" w:sz="0" w:space="0" w:color="auto"/>
          </w:divBdr>
          <w:divsChild>
            <w:div w:id="2913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2514">
      <w:bodyDiv w:val="1"/>
      <w:marLeft w:val="0"/>
      <w:marRight w:val="0"/>
      <w:marTop w:val="0"/>
      <w:marBottom w:val="0"/>
      <w:divBdr>
        <w:top w:val="none" w:sz="0" w:space="0" w:color="auto"/>
        <w:left w:val="none" w:sz="0" w:space="0" w:color="auto"/>
        <w:bottom w:val="none" w:sz="0" w:space="0" w:color="auto"/>
        <w:right w:val="none" w:sz="0" w:space="0" w:color="auto"/>
      </w:divBdr>
      <w:divsChild>
        <w:div w:id="1515151880">
          <w:marLeft w:val="0"/>
          <w:marRight w:val="0"/>
          <w:marTop w:val="0"/>
          <w:marBottom w:val="0"/>
          <w:divBdr>
            <w:top w:val="none" w:sz="0" w:space="0" w:color="auto"/>
            <w:left w:val="none" w:sz="0" w:space="0" w:color="auto"/>
            <w:bottom w:val="none" w:sz="0" w:space="0" w:color="auto"/>
            <w:right w:val="none" w:sz="0" w:space="0" w:color="auto"/>
          </w:divBdr>
          <w:divsChild>
            <w:div w:id="14155885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7171480">
      <w:bodyDiv w:val="1"/>
      <w:marLeft w:val="0"/>
      <w:marRight w:val="0"/>
      <w:marTop w:val="0"/>
      <w:marBottom w:val="0"/>
      <w:divBdr>
        <w:top w:val="none" w:sz="0" w:space="0" w:color="auto"/>
        <w:left w:val="none" w:sz="0" w:space="0" w:color="auto"/>
        <w:bottom w:val="none" w:sz="0" w:space="0" w:color="auto"/>
        <w:right w:val="none" w:sz="0" w:space="0" w:color="auto"/>
      </w:divBdr>
    </w:div>
    <w:div w:id="2046177815">
      <w:bodyDiv w:val="1"/>
      <w:marLeft w:val="0"/>
      <w:marRight w:val="0"/>
      <w:marTop w:val="0"/>
      <w:marBottom w:val="0"/>
      <w:divBdr>
        <w:top w:val="none" w:sz="0" w:space="0" w:color="auto"/>
        <w:left w:val="none" w:sz="0" w:space="0" w:color="auto"/>
        <w:bottom w:val="none" w:sz="0" w:space="0" w:color="auto"/>
        <w:right w:val="none" w:sz="0" w:space="0" w:color="auto"/>
      </w:divBdr>
    </w:div>
    <w:div w:id="2058583803">
      <w:bodyDiv w:val="1"/>
      <w:marLeft w:val="0"/>
      <w:marRight w:val="0"/>
      <w:marTop w:val="0"/>
      <w:marBottom w:val="0"/>
      <w:divBdr>
        <w:top w:val="none" w:sz="0" w:space="0" w:color="auto"/>
        <w:left w:val="none" w:sz="0" w:space="0" w:color="auto"/>
        <w:bottom w:val="none" w:sz="0" w:space="0" w:color="auto"/>
        <w:right w:val="none" w:sz="0" w:space="0" w:color="auto"/>
      </w:divBdr>
    </w:div>
    <w:div w:id="2061322488">
      <w:bodyDiv w:val="1"/>
      <w:marLeft w:val="50"/>
      <w:marRight w:val="0"/>
      <w:marTop w:val="0"/>
      <w:marBottom w:val="0"/>
      <w:divBdr>
        <w:top w:val="none" w:sz="0" w:space="0" w:color="auto"/>
        <w:left w:val="none" w:sz="0" w:space="0" w:color="auto"/>
        <w:bottom w:val="none" w:sz="0" w:space="0" w:color="auto"/>
        <w:right w:val="none" w:sz="0" w:space="0" w:color="auto"/>
      </w:divBdr>
      <w:divsChild>
        <w:div w:id="494610571">
          <w:marLeft w:val="0"/>
          <w:marRight w:val="0"/>
          <w:marTop w:val="0"/>
          <w:marBottom w:val="0"/>
          <w:divBdr>
            <w:top w:val="none" w:sz="0" w:space="0" w:color="auto"/>
            <w:left w:val="none" w:sz="0" w:space="0" w:color="auto"/>
            <w:bottom w:val="none" w:sz="0" w:space="0" w:color="auto"/>
            <w:right w:val="none" w:sz="0" w:space="0" w:color="auto"/>
          </w:divBdr>
          <w:divsChild>
            <w:div w:id="18586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2340">
      <w:bodyDiv w:val="1"/>
      <w:marLeft w:val="0"/>
      <w:marRight w:val="0"/>
      <w:marTop w:val="0"/>
      <w:marBottom w:val="0"/>
      <w:divBdr>
        <w:top w:val="none" w:sz="0" w:space="0" w:color="auto"/>
        <w:left w:val="none" w:sz="0" w:space="0" w:color="auto"/>
        <w:bottom w:val="none" w:sz="0" w:space="0" w:color="auto"/>
        <w:right w:val="none" w:sz="0" w:space="0" w:color="auto"/>
      </w:divBdr>
    </w:div>
    <w:div w:id="2119715698">
      <w:bodyDiv w:val="1"/>
      <w:marLeft w:val="0"/>
      <w:marRight w:val="0"/>
      <w:marTop w:val="0"/>
      <w:marBottom w:val="0"/>
      <w:divBdr>
        <w:top w:val="none" w:sz="0" w:space="0" w:color="auto"/>
        <w:left w:val="none" w:sz="0" w:space="0" w:color="auto"/>
        <w:bottom w:val="none" w:sz="0" w:space="0" w:color="auto"/>
        <w:right w:val="none" w:sz="0" w:space="0" w:color="auto"/>
      </w:divBdr>
    </w:div>
    <w:div w:id="2138523461">
      <w:bodyDiv w:val="1"/>
      <w:marLeft w:val="0"/>
      <w:marRight w:val="0"/>
      <w:marTop w:val="0"/>
      <w:marBottom w:val="0"/>
      <w:divBdr>
        <w:top w:val="none" w:sz="0" w:space="0" w:color="auto"/>
        <w:left w:val="none" w:sz="0" w:space="0" w:color="auto"/>
        <w:bottom w:val="none" w:sz="0" w:space="0" w:color="auto"/>
        <w:right w:val="none" w:sz="0" w:space="0" w:color="auto"/>
      </w:divBdr>
      <w:divsChild>
        <w:div w:id="1888486674">
          <w:marLeft w:val="0"/>
          <w:marRight w:val="0"/>
          <w:marTop w:val="0"/>
          <w:marBottom w:val="0"/>
          <w:divBdr>
            <w:top w:val="none" w:sz="0" w:space="0" w:color="auto"/>
            <w:left w:val="none" w:sz="0" w:space="0" w:color="auto"/>
            <w:bottom w:val="none" w:sz="0" w:space="0" w:color="auto"/>
            <w:right w:val="none" w:sz="0" w:space="0" w:color="auto"/>
          </w:divBdr>
          <w:divsChild>
            <w:div w:id="1338843291">
              <w:marLeft w:val="0"/>
              <w:marRight w:val="0"/>
              <w:marTop w:val="0"/>
              <w:marBottom w:val="0"/>
              <w:divBdr>
                <w:top w:val="none" w:sz="0" w:space="0" w:color="auto"/>
                <w:left w:val="none" w:sz="0" w:space="0" w:color="auto"/>
                <w:bottom w:val="none" w:sz="0" w:space="0" w:color="auto"/>
                <w:right w:val="none" w:sz="0" w:space="0" w:color="auto"/>
              </w:divBdr>
              <w:divsChild>
                <w:div w:id="65609609">
                  <w:marLeft w:val="0"/>
                  <w:marRight w:val="0"/>
                  <w:marTop w:val="0"/>
                  <w:marBottom w:val="0"/>
                  <w:divBdr>
                    <w:top w:val="none" w:sz="0" w:space="0" w:color="auto"/>
                    <w:left w:val="none" w:sz="0" w:space="0" w:color="auto"/>
                    <w:bottom w:val="none" w:sz="0" w:space="0" w:color="auto"/>
                    <w:right w:val="none" w:sz="0" w:space="0" w:color="auto"/>
                  </w:divBdr>
                  <w:divsChild>
                    <w:div w:id="2061981021">
                      <w:marLeft w:val="0"/>
                      <w:marRight w:val="0"/>
                      <w:marTop w:val="0"/>
                      <w:marBottom w:val="0"/>
                      <w:divBdr>
                        <w:top w:val="single" w:sz="6" w:space="0" w:color="DCD9D9"/>
                        <w:left w:val="single" w:sz="6" w:space="0" w:color="DCD9D9"/>
                        <w:bottom w:val="single" w:sz="2" w:space="0" w:color="DCD9D9"/>
                        <w:right w:val="single" w:sz="6" w:space="0" w:color="DCD9D9"/>
                      </w:divBdr>
                      <w:divsChild>
                        <w:div w:id="958336301">
                          <w:marLeft w:val="0"/>
                          <w:marRight w:val="-100"/>
                          <w:marTop w:val="450"/>
                          <w:marBottom w:val="0"/>
                          <w:divBdr>
                            <w:top w:val="none" w:sz="0" w:space="0" w:color="auto"/>
                            <w:left w:val="none" w:sz="0" w:space="0" w:color="auto"/>
                            <w:bottom w:val="none" w:sz="0" w:space="0" w:color="auto"/>
                            <w:right w:val="none" w:sz="0" w:space="0" w:color="auto"/>
                          </w:divBdr>
                          <w:divsChild>
                            <w:div w:id="1638215661">
                              <w:marLeft w:val="0"/>
                              <w:marRight w:val="0"/>
                              <w:marTop w:val="0"/>
                              <w:marBottom w:val="0"/>
                              <w:divBdr>
                                <w:top w:val="none" w:sz="0" w:space="0" w:color="auto"/>
                                <w:left w:val="none" w:sz="0" w:space="0" w:color="auto"/>
                                <w:bottom w:val="none" w:sz="0" w:space="0" w:color="auto"/>
                                <w:right w:val="none" w:sz="0" w:space="0" w:color="auto"/>
                              </w:divBdr>
                              <w:divsChild>
                                <w:div w:id="1072122107">
                                  <w:marLeft w:val="0"/>
                                  <w:marRight w:val="0"/>
                                  <w:marTop w:val="0"/>
                                  <w:marBottom w:val="0"/>
                                  <w:divBdr>
                                    <w:top w:val="none" w:sz="0" w:space="0" w:color="auto"/>
                                    <w:left w:val="none" w:sz="0" w:space="0" w:color="auto"/>
                                    <w:bottom w:val="none" w:sz="0" w:space="0" w:color="auto"/>
                                    <w:right w:val="none" w:sz="0" w:space="0" w:color="auto"/>
                                  </w:divBdr>
                                  <w:divsChild>
                                    <w:div w:id="11885049">
                                      <w:marLeft w:val="0"/>
                                      <w:marRight w:val="0"/>
                                      <w:marTop w:val="0"/>
                                      <w:marBottom w:val="0"/>
                                      <w:divBdr>
                                        <w:top w:val="none" w:sz="0" w:space="0" w:color="auto"/>
                                        <w:left w:val="none" w:sz="0" w:space="0" w:color="auto"/>
                                        <w:bottom w:val="none" w:sz="0" w:space="0" w:color="auto"/>
                                        <w:right w:val="none" w:sz="0" w:space="0" w:color="auto"/>
                                      </w:divBdr>
                                      <w:divsChild>
                                        <w:div w:id="969434860">
                                          <w:marLeft w:val="0"/>
                                          <w:marRight w:val="0"/>
                                          <w:marTop w:val="0"/>
                                          <w:marBottom w:val="360"/>
                                          <w:divBdr>
                                            <w:top w:val="none" w:sz="0" w:space="0" w:color="auto"/>
                                            <w:left w:val="none" w:sz="0" w:space="0" w:color="auto"/>
                                            <w:bottom w:val="none" w:sz="0" w:space="0" w:color="auto"/>
                                            <w:right w:val="none" w:sz="0" w:space="0" w:color="auto"/>
                                          </w:divBdr>
                                          <w:divsChild>
                                            <w:div w:id="779111451">
                                              <w:marLeft w:val="0"/>
                                              <w:marRight w:val="0"/>
                                              <w:marTop w:val="0"/>
                                              <w:marBottom w:val="0"/>
                                              <w:divBdr>
                                                <w:top w:val="none" w:sz="0" w:space="0" w:color="auto"/>
                                                <w:left w:val="none" w:sz="0" w:space="0" w:color="auto"/>
                                                <w:bottom w:val="none" w:sz="0" w:space="0" w:color="auto"/>
                                                <w:right w:val="none" w:sz="0" w:space="0" w:color="auto"/>
                                              </w:divBdr>
                                              <w:divsChild>
                                                <w:div w:id="113981465">
                                                  <w:marLeft w:val="0"/>
                                                  <w:marRight w:val="0"/>
                                                  <w:marTop w:val="0"/>
                                                  <w:marBottom w:val="0"/>
                                                  <w:divBdr>
                                                    <w:top w:val="none" w:sz="0" w:space="0" w:color="auto"/>
                                                    <w:left w:val="none" w:sz="0" w:space="0" w:color="auto"/>
                                                    <w:bottom w:val="none" w:sz="0" w:space="0" w:color="auto"/>
                                                    <w:right w:val="none" w:sz="0" w:space="0" w:color="auto"/>
                                                  </w:divBdr>
                                                  <w:divsChild>
                                                    <w:div w:id="1036076190">
                                                      <w:marLeft w:val="0"/>
                                                      <w:marRight w:val="0"/>
                                                      <w:marTop w:val="0"/>
                                                      <w:marBottom w:val="0"/>
                                                      <w:divBdr>
                                                        <w:top w:val="none" w:sz="0" w:space="0" w:color="auto"/>
                                                        <w:left w:val="none" w:sz="0" w:space="0" w:color="auto"/>
                                                        <w:bottom w:val="none" w:sz="0" w:space="0" w:color="auto"/>
                                                        <w:right w:val="none" w:sz="0" w:space="0" w:color="auto"/>
                                                      </w:divBdr>
                                                      <w:divsChild>
                                                        <w:div w:id="542601275">
                                                          <w:marLeft w:val="0"/>
                                                          <w:marRight w:val="0"/>
                                                          <w:marTop w:val="0"/>
                                                          <w:marBottom w:val="0"/>
                                                          <w:divBdr>
                                                            <w:top w:val="none" w:sz="0" w:space="0" w:color="auto"/>
                                                            <w:left w:val="none" w:sz="0" w:space="0" w:color="auto"/>
                                                            <w:bottom w:val="none" w:sz="0" w:space="0" w:color="auto"/>
                                                            <w:right w:val="none" w:sz="0" w:space="0" w:color="auto"/>
                                                          </w:divBdr>
                                                          <w:divsChild>
                                                            <w:div w:id="768693331">
                                                              <w:marLeft w:val="0"/>
                                                              <w:marRight w:val="0"/>
                                                              <w:marTop w:val="0"/>
                                                              <w:marBottom w:val="0"/>
                                                              <w:divBdr>
                                                                <w:top w:val="none" w:sz="0" w:space="0" w:color="auto"/>
                                                                <w:left w:val="none" w:sz="0" w:space="0" w:color="auto"/>
                                                                <w:bottom w:val="none" w:sz="0" w:space="0" w:color="auto"/>
                                                                <w:right w:val="none" w:sz="0" w:space="0" w:color="auto"/>
                                                              </w:divBdr>
                                                              <w:divsChild>
                                                                <w:div w:id="18467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yperlink" Target="https://www.aer.gov.au/news-release/aer-issues-final-decisions-for-victorian-electricity-distributors" TargetMode="External"/><Relationship Id="rId39" Type="http://schemas.openxmlformats.org/officeDocument/2006/relationships/hyperlink" Target="http://www.qca.org.au/Media-Centre/Media-Releases/Media-Releases/2016/Apr/Draft-Decision-Released-on-DBCTM-s-2015-DAU" TargetMode="External"/><Relationship Id="rId21" Type="http://schemas.openxmlformats.org/officeDocument/2006/relationships/hyperlink" Target="https://www.accc.gov.au/media-release/accc-publishes-nbn-co%E2%80%99s-proposed-variation-to-its-special-access-undertaking-for-consultation" TargetMode="External"/><Relationship Id="rId34" Type="http://schemas.openxmlformats.org/officeDocument/2006/relationships/hyperlink" Target="http://www.qca.org.au/Media-Centre/Media-Releases/Media-Releases/2016/Jun/Decision-&#8211;-Queensland-Rail's-2015-DAU" TargetMode="External"/><Relationship Id="rId42" Type="http://schemas.openxmlformats.org/officeDocument/2006/relationships/hyperlink" Target="http://www.economicregulator.tas.gov.au/domino/otter.nsf/LookupFiles/16_1711_approval_standing_offer_prices_and__regulated_FiT_rate_2016-17.pdf/$file/16_1711_approval_standing_offer_prices_and__regulated_FiT_rate_2016-17.pdf" TargetMode="External"/><Relationship Id="rId47" Type="http://schemas.openxmlformats.org/officeDocument/2006/relationships/hyperlink" Target="http://www.esc.vic.gov.au/wp-content/uploads/2016/06/Media-Release-Water-Price-Review-2016-20-Goulburn-Murray-Water-Final-Decision.pdf" TargetMode="External"/><Relationship Id="rId50" Type="http://schemas.openxmlformats.org/officeDocument/2006/relationships/hyperlink" Target="http://www.esc.vic.gov.au/getattachment/7fc9b1bf-2d7f-4c78-abfb-a699356daf67/Energy-Hardship-Inquiry-Final-Report.pdf" TargetMode="External"/><Relationship Id="rId55" Type="http://schemas.openxmlformats.org/officeDocument/2006/relationships/hyperlink" Target="https://www.accc.gov.au/regulated-infrastructure/rail/annual-compliance-assessment-2013/final-determination" TargetMode="Externa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s://www.accc.gov.au/media-release/accc-issues-final-determination-on-nbn-co%E2%80%99s-revenue-controls" TargetMode="External"/><Relationship Id="rId29" Type="http://schemas.openxmlformats.org/officeDocument/2006/relationships/hyperlink" Target="http://www.ipart.nsw.gov.au/Home/Industries/Water/News/Final_Reports_released_for_Sydney_Water_Hunter_Water_and_WaterNSW_price_reviews" TargetMode="External"/><Relationship Id="rId41" Type="http://schemas.openxmlformats.org/officeDocument/2006/relationships/hyperlink" Target="http://www.escosa.sa.gov.au/projects/222/review-of-necf-in-south-australia.aspx" TargetMode="External"/><Relationship Id="rId54" Type="http://schemas.openxmlformats.org/officeDocument/2006/relationships/hyperlink" Target="http://comcom.govt.nz/the-commission/media-centre/media-releases/detail/2016/commission-releases-research-on-business-mobile-market" TargetMode="Externa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accc.gov.au/media-release/accc-issues-draft-decision-on-waternsws-2016-17-charges-in-the-murray-darling-basin" TargetMode="External"/><Relationship Id="rId32" Type="http://schemas.openxmlformats.org/officeDocument/2006/relationships/hyperlink" Target="http://www.ipart.nsw.gov.au/Home/Industries/Water/Reviews/Rural_Water/Review_of_prices_for_WAMCs_water_management_services_currently_provided_by_DPI_Water/NewsHYS/Final_Report_released_for_WAMCs_water_management_prices" TargetMode="External"/><Relationship Id="rId37" Type="http://schemas.openxmlformats.org/officeDocument/2006/relationships/hyperlink" Target="http://www.qca.org.au/Media-Centre/Media-Releases/Media-Releases/2016/May/Regional-Solar-Feed-In-Tariff-for-2016-17" TargetMode="External"/><Relationship Id="rId40" Type="http://schemas.openxmlformats.org/officeDocument/2006/relationships/hyperlink" Target="http://www.escosa.sa.gov.au/projects/231/sa-water-regulatory-determination-2016.aspx" TargetMode="External"/><Relationship Id="rId45" Type="http://schemas.openxmlformats.org/officeDocument/2006/relationships/hyperlink" Target="http://www.energyregulator.tas.gov.au/domino/otter.nsf/LookupFiles/161027_20160505_Media_Release_2016_Feed-in_Tariff_Determination.pdf/$file/161027_20160505_Media_Release_2016_Feed-in_Tariff_Determination.pdf" TargetMode="External"/><Relationship Id="rId53" Type="http://schemas.openxmlformats.org/officeDocument/2006/relationships/hyperlink" Target="http://comcom.govt.nz/the-commission/media-centre/media-releases/detail/2016/commission-begins-consultation-on-review-of-non-price-terms-for-chorus-uba-service" TargetMode="External"/><Relationship Id="rId58" Type="http://schemas.openxmlformats.org/officeDocument/2006/relationships/hyperlink" Target="https://www.accc.gov.au/about-us/conferences-events/accc/aer-regulatory-conference/accc-aer-regulatory-conference-2016"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https://www.accc.gov.au/media-release/accc-releases-first-report-on-nbn-wholesale-market" TargetMode="External"/><Relationship Id="rId28" Type="http://schemas.openxmlformats.org/officeDocument/2006/relationships/hyperlink" Target="http://www.icrc.act.gov.au/energy/electricity/electricity/" TargetMode="External"/><Relationship Id="rId36" Type="http://schemas.openxmlformats.org/officeDocument/2006/relationships/hyperlink" Target="http://www.qca.org.au/Media-Centre/Media-Releases/Media-Releases/2016/May/Regulated-Retail-Electricity-Prices-for-Regional-Q" TargetMode="External"/><Relationship Id="rId49" Type="http://schemas.openxmlformats.org/officeDocument/2006/relationships/hyperlink" Target="http://www.esc.vic.gov.au/Energy/Important-information-for-Go-Energy-Customers" TargetMode="External"/><Relationship Id="rId57" Type="http://schemas.openxmlformats.org/officeDocument/2006/relationships/hyperlink" Target="http://comcom.govt.nz/regulated-industries/telecommunications/monitoring-reports-and-studies/monitoring-reports/"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www.ipart.nsw.gov.au/Home/Industries/Electricity/Reviews/Retail_Pricing/Review_of_Solar_feed-in_tariffs_from_1_July_2016/News/Final_Decision_for_Solar_feed_in_tariffs_2016_17_released" TargetMode="External"/><Relationship Id="rId44" Type="http://schemas.openxmlformats.org/officeDocument/2006/relationships/hyperlink" Target="http://www.economicregulator.tas.gov.au/domino/otter.nsf/9639f0144af2a859ca2574d50000020f/158f701b3e1effd6ca257fb2000f10cc?OpenDocument" TargetMode="External"/><Relationship Id="rId52" Type="http://schemas.openxmlformats.org/officeDocument/2006/relationships/hyperlink" Target="http://www.comcom.govt.nz/the-commission/media-centre/media-releases/detail/2016/commerce-commission-seeks-submissions-on-deregulating-selected-schedule-1-telecommunications-services-" TargetMode="External"/><Relationship Id="rId60" Type="http://schemas.openxmlformats.org/officeDocument/2006/relationships/hyperlink" Target="mailto:Genevieve.Pound@accc.gov.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www.accc.gov.au/media-release/accc-releases-discussion-paper-on-telstra%E2%80%99s-proposed-variation-to-the-migration-plan" TargetMode="External"/><Relationship Id="rId27" Type="http://schemas.openxmlformats.org/officeDocument/2006/relationships/hyperlink" Target="https://www.aer.gov.au/networks-pipelines/guidelines-schemes-models-reviews/electricity-ring-fencing-guideline-2016" TargetMode="External"/><Relationship Id="rId30" Type="http://schemas.openxmlformats.org/officeDocument/2006/relationships/hyperlink" Target="http://www.ipart.nsw.gov.au/Home/Industries/Gas/Reviews/Retail_Pricing/Review_of_regulated_gas_retail_tariffs_and_charges_from_1_July_2016/News/Final_Report_for_regulated_gas_prices_and_charges_released" TargetMode="External"/><Relationship Id="rId35" Type="http://schemas.openxmlformats.org/officeDocument/2006/relationships/hyperlink" Target="http://www.qca.org.au/Media-Centre/Media-Releases/Media-Releases/2015/Dec/Electricity-Prices-for-2016-17" TargetMode="External"/><Relationship Id="rId43" Type="http://schemas.openxmlformats.org/officeDocument/2006/relationships/hyperlink" Target="http://www.economicregulator.tas.gov.au/domino/otter.nsf/9639f0144af2a859ca2574d50000020f/158f701b3e1effd6ca257fb2000f10cc?OpenDocument" TargetMode="External"/><Relationship Id="rId48" Type="http://schemas.openxmlformats.org/officeDocument/2006/relationships/hyperlink" Target="http://www.esc.vic.gov.au/wp-content/uploads/2016/05/Water-Pricing-Approach-Proposal-Full-position-paper.pdf" TargetMode="External"/><Relationship Id="rId56" Type="http://schemas.openxmlformats.org/officeDocument/2006/relationships/hyperlink" Target="http://www.judgments.fedcourt.gov.au/judgments/Judgments/tribunals/acompt/2016/2016acompt0006" TargetMode="External"/><Relationship Id="rId8" Type="http://schemas.openxmlformats.org/officeDocument/2006/relationships/footnotes" Target="footnotes.xml"/><Relationship Id="rId51" Type="http://schemas.openxmlformats.org/officeDocument/2006/relationships/hyperlink" Target="http://comcom.govt.nz/the-commission/media-centre/media-releases/detail/2016/new-report-details-profitability-of-electricity-lines-companies"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aemc.gov.au/Markets-Reviews-Advice/Annual-Market-Performance-Review-2015" TargetMode="External"/><Relationship Id="rId33" Type="http://schemas.openxmlformats.org/officeDocument/2006/relationships/hyperlink" Target="http://www.ipart.nsw.gov.au/Home/Industries/Water/Reviews/Metro_Pricing/Review_of_wholesale_pricing_for_Sydney_Water_and_Hunter_Water/news/Discussion_Paper_released_on_wholesale_prices_for_Sydney_Water_Hunter_Water" TargetMode="External"/><Relationship Id="rId38" Type="http://schemas.openxmlformats.org/officeDocument/2006/relationships/hyperlink" Target="http://www.qca.org.au/Media-Centre/Media-Releases/Media-Releases/2016/Apr/QCA-publishes-final-decision-on-Aurizon-Network's" TargetMode="External"/><Relationship Id="rId46" Type="http://schemas.openxmlformats.org/officeDocument/2006/relationships/hyperlink" Target="http://www.energyregulator.tas.gov.au/domino/otter.nsf/LookupFiles/161151_Media_Release_2016_Standing_Offer_Price_Determination.PDF/$file/161151_Media_Release_2016_Standing_Offer_Price_Determination.PDF" TargetMode="External"/><Relationship Id="rId59" Type="http://schemas.openxmlformats.org/officeDocument/2006/relationships/hyperlink" Target="mailto:Robert.Albon@acc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FDE254-690D-4CB3-89AA-223E5CEEF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403F5BEF</Template>
  <TotalTime>0</TotalTime>
  <Pages>20</Pages>
  <Words>12970</Words>
  <Characters>73932</Characters>
  <Application>Microsoft Office Word</Application>
  <DocSecurity>4</DocSecurity>
  <Lines>616</Lines>
  <Paragraphs>173</Paragraphs>
  <ScaleCrop>false</ScaleCrop>
  <HeadingPairs>
    <vt:vector size="2" baseType="variant">
      <vt:variant>
        <vt:lpstr>Title</vt:lpstr>
      </vt:variant>
      <vt:variant>
        <vt:i4>1</vt:i4>
      </vt:variant>
    </vt:vector>
  </HeadingPairs>
  <TitlesOfParts>
    <vt:vector size="1" baseType="lpstr">
      <vt:lpstr>Issue 32 April 2009</vt:lpstr>
    </vt:vector>
  </TitlesOfParts>
  <Company>ACCC</Company>
  <LinksUpToDate>false</LinksUpToDate>
  <CharactersWithSpaces>86729</CharactersWithSpaces>
  <SharedDoc>false</SharedDoc>
  <HLinks>
    <vt:vector size="564" baseType="variant">
      <vt:variant>
        <vt:i4>5505088</vt:i4>
      </vt:variant>
      <vt:variant>
        <vt:i4>264</vt:i4>
      </vt:variant>
      <vt:variant>
        <vt:i4>0</vt:i4>
      </vt:variant>
      <vt:variant>
        <vt:i4>5</vt:i4>
      </vt:variant>
      <vt:variant>
        <vt:lpwstr>http://www.accc.gov.au/about-us/conferences-events/accc/aer-regulatory-conference/accc/aer-regulatory-conference-2013</vt:lpwstr>
      </vt:variant>
      <vt:variant>
        <vt:lpwstr/>
      </vt:variant>
      <vt:variant>
        <vt:i4>1703947</vt:i4>
      </vt:variant>
      <vt:variant>
        <vt:i4>261</vt:i4>
      </vt:variant>
      <vt:variant>
        <vt:i4>0</vt:i4>
      </vt:variant>
      <vt:variant>
        <vt:i4>5</vt:i4>
      </vt:variant>
      <vt:variant>
        <vt:lpwstr>http://www.escosa.sa.gov.au/Publications/DownloadPublication.aspx?id=2503&amp;versionId=2640</vt:lpwstr>
      </vt:variant>
      <vt:variant>
        <vt:lpwstr/>
      </vt:variant>
      <vt:variant>
        <vt:i4>4194371</vt:i4>
      </vt:variant>
      <vt:variant>
        <vt:i4>258</vt:i4>
      </vt:variant>
      <vt:variant>
        <vt:i4>0</vt:i4>
      </vt:variant>
      <vt:variant>
        <vt:i4>5</vt:i4>
      </vt:variant>
      <vt:variant>
        <vt:lpwstr>http://www.qca.org.au/files/ER-ACIL-DraftReport-EWEC201314-RetTariff-0213.pdf</vt:lpwstr>
      </vt:variant>
      <vt:variant>
        <vt:lpwstr/>
      </vt:variant>
      <vt:variant>
        <vt:i4>4128878</vt:i4>
      </vt:variant>
      <vt:variant>
        <vt:i4>255</vt:i4>
      </vt:variant>
      <vt:variant>
        <vt:i4>0</vt:i4>
      </vt:variant>
      <vt:variant>
        <vt:i4>5</vt:i4>
      </vt:variant>
      <vt:variant>
        <vt:lpwstr>http://www.qca.org.au/files/ER-QCA-DraftDeterm-RREP201314-0213.pdf</vt:lpwstr>
      </vt:variant>
      <vt:variant>
        <vt:lpwstr/>
      </vt:variant>
      <vt:variant>
        <vt:i4>3997727</vt:i4>
      </vt:variant>
      <vt:variant>
        <vt:i4>252</vt:i4>
      </vt:variant>
      <vt:variant>
        <vt:i4>0</vt:i4>
      </vt:variant>
      <vt:variant>
        <vt:i4>5</vt:i4>
      </vt:variant>
      <vt:variant>
        <vt:lpwstr>http://www.ipart.nsw.gov.au/Home/Industries/Water/Reviews/Metro_Pricing/Review_of_prices_for_Hunter_Water_Corporation_from_1_July_2013</vt:lpwstr>
      </vt:variant>
      <vt:variant>
        <vt:lpwstr/>
      </vt:variant>
      <vt:variant>
        <vt:i4>3342460</vt:i4>
      </vt:variant>
      <vt:variant>
        <vt:i4>249</vt:i4>
      </vt:variant>
      <vt:variant>
        <vt:i4>0</vt:i4>
      </vt:variant>
      <vt:variant>
        <vt:i4>5</vt:i4>
      </vt:variant>
      <vt:variant>
        <vt:lpwstr>http://www.comcom.govt.nz/media-releases/detail/2013/new-report-tracks-electricity-distributor-trends-2008-2011</vt:lpwstr>
      </vt:variant>
      <vt:variant>
        <vt:lpwstr/>
      </vt:variant>
      <vt:variant>
        <vt:i4>1245191</vt:i4>
      </vt:variant>
      <vt:variant>
        <vt:i4>246</vt:i4>
      </vt:variant>
      <vt:variant>
        <vt:i4>0</vt:i4>
      </vt:variant>
      <vt:variant>
        <vt:i4>5</vt:i4>
      </vt:variant>
      <vt:variant>
        <vt:lpwstr>http://www.comcom.govt.nz/media-releases/detail/2013/commerce-commission-final-report-on-wellington-international-airport-points-to-excessive-profits</vt:lpwstr>
      </vt:variant>
      <vt:variant>
        <vt:lpwstr/>
      </vt:variant>
      <vt:variant>
        <vt:i4>983131</vt:i4>
      </vt:variant>
      <vt:variant>
        <vt:i4>243</vt:i4>
      </vt:variant>
      <vt:variant>
        <vt:i4>0</vt:i4>
      </vt:variant>
      <vt:variant>
        <vt:i4>5</vt:i4>
      </vt:variant>
      <vt:variant>
        <vt:lpwstr>http://www.comcom.govt.nz/media-releases/detail/2013/commerce-commission-sets-prices-and-quality-standards-for-gas-pipeline-services</vt:lpwstr>
      </vt:variant>
      <vt:variant>
        <vt:lpwstr/>
      </vt:variant>
      <vt:variant>
        <vt:i4>131155</vt:i4>
      </vt:variant>
      <vt:variant>
        <vt:i4>240</vt:i4>
      </vt:variant>
      <vt:variant>
        <vt:i4>0</vt:i4>
      </vt:variant>
      <vt:variant>
        <vt:i4>5</vt:i4>
      </vt:variant>
      <vt:variant>
        <vt:lpwstr>http://www.comcom.govt.nz/media-releases/detail/2013/suppliers-providing-telecommunications-services-must-check-liability-for-telecommunications-development-levy</vt:lpwstr>
      </vt:variant>
      <vt:variant>
        <vt:lpwstr/>
      </vt:variant>
      <vt:variant>
        <vt:i4>1966086</vt:i4>
      </vt:variant>
      <vt:variant>
        <vt:i4>237</vt:i4>
      </vt:variant>
      <vt:variant>
        <vt:i4>0</vt:i4>
      </vt:variant>
      <vt:variant>
        <vt:i4>5</vt:i4>
      </vt:variant>
      <vt:variant>
        <vt:lpwstr>http://www.comcom.govt.nz/media-releases/detail/2013/commission-announces-next-step-in-setting-uba-price</vt:lpwstr>
      </vt:variant>
      <vt:variant>
        <vt:lpwstr/>
      </vt:variant>
      <vt:variant>
        <vt:i4>4587586</vt:i4>
      </vt:variant>
      <vt:variant>
        <vt:i4>234</vt:i4>
      </vt:variant>
      <vt:variant>
        <vt:i4>0</vt:i4>
      </vt:variant>
      <vt:variant>
        <vt:i4>5</vt:i4>
      </vt:variant>
      <vt:variant>
        <vt:lpwstr>http://www.comcom.govt.nz/media-releases/detail/2013/commission-approves-amendment-to-costs-transpower-can-recover-for-otahuhu-substation-project</vt:lpwstr>
      </vt:variant>
      <vt:variant>
        <vt:lpwstr/>
      </vt:variant>
      <vt:variant>
        <vt:i4>3932216</vt:i4>
      </vt:variant>
      <vt:variant>
        <vt:i4>231</vt:i4>
      </vt:variant>
      <vt:variant>
        <vt:i4>0</vt:i4>
      </vt:variant>
      <vt:variant>
        <vt:i4>5</vt:i4>
      </vt:variant>
      <vt:variant>
        <vt:lpwstr>http://www.comcom.govt.nz/regulated-industries-media-releases/detail/2013/commission-issues-draft-report-on-auckland-international-airport</vt:lpwstr>
      </vt:variant>
      <vt:variant>
        <vt:lpwstr/>
      </vt:variant>
      <vt:variant>
        <vt:i4>6684788</vt:i4>
      </vt:variant>
      <vt:variant>
        <vt:i4>228</vt:i4>
      </vt:variant>
      <vt:variant>
        <vt:i4>0</vt:i4>
      </vt:variant>
      <vt:variant>
        <vt:i4>5</vt:i4>
      </vt:variant>
      <vt:variant>
        <vt:lpwstr>http://www.erawa.com.au/cproot/11039/2/20121221 - D101413 - Consultation Paper_RoR Guidelines_for publication.pdf</vt:lpwstr>
      </vt:variant>
      <vt:variant>
        <vt:lpwstr/>
      </vt:variant>
      <vt:variant>
        <vt:i4>5242904</vt:i4>
      </vt:variant>
      <vt:variant>
        <vt:i4>225</vt:i4>
      </vt:variant>
      <vt:variant>
        <vt:i4>0</vt:i4>
      </vt:variant>
      <vt:variant>
        <vt:i4>5</vt:i4>
      </vt:variant>
      <vt:variant>
        <vt:lpwstr>http://www.erawa.com.au/cproot/11135/2/20130207 - D101455 - Issues Paper - Railways %28Access%29 Code 2000 - Weighted Average Cost of Capital - WACC Determination - Railway Networks.pdf</vt:lpwstr>
      </vt:variant>
      <vt:variant>
        <vt:lpwstr/>
      </vt:variant>
      <vt:variant>
        <vt:i4>5308495</vt:i4>
      </vt:variant>
      <vt:variant>
        <vt:i4>222</vt:i4>
      </vt:variant>
      <vt:variant>
        <vt:i4>0</vt:i4>
      </vt:variant>
      <vt:variant>
        <vt:i4>5</vt:i4>
      </vt:variant>
      <vt:variant>
        <vt:lpwstr>http://www.erawa.com.au/access/gas-access/guidelines/</vt:lpwstr>
      </vt:variant>
      <vt:variant>
        <vt:lpwstr/>
      </vt:variant>
      <vt:variant>
        <vt:i4>8257655</vt:i4>
      </vt:variant>
      <vt:variant>
        <vt:i4>219</vt:i4>
      </vt:variant>
      <vt:variant>
        <vt:i4>0</vt:i4>
      </vt:variant>
      <vt:variant>
        <vt:i4>5</vt:i4>
      </vt:variant>
      <vt:variant>
        <vt:lpwstr>http://www.esc.vic.gov.au/Water/Return-of-the-Desalination-Over-Collection</vt:lpwstr>
      </vt:variant>
      <vt:variant>
        <vt:lpwstr/>
      </vt:variant>
      <vt:variant>
        <vt:i4>3407996</vt:i4>
      </vt:variant>
      <vt:variant>
        <vt:i4>216</vt:i4>
      </vt:variant>
      <vt:variant>
        <vt:i4>0</vt:i4>
      </vt:variant>
      <vt:variant>
        <vt:i4>5</vt:i4>
      </vt:variant>
      <vt:variant>
        <vt:lpwstr>http://www.esc.vic.gov.au/Water/Water-Price-Review-2013-18</vt:lpwstr>
      </vt:variant>
      <vt:variant>
        <vt:lpwstr/>
      </vt:variant>
      <vt:variant>
        <vt:i4>6946912</vt:i4>
      </vt:variant>
      <vt:variant>
        <vt:i4>213</vt:i4>
      </vt:variant>
      <vt:variant>
        <vt:i4>0</vt:i4>
      </vt:variant>
      <vt:variant>
        <vt:i4>5</vt:i4>
      </vt:variant>
      <vt:variant>
        <vt:lpwstr>http://www.esc.vic.gov.au/getattachment/82f71903-fb8c-4462-9417-156e86793d88/Regional-water-price-review-2013-18-Draft-decision.pdf</vt:lpwstr>
      </vt:variant>
      <vt:variant>
        <vt:lpwstr/>
      </vt:variant>
      <vt:variant>
        <vt:i4>6881329</vt:i4>
      </vt:variant>
      <vt:variant>
        <vt:i4>210</vt:i4>
      </vt:variant>
      <vt:variant>
        <vt:i4>0</vt:i4>
      </vt:variant>
      <vt:variant>
        <vt:i4>5</vt:i4>
      </vt:variant>
      <vt:variant>
        <vt:lpwstr>http://www.esc.vic.gov.au/getattachment/4594ef0b-602a-4750-bd1c-74faaf65a4e8/Regional-water-price-review-2013-18-Draft-decision.pdf</vt:lpwstr>
      </vt:variant>
      <vt:variant>
        <vt:lpwstr/>
      </vt:variant>
      <vt:variant>
        <vt:i4>524356</vt:i4>
      </vt:variant>
      <vt:variant>
        <vt:i4>207</vt:i4>
      </vt:variant>
      <vt:variant>
        <vt:i4>0</vt:i4>
      </vt:variant>
      <vt:variant>
        <vt:i4>5</vt:i4>
      </vt:variant>
      <vt:variant>
        <vt:lpwstr>http://www.energyregulator.tas.gov.au/domino/otter.nsf/LookupFiles/13254_Media_release_2011-12_Energy_in_Tasmania_Performance_Report_130123.pdf/$file/13254_Media_release_2011-12_Energy_in_Tasmania_Performance_Report_130123.pdf</vt:lpwstr>
      </vt:variant>
      <vt:variant>
        <vt:lpwstr/>
      </vt:variant>
      <vt:variant>
        <vt:i4>5832830</vt:i4>
      </vt:variant>
      <vt:variant>
        <vt:i4>204</vt:i4>
      </vt:variant>
      <vt:variant>
        <vt:i4>0</vt:i4>
      </vt:variant>
      <vt:variant>
        <vt:i4>5</vt:i4>
      </vt:variant>
      <vt:variant>
        <vt:lpwstr>http://www.energyregulator.tas.gov.au/domino/otter.nsf/LookupFiles/13569_Water_and_Sewerage_Accounting_Ringfencing_Guideline_and_Templates_Consultation_Paper_14_February_2013.pdf/$file/13569_Water_and_Sewerage_Accounting_Ringfencing_Guideline_and_Templates_Consultation_Paper_14_February_2013.pdf</vt:lpwstr>
      </vt:variant>
      <vt:variant>
        <vt:lpwstr/>
      </vt:variant>
      <vt:variant>
        <vt:i4>2228329</vt:i4>
      </vt:variant>
      <vt:variant>
        <vt:i4>201</vt:i4>
      </vt:variant>
      <vt:variant>
        <vt:i4>0</vt:i4>
      </vt:variant>
      <vt:variant>
        <vt:i4>5</vt:i4>
      </vt:variant>
      <vt:variant>
        <vt:lpwstr>http://www.economicregulator.tas.gov.au/domino/otter.nsf/8f46477f11c891c7ca256c4b001b41f2/6c7eb162b699fea6ca257b47001f66b4?OpenDocument</vt:lpwstr>
      </vt:variant>
      <vt:variant>
        <vt:lpwstr/>
      </vt:variant>
      <vt:variant>
        <vt:i4>2293861</vt:i4>
      </vt:variant>
      <vt:variant>
        <vt:i4>198</vt:i4>
      </vt:variant>
      <vt:variant>
        <vt:i4>0</vt:i4>
      </vt:variant>
      <vt:variant>
        <vt:i4>5</vt:i4>
      </vt:variant>
      <vt:variant>
        <vt:lpwstr>http://www.economicregulator.tas.gov.au/domino/otter.nsf/8f46477f11c891c7ca256c4b001b41f2/02ba4c0a625a80c4ca257a8b000cc718?OpenDocument</vt:lpwstr>
      </vt:variant>
      <vt:variant>
        <vt:lpwstr/>
      </vt:variant>
      <vt:variant>
        <vt:i4>3080302</vt:i4>
      </vt:variant>
      <vt:variant>
        <vt:i4>195</vt:i4>
      </vt:variant>
      <vt:variant>
        <vt:i4>0</vt:i4>
      </vt:variant>
      <vt:variant>
        <vt:i4>5</vt:i4>
      </vt:variant>
      <vt:variant>
        <vt:lpwstr>http://www.economicregulator.tas.gov.au/domino/otter.nsf/LookupFiles/13979_Media_Release_2013_Price_Comparison_Report_April_2013.PDF/$file/13979_Media_Release_2013_Price_Comparison_Report_April_2013.PDF</vt:lpwstr>
      </vt:variant>
      <vt:variant>
        <vt:lpwstr/>
      </vt:variant>
      <vt:variant>
        <vt:i4>4390986</vt:i4>
      </vt:variant>
      <vt:variant>
        <vt:i4>192</vt:i4>
      </vt:variant>
      <vt:variant>
        <vt:i4>0</vt:i4>
      </vt:variant>
      <vt:variant>
        <vt:i4>5</vt:i4>
      </vt:variant>
      <vt:variant>
        <vt:lpwstr>http://www.escosa.sa.gov.au/library/130312-PostNECFReviewRegulatoryInstruments-FactSheet.pdf</vt:lpwstr>
      </vt:variant>
      <vt:variant>
        <vt:lpwstr/>
      </vt:variant>
      <vt:variant>
        <vt:i4>1966096</vt:i4>
      </vt:variant>
      <vt:variant>
        <vt:i4>189</vt:i4>
      </vt:variant>
      <vt:variant>
        <vt:i4>0</vt:i4>
      </vt:variant>
      <vt:variant>
        <vt:i4>5</vt:i4>
      </vt:variant>
      <vt:variant>
        <vt:lpwstr>http://www.escosa.sa.gov.au/article/newsdetail.aspx?p=16&amp;id=1106</vt:lpwstr>
      </vt:variant>
      <vt:variant>
        <vt:lpwstr/>
      </vt:variant>
      <vt:variant>
        <vt:i4>1966096</vt:i4>
      </vt:variant>
      <vt:variant>
        <vt:i4>186</vt:i4>
      </vt:variant>
      <vt:variant>
        <vt:i4>0</vt:i4>
      </vt:variant>
      <vt:variant>
        <vt:i4>5</vt:i4>
      </vt:variant>
      <vt:variant>
        <vt:lpwstr>http://www.escosa.sa.gov.au/article/newsdetail.aspx?p=16&amp;id=1106</vt:lpwstr>
      </vt:variant>
      <vt:variant>
        <vt:lpwstr/>
      </vt:variant>
      <vt:variant>
        <vt:i4>1114128</vt:i4>
      </vt:variant>
      <vt:variant>
        <vt:i4>183</vt:i4>
      </vt:variant>
      <vt:variant>
        <vt:i4>0</vt:i4>
      </vt:variant>
      <vt:variant>
        <vt:i4>5</vt:i4>
      </vt:variant>
      <vt:variant>
        <vt:lpwstr>http://www.escosa.sa.gov.au/article/newsdetail.aspx?p=16&amp;id=1109</vt:lpwstr>
      </vt:variant>
      <vt:variant>
        <vt:lpwstr/>
      </vt:variant>
      <vt:variant>
        <vt:i4>1703953</vt:i4>
      </vt:variant>
      <vt:variant>
        <vt:i4>180</vt:i4>
      </vt:variant>
      <vt:variant>
        <vt:i4>0</vt:i4>
      </vt:variant>
      <vt:variant>
        <vt:i4>5</vt:i4>
      </vt:variant>
      <vt:variant>
        <vt:lpwstr>http://www.escosa.sa.gov.au/article/newsdetail.aspx?p=16&amp;id=1112</vt:lpwstr>
      </vt:variant>
      <vt:variant>
        <vt:lpwstr/>
      </vt:variant>
      <vt:variant>
        <vt:i4>1900561</vt:i4>
      </vt:variant>
      <vt:variant>
        <vt:i4>177</vt:i4>
      </vt:variant>
      <vt:variant>
        <vt:i4>0</vt:i4>
      </vt:variant>
      <vt:variant>
        <vt:i4>5</vt:i4>
      </vt:variant>
      <vt:variant>
        <vt:lpwstr>http://www.escosa.sa.gov.au/article/newsdetail.aspx?p=16&amp;id=1115</vt:lpwstr>
      </vt:variant>
      <vt:variant>
        <vt:lpwstr/>
      </vt:variant>
      <vt:variant>
        <vt:i4>131155</vt:i4>
      </vt:variant>
      <vt:variant>
        <vt:i4>174</vt:i4>
      </vt:variant>
      <vt:variant>
        <vt:i4>0</vt:i4>
      </vt:variant>
      <vt:variant>
        <vt:i4>5</vt:i4>
      </vt:variant>
      <vt:variant>
        <vt:lpwstr>http://www.escosa.sa.gov.au/projects/projectdetails.aspx?p=69&amp;id=192</vt:lpwstr>
      </vt:variant>
      <vt:variant>
        <vt:lpwstr/>
      </vt:variant>
      <vt:variant>
        <vt:i4>5373963</vt:i4>
      </vt:variant>
      <vt:variant>
        <vt:i4>171</vt:i4>
      </vt:variant>
      <vt:variant>
        <vt:i4>0</vt:i4>
      </vt:variant>
      <vt:variant>
        <vt:i4>5</vt:i4>
      </vt:variant>
      <vt:variant>
        <vt:lpwstr>http://www.qca.org.au/water/SEQRetailPriceMon201315/</vt:lpwstr>
      </vt:variant>
      <vt:variant>
        <vt:lpwstr/>
      </vt:variant>
      <vt:variant>
        <vt:i4>2621549</vt:i4>
      </vt:variant>
      <vt:variant>
        <vt:i4>168</vt:i4>
      </vt:variant>
      <vt:variant>
        <vt:i4>0</vt:i4>
      </vt:variant>
      <vt:variant>
        <vt:i4>5</vt:i4>
      </vt:variant>
      <vt:variant>
        <vt:lpwstr>http://www.qca.org.au/files/R-QCA-IssuesPaper-SUFADAAU2012-0213.pdf</vt:lpwstr>
      </vt:variant>
      <vt:variant>
        <vt:lpwstr/>
      </vt:variant>
      <vt:variant>
        <vt:i4>1179735</vt:i4>
      </vt:variant>
      <vt:variant>
        <vt:i4>165</vt:i4>
      </vt:variant>
      <vt:variant>
        <vt:i4>0</vt:i4>
      </vt:variant>
      <vt:variant>
        <vt:i4>5</vt:i4>
      </vt:variant>
      <vt:variant>
        <vt:lpwstr>http://www.qca.org.au/water/SEQIrrigPrices/issuesarising2.php</vt:lpwstr>
      </vt:variant>
      <vt:variant>
        <vt:lpwstr/>
      </vt:variant>
      <vt:variant>
        <vt:i4>7405603</vt:i4>
      </vt:variant>
      <vt:variant>
        <vt:i4>162</vt:i4>
      </vt:variant>
      <vt:variant>
        <vt:i4>0</vt:i4>
      </vt:variant>
      <vt:variant>
        <vt:i4>5</vt:i4>
      </vt:variant>
      <vt:variant>
        <vt:lpwstr>http://www.qca.org.au/files/OBPR-GOV-FinalReport-MRBR-0313.pdf</vt:lpwstr>
      </vt:variant>
      <vt:variant>
        <vt:lpwstr/>
      </vt:variant>
      <vt:variant>
        <vt:i4>2490400</vt:i4>
      </vt:variant>
      <vt:variant>
        <vt:i4>159</vt:i4>
      </vt:variant>
      <vt:variant>
        <vt:i4>0</vt:i4>
      </vt:variant>
      <vt:variant>
        <vt:i4>5</vt:i4>
      </vt:variant>
      <vt:variant>
        <vt:lpwstr>http://www.qca.org.au/rail/2010-DAUamend/PropSndRailConAgr/</vt:lpwstr>
      </vt:variant>
      <vt:variant>
        <vt:lpwstr/>
      </vt:variant>
      <vt:variant>
        <vt:i4>7667720</vt:i4>
      </vt:variant>
      <vt:variant>
        <vt:i4>156</vt:i4>
      </vt:variant>
      <vt:variant>
        <vt:i4>0</vt:i4>
      </vt:variant>
      <vt:variant>
        <vt:i4>5</vt:i4>
      </vt:variant>
      <vt:variant>
        <vt:lpwstr>http://www.qca.org.au/electricity-retail/Review_Of_Solar_Feed/FinalReport.php</vt:lpwstr>
      </vt:variant>
      <vt:variant>
        <vt:lpwstr/>
      </vt:variant>
      <vt:variant>
        <vt:i4>1703962</vt:i4>
      </vt:variant>
      <vt:variant>
        <vt:i4>153</vt:i4>
      </vt:variant>
      <vt:variant>
        <vt:i4>0</vt:i4>
      </vt:variant>
      <vt:variant>
        <vt:i4>5</vt:i4>
      </vt:variant>
      <vt:variant>
        <vt:lpwstr>http://www.qca.org.au/water/SEQRetailPriceMon/1213review.php</vt:lpwstr>
      </vt:variant>
      <vt:variant>
        <vt:lpwstr/>
      </vt:variant>
      <vt:variant>
        <vt:i4>6422573</vt:i4>
      </vt:variant>
      <vt:variant>
        <vt:i4>150</vt:i4>
      </vt:variant>
      <vt:variant>
        <vt:i4>0</vt:i4>
      </vt:variant>
      <vt:variant>
        <vt:i4>5</vt:i4>
      </vt:variant>
      <vt:variant>
        <vt:lpwstr>http://www.qca.org.au/rail/2010-DAUamend/GAPEDAAU/</vt:lpwstr>
      </vt:variant>
      <vt:variant>
        <vt:lpwstr/>
      </vt:variant>
      <vt:variant>
        <vt:i4>1245254</vt:i4>
      </vt:variant>
      <vt:variant>
        <vt:i4>147</vt:i4>
      </vt:variant>
      <vt:variant>
        <vt:i4>0</vt:i4>
      </vt:variant>
      <vt:variant>
        <vt:i4>5</vt:i4>
      </vt:variant>
      <vt:variant>
        <vt:lpwstr>http://www.qca.org.au/rail/2010-DAUamend/ANEDAAUAPR2013/</vt:lpwstr>
      </vt:variant>
      <vt:variant>
        <vt:lpwstr/>
      </vt:variant>
      <vt:variant>
        <vt:i4>1900555</vt:i4>
      </vt:variant>
      <vt:variant>
        <vt:i4>144</vt:i4>
      </vt:variant>
      <vt:variant>
        <vt:i4>0</vt:i4>
      </vt:variant>
      <vt:variant>
        <vt:i4>5</vt:i4>
      </vt:variant>
      <vt:variant>
        <vt:lpwstr>http://www.utilicom.nt.gov.au/PMS/Publications/VS130218 - Media Release Commission February 2013.pdf</vt:lpwstr>
      </vt:variant>
      <vt:variant>
        <vt:lpwstr/>
      </vt:variant>
      <vt:variant>
        <vt:i4>8061055</vt:i4>
      </vt:variant>
      <vt:variant>
        <vt:i4>141</vt:i4>
      </vt:variant>
      <vt:variant>
        <vt:i4>0</vt:i4>
      </vt:variant>
      <vt:variant>
        <vt:i4>5</vt:i4>
      </vt:variant>
      <vt:variant>
        <vt:lpwstr>http://www.utilicom.nt.gov.au/Newsroom/Lists/Posts/Post.aspx?ID=153</vt:lpwstr>
      </vt:variant>
      <vt:variant>
        <vt:lpwstr/>
      </vt:variant>
      <vt:variant>
        <vt:i4>1835095</vt:i4>
      </vt:variant>
      <vt:variant>
        <vt:i4>138</vt:i4>
      </vt:variant>
      <vt:variant>
        <vt:i4>0</vt:i4>
      </vt:variant>
      <vt:variant>
        <vt:i4>5</vt:i4>
      </vt:variant>
      <vt:variant>
        <vt:lpwstr>http://www.ipart.nsw.gov.au/Home/Industries/Water/Private_Sector_Licensing_WICA/WICA_Static_Links/IPARTs_Submission_-_Review_of_WIC_Act_and_regulatory_arrangements_for_recycled_water_-_February_2013</vt:lpwstr>
      </vt:variant>
      <vt:variant>
        <vt:lpwstr/>
      </vt:variant>
      <vt:variant>
        <vt:i4>1441857</vt:i4>
      </vt:variant>
      <vt:variant>
        <vt:i4>135</vt:i4>
      </vt:variant>
      <vt:variant>
        <vt:i4>0</vt:i4>
      </vt:variant>
      <vt:variant>
        <vt:i4>5</vt:i4>
      </vt:variant>
      <vt:variant>
        <vt:lpwstr>http://www.ipart.nsw.gov.au/Home/Industries/Water/Reviews/Metro_Pricing/Review_of_prices_for_Gosford_City_Council_and_Wyong_Shire_Council_from_1_July_2013/19_Feb_2013_-_Draft_Report/Draft_Report_-_Gosford_City_Council_and_Wyong_Shire_Council_-_Prices_for_water_sewerage_and_stormwater_drainage_services_from_1_July_2013_to_30_June_2017_-_February_2013</vt:lpwstr>
      </vt:variant>
      <vt:variant>
        <vt:lpwstr/>
      </vt:variant>
      <vt:variant>
        <vt:i4>4915223</vt:i4>
      </vt:variant>
      <vt:variant>
        <vt:i4>132</vt:i4>
      </vt:variant>
      <vt:variant>
        <vt:i4>0</vt:i4>
      </vt:variant>
      <vt:variant>
        <vt:i4>5</vt:i4>
      </vt:variant>
      <vt:variant>
        <vt:lpwstr>http://www.ipart.nsw.gov.au/Home/Industries/Water/Reviews/Licensing_-_State_Water_Corporation/End_of_Term_Review_of_State_Water_Operating_Licence_2012-2013/20_Feb_2013_-_Fact_Sheet_-_Draft_Operating_Licence/Fact_Sheet_-_State_Waters_Operating_Licence_-_sum</vt:lpwstr>
      </vt:variant>
      <vt:variant>
        <vt:lpwstr/>
      </vt:variant>
      <vt:variant>
        <vt:i4>6422529</vt:i4>
      </vt:variant>
      <vt:variant>
        <vt:i4>129</vt:i4>
      </vt:variant>
      <vt:variant>
        <vt:i4>0</vt:i4>
      </vt:variant>
      <vt:variant>
        <vt:i4>5</vt:i4>
      </vt:variant>
      <vt:variant>
        <vt:lpwstr>http://www.ipart.nsw.gov.au/Home/Industries/Water/Reviews/Rural_Water/Review_of_prices_for_the_Water_Administration_Ministerial_Corportation_commencing_1_July_2014</vt:lpwstr>
      </vt:variant>
      <vt:variant>
        <vt:lpwstr/>
      </vt:variant>
      <vt:variant>
        <vt:i4>5701637</vt:i4>
      </vt:variant>
      <vt:variant>
        <vt:i4>126</vt:i4>
      </vt:variant>
      <vt:variant>
        <vt:i4>0</vt:i4>
      </vt:variant>
      <vt:variant>
        <vt:i4>5</vt:i4>
      </vt:variant>
      <vt:variant>
        <vt:lpwstr>http://www.ipart.nsw.gov.au/Home/Industries/Water/Reviews/Compliance/Review_of_Energy_and_Water_Compliance_Policy</vt:lpwstr>
      </vt:variant>
      <vt:variant>
        <vt:lpwstr/>
      </vt:variant>
      <vt:variant>
        <vt:i4>6226017</vt:i4>
      </vt:variant>
      <vt:variant>
        <vt:i4>123</vt:i4>
      </vt:variant>
      <vt:variant>
        <vt:i4>0</vt:i4>
      </vt:variant>
      <vt:variant>
        <vt:i4>5</vt:i4>
      </vt:variant>
      <vt:variant>
        <vt:lpwstr>http://www.ipart.nsw.gov.au/Home/Industries/Gas/Reviews/Retail_Pricing/Review_of_regulated_gas_retail_prices_2013_to_2016/23_Apr_2013_-_Draft_Report_-_Review_of_regulated_retail_prices_and_charges_for_gas_2013_to_2016/Draft_Report_-_Review_of_regulated_ret</vt:lpwstr>
      </vt:variant>
      <vt:variant>
        <vt:lpwstr/>
      </vt:variant>
      <vt:variant>
        <vt:i4>6029437</vt:i4>
      </vt:variant>
      <vt:variant>
        <vt:i4>120</vt:i4>
      </vt:variant>
      <vt:variant>
        <vt:i4>0</vt:i4>
      </vt:variant>
      <vt:variant>
        <vt:i4>5</vt:i4>
      </vt:variant>
      <vt:variant>
        <vt:lpwstr>http://www.ipart.nsw.gov.au/Home/Industries/Electricity/Reviews/Retail_Pricing/Review_of_regulated_electricity_retail_prices_2013_to_2016/23_Apr_2013_-_Draft_Report_-_Review_of_regulated_retail_prices_for_electricity_2013_to_2016/Draft_Report_-_Review_of_r</vt:lpwstr>
      </vt:variant>
      <vt:variant>
        <vt:lpwstr/>
      </vt:variant>
      <vt:variant>
        <vt:i4>5832813</vt:i4>
      </vt:variant>
      <vt:variant>
        <vt:i4>117</vt:i4>
      </vt:variant>
      <vt:variant>
        <vt:i4>0</vt:i4>
      </vt:variant>
      <vt:variant>
        <vt:i4>5</vt:i4>
      </vt:variant>
      <vt:variant>
        <vt:lpwstr>http://www.ipart.nsw.gov.au/Home/Industries/Water/Reviews/Licensing_-_State_Water_Corporation/End_of_Term_Review_of_State_Water_Operating_Licence_2012-2013</vt:lpwstr>
      </vt:variant>
      <vt:variant>
        <vt:lpwstr/>
      </vt:variant>
      <vt:variant>
        <vt:i4>1114133</vt:i4>
      </vt:variant>
      <vt:variant>
        <vt:i4>114</vt:i4>
      </vt:variant>
      <vt:variant>
        <vt:i4>0</vt:i4>
      </vt:variant>
      <vt:variant>
        <vt:i4>5</vt:i4>
      </vt:variant>
      <vt:variant>
        <vt:lpwstr>http://www.icrc.act.gov.au/__data/assets/pdf_file/0004/262165/MediaRelease_20130226.pdf</vt:lpwstr>
      </vt:variant>
      <vt:variant>
        <vt:lpwstr/>
      </vt:variant>
      <vt:variant>
        <vt:i4>7995430</vt:i4>
      </vt:variant>
      <vt:variant>
        <vt:i4>111</vt:i4>
      </vt:variant>
      <vt:variant>
        <vt:i4>0</vt:i4>
      </vt:variant>
      <vt:variant>
        <vt:i4>5</vt:i4>
      </vt:variant>
      <vt:variant>
        <vt:lpwstr>http://www.icrc.act.gov.au/wp-content/uploads/2013/02/Media-Release-EPC-Information-Paper-22-April-2013.pdf</vt:lpwstr>
      </vt:variant>
      <vt:variant>
        <vt:lpwstr/>
      </vt:variant>
      <vt:variant>
        <vt:i4>5177359</vt:i4>
      </vt:variant>
      <vt:variant>
        <vt:i4>108</vt:i4>
      </vt:variant>
      <vt:variant>
        <vt:i4>0</vt:i4>
      </vt:variant>
      <vt:variant>
        <vt:i4>5</vt:i4>
      </vt:variant>
      <vt:variant>
        <vt:lpwstr>http://www.icrc.act.gov.au/water-and-sewerage/</vt:lpwstr>
      </vt:variant>
      <vt:variant>
        <vt:lpwstr>price-direction-supply-of-regulated-water-and-sewerage-services</vt:lpwstr>
      </vt:variant>
      <vt:variant>
        <vt:i4>3211322</vt:i4>
      </vt:variant>
      <vt:variant>
        <vt:i4>105</vt:i4>
      </vt:variant>
      <vt:variant>
        <vt:i4>0</vt:i4>
      </vt:variant>
      <vt:variant>
        <vt:i4>5</vt:i4>
      </vt:variant>
      <vt:variant>
        <vt:lpwstr>http://www.aemc.gov.au/electricity/rule-changes/open/changes-to-cost-allocation-method.html</vt:lpwstr>
      </vt:variant>
      <vt:variant>
        <vt:lpwstr/>
      </vt:variant>
      <vt:variant>
        <vt:i4>7602232</vt:i4>
      </vt:variant>
      <vt:variant>
        <vt:i4>102</vt:i4>
      </vt:variant>
      <vt:variant>
        <vt:i4>0</vt:i4>
      </vt:variant>
      <vt:variant>
        <vt:i4>5</vt:i4>
      </vt:variant>
      <vt:variant>
        <vt:lpwstr>http://www.aemc.gov.au/News/Whats-New/national-approach-to-recovers-costs-of-using-transmission-assets-across-regions.html</vt:lpwstr>
      </vt:variant>
      <vt:variant>
        <vt:lpwstr/>
      </vt:variant>
      <vt:variant>
        <vt:i4>1376256</vt:i4>
      </vt:variant>
      <vt:variant>
        <vt:i4>99</vt:i4>
      </vt:variant>
      <vt:variant>
        <vt:i4>0</vt:i4>
      </vt:variant>
      <vt:variant>
        <vt:i4>5</vt:i4>
      </vt:variant>
      <vt:variant>
        <vt:lpwstr>http://www.aemc.gov.au/Redirect.aspx?cid=b2aff0a6-4841-40d4-9445-f26b95647d97</vt:lpwstr>
      </vt:variant>
      <vt:variant>
        <vt:lpwstr/>
      </vt:variant>
      <vt:variant>
        <vt:i4>5505102</vt:i4>
      </vt:variant>
      <vt:variant>
        <vt:i4>96</vt:i4>
      </vt:variant>
      <vt:variant>
        <vt:i4>0</vt:i4>
      </vt:variant>
      <vt:variant>
        <vt:i4>5</vt:i4>
      </vt:variant>
      <vt:variant>
        <vt:lpwstr>http://www.aemc.gov.au/News/Whats-New/household-electricity-price-trends.html</vt:lpwstr>
      </vt:variant>
      <vt:variant>
        <vt:lpwstr/>
      </vt:variant>
      <vt:variant>
        <vt:i4>3014763</vt:i4>
      </vt:variant>
      <vt:variant>
        <vt:i4>93</vt:i4>
      </vt:variant>
      <vt:variant>
        <vt:i4>0</vt:i4>
      </vt:variant>
      <vt:variant>
        <vt:i4>5</vt:i4>
      </vt:variant>
      <vt:variant>
        <vt:lpwstr>http://www.aemc.gov.au/News/Whats-New/final-report-published-on-annual-market-performance-review-2012.html</vt:lpwstr>
      </vt:variant>
      <vt:variant>
        <vt:lpwstr/>
      </vt:variant>
      <vt:variant>
        <vt:i4>8192052</vt:i4>
      </vt:variant>
      <vt:variant>
        <vt:i4>90</vt:i4>
      </vt:variant>
      <vt:variant>
        <vt:i4>0</vt:i4>
      </vt:variant>
      <vt:variant>
        <vt:i4>5</vt:i4>
      </vt:variant>
      <vt:variant>
        <vt:lpwstr>http://www.aemc.gov.au/News/Whats-New/issues-paper-published-on-the-review-of-the-national-framework-for-transmission-reliability.html</vt:lpwstr>
      </vt:variant>
      <vt:variant>
        <vt:lpwstr/>
      </vt:variant>
      <vt:variant>
        <vt:i4>786520</vt:i4>
      </vt:variant>
      <vt:variant>
        <vt:i4>87</vt:i4>
      </vt:variant>
      <vt:variant>
        <vt:i4>0</vt:i4>
      </vt:variant>
      <vt:variant>
        <vt:i4>5</vt:i4>
      </vt:variant>
      <vt:variant>
        <vt:lpwstr>http://www.aemc.gov.au/News/Whats-New/the-aemc-publishes-the-final-report-of-the-transmission-frameworks-review.html</vt:lpwstr>
      </vt:variant>
      <vt:variant>
        <vt:lpwstr/>
      </vt:variant>
      <vt:variant>
        <vt:i4>8323195</vt:i4>
      </vt:variant>
      <vt:variant>
        <vt:i4>84</vt:i4>
      </vt:variant>
      <vt:variant>
        <vt:i4>0</vt:i4>
      </vt:variant>
      <vt:variant>
        <vt:i4>5</vt:i4>
      </vt:variant>
      <vt:variant>
        <vt:lpwstr>http://www.aemc.gov.au/News/Whats-New/aemc-strategic-priorities-discussion-paper-stakeholder-views-sought-on-proposed-priorities-.html</vt:lpwstr>
      </vt:variant>
      <vt:variant>
        <vt:lpwstr/>
      </vt:variant>
      <vt:variant>
        <vt:i4>4915267</vt:i4>
      </vt:variant>
      <vt:variant>
        <vt:i4>81</vt:i4>
      </vt:variant>
      <vt:variant>
        <vt:i4>0</vt:i4>
      </vt:variant>
      <vt:variant>
        <vt:i4>5</vt:i4>
      </vt:variant>
      <vt:variant>
        <vt:lpwstr>http://www.ncc.gov.au/index.php/application/application_for_coverage_of_the_south_eastern_pipeline_system</vt:lpwstr>
      </vt:variant>
      <vt:variant>
        <vt:lpwstr/>
      </vt:variant>
      <vt:variant>
        <vt:i4>8257623</vt:i4>
      </vt:variant>
      <vt:variant>
        <vt:i4>78</vt:i4>
      </vt:variant>
      <vt:variant>
        <vt:i4>0</vt:i4>
      </vt:variant>
      <vt:variant>
        <vt:i4>5</vt:i4>
      </vt:variant>
      <vt:variant>
        <vt:lpwstr>http://www.ncc.gov.au/index.php/application/application_for_a_15-year_no-coverage_determination_for_proposed_glng_pipel</vt:lpwstr>
      </vt:variant>
      <vt:variant>
        <vt:lpwstr/>
      </vt:variant>
      <vt:variant>
        <vt:i4>5505031</vt:i4>
      </vt:variant>
      <vt:variant>
        <vt:i4>75</vt:i4>
      </vt:variant>
      <vt:variant>
        <vt:i4>0</vt:i4>
      </vt:variant>
      <vt:variant>
        <vt:i4>5</vt:i4>
      </vt:variant>
      <vt:variant>
        <vt:lpwstr>http://www.aer.gov.au/node/19048</vt:lpwstr>
      </vt:variant>
      <vt:variant>
        <vt:lpwstr/>
      </vt:variant>
      <vt:variant>
        <vt:i4>5898240</vt:i4>
      </vt:variant>
      <vt:variant>
        <vt:i4>72</vt:i4>
      </vt:variant>
      <vt:variant>
        <vt:i4>0</vt:i4>
      </vt:variant>
      <vt:variant>
        <vt:i4>5</vt:i4>
      </vt:variant>
      <vt:variant>
        <vt:lpwstr>http://www.aer.gov.au/node/19234</vt:lpwstr>
      </vt:variant>
      <vt:variant>
        <vt:lpwstr/>
      </vt:variant>
      <vt:variant>
        <vt:i4>5767174</vt:i4>
      </vt:variant>
      <vt:variant>
        <vt:i4>69</vt:i4>
      </vt:variant>
      <vt:variant>
        <vt:i4>0</vt:i4>
      </vt:variant>
      <vt:variant>
        <vt:i4>5</vt:i4>
      </vt:variant>
      <vt:variant>
        <vt:lpwstr>http://www.aer.gov.au/node/19357</vt:lpwstr>
      </vt:variant>
      <vt:variant>
        <vt:lpwstr/>
      </vt:variant>
      <vt:variant>
        <vt:i4>5308420</vt:i4>
      </vt:variant>
      <vt:variant>
        <vt:i4>66</vt:i4>
      </vt:variant>
      <vt:variant>
        <vt:i4>0</vt:i4>
      </vt:variant>
      <vt:variant>
        <vt:i4>5</vt:i4>
      </vt:variant>
      <vt:variant>
        <vt:lpwstr>http://www.aer.gov.au/node/19578</vt:lpwstr>
      </vt:variant>
      <vt:variant>
        <vt:lpwstr/>
      </vt:variant>
      <vt:variant>
        <vt:i4>6160387</vt:i4>
      </vt:variant>
      <vt:variant>
        <vt:i4>63</vt:i4>
      </vt:variant>
      <vt:variant>
        <vt:i4>0</vt:i4>
      </vt:variant>
      <vt:variant>
        <vt:i4>5</vt:i4>
      </vt:variant>
      <vt:variant>
        <vt:lpwstr>http://www.aer.gov.au/node/19604</vt:lpwstr>
      </vt:variant>
      <vt:variant>
        <vt:lpwstr/>
      </vt:variant>
      <vt:variant>
        <vt:i4>6094852</vt:i4>
      </vt:variant>
      <vt:variant>
        <vt:i4>60</vt:i4>
      </vt:variant>
      <vt:variant>
        <vt:i4>0</vt:i4>
      </vt:variant>
      <vt:variant>
        <vt:i4>5</vt:i4>
      </vt:variant>
      <vt:variant>
        <vt:lpwstr>http://www.aer.gov.au/node/19677</vt:lpwstr>
      </vt:variant>
      <vt:variant>
        <vt:lpwstr/>
      </vt:variant>
      <vt:variant>
        <vt:i4>6029322</vt:i4>
      </vt:variant>
      <vt:variant>
        <vt:i4>57</vt:i4>
      </vt:variant>
      <vt:variant>
        <vt:i4>0</vt:i4>
      </vt:variant>
      <vt:variant>
        <vt:i4>5</vt:i4>
      </vt:variant>
      <vt:variant>
        <vt:lpwstr>http://www.aer.gov.au/node/20003</vt:lpwstr>
      </vt:variant>
      <vt:variant>
        <vt:lpwstr/>
      </vt:variant>
      <vt:variant>
        <vt:i4>6225931</vt:i4>
      </vt:variant>
      <vt:variant>
        <vt:i4>54</vt:i4>
      </vt:variant>
      <vt:variant>
        <vt:i4>0</vt:i4>
      </vt:variant>
      <vt:variant>
        <vt:i4>5</vt:i4>
      </vt:variant>
      <vt:variant>
        <vt:lpwstr>http://www.aer.gov.au/node/20010</vt:lpwstr>
      </vt:variant>
      <vt:variant>
        <vt:lpwstr/>
      </vt:variant>
      <vt:variant>
        <vt:i4>6094856</vt:i4>
      </vt:variant>
      <vt:variant>
        <vt:i4>51</vt:i4>
      </vt:variant>
      <vt:variant>
        <vt:i4>0</vt:i4>
      </vt:variant>
      <vt:variant>
        <vt:i4>5</vt:i4>
      </vt:variant>
      <vt:variant>
        <vt:lpwstr>http://www.aer.gov.au/node/20022</vt:lpwstr>
      </vt:variant>
      <vt:variant>
        <vt:lpwstr/>
      </vt:variant>
      <vt:variant>
        <vt:i4>5701643</vt:i4>
      </vt:variant>
      <vt:variant>
        <vt:i4>48</vt:i4>
      </vt:variant>
      <vt:variant>
        <vt:i4>0</vt:i4>
      </vt:variant>
      <vt:variant>
        <vt:i4>5</vt:i4>
      </vt:variant>
      <vt:variant>
        <vt:lpwstr>http://www.aer.gov.au/node/20018</vt:lpwstr>
      </vt:variant>
      <vt:variant>
        <vt:lpwstr/>
      </vt:variant>
      <vt:variant>
        <vt:i4>6160395</vt:i4>
      </vt:variant>
      <vt:variant>
        <vt:i4>45</vt:i4>
      </vt:variant>
      <vt:variant>
        <vt:i4>0</vt:i4>
      </vt:variant>
      <vt:variant>
        <vt:i4>5</vt:i4>
      </vt:variant>
      <vt:variant>
        <vt:lpwstr>http://www.aer.gov.au/node/20011</vt:lpwstr>
      </vt:variant>
      <vt:variant>
        <vt:lpwstr/>
      </vt:variant>
      <vt:variant>
        <vt:i4>5636107</vt:i4>
      </vt:variant>
      <vt:variant>
        <vt:i4>42</vt:i4>
      </vt:variant>
      <vt:variant>
        <vt:i4>0</vt:i4>
      </vt:variant>
      <vt:variant>
        <vt:i4>5</vt:i4>
      </vt:variant>
      <vt:variant>
        <vt:lpwstr>http://www.aer.gov.au/node/19983</vt:lpwstr>
      </vt:variant>
      <vt:variant>
        <vt:lpwstr/>
      </vt:variant>
      <vt:variant>
        <vt:i4>5963788</vt:i4>
      </vt:variant>
      <vt:variant>
        <vt:i4>39</vt:i4>
      </vt:variant>
      <vt:variant>
        <vt:i4>0</vt:i4>
      </vt:variant>
      <vt:variant>
        <vt:i4>5</vt:i4>
      </vt:variant>
      <vt:variant>
        <vt:lpwstr>http://www.aer.gov.au/node/20064</vt:lpwstr>
      </vt:variant>
      <vt:variant>
        <vt:lpwstr/>
      </vt:variant>
      <vt:variant>
        <vt:i4>2556028</vt:i4>
      </vt:variant>
      <vt:variant>
        <vt:i4>36</vt:i4>
      </vt:variant>
      <vt:variant>
        <vt:i4>0</vt:i4>
      </vt:variant>
      <vt:variant>
        <vt:i4>5</vt:i4>
      </vt:variant>
      <vt:variant>
        <vt:lpwstr>http://www.accc.gov.au/media-release/accc-directs-telstra-to-amend-measures-developed-under-the-migration-plan</vt:lpwstr>
      </vt:variant>
      <vt:variant>
        <vt:lpwstr/>
      </vt:variant>
      <vt:variant>
        <vt:i4>5701716</vt:i4>
      </vt:variant>
      <vt:variant>
        <vt:i4>33</vt:i4>
      </vt:variant>
      <vt:variant>
        <vt:i4>0</vt:i4>
      </vt:variant>
      <vt:variant>
        <vt:i4>5</vt:i4>
      </vt:variant>
      <vt:variant>
        <vt:lpwstr>http://www.accc.gov.au/media-release/accc-invites-comment-on-the-policies-and-procedures-for-the-list-of-nbn-pois</vt:lpwstr>
      </vt:variant>
      <vt:variant>
        <vt:lpwstr/>
      </vt:variant>
      <vt:variant>
        <vt:i4>1966156</vt:i4>
      </vt:variant>
      <vt:variant>
        <vt:i4>30</vt:i4>
      </vt:variant>
      <vt:variant>
        <vt:i4>0</vt:i4>
      </vt:variant>
      <vt:variant>
        <vt:i4>5</vt:i4>
      </vt:variant>
      <vt:variant>
        <vt:lpwstr>http://www.accc.gov.au/media-release/accc-telecommunications-reports-prices-fall-interest-in-broadband-grows</vt:lpwstr>
      </vt:variant>
      <vt:variant>
        <vt:lpwstr/>
      </vt:variant>
      <vt:variant>
        <vt:i4>3735653</vt:i4>
      </vt:variant>
      <vt:variant>
        <vt:i4>27</vt:i4>
      </vt:variant>
      <vt:variant>
        <vt:i4>0</vt:i4>
      </vt:variant>
      <vt:variant>
        <vt:i4>5</vt:i4>
      </vt:variant>
      <vt:variant>
        <vt:lpwstr>http://www.accc.gov.au/media-release/accc-proposes-cost-based-prices-for-wholesale-broadband-services-on-telstra%E2%80%99s-copper-0</vt:lpwstr>
      </vt:variant>
      <vt:variant>
        <vt:lpwstr/>
      </vt:variant>
      <vt:variant>
        <vt:i4>524360</vt:i4>
      </vt:variant>
      <vt:variant>
        <vt:i4>24</vt:i4>
      </vt:variant>
      <vt:variant>
        <vt:i4>0</vt:i4>
      </vt:variant>
      <vt:variant>
        <vt:i4>5</vt:i4>
      </vt:variant>
      <vt:variant>
        <vt:lpwstr>http://www.accc.gov.au/media-release/accc-authorises-collective-bargaining-for-central-queensland-coal-producers</vt:lpwstr>
      </vt:variant>
      <vt:variant>
        <vt:lpwstr/>
      </vt:variant>
      <vt:variant>
        <vt:i4>65625</vt:i4>
      </vt:variant>
      <vt:variant>
        <vt:i4>21</vt:i4>
      </vt:variant>
      <vt:variant>
        <vt:i4>0</vt:i4>
      </vt:variant>
      <vt:variant>
        <vt:i4>5</vt:i4>
      </vt:variant>
      <vt:variant>
        <vt:lpwstr>http://www.accc.gov.au/media-release/accc-allows-transferability-of-graincorps-port-capacity</vt:lpwstr>
      </vt:variant>
      <vt:variant>
        <vt:lpwstr/>
      </vt:variant>
      <vt:variant>
        <vt:i4>5898309</vt:i4>
      </vt:variant>
      <vt:variant>
        <vt:i4>18</vt:i4>
      </vt:variant>
      <vt:variant>
        <vt:i4>0</vt:i4>
      </vt:variant>
      <vt:variant>
        <vt:i4>5</vt:i4>
      </vt:variant>
      <vt:variant>
        <vt:lpwstr>http://www.accc.gov.au/media-release/accc-issues-draft-decision-on-nbn-co-special-access-undertaking</vt:lpwstr>
      </vt:variant>
      <vt:variant>
        <vt:lpwstr/>
      </vt:variant>
      <vt:variant>
        <vt:i4>917521</vt:i4>
      </vt:variant>
      <vt:variant>
        <vt:i4>15</vt:i4>
      </vt:variant>
      <vt:variant>
        <vt:i4>0</vt:i4>
      </vt:variant>
      <vt:variant>
        <vt:i4>5</vt:i4>
      </vt:variant>
      <vt:variant>
        <vt:lpwstr>http://www.accc.gov.au/media-release/accc-issues-decision-on-southern-sydney-freight-line</vt:lpwstr>
      </vt:variant>
      <vt:variant>
        <vt:lpwstr/>
      </vt:variant>
      <vt:variant>
        <vt:i4>5832784</vt:i4>
      </vt:variant>
      <vt:variant>
        <vt:i4>12</vt:i4>
      </vt:variant>
      <vt:variant>
        <vt:i4>0</vt:i4>
      </vt:variant>
      <vt:variant>
        <vt:i4>5</vt:i4>
      </vt:variant>
      <vt:variant>
        <vt:lpwstr>http://www.accc.gov.au/media-release/competition-tribunal-affirms-accc-decision-to-open-wa-grain-supply-chain-to</vt:lpwstr>
      </vt:variant>
      <vt:variant>
        <vt:lpwstr/>
      </vt:variant>
      <vt:variant>
        <vt:i4>4915217</vt:i4>
      </vt:variant>
      <vt:variant>
        <vt:i4>9</vt:i4>
      </vt:variant>
      <vt:variant>
        <vt:i4>0</vt:i4>
      </vt:variant>
      <vt:variant>
        <vt:i4>5</vt:i4>
      </vt:variant>
      <vt:variant>
        <vt:lpwstr>http://www.accc.gov.au/media-release/accc-report-finds-no-cross-subsidy-in-australia-post</vt:lpwstr>
      </vt:variant>
      <vt:variant>
        <vt:lpwstr/>
      </vt:variant>
      <vt:variant>
        <vt:i4>4456479</vt:i4>
      </vt:variant>
      <vt:variant>
        <vt:i4>6</vt:i4>
      </vt:variant>
      <vt:variant>
        <vt:i4>0</vt:i4>
      </vt:variant>
      <vt:variant>
        <vt:i4>5</vt:i4>
      </vt:variant>
      <vt:variant>
        <vt:lpwstr>http://www.accc.gov.au/media-release/growth-in-passenger-numbers-continuing-to-drive-airport-profits-and-need-for-new</vt:lpwstr>
      </vt:variant>
      <vt:variant>
        <vt:lpwstr/>
      </vt:variant>
      <vt:variant>
        <vt:i4>5242886</vt:i4>
      </vt:variant>
      <vt:variant>
        <vt:i4>3</vt:i4>
      </vt:variant>
      <vt:variant>
        <vt:i4>0</vt:i4>
      </vt:variant>
      <vt:variant>
        <vt:i4>5</vt:i4>
      </vt:variant>
      <vt:variant>
        <vt:lpwstr>http://www.accc.gov.au/media-release/accc-begins-consultation-on-wheat-export-undertakings-0</vt:lpwstr>
      </vt:variant>
      <vt:variant>
        <vt:lpwstr/>
      </vt:variant>
      <vt:variant>
        <vt:i4>7340076</vt:i4>
      </vt:variant>
      <vt:variant>
        <vt:i4>0</vt:i4>
      </vt:variant>
      <vt:variant>
        <vt:i4>0</vt:i4>
      </vt:variant>
      <vt:variant>
        <vt:i4>5</vt:i4>
      </vt:variant>
      <vt:variant>
        <vt:lpwstr>http://www.accc.gov.au/speech/competition-policy-workshop-%E2%80%93-infrastructure-access</vt:lpwstr>
      </vt:variant>
      <vt:variant>
        <vt:lpwstr>endnote</vt:lpwstr>
      </vt:variant>
      <vt:variant>
        <vt:i4>6553674</vt:i4>
      </vt:variant>
      <vt:variant>
        <vt:i4>12</vt:i4>
      </vt:variant>
      <vt:variant>
        <vt:i4>0</vt:i4>
      </vt:variant>
      <vt:variant>
        <vt:i4>5</vt:i4>
      </vt:variant>
      <vt:variant>
        <vt:lpwstr>mailto:Genevieve.Pound@accc.gov.au</vt:lpwstr>
      </vt:variant>
      <vt:variant>
        <vt:lpwstr/>
      </vt:variant>
      <vt:variant>
        <vt:i4>1900596</vt:i4>
      </vt:variant>
      <vt:variant>
        <vt:i4>9</vt:i4>
      </vt:variant>
      <vt:variant>
        <vt:i4>0</vt:i4>
      </vt:variant>
      <vt:variant>
        <vt:i4>5</vt:i4>
      </vt:variant>
      <vt:variant>
        <vt:lpwstr>mailto:Robert.Albon@accc.gov.au</vt:lpwstr>
      </vt:variant>
      <vt:variant>
        <vt:lpwstr/>
      </vt:variant>
      <vt:variant>
        <vt:i4>6553674</vt:i4>
      </vt:variant>
      <vt:variant>
        <vt:i4>6</vt:i4>
      </vt:variant>
      <vt:variant>
        <vt:i4>0</vt:i4>
      </vt:variant>
      <vt:variant>
        <vt:i4>5</vt:i4>
      </vt:variant>
      <vt:variant>
        <vt:lpwstr>mailto:Genevieve.Pound@accc.gov.au</vt:lpwstr>
      </vt:variant>
      <vt:variant>
        <vt:lpwstr/>
      </vt:variant>
      <vt:variant>
        <vt:i4>1900596</vt:i4>
      </vt:variant>
      <vt:variant>
        <vt:i4>3</vt:i4>
      </vt:variant>
      <vt:variant>
        <vt:i4>0</vt:i4>
      </vt:variant>
      <vt:variant>
        <vt:i4>5</vt:i4>
      </vt:variant>
      <vt:variant>
        <vt:lpwstr>mailto:Robert.Albon@accc.gov.au</vt:lpwstr>
      </vt:variant>
      <vt:variant>
        <vt:lpwstr/>
      </vt:variant>
      <vt:variant>
        <vt:i4>2818108</vt:i4>
      </vt:variant>
      <vt:variant>
        <vt:i4>0</vt:i4>
      </vt:variant>
      <vt:variant>
        <vt:i4>0</vt:i4>
      </vt:variant>
      <vt:variant>
        <vt:i4>5</vt:i4>
      </vt:variant>
      <vt:variant>
        <vt:lpwstr>http://www.pc.gov.au/projects/inquiry/access-regime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32 April 2009</dc:title>
  <dc:creator>gpoun</dc:creator>
  <cp:lastModifiedBy>Pound, Genevieve</cp:lastModifiedBy>
  <cp:revision>2</cp:revision>
  <cp:lastPrinted>2016-06-07T04:10:00Z</cp:lastPrinted>
  <dcterms:created xsi:type="dcterms:W3CDTF">2016-06-23T04:51:00Z</dcterms:created>
  <dcterms:modified xsi:type="dcterms:W3CDTF">2016-06-23T04:51:00Z</dcterms:modified>
</cp:coreProperties>
</file>